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80"/>
        <w:spacing w:after="0"/>
        <w:rPr>
          <w:sz w:val="20"/>
          <w:szCs w:val="20"/>
          <w:color w:val="auto"/>
        </w:rPr>
      </w:pPr>
      <w:r>
        <w:rPr>
          <w:rFonts w:ascii="Arial" w:cs="Arial" w:eastAsia="Arial" w:hAnsi="Arial"/>
          <w:sz w:val="20"/>
          <w:szCs w:val="20"/>
          <w:b w:val="1"/>
          <w:bCs w:val="1"/>
          <w:color w:val="auto"/>
        </w:rPr>
        <w:t>UNITED STATES</w:t>
      </w:r>
    </w:p>
    <w:p>
      <w:pPr>
        <w:spacing w:after="0" w:line="24" w:lineRule="exact"/>
        <w:rPr>
          <w:sz w:val="24"/>
          <w:szCs w:val="24"/>
          <w:color w:val="auto"/>
        </w:rPr>
      </w:pPr>
    </w:p>
    <w:p>
      <w:pPr>
        <w:ind w:left="3520"/>
        <w:spacing w:after="0"/>
        <w:rPr>
          <w:sz w:val="20"/>
          <w:szCs w:val="20"/>
          <w:color w:val="auto"/>
        </w:rPr>
      </w:pPr>
      <w:r>
        <w:rPr>
          <w:rFonts w:ascii="Arial" w:cs="Arial" w:eastAsia="Arial" w:hAnsi="Arial"/>
          <w:sz w:val="20"/>
          <w:szCs w:val="20"/>
          <w:b w:val="1"/>
          <w:bCs w:val="1"/>
          <w:color w:val="auto"/>
        </w:rPr>
        <w:t>SECURITIES AND EXCHANGE COMMISSION</w:t>
      </w:r>
    </w:p>
    <w:p>
      <w:pPr>
        <w:spacing w:after="0" w:line="16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197" w:lineRule="exact"/>
        <w:rPr>
          <w:sz w:val="24"/>
          <w:szCs w:val="24"/>
          <w:color w:val="auto"/>
        </w:rPr>
      </w:pPr>
    </w:p>
    <w:p>
      <w:pPr>
        <w:ind w:left="700" w:right="2440" w:hanging="550"/>
        <w:spacing w:after="0" w:line="357" w:lineRule="auto"/>
        <w:tabs>
          <w:tab w:leader="none" w:pos="484" w:val="left"/>
        </w:tabs>
        <w:numPr>
          <w:ilvl w:val="0"/>
          <w:numId w:val="1"/>
        </w:numPr>
        <w:rPr>
          <w:rFonts w:ascii="MS PGothic" w:cs="MS PGothic" w:eastAsia="MS PGothic" w:hAnsi="MS PGothic"/>
          <w:sz w:val="20"/>
          <w:szCs w:val="20"/>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For the quarterly period ended June 30, 2022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27" w:lineRule="exact"/>
        <w:rPr>
          <w:sz w:val="24"/>
          <w:szCs w:val="24"/>
          <w:color w:val="auto"/>
        </w:rPr>
      </w:pPr>
    </w:p>
    <w:p>
      <w:pPr>
        <w:ind w:left="480" w:hanging="330"/>
        <w:spacing w:after="0"/>
        <w:tabs>
          <w:tab w:leader="none" w:pos="480" w:val="left"/>
        </w:tabs>
        <w:numPr>
          <w:ilvl w:val="0"/>
          <w:numId w:val="2"/>
        </w:numPr>
        <w:rPr>
          <w:rFonts w:ascii="MS PGothic" w:cs="MS PGothic" w:eastAsia="MS PGothic" w:hAnsi="MS PGothic"/>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84" w:lineRule="exact"/>
        <w:rPr>
          <w:sz w:val="24"/>
          <w:szCs w:val="24"/>
          <w:color w:val="auto"/>
        </w:rPr>
      </w:pPr>
    </w:p>
    <w:p>
      <w:pPr>
        <w:ind w:left="700"/>
        <w:spacing w:after="0"/>
        <w:tabs>
          <w:tab w:leader="none" w:pos="3700" w:val="left"/>
          <w:tab w:leader="none" w:pos="478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6"/>
          <w:szCs w:val="16"/>
          <w:color w:val="auto"/>
        </w:rPr>
        <w:t>to</w:t>
      </w:r>
      <w:r>
        <w:rPr>
          <w:sz w:val="20"/>
          <w:szCs w:val="20"/>
          <w:color w:val="auto"/>
        </w:rPr>
        <w:tab/>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1794510</wp:posOffset>
            </wp:positionH>
            <wp:positionV relativeFrom="paragraph">
              <wp:posOffset>-14605</wp:posOffset>
            </wp:positionV>
            <wp:extent cx="12573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000-50600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168910</wp:posOffset>
            </wp:positionV>
            <wp:extent cx="2451735" cy="377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5173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Blackbaud,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p>
      <w:pPr>
        <w:spacing w:after="0" w:line="147"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11-2617163</w:t>
      </w:r>
    </w:p>
    <w:p>
      <w:pPr>
        <w:spacing w:after="0" w:line="79" w:lineRule="exact"/>
        <w:rPr>
          <w:sz w:val="24"/>
          <w:szCs w:val="24"/>
          <w:color w:val="auto"/>
        </w:rPr>
      </w:pPr>
    </w:p>
    <w:p>
      <w:pPr>
        <w:sectPr>
          <w:pgSz w:w="11900" w:h="16838" w:orient="portrait"/>
          <w:cols w:equalWidth="0" w:num="2">
            <w:col w:w="7320" w:space="720"/>
            <w:col w:w="3200"/>
          </w:cols>
          <w:pgMar w:left="320" w:top="922" w:right="33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107" w:lineRule="exact"/>
        <w:rPr>
          <w:sz w:val="24"/>
          <w:szCs w:val="24"/>
          <w:color w:val="auto"/>
        </w:rPr>
      </w:pPr>
    </w:p>
    <w:p>
      <w:pPr>
        <w:sectPr>
          <w:pgSz w:w="11900" w:h="16838" w:orient="portrait"/>
          <w:cols w:equalWidth="0" w:num="2">
            <w:col w:w="6520" w:space="720"/>
            <w:col w:w="4000"/>
          </w:cols>
          <w:pgMar w:left="320" w:top="922"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65 Fairchild Street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Charleston, South Carolina 29492</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(843) 216-6200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620" w:type="dxa"/>
            <w:vAlign w:val="bottom"/>
            <w:gridSpan w:val="3"/>
          </w:tcPr>
          <w:p>
            <w:pPr>
              <w:jc w:val="center"/>
              <w:ind w:right="380"/>
              <w:spacing w:after="0"/>
              <w:rPr>
                <w:sz w:val="20"/>
                <w:szCs w:val="20"/>
                <w:color w:val="auto"/>
              </w:rPr>
            </w:pPr>
            <w:r>
              <w:rPr>
                <w:rFonts w:ascii="Arial" w:cs="Arial" w:eastAsia="Arial" w:hAnsi="Arial"/>
                <w:sz w:val="16"/>
                <w:szCs w:val="16"/>
                <w:color w:val="auto"/>
              </w:rPr>
              <w:t>Securities Registered Pursuant to Section 12(b) of the Act:</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09"/>
        </w:trPr>
        <w:tc>
          <w:tcPr>
            <w:tcW w:w="1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Title of Each Class</w:t>
            </w:r>
          </w:p>
        </w:tc>
        <w:tc>
          <w:tcPr>
            <w:tcW w:w="1800" w:type="dxa"/>
            <w:vAlign w:val="bottom"/>
          </w:tcPr>
          <w:p>
            <w:pPr>
              <w:spacing w:after="0"/>
              <w:rPr>
                <w:sz w:val="18"/>
                <w:szCs w:val="18"/>
                <w:color w:val="auto"/>
              </w:rPr>
            </w:pPr>
          </w:p>
        </w:tc>
        <w:tc>
          <w:tcPr>
            <w:tcW w:w="1720" w:type="dxa"/>
            <w:vAlign w:val="bottom"/>
            <w:gridSpan w:val="2"/>
          </w:tcPr>
          <w:p>
            <w:pPr>
              <w:jc w:val="center"/>
              <w:ind w:left="319"/>
              <w:spacing w:after="0"/>
              <w:rPr>
                <w:sz w:val="20"/>
                <w:szCs w:val="20"/>
                <w:color w:val="auto"/>
              </w:rPr>
            </w:pPr>
            <w:r>
              <w:rPr>
                <w:rFonts w:ascii="Arial" w:cs="Arial" w:eastAsia="Arial" w:hAnsi="Arial"/>
                <w:sz w:val="16"/>
                <w:szCs w:val="16"/>
                <w:color w:val="auto"/>
              </w:rPr>
              <w:t>Trading Symbol(s)</w:t>
            </w:r>
          </w:p>
        </w:tc>
        <w:tc>
          <w:tcPr>
            <w:tcW w:w="1160" w:type="dxa"/>
            <w:vAlign w:val="bottom"/>
          </w:tcPr>
          <w:p>
            <w:pPr>
              <w:spacing w:after="0"/>
              <w:rPr>
                <w:sz w:val="18"/>
                <w:szCs w:val="18"/>
                <w:color w:val="auto"/>
              </w:rPr>
            </w:pPr>
          </w:p>
        </w:tc>
        <w:tc>
          <w:tcPr>
            <w:tcW w:w="3740" w:type="dxa"/>
            <w:vAlign w:val="bottom"/>
            <w:gridSpan w:val="2"/>
          </w:tcPr>
          <w:p>
            <w:pPr>
              <w:jc w:val="center"/>
              <w:ind w:right="420"/>
              <w:spacing w:after="0"/>
              <w:rPr>
                <w:sz w:val="20"/>
                <w:szCs w:val="20"/>
                <w:color w:val="auto"/>
              </w:rPr>
            </w:pPr>
            <w:r>
              <w:rPr>
                <w:rFonts w:ascii="Arial" w:cs="Arial" w:eastAsia="Arial" w:hAnsi="Arial"/>
                <w:sz w:val="16"/>
                <w:szCs w:val="16"/>
                <w:color w:val="auto"/>
              </w:rPr>
              <w:t>Name of Each Exchange on which Registered</w:t>
            </w:r>
          </w:p>
        </w:tc>
      </w:tr>
      <w:tr>
        <w:trPr>
          <w:trHeight w:val="20"/>
        </w:trPr>
        <w:tc>
          <w:tcPr>
            <w:tcW w:w="1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8"/>
        </w:trPr>
        <w:tc>
          <w:tcPr>
            <w:tcW w:w="46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rPr>
              <w:t>Common Stock, $0.001 Par Value</w:t>
            </w:r>
          </w:p>
        </w:tc>
        <w:tc>
          <w:tcPr>
            <w:tcW w:w="40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8"/>
              </w:rPr>
              <w:t>BLKB</w:t>
            </w:r>
          </w:p>
        </w:tc>
        <w:tc>
          <w:tcPr>
            <w:tcW w:w="1160" w:type="dxa"/>
            <w:vAlign w:val="bottom"/>
          </w:tcPr>
          <w:p>
            <w:pPr>
              <w:spacing w:after="0"/>
              <w:rPr>
                <w:sz w:val="22"/>
                <w:szCs w:val="22"/>
                <w:color w:val="auto"/>
              </w:rPr>
            </w:pPr>
          </w:p>
        </w:tc>
        <w:tc>
          <w:tcPr>
            <w:tcW w:w="3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Nasdaq Global Select Market</w:t>
            </w:r>
          </w:p>
        </w:tc>
      </w:tr>
      <w:tr>
        <w:trPr>
          <w:trHeight w:val="73"/>
        </w:trPr>
        <w:tc>
          <w:tcPr>
            <w:tcW w:w="14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3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r>
    </w:tbl>
    <w:p>
      <w:pPr>
        <w:spacing w:after="0" w:line="200" w:lineRule="exact"/>
        <w:rPr>
          <w:sz w:val="24"/>
          <w:szCs w:val="24"/>
          <w:color w:val="auto"/>
        </w:rPr>
      </w:pPr>
    </w:p>
    <w:p>
      <w:pPr>
        <w:spacing w:after="0" w:line="288"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19" w:lineRule="exact"/>
        <w:tabs>
          <w:tab w:leader="none" w:pos="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ab/>
        <w:t xml:space="preserve">No </w:t>
      </w:r>
      <w:r>
        <w:rPr>
          <w:rFonts w:ascii="MS PGothic" w:cs="MS PGothic" w:eastAsia="MS PGothic" w:hAnsi="MS PGothic"/>
          <w:sz w:val="19"/>
          <w:szCs w:val="19"/>
          <w:color w:val="auto"/>
        </w:rPr>
        <w:t>☐</w:t>
      </w:r>
    </w:p>
    <w:p>
      <w:pPr>
        <w:spacing w:after="0" w:line="129" w:lineRule="exact"/>
        <w:rPr>
          <w:sz w:val="24"/>
          <w:szCs w:val="24"/>
          <w:color w:val="auto"/>
        </w:rPr>
      </w:pPr>
    </w:p>
    <w:p>
      <w:pPr>
        <w:jc w:val="both"/>
        <w:spacing w:after="0" w:line="2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p>
    <w:p>
      <w:pPr>
        <w:spacing w:after="0" w:line="219" w:lineRule="exact"/>
        <w:tabs>
          <w:tab w:leader="none" w:pos="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ab/>
        <w:t xml:space="preserve">No </w:t>
      </w:r>
      <w:r>
        <w:rPr>
          <w:rFonts w:ascii="MS PGothic" w:cs="MS PGothic" w:eastAsia="MS PGothic" w:hAnsi="MS PGothic"/>
          <w:sz w:val="19"/>
          <w:szCs w:val="19"/>
          <w:color w:val="auto"/>
        </w:rPr>
        <w:t>☐</w:t>
      </w:r>
    </w:p>
    <w:p>
      <w:pPr>
        <w:spacing w:after="0" w:line="129"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60" w:type="dxa"/>
            <w:vAlign w:val="bottom"/>
          </w:tcPr>
          <w:p>
            <w:pPr>
              <w:ind w:left="440"/>
              <w:spacing w:after="0" w:line="201" w:lineRule="exact"/>
              <w:rPr>
                <w:sz w:val="20"/>
                <w:szCs w:val="20"/>
                <w:color w:val="auto"/>
              </w:rPr>
            </w:pPr>
            <w:r>
              <w:rPr>
                <w:rFonts w:ascii="MS PGothic" w:cs="MS PGothic" w:eastAsia="MS PGothic" w:hAnsi="MS PGothic"/>
                <w:sz w:val="20"/>
                <w:szCs w:val="20"/>
                <w:color w:val="auto"/>
              </w:rPr>
              <w:t>☑</w:t>
            </w:r>
          </w:p>
        </w:tc>
        <w:tc>
          <w:tcPr>
            <w:tcW w:w="5120" w:type="dxa"/>
            <w:vAlign w:val="bottom"/>
          </w:tcPr>
          <w:p>
            <w:pPr>
              <w:ind w:left="274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4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283"/>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3360" w:type="dxa"/>
            <w:vAlign w:val="bottom"/>
          </w:tcPr>
          <w:p>
            <w:pPr>
              <w:ind w:left="440"/>
              <w:spacing w:after="0" w:line="201" w:lineRule="exact"/>
              <w:rPr>
                <w:sz w:val="20"/>
                <w:szCs w:val="20"/>
                <w:color w:val="auto"/>
              </w:rPr>
            </w:pPr>
            <w:r>
              <w:rPr>
                <w:rFonts w:ascii="MS PGothic" w:cs="MS PGothic" w:eastAsia="MS PGothic" w:hAnsi="MS PGothic"/>
                <w:sz w:val="20"/>
                <w:szCs w:val="20"/>
                <w:color w:val="auto"/>
              </w:rPr>
              <w:t>☐</w:t>
            </w:r>
          </w:p>
        </w:tc>
        <w:tc>
          <w:tcPr>
            <w:tcW w:w="5120" w:type="dxa"/>
            <w:vAlign w:val="bottom"/>
          </w:tcPr>
          <w:p>
            <w:pPr>
              <w:ind w:left="274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4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10"/>
        </w:trPr>
        <w:tc>
          <w:tcPr>
            <w:tcW w:w="20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120" w:type="dxa"/>
            <w:vAlign w:val="bottom"/>
          </w:tcPr>
          <w:p>
            <w:pPr>
              <w:ind w:left="2740"/>
              <w:spacing w:after="0"/>
              <w:rPr>
                <w:sz w:val="20"/>
                <w:szCs w:val="20"/>
                <w:color w:val="auto"/>
              </w:rPr>
            </w:pPr>
            <w:r>
              <w:rPr>
                <w:rFonts w:ascii="Arial" w:cs="Arial" w:eastAsia="Arial" w:hAnsi="Arial"/>
                <w:sz w:val="16"/>
                <w:szCs w:val="16"/>
                <w:color w:val="auto"/>
              </w:rPr>
              <w:t>Emerging growth company</w:t>
            </w:r>
          </w:p>
        </w:tc>
        <w:tc>
          <w:tcPr>
            <w:tcW w:w="620" w:type="dxa"/>
            <w:vAlign w:val="bottom"/>
          </w:tcPr>
          <w:p>
            <w:pPr>
              <w:ind w:left="440"/>
              <w:spacing w:after="0" w:line="201" w:lineRule="exact"/>
              <w:rPr>
                <w:sz w:val="20"/>
                <w:szCs w:val="20"/>
                <w:color w:val="auto"/>
              </w:rPr>
            </w:pPr>
            <w:r>
              <w:rPr>
                <w:rFonts w:ascii="MS PGothic" w:cs="MS PGothic" w:eastAsia="MS PGothic" w:hAnsi="MS PGothic"/>
                <w:sz w:val="20"/>
                <w:szCs w:val="20"/>
                <w:color w:val="auto"/>
                <w:w w:val="79"/>
              </w:rPr>
              <w:t>☐</w:t>
            </w:r>
          </w:p>
        </w:tc>
      </w:tr>
    </w:tbl>
    <w:p>
      <w:pPr>
        <w:spacing w:after="0" w:line="97" w:lineRule="exact"/>
        <w:rPr>
          <w:sz w:val="24"/>
          <w:szCs w:val="24"/>
          <w:color w:val="auto"/>
        </w:rPr>
      </w:pPr>
    </w:p>
    <w:p>
      <w:pPr>
        <w:ind w:right="20"/>
        <w:spacing w:after="0" w:line="22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registrant is a shell company (as defined in Rule 12b-2 of the Exchange Act).</w:t>
      </w:r>
    </w:p>
    <w:p>
      <w:pPr>
        <w:spacing w:after="0" w:line="8"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August 1, 2022 was 53,029,940.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40"/>
          <w:szCs w:val="40"/>
          <w:b w:val="1"/>
          <w:bCs w:val="1"/>
          <w:color w:val="50535A"/>
        </w:rPr>
        <w:t>TABLE OF CONTENTS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340" w:type="dxa"/>
            <w:vAlign w:val="bottom"/>
            <w:gridSpan w:val="2"/>
          </w:tcPr>
          <w:p>
            <w:pPr>
              <w:ind w:left="20"/>
              <w:spacing w:after="0"/>
              <w:rPr>
                <w:rFonts w:ascii="Arial" w:cs="Arial" w:eastAsia="Arial" w:hAnsi="Arial"/>
                <w:sz w:val="20"/>
                <w:szCs w:val="20"/>
                <w:b w:val="1"/>
                <w:bCs w:val="1"/>
                <w:color w:val="71BF43"/>
              </w:rPr>
            </w:pPr>
            <w:hyperlink w:anchor="page2">
              <w:r>
                <w:rPr>
                  <w:rFonts w:ascii="Arial" w:cs="Arial" w:eastAsia="Arial" w:hAnsi="Arial"/>
                  <w:sz w:val="20"/>
                  <w:szCs w:val="20"/>
                  <w:b w:val="1"/>
                  <w:bCs w:val="1"/>
                  <w:color w:val="71BF43"/>
                </w:rPr>
                <w:t>CAUTIONARY STATEMENT REGARDING FORWARD-LOOKING STATEMENTS</w:t>
              </w:r>
            </w:hyperlink>
          </w:p>
        </w:tc>
        <w:tc>
          <w:tcPr>
            <w:tcW w:w="1860" w:type="dxa"/>
            <w:vAlign w:val="bottom"/>
          </w:tcPr>
          <w:p>
            <w:pPr>
              <w:ind w:left="1400"/>
              <w:spacing w:after="0"/>
              <w:rPr>
                <w:rFonts w:ascii="Arial" w:cs="Arial" w:eastAsia="Arial" w:hAnsi="Arial"/>
                <w:sz w:val="20"/>
                <w:szCs w:val="20"/>
                <w:b w:val="1"/>
                <w:bCs w:val="1"/>
                <w:color w:val="71BF43"/>
              </w:rPr>
            </w:pPr>
            <w:hyperlink w:anchor="page2">
              <w:r>
                <w:rPr>
                  <w:rFonts w:ascii="Arial" w:cs="Arial" w:eastAsia="Arial" w:hAnsi="Arial"/>
                  <w:sz w:val="20"/>
                  <w:szCs w:val="20"/>
                  <w:b w:val="1"/>
                  <w:bCs w:val="1"/>
                  <w:color w:val="71BF43"/>
                </w:rPr>
                <w:t>2</w:t>
              </w:r>
            </w:hyperlink>
          </w:p>
        </w:tc>
      </w:tr>
      <w:tr>
        <w:trPr>
          <w:trHeight w:val="23"/>
        </w:trPr>
        <w:tc>
          <w:tcPr>
            <w:tcW w:w="940" w:type="dxa"/>
            <w:vAlign w:val="bottom"/>
            <w:tcBorders>
              <w:bottom w:val="single" w:sz="8" w:color="71BF43"/>
            </w:tcBorders>
          </w:tcPr>
          <w:p>
            <w:pPr>
              <w:spacing w:after="0"/>
              <w:rPr>
                <w:sz w:val="2"/>
                <w:szCs w:val="2"/>
                <w:color w:val="auto"/>
              </w:rPr>
            </w:pPr>
          </w:p>
        </w:tc>
        <w:tc>
          <w:tcPr>
            <w:tcW w:w="8400" w:type="dxa"/>
            <w:vAlign w:val="bottom"/>
            <w:tcBorders>
              <w:bottom w:val="single" w:sz="8" w:color="71BF43"/>
            </w:tcBorders>
          </w:tcPr>
          <w:p>
            <w:pPr>
              <w:spacing w:after="0"/>
              <w:rPr>
                <w:sz w:val="2"/>
                <w:szCs w:val="2"/>
                <w:color w:val="auto"/>
              </w:rPr>
            </w:pPr>
          </w:p>
        </w:tc>
        <w:tc>
          <w:tcPr>
            <w:tcW w:w="1860" w:type="dxa"/>
            <w:vAlign w:val="bottom"/>
            <w:tcBorders>
              <w:bottom w:val="single" w:sz="8" w:color="71BF43"/>
            </w:tcBorders>
          </w:tcPr>
          <w:p>
            <w:pPr>
              <w:spacing w:after="0"/>
              <w:rPr>
                <w:sz w:val="2"/>
                <w:szCs w:val="2"/>
                <w:color w:val="auto"/>
              </w:rPr>
            </w:pPr>
          </w:p>
        </w:tc>
      </w:tr>
      <w:tr>
        <w:trPr>
          <w:trHeight w:val="524"/>
        </w:trPr>
        <w:tc>
          <w:tcPr>
            <w:tcW w:w="940" w:type="dxa"/>
            <w:vAlign w:val="bottom"/>
          </w:tcPr>
          <w:p>
            <w:pPr>
              <w:ind w:left="20"/>
              <w:spacing w:after="0"/>
              <w:rPr>
                <w:rFonts w:ascii="Arial" w:cs="Arial" w:eastAsia="Arial" w:hAnsi="Arial"/>
                <w:sz w:val="20"/>
                <w:szCs w:val="20"/>
                <w:b w:val="1"/>
                <w:bCs w:val="1"/>
                <w:color w:val="71BF43"/>
              </w:rPr>
            </w:pPr>
            <w:hyperlink w:anchor="page3">
              <w:r>
                <w:rPr>
                  <w:rFonts w:ascii="Arial" w:cs="Arial" w:eastAsia="Arial" w:hAnsi="Arial"/>
                  <w:sz w:val="20"/>
                  <w:szCs w:val="20"/>
                  <w:b w:val="1"/>
                  <w:bCs w:val="1"/>
                  <w:color w:val="71BF43"/>
                </w:rPr>
                <w:t>PART I.</w:t>
              </w:r>
            </w:hyperlink>
          </w:p>
        </w:tc>
        <w:tc>
          <w:tcPr>
            <w:tcW w:w="8400" w:type="dxa"/>
            <w:vAlign w:val="bottom"/>
          </w:tcPr>
          <w:p>
            <w:pPr>
              <w:ind w:left="140"/>
              <w:spacing w:after="0"/>
              <w:rPr>
                <w:rFonts w:ascii="Arial" w:cs="Arial" w:eastAsia="Arial" w:hAnsi="Arial"/>
                <w:sz w:val="20"/>
                <w:szCs w:val="20"/>
                <w:b w:val="1"/>
                <w:bCs w:val="1"/>
                <w:color w:val="71BF43"/>
              </w:rPr>
            </w:pPr>
            <w:hyperlink w:anchor="page3">
              <w:r>
                <w:rPr>
                  <w:rFonts w:ascii="Arial" w:cs="Arial" w:eastAsia="Arial" w:hAnsi="Arial"/>
                  <w:sz w:val="20"/>
                  <w:szCs w:val="20"/>
                  <w:b w:val="1"/>
                  <w:bCs w:val="1"/>
                  <w:color w:val="71BF43"/>
                </w:rPr>
                <w:t>FINANCIAL INFORMATION</w:t>
              </w:r>
            </w:hyperlink>
          </w:p>
        </w:tc>
        <w:tc>
          <w:tcPr>
            <w:tcW w:w="1860" w:type="dxa"/>
            <w:vAlign w:val="bottom"/>
          </w:tcPr>
          <w:p>
            <w:pPr>
              <w:ind w:left="1400"/>
              <w:spacing w:after="0"/>
              <w:rPr>
                <w:rFonts w:ascii="Arial" w:cs="Arial" w:eastAsia="Arial" w:hAnsi="Arial"/>
                <w:sz w:val="20"/>
                <w:szCs w:val="20"/>
                <w:b w:val="1"/>
                <w:bCs w:val="1"/>
                <w:color w:val="71BF43"/>
              </w:rPr>
            </w:pPr>
            <w:hyperlink w:anchor="page3">
              <w:r>
                <w:rPr>
                  <w:rFonts w:ascii="Arial" w:cs="Arial" w:eastAsia="Arial" w:hAnsi="Arial"/>
                  <w:sz w:val="20"/>
                  <w:szCs w:val="20"/>
                  <w:b w:val="1"/>
                  <w:bCs w:val="1"/>
                  <w:color w:val="71BF43"/>
                </w:rPr>
                <w:t>3</w:t>
              </w:r>
            </w:hyperlink>
          </w:p>
        </w:tc>
      </w:tr>
      <w:tr>
        <w:trPr>
          <w:trHeight w:val="23"/>
        </w:trPr>
        <w:tc>
          <w:tcPr>
            <w:tcW w:w="940" w:type="dxa"/>
            <w:vAlign w:val="bottom"/>
            <w:tcBorders>
              <w:bottom w:val="single" w:sz="8" w:color="71BF43"/>
            </w:tcBorders>
          </w:tcPr>
          <w:p>
            <w:pPr>
              <w:spacing w:after="0"/>
              <w:rPr>
                <w:sz w:val="2"/>
                <w:szCs w:val="2"/>
                <w:color w:val="auto"/>
              </w:rPr>
            </w:pPr>
          </w:p>
        </w:tc>
        <w:tc>
          <w:tcPr>
            <w:tcW w:w="8400" w:type="dxa"/>
            <w:vAlign w:val="bottom"/>
            <w:tcBorders>
              <w:bottom w:val="single" w:sz="8" w:color="71BF43"/>
            </w:tcBorders>
          </w:tcPr>
          <w:p>
            <w:pPr>
              <w:spacing w:after="0"/>
              <w:rPr>
                <w:sz w:val="2"/>
                <w:szCs w:val="2"/>
                <w:color w:val="auto"/>
              </w:rPr>
            </w:pPr>
          </w:p>
        </w:tc>
        <w:tc>
          <w:tcPr>
            <w:tcW w:w="1860" w:type="dxa"/>
            <w:vAlign w:val="bottom"/>
            <w:tcBorders>
              <w:bottom w:val="single" w:sz="8" w:color="71BF43"/>
            </w:tcBorders>
          </w:tcPr>
          <w:p>
            <w:pPr>
              <w:spacing w:after="0"/>
              <w:rPr>
                <w:sz w:val="2"/>
                <w:szCs w:val="2"/>
                <w:color w:val="auto"/>
              </w:rPr>
            </w:pPr>
          </w:p>
        </w:tc>
      </w:tr>
      <w:tr>
        <w:trPr>
          <w:trHeight w:val="331"/>
        </w:trPr>
        <w:tc>
          <w:tcPr>
            <w:tcW w:w="940" w:type="dxa"/>
            <w:vAlign w:val="bottom"/>
          </w:tcPr>
          <w:p>
            <w:pPr>
              <w:ind w:left="140"/>
              <w:spacing w:after="0"/>
              <w:rPr>
                <w:rFonts w:ascii="Arial" w:cs="Arial" w:eastAsia="Arial" w:hAnsi="Arial"/>
                <w:sz w:val="18"/>
                <w:szCs w:val="18"/>
                <w:color w:val="auto"/>
              </w:rPr>
            </w:pPr>
            <w:hyperlink w:anchor="page4">
              <w:r>
                <w:rPr>
                  <w:rFonts w:ascii="Arial" w:cs="Arial" w:eastAsia="Arial" w:hAnsi="Arial"/>
                  <w:sz w:val="18"/>
                  <w:szCs w:val="18"/>
                  <w:color w:val="auto"/>
                </w:rPr>
                <w:t>Item 1.</w:t>
              </w:r>
            </w:hyperlink>
          </w:p>
        </w:tc>
        <w:tc>
          <w:tcPr>
            <w:tcW w:w="8400" w:type="dxa"/>
            <w:vAlign w:val="bottom"/>
          </w:tcPr>
          <w:p>
            <w:pPr>
              <w:ind w:left="140"/>
              <w:spacing w:after="0"/>
              <w:rPr>
                <w:rFonts w:ascii="Arial" w:cs="Arial" w:eastAsia="Arial" w:hAnsi="Arial"/>
                <w:sz w:val="18"/>
                <w:szCs w:val="18"/>
                <w:color w:val="auto"/>
              </w:rPr>
            </w:pPr>
            <w:hyperlink w:anchor="page4">
              <w:r>
                <w:rPr>
                  <w:rFonts w:ascii="Arial" w:cs="Arial" w:eastAsia="Arial" w:hAnsi="Arial"/>
                  <w:sz w:val="18"/>
                  <w:szCs w:val="18"/>
                  <w:color w:val="auto"/>
                </w:rPr>
                <w:t>Financial statements</w:t>
              </w:r>
            </w:hyperlink>
          </w:p>
        </w:tc>
        <w:tc>
          <w:tcPr>
            <w:tcW w:w="1860" w:type="dxa"/>
            <w:vAlign w:val="bottom"/>
          </w:tcPr>
          <w:p>
            <w:pPr>
              <w:spacing w:after="0"/>
              <w:rPr>
                <w:sz w:val="24"/>
                <w:szCs w:val="24"/>
                <w:color w:val="auto"/>
              </w:rPr>
            </w:pPr>
          </w:p>
        </w:tc>
      </w:tr>
      <w:tr>
        <w:trPr>
          <w:trHeight w:val="324"/>
        </w:trPr>
        <w:tc>
          <w:tcPr>
            <w:tcW w:w="940" w:type="dxa"/>
            <w:vAlign w:val="bottom"/>
          </w:tcPr>
          <w:p>
            <w:pPr>
              <w:spacing w:after="0"/>
              <w:rPr>
                <w:sz w:val="24"/>
                <w:szCs w:val="24"/>
                <w:color w:val="auto"/>
              </w:rPr>
            </w:pPr>
          </w:p>
        </w:tc>
        <w:tc>
          <w:tcPr>
            <w:tcW w:w="8400" w:type="dxa"/>
            <w:vAlign w:val="bottom"/>
          </w:tcPr>
          <w:p>
            <w:pPr>
              <w:ind w:left="340"/>
              <w:spacing w:after="0"/>
              <w:rPr>
                <w:rFonts w:ascii="Arial" w:cs="Arial" w:eastAsia="Arial" w:hAnsi="Arial"/>
                <w:sz w:val="18"/>
                <w:szCs w:val="18"/>
                <w:color w:val="auto"/>
              </w:rPr>
            </w:pPr>
            <w:hyperlink w:anchor="page4">
              <w:r>
                <w:rPr>
                  <w:rFonts w:ascii="Arial" w:cs="Arial" w:eastAsia="Arial" w:hAnsi="Arial"/>
                  <w:sz w:val="18"/>
                  <w:szCs w:val="18"/>
                  <w:color w:val="auto"/>
                </w:rPr>
                <w:t>Condensed Consolidated Balance Sheets (Unaudited)</w:t>
              </w:r>
            </w:hyperlink>
          </w:p>
        </w:tc>
        <w:tc>
          <w:tcPr>
            <w:tcW w:w="1860" w:type="dxa"/>
            <w:vAlign w:val="bottom"/>
          </w:tcPr>
          <w:p>
            <w:pPr>
              <w:ind w:left="1400"/>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324"/>
        </w:trPr>
        <w:tc>
          <w:tcPr>
            <w:tcW w:w="940" w:type="dxa"/>
            <w:vAlign w:val="bottom"/>
          </w:tcPr>
          <w:p>
            <w:pPr>
              <w:spacing w:after="0"/>
              <w:rPr>
                <w:sz w:val="24"/>
                <w:szCs w:val="24"/>
                <w:color w:val="auto"/>
              </w:rPr>
            </w:pPr>
          </w:p>
        </w:tc>
        <w:tc>
          <w:tcPr>
            <w:tcW w:w="8400" w:type="dxa"/>
            <w:vAlign w:val="bottom"/>
          </w:tcPr>
          <w:p>
            <w:pPr>
              <w:ind w:left="340"/>
              <w:spacing w:after="0"/>
              <w:rPr>
                <w:rFonts w:ascii="Arial" w:cs="Arial" w:eastAsia="Arial" w:hAnsi="Arial"/>
                <w:sz w:val="18"/>
                <w:szCs w:val="18"/>
                <w:color w:val="auto"/>
              </w:rPr>
            </w:pPr>
            <w:hyperlink w:anchor="page4">
              <w:r>
                <w:rPr>
                  <w:rFonts w:ascii="Arial" w:cs="Arial" w:eastAsia="Arial" w:hAnsi="Arial"/>
                  <w:sz w:val="18"/>
                  <w:szCs w:val="18"/>
                  <w:color w:val="auto"/>
                </w:rPr>
                <w:t xml:space="preserve">Condensed Consolidated Statements of Comprehensive </w:t>
              </w:r>
            </w:hyperlink>
            <w:r>
              <w:rPr>
                <w:rFonts w:ascii="Arial" w:cs="Arial" w:eastAsia="Arial" w:hAnsi="Arial"/>
                <w:sz w:val="18"/>
                <w:szCs w:val="18"/>
                <w:color w:val="auto"/>
              </w:rPr>
              <w:t xml:space="preserve">(Loss) Income </w:t>
            </w:r>
            <w:hyperlink w:anchor="page4">
              <w:r>
                <w:rPr>
                  <w:rFonts w:ascii="Arial" w:cs="Arial" w:eastAsia="Arial" w:hAnsi="Arial"/>
                  <w:sz w:val="18"/>
                  <w:szCs w:val="18"/>
                  <w:color w:val="auto"/>
                </w:rPr>
                <w:t>(Unaudited)</w:t>
              </w:r>
            </w:hyperlink>
          </w:p>
        </w:tc>
        <w:tc>
          <w:tcPr>
            <w:tcW w:w="1860" w:type="dxa"/>
            <w:vAlign w:val="bottom"/>
          </w:tcPr>
          <w:p>
            <w:pPr>
              <w:ind w:left="1400"/>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324"/>
        </w:trPr>
        <w:tc>
          <w:tcPr>
            <w:tcW w:w="940" w:type="dxa"/>
            <w:vAlign w:val="bottom"/>
          </w:tcPr>
          <w:p>
            <w:pPr>
              <w:spacing w:after="0"/>
              <w:rPr>
                <w:sz w:val="24"/>
                <w:szCs w:val="24"/>
                <w:color w:val="auto"/>
              </w:rPr>
            </w:pPr>
          </w:p>
        </w:tc>
        <w:tc>
          <w:tcPr>
            <w:tcW w:w="8400" w:type="dxa"/>
            <w:vAlign w:val="bottom"/>
          </w:tcPr>
          <w:p>
            <w:pPr>
              <w:ind w:left="340"/>
              <w:spacing w:after="0"/>
              <w:rPr>
                <w:rFonts w:ascii="Arial" w:cs="Arial" w:eastAsia="Arial" w:hAnsi="Arial"/>
                <w:sz w:val="18"/>
                <w:szCs w:val="18"/>
                <w:color w:val="auto"/>
              </w:rPr>
            </w:pPr>
            <w:hyperlink w:anchor="page5">
              <w:r>
                <w:rPr>
                  <w:rFonts w:ascii="Arial" w:cs="Arial" w:eastAsia="Arial" w:hAnsi="Arial"/>
                  <w:sz w:val="18"/>
                  <w:szCs w:val="18"/>
                  <w:color w:val="auto"/>
                </w:rPr>
                <w:t>Condensed Consolidated Statements of Cash Flows (Unaudited)</w:t>
              </w:r>
            </w:hyperlink>
          </w:p>
        </w:tc>
        <w:tc>
          <w:tcPr>
            <w:tcW w:w="1860" w:type="dxa"/>
            <w:vAlign w:val="bottom"/>
          </w:tcPr>
          <w:p>
            <w:pPr>
              <w:ind w:left="1400"/>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324"/>
        </w:trPr>
        <w:tc>
          <w:tcPr>
            <w:tcW w:w="940" w:type="dxa"/>
            <w:vAlign w:val="bottom"/>
          </w:tcPr>
          <w:p>
            <w:pPr>
              <w:spacing w:after="0"/>
              <w:rPr>
                <w:sz w:val="24"/>
                <w:szCs w:val="24"/>
                <w:color w:val="auto"/>
              </w:rPr>
            </w:pPr>
          </w:p>
        </w:tc>
        <w:tc>
          <w:tcPr>
            <w:tcW w:w="8400" w:type="dxa"/>
            <w:vAlign w:val="bottom"/>
          </w:tcPr>
          <w:p>
            <w:pPr>
              <w:ind w:left="340"/>
              <w:spacing w:after="0"/>
              <w:rPr>
                <w:rFonts w:ascii="Arial" w:cs="Arial" w:eastAsia="Arial" w:hAnsi="Arial"/>
                <w:sz w:val="18"/>
                <w:szCs w:val="18"/>
                <w:color w:val="auto"/>
              </w:rPr>
            </w:pPr>
            <w:hyperlink w:anchor="page6">
              <w:r>
                <w:rPr>
                  <w:rFonts w:ascii="Arial" w:cs="Arial" w:eastAsia="Arial" w:hAnsi="Arial"/>
                  <w:sz w:val="18"/>
                  <w:szCs w:val="18"/>
                  <w:color w:val="auto"/>
                </w:rPr>
                <w:t>Condensed Consolidated Statements of Stockholders’ Equity (Unaudited)</w:t>
              </w:r>
            </w:hyperlink>
          </w:p>
        </w:tc>
        <w:tc>
          <w:tcPr>
            <w:tcW w:w="1860" w:type="dxa"/>
            <w:vAlign w:val="bottom"/>
          </w:tcPr>
          <w:p>
            <w:pPr>
              <w:ind w:left="1400"/>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324"/>
        </w:trPr>
        <w:tc>
          <w:tcPr>
            <w:tcW w:w="940" w:type="dxa"/>
            <w:vAlign w:val="bottom"/>
          </w:tcPr>
          <w:p>
            <w:pPr>
              <w:spacing w:after="0"/>
              <w:rPr>
                <w:sz w:val="24"/>
                <w:szCs w:val="24"/>
                <w:color w:val="auto"/>
              </w:rPr>
            </w:pPr>
          </w:p>
        </w:tc>
        <w:tc>
          <w:tcPr>
            <w:tcW w:w="8400" w:type="dxa"/>
            <w:vAlign w:val="bottom"/>
          </w:tcPr>
          <w:p>
            <w:pPr>
              <w:ind w:left="340"/>
              <w:spacing w:after="0"/>
              <w:rPr>
                <w:rFonts w:ascii="Arial" w:cs="Arial" w:eastAsia="Arial" w:hAnsi="Arial"/>
                <w:sz w:val="18"/>
                <w:szCs w:val="18"/>
                <w:color w:val="auto"/>
              </w:rPr>
            </w:pPr>
            <w:hyperlink w:anchor="page8">
              <w:r>
                <w:rPr>
                  <w:rFonts w:ascii="Arial" w:cs="Arial" w:eastAsia="Arial" w:hAnsi="Arial"/>
                  <w:sz w:val="18"/>
                  <w:szCs w:val="18"/>
                  <w:color w:val="auto"/>
                </w:rPr>
                <w:t>Notes to Condensed Consolidated Financial Statements (Unaudited)</w:t>
              </w:r>
            </w:hyperlink>
          </w:p>
        </w:tc>
        <w:tc>
          <w:tcPr>
            <w:tcW w:w="1860" w:type="dxa"/>
            <w:vAlign w:val="bottom"/>
          </w:tcPr>
          <w:p>
            <w:pPr>
              <w:ind w:left="1400"/>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r>
      <w:tr>
        <w:trPr>
          <w:trHeight w:val="324"/>
        </w:trPr>
        <w:tc>
          <w:tcPr>
            <w:tcW w:w="940" w:type="dxa"/>
            <w:vAlign w:val="bottom"/>
          </w:tcPr>
          <w:p>
            <w:pPr>
              <w:ind w:left="140"/>
              <w:spacing w:after="0"/>
              <w:rPr>
                <w:rFonts w:ascii="Arial" w:cs="Arial" w:eastAsia="Arial" w:hAnsi="Arial"/>
                <w:sz w:val="18"/>
                <w:szCs w:val="18"/>
                <w:color w:val="auto"/>
              </w:rPr>
            </w:pPr>
            <w:hyperlink w:anchor="page24">
              <w:r>
                <w:rPr>
                  <w:rFonts w:ascii="Arial" w:cs="Arial" w:eastAsia="Arial" w:hAnsi="Arial"/>
                  <w:sz w:val="18"/>
                  <w:szCs w:val="18"/>
                  <w:color w:val="auto"/>
                </w:rPr>
                <w:t>Item 2.</w:t>
              </w:r>
            </w:hyperlink>
          </w:p>
        </w:tc>
        <w:tc>
          <w:tcPr>
            <w:tcW w:w="8400" w:type="dxa"/>
            <w:vAlign w:val="bottom"/>
          </w:tcPr>
          <w:p>
            <w:pPr>
              <w:ind w:left="140"/>
              <w:spacing w:after="0"/>
              <w:rPr>
                <w:rFonts w:ascii="Arial" w:cs="Arial" w:eastAsia="Arial" w:hAnsi="Arial"/>
                <w:sz w:val="18"/>
                <w:szCs w:val="18"/>
                <w:color w:val="auto"/>
              </w:rPr>
            </w:pPr>
            <w:hyperlink w:anchor="page24">
              <w:r>
                <w:rPr>
                  <w:rFonts w:ascii="Arial" w:cs="Arial" w:eastAsia="Arial" w:hAnsi="Arial"/>
                  <w:sz w:val="18"/>
                  <w:szCs w:val="18"/>
                  <w:color w:val="auto"/>
                </w:rPr>
                <w:t>Management's discussion and analysis of financial condition and results of operations</w:t>
              </w:r>
            </w:hyperlink>
          </w:p>
        </w:tc>
        <w:tc>
          <w:tcPr>
            <w:tcW w:w="1860" w:type="dxa"/>
            <w:vAlign w:val="bottom"/>
          </w:tcPr>
          <w:p>
            <w:pPr>
              <w:ind w:left="1400"/>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324"/>
        </w:trPr>
        <w:tc>
          <w:tcPr>
            <w:tcW w:w="940" w:type="dxa"/>
            <w:vAlign w:val="bottom"/>
          </w:tcPr>
          <w:p>
            <w:pPr>
              <w:ind w:left="140"/>
              <w:spacing w:after="0"/>
              <w:rPr>
                <w:rFonts w:ascii="Arial" w:cs="Arial" w:eastAsia="Arial" w:hAnsi="Arial"/>
                <w:sz w:val="18"/>
                <w:szCs w:val="18"/>
                <w:color w:val="auto"/>
              </w:rPr>
            </w:pPr>
            <w:hyperlink w:anchor="page47">
              <w:r>
                <w:rPr>
                  <w:rFonts w:ascii="Arial" w:cs="Arial" w:eastAsia="Arial" w:hAnsi="Arial"/>
                  <w:sz w:val="18"/>
                  <w:szCs w:val="18"/>
                  <w:color w:val="auto"/>
                </w:rPr>
                <w:t>Item 3.</w:t>
              </w:r>
            </w:hyperlink>
          </w:p>
        </w:tc>
        <w:tc>
          <w:tcPr>
            <w:tcW w:w="8400" w:type="dxa"/>
            <w:vAlign w:val="bottom"/>
          </w:tcPr>
          <w:p>
            <w:pPr>
              <w:ind w:left="140"/>
              <w:spacing w:after="0"/>
              <w:rPr>
                <w:rFonts w:ascii="Arial" w:cs="Arial" w:eastAsia="Arial" w:hAnsi="Arial"/>
                <w:sz w:val="18"/>
                <w:szCs w:val="18"/>
                <w:color w:val="auto"/>
              </w:rPr>
            </w:pPr>
            <w:hyperlink w:anchor="page47">
              <w:r>
                <w:rPr>
                  <w:rFonts w:ascii="Arial" w:cs="Arial" w:eastAsia="Arial" w:hAnsi="Arial"/>
                  <w:sz w:val="18"/>
                  <w:szCs w:val="18"/>
                  <w:color w:val="auto"/>
                </w:rPr>
                <w:t>Quantitative and qualitative disclosures about market risk</w:t>
              </w:r>
            </w:hyperlink>
          </w:p>
        </w:tc>
        <w:tc>
          <w:tcPr>
            <w:tcW w:w="1860" w:type="dxa"/>
            <w:vAlign w:val="bottom"/>
          </w:tcPr>
          <w:p>
            <w:pPr>
              <w:ind w:left="1400"/>
              <w:spacing w:after="0"/>
              <w:rPr>
                <w:rFonts w:ascii="Arial" w:cs="Arial" w:eastAsia="Arial" w:hAnsi="Arial"/>
                <w:sz w:val="18"/>
                <w:szCs w:val="18"/>
                <w:color w:val="auto"/>
              </w:rPr>
            </w:pPr>
            <w:hyperlink w:anchor="page47">
              <w:r>
                <w:rPr>
                  <w:rFonts w:ascii="Arial" w:cs="Arial" w:eastAsia="Arial" w:hAnsi="Arial"/>
                  <w:sz w:val="18"/>
                  <w:szCs w:val="18"/>
                  <w:color w:val="auto"/>
                </w:rPr>
                <w:t>47</w:t>
              </w:r>
            </w:hyperlink>
          </w:p>
        </w:tc>
      </w:tr>
      <w:tr>
        <w:trPr>
          <w:trHeight w:val="324"/>
        </w:trPr>
        <w:tc>
          <w:tcPr>
            <w:tcW w:w="940" w:type="dxa"/>
            <w:vAlign w:val="bottom"/>
          </w:tcPr>
          <w:p>
            <w:pPr>
              <w:ind w:left="140"/>
              <w:spacing w:after="0"/>
              <w:rPr>
                <w:rFonts w:ascii="Arial" w:cs="Arial" w:eastAsia="Arial" w:hAnsi="Arial"/>
                <w:sz w:val="18"/>
                <w:szCs w:val="18"/>
                <w:color w:val="auto"/>
              </w:rPr>
            </w:pPr>
            <w:hyperlink w:anchor="page48">
              <w:r>
                <w:rPr>
                  <w:rFonts w:ascii="Arial" w:cs="Arial" w:eastAsia="Arial" w:hAnsi="Arial"/>
                  <w:sz w:val="18"/>
                  <w:szCs w:val="18"/>
                  <w:color w:val="auto"/>
                </w:rPr>
                <w:t>Item 4.</w:t>
              </w:r>
            </w:hyperlink>
          </w:p>
        </w:tc>
        <w:tc>
          <w:tcPr>
            <w:tcW w:w="8400" w:type="dxa"/>
            <w:vAlign w:val="bottom"/>
          </w:tcPr>
          <w:p>
            <w:pPr>
              <w:ind w:left="140"/>
              <w:spacing w:after="0"/>
              <w:rPr>
                <w:rFonts w:ascii="Arial" w:cs="Arial" w:eastAsia="Arial" w:hAnsi="Arial"/>
                <w:sz w:val="18"/>
                <w:szCs w:val="18"/>
                <w:color w:val="auto"/>
              </w:rPr>
            </w:pPr>
            <w:hyperlink w:anchor="page48">
              <w:r>
                <w:rPr>
                  <w:rFonts w:ascii="Arial" w:cs="Arial" w:eastAsia="Arial" w:hAnsi="Arial"/>
                  <w:sz w:val="18"/>
                  <w:szCs w:val="18"/>
                  <w:color w:val="auto"/>
                </w:rPr>
                <w:t>Controls and procedures</w:t>
              </w:r>
            </w:hyperlink>
          </w:p>
        </w:tc>
        <w:tc>
          <w:tcPr>
            <w:tcW w:w="1860" w:type="dxa"/>
            <w:vAlign w:val="bottom"/>
          </w:tcPr>
          <w:p>
            <w:pPr>
              <w:ind w:left="1400"/>
              <w:spacing w:after="0"/>
              <w:rPr>
                <w:rFonts w:ascii="Arial" w:cs="Arial" w:eastAsia="Arial" w:hAnsi="Arial"/>
                <w:sz w:val="18"/>
                <w:szCs w:val="18"/>
                <w:color w:val="auto"/>
              </w:rPr>
            </w:pPr>
            <w:hyperlink w:anchor="page48">
              <w:r>
                <w:rPr>
                  <w:rFonts w:ascii="Arial" w:cs="Arial" w:eastAsia="Arial" w:hAnsi="Arial"/>
                  <w:sz w:val="18"/>
                  <w:szCs w:val="18"/>
                  <w:color w:val="auto"/>
                </w:rPr>
                <w:t>47</w:t>
              </w:r>
            </w:hyperlink>
          </w:p>
        </w:tc>
      </w:tr>
      <w:tr>
        <w:trPr>
          <w:trHeight w:val="558"/>
        </w:trPr>
        <w:tc>
          <w:tcPr>
            <w:tcW w:w="940" w:type="dxa"/>
            <w:vAlign w:val="bottom"/>
          </w:tcPr>
          <w:p>
            <w:pPr>
              <w:ind w:left="20"/>
              <w:spacing w:after="0"/>
              <w:rPr>
                <w:rFonts w:ascii="Arial" w:cs="Arial" w:eastAsia="Arial" w:hAnsi="Arial"/>
                <w:sz w:val="20"/>
                <w:szCs w:val="20"/>
                <w:b w:val="1"/>
                <w:bCs w:val="1"/>
                <w:color w:val="71BF43"/>
              </w:rPr>
            </w:pPr>
            <w:hyperlink w:anchor="page48">
              <w:r>
                <w:rPr>
                  <w:rFonts w:ascii="Arial" w:cs="Arial" w:eastAsia="Arial" w:hAnsi="Arial"/>
                  <w:sz w:val="20"/>
                  <w:szCs w:val="20"/>
                  <w:b w:val="1"/>
                  <w:bCs w:val="1"/>
                  <w:color w:val="71BF43"/>
                </w:rPr>
                <w:t>PART II.</w:t>
              </w:r>
            </w:hyperlink>
          </w:p>
        </w:tc>
        <w:tc>
          <w:tcPr>
            <w:tcW w:w="8400" w:type="dxa"/>
            <w:vAlign w:val="bottom"/>
          </w:tcPr>
          <w:p>
            <w:pPr>
              <w:ind w:left="140"/>
              <w:spacing w:after="0"/>
              <w:rPr>
                <w:rFonts w:ascii="Arial" w:cs="Arial" w:eastAsia="Arial" w:hAnsi="Arial"/>
                <w:sz w:val="20"/>
                <w:szCs w:val="20"/>
                <w:b w:val="1"/>
                <w:bCs w:val="1"/>
                <w:color w:val="71BF43"/>
              </w:rPr>
            </w:pPr>
            <w:hyperlink w:anchor="page48">
              <w:r>
                <w:rPr>
                  <w:rFonts w:ascii="Arial" w:cs="Arial" w:eastAsia="Arial" w:hAnsi="Arial"/>
                  <w:sz w:val="20"/>
                  <w:szCs w:val="20"/>
                  <w:b w:val="1"/>
                  <w:bCs w:val="1"/>
                  <w:color w:val="71BF43"/>
                </w:rPr>
                <w:t>OTHER INFORMATION</w:t>
              </w:r>
            </w:hyperlink>
          </w:p>
        </w:tc>
        <w:tc>
          <w:tcPr>
            <w:tcW w:w="1860" w:type="dxa"/>
            <w:vAlign w:val="bottom"/>
          </w:tcPr>
          <w:p>
            <w:pPr>
              <w:ind w:left="1400"/>
              <w:spacing w:after="0"/>
              <w:rPr>
                <w:rFonts w:ascii="Arial" w:cs="Arial" w:eastAsia="Arial" w:hAnsi="Arial"/>
                <w:sz w:val="20"/>
                <w:szCs w:val="20"/>
                <w:b w:val="1"/>
                <w:bCs w:val="1"/>
                <w:color w:val="71BF43"/>
              </w:rPr>
            </w:pPr>
            <w:hyperlink w:anchor="page48">
              <w:r>
                <w:rPr>
                  <w:rFonts w:ascii="Arial" w:cs="Arial" w:eastAsia="Arial" w:hAnsi="Arial"/>
                  <w:sz w:val="20"/>
                  <w:szCs w:val="20"/>
                  <w:b w:val="1"/>
                  <w:bCs w:val="1"/>
                  <w:color w:val="71BF43"/>
                </w:rPr>
                <w:t>48</w:t>
              </w:r>
            </w:hyperlink>
          </w:p>
        </w:tc>
      </w:tr>
      <w:tr>
        <w:trPr>
          <w:trHeight w:val="23"/>
        </w:trPr>
        <w:tc>
          <w:tcPr>
            <w:tcW w:w="940" w:type="dxa"/>
            <w:vAlign w:val="bottom"/>
            <w:tcBorders>
              <w:bottom w:val="single" w:sz="8" w:color="71BF43"/>
            </w:tcBorders>
          </w:tcPr>
          <w:p>
            <w:pPr>
              <w:spacing w:after="0"/>
              <w:rPr>
                <w:sz w:val="2"/>
                <w:szCs w:val="2"/>
                <w:color w:val="auto"/>
              </w:rPr>
            </w:pPr>
          </w:p>
        </w:tc>
        <w:tc>
          <w:tcPr>
            <w:tcW w:w="8400" w:type="dxa"/>
            <w:vAlign w:val="bottom"/>
            <w:tcBorders>
              <w:bottom w:val="single" w:sz="8" w:color="71BF43"/>
            </w:tcBorders>
          </w:tcPr>
          <w:p>
            <w:pPr>
              <w:spacing w:after="0"/>
              <w:rPr>
                <w:sz w:val="2"/>
                <w:szCs w:val="2"/>
                <w:color w:val="auto"/>
              </w:rPr>
            </w:pPr>
          </w:p>
        </w:tc>
        <w:tc>
          <w:tcPr>
            <w:tcW w:w="1860" w:type="dxa"/>
            <w:vAlign w:val="bottom"/>
            <w:tcBorders>
              <w:bottom w:val="single" w:sz="8" w:color="71BF43"/>
            </w:tcBorders>
          </w:tcPr>
          <w:p>
            <w:pPr>
              <w:spacing w:after="0"/>
              <w:rPr>
                <w:sz w:val="2"/>
                <w:szCs w:val="2"/>
                <w:color w:val="auto"/>
              </w:rPr>
            </w:pPr>
          </w:p>
        </w:tc>
      </w:tr>
      <w:tr>
        <w:trPr>
          <w:trHeight w:val="331"/>
        </w:trPr>
        <w:tc>
          <w:tcPr>
            <w:tcW w:w="940" w:type="dxa"/>
            <w:vAlign w:val="bottom"/>
          </w:tcPr>
          <w:p>
            <w:pPr>
              <w:ind w:left="140"/>
              <w:spacing w:after="0"/>
              <w:rPr>
                <w:rFonts w:ascii="Arial" w:cs="Arial" w:eastAsia="Arial" w:hAnsi="Arial"/>
                <w:sz w:val="18"/>
                <w:szCs w:val="18"/>
                <w:color w:val="auto"/>
              </w:rPr>
            </w:pPr>
            <w:hyperlink w:anchor="page49">
              <w:r>
                <w:rPr>
                  <w:rFonts w:ascii="Arial" w:cs="Arial" w:eastAsia="Arial" w:hAnsi="Arial"/>
                  <w:sz w:val="18"/>
                  <w:szCs w:val="18"/>
                  <w:color w:val="auto"/>
                </w:rPr>
                <w:t>Item 1.</w:t>
              </w:r>
            </w:hyperlink>
          </w:p>
        </w:tc>
        <w:tc>
          <w:tcPr>
            <w:tcW w:w="8400" w:type="dxa"/>
            <w:vAlign w:val="bottom"/>
          </w:tcPr>
          <w:p>
            <w:pPr>
              <w:ind w:left="140"/>
              <w:spacing w:after="0"/>
              <w:rPr>
                <w:rFonts w:ascii="Arial" w:cs="Arial" w:eastAsia="Arial" w:hAnsi="Arial"/>
                <w:sz w:val="18"/>
                <w:szCs w:val="18"/>
                <w:color w:val="auto"/>
              </w:rPr>
            </w:pPr>
            <w:hyperlink w:anchor="page49">
              <w:r>
                <w:rPr>
                  <w:rFonts w:ascii="Arial" w:cs="Arial" w:eastAsia="Arial" w:hAnsi="Arial"/>
                  <w:sz w:val="18"/>
                  <w:szCs w:val="18"/>
                  <w:color w:val="auto"/>
                </w:rPr>
                <w:t>Legal proceedings</w:t>
              </w:r>
            </w:hyperlink>
          </w:p>
        </w:tc>
        <w:tc>
          <w:tcPr>
            <w:tcW w:w="1860" w:type="dxa"/>
            <w:vAlign w:val="bottom"/>
          </w:tcPr>
          <w:p>
            <w:pPr>
              <w:ind w:left="1400"/>
              <w:spacing w:after="0"/>
              <w:rPr>
                <w:rFonts w:ascii="Arial" w:cs="Arial" w:eastAsia="Arial" w:hAnsi="Arial"/>
                <w:sz w:val="18"/>
                <w:szCs w:val="18"/>
                <w:color w:val="auto"/>
              </w:rPr>
            </w:pPr>
            <w:hyperlink w:anchor="page49">
              <w:r>
                <w:rPr>
                  <w:rFonts w:ascii="Arial" w:cs="Arial" w:eastAsia="Arial" w:hAnsi="Arial"/>
                  <w:sz w:val="18"/>
                  <w:szCs w:val="18"/>
                  <w:color w:val="auto"/>
                </w:rPr>
                <w:t>48</w:t>
              </w:r>
            </w:hyperlink>
          </w:p>
        </w:tc>
      </w:tr>
      <w:tr>
        <w:trPr>
          <w:trHeight w:val="324"/>
        </w:trPr>
        <w:tc>
          <w:tcPr>
            <w:tcW w:w="940" w:type="dxa"/>
            <w:vAlign w:val="bottom"/>
          </w:tcPr>
          <w:p>
            <w:pPr>
              <w:ind w:left="140"/>
              <w:spacing w:after="0"/>
              <w:rPr>
                <w:rFonts w:ascii="Arial" w:cs="Arial" w:eastAsia="Arial" w:hAnsi="Arial"/>
                <w:sz w:val="18"/>
                <w:szCs w:val="18"/>
                <w:color w:val="auto"/>
              </w:rPr>
            </w:pPr>
            <w:hyperlink w:anchor="page49">
              <w:r>
                <w:rPr>
                  <w:rFonts w:ascii="Arial" w:cs="Arial" w:eastAsia="Arial" w:hAnsi="Arial"/>
                  <w:sz w:val="18"/>
                  <w:szCs w:val="18"/>
                  <w:color w:val="auto"/>
                </w:rPr>
                <w:t>Item 1A.</w:t>
              </w:r>
            </w:hyperlink>
          </w:p>
        </w:tc>
        <w:tc>
          <w:tcPr>
            <w:tcW w:w="8400" w:type="dxa"/>
            <w:vAlign w:val="bottom"/>
          </w:tcPr>
          <w:p>
            <w:pPr>
              <w:ind w:left="140"/>
              <w:spacing w:after="0"/>
              <w:rPr>
                <w:rFonts w:ascii="Arial" w:cs="Arial" w:eastAsia="Arial" w:hAnsi="Arial"/>
                <w:sz w:val="18"/>
                <w:szCs w:val="18"/>
                <w:color w:val="auto"/>
              </w:rPr>
            </w:pPr>
            <w:hyperlink w:anchor="page49">
              <w:r>
                <w:rPr>
                  <w:rFonts w:ascii="Arial" w:cs="Arial" w:eastAsia="Arial" w:hAnsi="Arial"/>
                  <w:sz w:val="18"/>
                  <w:szCs w:val="18"/>
                  <w:color w:val="auto"/>
                </w:rPr>
                <w:t>Risk factors</w:t>
              </w:r>
            </w:hyperlink>
          </w:p>
        </w:tc>
        <w:tc>
          <w:tcPr>
            <w:tcW w:w="1860" w:type="dxa"/>
            <w:vAlign w:val="bottom"/>
          </w:tcPr>
          <w:p>
            <w:pPr>
              <w:ind w:left="1400"/>
              <w:spacing w:after="0"/>
              <w:rPr>
                <w:rFonts w:ascii="Arial" w:cs="Arial" w:eastAsia="Arial" w:hAnsi="Arial"/>
                <w:sz w:val="18"/>
                <w:szCs w:val="18"/>
                <w:color w:val="auto"/>
              </w:rPr>
            </w:pPr>
            <w:hyperlink w:anchor="page49">
              <w:r>
                <w:rPr>
                  <w:rFonts w:ascii="Arial" w:cs="Arial" w:eastAsia="Arial" w:hAnsi="Arial"/>
                  <w:sz w:val="18"/>
                  <w:szCs w:val="18"/>
                  <w:color w:val="auto"/>
                </w:rPr>
                <w:t>48</w:t>
              </w:r>
            </w:hyperlink>
          </w:p>
        </w:tc>
      </w:tr>
      <w:tr>
        <w:trPr>
          <w:trHeight w:val="324"/>
        </w:trPr>
        <w:tc>
          <w:tcPr>
            <w:tcW w:w="940" w:type="dxa"/>
            <w:vAlign w:val="bottom"/>
          </w:tcPr>
          <w:p>
            <w:pPr>
              <w:ind w:left="140"/>
              <w:spacing w:after="0"/>
              <w:rPr>
                <w:rFonts w:ascii="Arial" w:cs="Arial" w:eastAsia="Arial" w:hAnsi="Arial"/>
                <w:sz w:val="18"/>
                <w:szCs w:val="18"/>
                <w:color w:val="auto"/>
              </w:rPr>
            </w:pPr>
            <w:hyperlink w:anchor="page50">
              <w:r>
                <w:rPr>
                  <w:rFonts w:ascii="Arial" w:cs="Arial" w:eastAsia="Arial" w:hAnsi="Arial"/>
                  <w:sz w:val="18"/>
                  <w:szCs w:val="18"/>
                  <w:color w:val="auto"/>
                </w:rPr>
                <w:t>Item 2.</w:t>
              </w:r>
            </w:hyperlink>
          </w:p>
        </w:tc>
        <w:tc>
          <w:tcPr>
            <w:tcW w:w="8400" w:type="dxa"/>
            <w:vAlign w:val="bottom"/>
          </w:tcPr>
          <w:p>
            <w:pPr>
              <w:ind w:left="140"/>
              <w:spacing w:after="0"/>
              <w:rPr>
                <w:rFonts w:ascii="Arial" w:cs="Arial" w:eastAsia="Arial" w:hAnsi="Arial"/>
                <w:sz w:val="18"/>
                <w:szCs w:val="18"/>
                <w:color w:val="auto"/>
              </w:rPr>
            </w:pPr>
            <w:hyperlink w:anchor="page50">
              <w:r>
                <w:rPr>
                  <w:rFonts w:ascii="Arial" w:cs="Arial" w:eastAsia="Arial" w:hAnsi="Arial"/>
                  <w:sz w:val="18"/>
                  <w:szCs w:val="18"/>
                  <w:color w:val="auto"/>
                </w:rPr>
                <w:t>Unregistered sales of equity securities and use of proceeds</w:t>
              </w:r>
            </w:hyperlink>
          </w:p>
        </w:tc>
        <w:tc>
          <w:tcPr>
            <w:tcW w:w="1860" w:type="dxa"/>
            <w:vAlign w:val="bottom"/>
          </w:tcPr>
          <w:p>
            <w:pPr>
              <w:ind w:left="1400"/>
              <w:spacing w:after="0"/>
              <w:rPr>
                <w:rFonts w:ascii="Arial" w:cs="Arial" w:eastAsia="Arial" w:hAnsi="Arial"/>
                <w:sz w:val="18"/>
                <w:szCs w:val="18"/>
                <w:color w:val="auto"/>
              </w:rPr>
            </w:pPr>
            <w:hyperlink w:anchor="page50">
              <w:r>
                <w:rPr>
                  <w:rFonts w:ascii="Arial" w:cs="Arial" w:eastAsia="Arial" w:hAnsi="Arial"/>
                  <w:sz w:val="18"/>
                  <w:szCs w:val="18"/>
                  <w:color w:val="auto"/>
                </w:rPr>
                <w:t>50</w:t>
              </w:r>
            </w:hyperlink>
          </w:p>
        </w:tc>
      </w:tr>
      <w:tr>
        <w:trPr>
          <w:trHeight w:val="324"/>
        </w:trPr>
        <w:tc>
          <w:tcPr>
            <w:tcW w:w="940" w:type="dxa"/>
            <w:vAlign w:val="bottom"/>
          </w:tcPr>
          <w:p>
            <w:pPr>
              <w:ind w:left="140"/>
              <w:spacing w:after="0"/>
              <w:rPr>
                <w:rFonts w:ascii="Arial" w:cs="Arial" w:eastAsia="Arial" w:hAnsi="Arial"/>
                <w:sz w:val="18"/>
                <w:szCs w:val="18"/>
                <w:color w:val="auto"/>
              </w:rPr>
            </w:pPr>
            <w:hyperlink w:anchor="page51">
              <w:r>
                <w:rPr>
                  <w:rFonts w:ascii="Arial" w:cs="Arial" w:eastAsia="Arial" w:hAnsi="Arial"/>
                  <w:sz w:val="18"/>
                  <w:szCs w:val="18"/>
                  <w:color w:val="auto"/>
                </w:rPr>
                <w:t>Item 6.</w:t>
              </w:r>
            </w:hyperlink>
          </w:p>
        </w:tc>
        <w:tc>
          <w:tcPr>
            <w:tcW w:w="8400" w:type="dxa"/>
            <w:vAlign w:val="bottom"/>
          </w:tcPr>
          <w:p>
            <w:pPr>
              <w:ind w:left="140"/>
              <w:spacing w:after="0"/>
              <w:rPr>
                <w:rFonts w:ascii="Arial" w:cs="Arial" w:eastAsia="Arial" w:hAnsi="Arial"/>
                <w:sz w:val="18"/>
                <w:szCs w:val="18"/>
                <w:color w:val="auto"/>
              </w:rPr>
            </w:pPr>
            <w:hyperlink w:anchor="page51">
              <w:r>
                <w:rPr>
                  <w:rFonts w:ascii="Arial" w:cs="Arial" w:eastAsia="Arial" w:hAnsi="Arial"/>
                  <w:sz w:val="18"/>
                  <w:szCs w:val="18"/>
                  <w:color w:val="auto"/>
                </w:rPr>
                <w:t>Exhibits</w:t>
              </w:r>
            </w:hyperlink>
          </w:p>
        </w:tc>
        <w:tc>
          <w:tcPr>
            <w:tcW w:w="1860" w:type="dxa"/>
            <w:vAlign w:val="bottom"/>
          </w:tcPr>
          <w:p>
            <w:pPr>
              <w:ind w:left="1400"/>
              <w:spacing w:after="0"/>
              <w:rPr>
                <w:rFonts w:ascii="Arial" w:cs="Arial" w:eastAsia="Arial" w:hAnsi="Arial"/>
                <w:sz w:val="18"/>
                <w:szCs w:val="18"/>
                <w:color w:val="auto"/>
              </w:rPr>
            </w:pPr>
            <w:hyperlink w:anchor="page51">
              <w:r>
                <w:rPr>
                  <w:rFonts w:ascii="Arial" w:cs="Arial" w:eastAsia="Arial" w:hAnsi="Arial"/>
                  <w:sz w:val="18"/>
                  <w:szCs w:val="18"/>
                  <w:color w:val="auto"/>
                </w:rPr>
                <w:t>51</w:t>
              </w:r>
            </w:hyperlink>
          </w:p>
        </w:tc>
      </w:tr>
      <w:tr>
        <w:trPr>
          <w:trHeight w:val="557"/>
        </w:trPr>
        <w:tc>
          <w:tcPr>
            <w:tcW w:w="9340" w:type="dxa"/>
            <w:vAlign w:val="bottom"/>
            <w:gridSpan w:val="2"/>
          </w:tcPr>
          <w:p>
            <w:pPr>
              <w:ind w:left="20"/>
              <w:spacing w:after="0"/>
              <w:rPr>
                <w:rFonts w:ascii="Arial" w:cs="Arial" w:eastAsia="Arial" w:hAnsi="Arial"/>
                <w:sz w:val="20"/>
                <w:szCs w:val="20"/>
                <w:b w:val="1"/>
                <w:bCs w:val="1"/>
                <w:color w:val="71BF43"/>
              </w:rPr>
            </w:pPr>
            <w:hyperlink w:anchor="page52">
              <w:r>
                <w:rPr>
                  <w:rFonts w:ascii="Arial" w:cs="Arial" w:eastAsia="Arial" w:hAnsi="Arial"/>
                  <w:sz w:val="20"/>
                  <w:szCs w:val="20"/>
                  <w:b w:val="1"/>
                  <w:bCs w:val="1"/>
                  <w:color w:val="71BF43"/>
                </w:rPr>
                <w:t>SIGNATURES</w:t>
              </w:r>
            </w:hyperlink>
          </w:p>
        </w:tc>
        <w:tc>
          <w:tcPr>
            <w:tcW w:w="1860" w:type="dxa"/>
            <w:vAlign w:val="bottom"/>
          </w:tcPr>
          <w:p>
            <w:pPr>
              <w:ind w:left="1400"/>
              <w:spacing w:after="0"/>
              <w:rPr>
                <w:rFonts w:ascii="Arial" w:cs="Arial" w:eastAsia="Arial" w:hAnsi="Arial"/>
                <w:sz w:val="20"/>
                <w:szCs w:val="20"/>
                <w:b w:val="1"/>
                <w:bCs w:val="1"/>
                <w:color w:val="71BF43"/>
              </w:rPr>
            </w:pPr>
            <w:hyperlink w:anchor="page52">
              <w:r>
                <w:rPr>
                  <w:rFonts w:ascii="Arial" w:cs="Arial" w:eastAsia="Arial" w:hAnsi="Arial"/>
                  <w:sz w:val="20"/>
                  <w:szCs w:val="20"/>
                  <w:b w:val="1"/>
                  <w:bCs w:val="1"/>
                  <w:color w:val="71BF43"/>
                </w:rPr>
                <w:t>52</w:t>
              </w:r>
            </w:hyperlink>
          </w:p>
        </w:tc>
      </w:tr>
      <w:tr>
        <w:trPr>
          <w:trHeight w:val="23"/>
        </w:trPr>
        <w:tc>
          <w:tcPr>
            <w:tcW w:w="940" w:type="dxa"/>
            <w:vAlign w:val="bottom"/>
            <w:tcBorders>
              <w:bottom w:val="single" w:sz="8" w:color="71BF43"/>
            </w:tcBorders>
          </w:tcPr>
          <w:p>
            <w:pPr>
              <w:spacing w:after="0"/>
              <w:rPr>
                <w:sz w:val="2"/>
                <w:szCs w:val="2"/>
                <w:color w:val="auto"/>
              </w:rPr>
            </w:pPr>
          </w:p>
        </w:tc>
        <w:tc>
          <w:tcPr>
            <w:tcW w:w="8400" w:type="dxa"/>
            <w:vAlign w:val="bottom"/>
            <w:tcBorders>
              <w:bottom w:val="single" w:sz="8" w:color="71BF43"/>
            </w:tcBorders>
          </w:tcPr>
          <w:p>
            <w:pPr>
              <w:spacing w:after="0"/>
              <w:rPr>
                <w:sz w:val="2"/>
                <w:szCs w:val="2"/>
                <w:color w:val="auto"/>
              </w:rPr>
            </w:pPr>
          </w:p>
        </w:tc>
        <w:tc>
          <w:tcPr>
            <w:tcW w:w="1860" w:type="dxa"/>
            <w:vAlign w:val="bottom"/>
            <w:tcBorders>
              <w:bottom w:val="single" w:sz="8" w:color="71BF43"/>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796925</wp:posOffset>
            </wp:positionV>
            <wp:extent cx="67691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691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60" w:type="dxa"/>
            <w:vAlign w:val="bottom"/>
          </w:tcPr>
          <w:p>
            <w:pPr>
              <w:ind w:left="7480"/>
              <w:spacing w:after="0"/>
              <w:rPr>
                <w:sz w:val="20"/>
                <w:szCs w:val="20"/>
                <w:color w:val="auto"/>
              </w:rPr>
            </w:pPr>
            <w:r>
              <w:rPr>
                <w:rFonts w:ascii="Arial" w:cs="Arial" w:eastAsia="Arial" w:hAnsi="Arial"/>
                <w:sz w:val="14"/>
                <w:szCs w:val="14"/>
                <w:color w:val="auto"/>
              </w:rPr>
              <w:t>Second Quarter 2022 Form 10-Q</w:t>
            </w: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330"/>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80" w:right="640"/>
        <w:spacing w:after="0" w:line="281" w:lineRule="auto"/>
        <w:rPr>
          <w:sz w:val="20"/>
          <w:szCs w:val="20"/>
          <w:color w:val="auto"/>
        </w:rPr>
      </w:pPr>
      <w:r>
        <w:rPr>
          <w:rFonts w:ascii="Arial" w:cs="Arial" w:eastAsia="Arial" w:hAnsi="Arial"/>
          <w:sz w:val="40"/>
          <w:szCs w:val="40"/>
          <w:b w:val="1"/>
          <w:bCs w:val="1"/>
          <w:color w:val="50535A"/>
        </w:rPr>
        <w:t>CAUTIONARY STATEMENT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-492760</wp:posOffset>
            </wp:positionV>
            <wp:extent cx="18034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340" cy="222885"/>
                    </a:xfrm>
                    <a:prstGeom prst="rect">
                      <a:avLst/>
                    </a:prstGeom>
                    <a:noFill/>
                  </pic:spPr>
                </pic:pic>
              </a:graphicData>
            </a:graphic>
          </wp:anchor>
        </w:drawing>
      </w:r>
    </w:p>
    <w:p>
      <w:pPr>
        <w:spacing w:after="0" w:line="16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Quarterly Report on Form 10-Q, including the documents incorporated herein by reference, contains forward-looking statements that anticipate results based on our estimates, assumptions and plans that are subject to uncertainty. These "forward-looking statements" are made subject to the safe-harbor provisions of the Private Securities Litigation Reform Act of 1995, Section 27A of the Securities Act of 1933, as amended, and Section 21E of the Securities Exchange Act of 1934, as amended. Forward-looking statements consist of, among other things, specific and overall impacts of the COVID-19 global pandemic on our financial condition and results of operations and on the markets and communities in which we and our customers and partners operate, trend analyses, statements regarding future events, future financial performance, our anticipated growth, the effect of general economic and market conditions, our business strategy and our plan to build and grow our business, our operating results, our ability to successfully integrate acquired businesses and technologies, the effect of foreign currency exchange rate and interest rate fluctuations on our financial results, the impact of expensing stock-based compensation, the sufficiency of our capital resources, our ability to meet our ongoing debt and obligations as they become due, cybersecurity and data protection risks and related liabilities, and current or potential legal proceedings involving us, all of which are based on current expectations, estimates, and forecasts, and the beliefs and assumptions of our management. Words such as “believes,” “seeks,” “expects,” “may,” “might,” “should,” “intends,” “could,” “would,” “likely,” “will,” “targets,” “plans,” “anticipates,” “aims,” “projects,” “estimates” or any variations of such words and similar expressions are also intended to identify such forward-looking statements. These forward-looking statements are subject to risks, uncertainties and assumptions that are difficult to predict. Accordingly, they should not be viewed as assurances of future performance, and actual results may differ materially and adversely from those expressed in any forward-looking statements.</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Important factors that could cause actual results to differ materially from our expectations expressed in forward-looking statements include, but are not limited to, those summarized under “Part II, Item 1A. Risk factors” and elsewhere in this report, in our Annual Report on Form 10-K for the year ended December 31, 2021 and in our other filings made with the United States Securities &amp; Exchange Commission ("SEC"). Forward-looking statements represent our management's beliefs and assumptions only as of the date of this Quarterly Report on Form 10-Q. We undertake no obligation to update or revise any forward-looking statements, or to update the reasons actual results could differ materially from those anticipated in any forward-looking statement, whether as a result of new information, future events or otherwise.</w:t>
      </w:r>
    </w:p>
    <w:p>
      <w:pPr>
        <w:spacing w:after="0" w:line="314" w:lineRule="exact"/>
        <w:rPr>
          <w:sz w:val="20"/>
          <w:szCs w:val="20"/>
          <w:color w:val="auto"/>
        </w:rPr>
      </w:pPr>
    </w:p>
    <w:p>
      <w:pPr>
        <w:ind w:left="20"/>
        <w:spacing w:after="0"/>
        <w:tabs>
          <w:tab w:leader="none" w:pos="379" w:val="left"/>
        </w:tabs>
        <w:rPr>
          <w:sz w:val="20"/>
          <w:szCs w:val="20"/>
          <w:color w:val="auto"/>
        </w:rPr>
      </w:pPr>
      <w:r>
        <w:rPr>
          <w:rFonts w:ascii="Arial" w:cs="Arial" w:eastAsia="Arial" w:hAnsi="Arial"/>
          <w:sz w:val="14"/>
          <w:szCs w:val="14"/>
          <w:color w:val="auto"/>
        </w:rPr>
        <w:t>2</w:t>
      </w:r>
      <w:r>
        <w:rPr>
          <w:sz w:val="20"/>
          <w:szCs w:val="20"/>
          <w:color w:val="auto"/>
        </w:rPr>
        <w:tab/>
      </w:r>
      <w:r>
        <w:rPr>
          <w:sz w:val="1"/>
          <w:szCs w:val="1"/>
          <w:color w:val="auto"/>
        </w:rPr>
        <w:drawing>
          <wp:inline distT="0" distB="0" distL="0" distR="0">
            <wp:extent cx="676910" cy="1714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69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ind w:left="680"/>
        <w:spacing w:after="0"/>
        <w:rPr>
          <w:sz w:val="20"/>
          <w:szCs w:val="20"/>
          <w:color w:val="auto"/>
        </w:rPr>
      </w:pPr>
      <w:r>
        <w:rPr>
          <w:rFonts w:ascii="Arial" w:cs="Arial" w:eastAsia="Arial" w:hAnsi="Arial"/>
          <w:sz w:val="40"/>
          <w:szCs w:val="40"/>
          <w:b w:val="1"/>
          <w:bCs w:val="1"/>
          <w:color w:val="50535A"/>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-272415</wp:posOffset>
            </wp:positionV>
            <wp:extent cx="179705"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9705" cy="240030"/>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 FINANCIAL STATEMENTS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7920" w:type="dxa"/>
            <w:vAlign w:val="bottom"/>
            <w:shd w:val="clear" w:color="auto" w:fill="ACACAC"/>
          </w:tcPr>
          <w:p>
            <w:pPr>
              <w:spacing w:after="0"/>
              <w:rPr>
                <w:sz w:val="16"/>
                <w:szCs w:val="16"/>
                <w:color w:val="auto"/>
              </w:rPr>
            </w:pPr>
          </w:p>
        </w:tc>
        <w:tc>
          <w:tcPr>
            <w:tcW w:w="480" w:type="dxa"/>
            <w:vAlign w:val="bottom"/>
            <w:shd w:val="clear" w:color="auto" w:fill="ACACAC"/>
          </w:tcPr>
          <w:p>
            <w:pPr>
              <w:spacing w:after="0"/>
              <w:rPr>
                <w:sz w:val="16"/>
                <w:szCs w:val="16"/>
                <w:color w:val="auto"/>
              </w:rPr>
            </w:pPr>
          </w:p>
        </w:tc>
        <w:tc>
          <w:tcPr>
            <w:tcW w:w="11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400" w:type="dxa"/>
            <w:vAlign w:val="bottom"/>
            <w:shd w:val="clear" w:color="auto" w:fill="ACACAC"/>
          </w:tcPr>
          <w:p>
            <w:pPr>
              <w:spacing w:after="0"/>
              <w:rPr>
                <w:sz w:val="16"/>
                <w:szCs w:val="16"/>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6"/>
                <w:szCs w:val="16"/>
                <w:color w:val="auto"/>
              </w:rPr>
            </w:pPr>
          </w:p>
        </w:tc>
      </w:tr>
      <w:tr>
        <w:trPr>
          <w:trHeight w:val="196"/>
        </w:trPr>
        <w:tc>
          <w:tcPr>
            <w:tcW w:w="792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80" w:type="dxa"/>
            <w:vAlign w:val="bottom"/>
            <w:tcBorders>
              <w:bottom w:val="single" w:sz="8" w:color="ACACAC"/>
            </w:tcBorders>
            <w:shd w:val="clear" w:color="auto" w:fill="ACACAC"/>
          </w:tcPr>
          <w:p>
            <w:pPr>
              <w:spacing w:after="0"/>
              <w:rPr>
                <w:sz w:val="17"/>
                <w:szCs w:val="17"/>
                <w:color w:val="auto"/>
              </w:rPr>
            </w:pPr>
          </w:p>
        </w:tc>
        <w:tc>
          <w:tcPr>
            <w:tcW w:w="11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400" w:type="dxa"/>
            <w:vAlign w:val="bottom"/>
            <w:tcBorders>
              <w:bottom w:val="single" w:sz="8" w:color="ACACAC"/>
            </w:tcBorders>
            <w:shd w:val="clear" w:color="auto" w:fill="ACACAC"/>
          </w:tcPr>
          <w:p>
            <w:pPr>
              <w:spacing w:after="0"/>
              <w:rPr>
                <w:sz w:val="17"/>
                <w:szCs w:val="17"/>
                <w:color w:val="auto"/>
              </w:rPr>
            </w:pPr>
          </w:p>
        </w:tc>
        <w:tc>
          <w:tcPr>
            <w:tcW w:w="12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43"/>
        </w:trPr>
        <w:tc>
          <w:tcPr>
            <w:tcW w:w="792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Assets</w:t>
            </w:r>
          </w:p>
        </w:tc>
        <w:tc>
          <w:tcPr>
            <w:tcW w:w="480" w:type="dxa"/>
            <w:vAlign w:val="bottom"/>
            <w:shd w:val="clear" w:color="auto" w:fill="F4F4F4"/>
          </w:tcPr>
          <w:p>
            <w:pPr>
              <w:spacing w:after="0"/>
              <w:rPr>
                <w:sz w:val="21"/>
                <w:szCs w:val="21"/>
                <w:color w:val="auto"/>
              </w:rPr>
            </w:pPr>
          </w:p>
        </w:tc>
        <w:tc>
          <w:tcPr>
            <w:tcW w:w="1160" w:type="dxa"/>
            <w:vAlign w:val="bottom"/>
            <w:shd w:val="clear" w:color="auto" w:fill="F4F4F4"/>
          </w:tcPr>
          <w:p>
            <w:pPr>
              <w:spacing w:after="0"/>
              <w:rPr>
                <w:sz w:val="21"/>
                <w:szCs w:val="21"/>
                <w:color w:val="auto"/>
              </w:rPr>
            </w:pP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7920" w:type="dxa"/>
            <w:vAlign w:val="bottom"/>
          </w:tcPr>
          <w:p>
            <w:pPr>
              <w:ind w:left="240"/>
              <w:spacing w:after="0"/>
              <w:rPr>
                <w:sz w:val="20"/>
                <w:szCs w:val="20"/>
                <w:color w:val="auto"/>
              </w:rPr>
            </w:pPr>
            <w:r>
              <w:rPr>
                <w:rFonts w:ascii="Arial" w:cs="Arial" w:eastAsia="Arial" w:hAnsi="Arial"/>
                <w:sz w:val="16"/>
                <w:szCs w:val="16"/>
                <w:color w:val="auto"/>
              </w:rPr>
              <w:t>Current assets:</w:t>
            </w: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3"/>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Cash and cash equivalents</w:t>
            </w:r>
          </w:p>
        </w:tc>
        <w:tc>
          <w:tcPr>
            <w:tcW w:w="480" w:type="dxa"/>
            <w:vAlign w:val="bottom"/>
            <w:shd w:val="clear" w:color="auto" w:fill="F4F4F4"/>
          </w:tcPr>
          <w:p>
            <w:pPr>
              <w:jc w:val="right"/>
              <w:ind w:right="2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29,029</w:t>
            </w:r>
          </w:p>
        </w:tc>
        <w:tc>
          <w:tcPr>
            <w:tcW w:w="400" w:type="dxa"/>
            <w:vAlign w:val="bottom"/>
            <w:shd w:val="clear" w:color="auto" w:fill="F4F4F4"/>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55,146</w:t>
            </w:r>
          </w:p>
        </w:tc>
        <w:tc>
          <w:tcPr>
            <w:tcW w:w="20" w:type="dxa"/>
            <w:vAlign w:val="bottom"/>
          </w:tcPr>
          <w:p>
            <w:pPr>
              <w:spacing w:after="0"/>
              <w:rPr>
                <w:sz w:val="21"/>
                <w:szCs w:val="21"/>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auto"/>
              </w:rPr>
              <w:t>Restricted cash</w:t>
            </w: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449,491</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596,616</w:t>
            </w:r>
          </w:p>
        </w:tc>
        <w:tc>
          <w:tcPr>
            <w:tcW w:w="20" w:type="dxa"/>
            <w:vAlign w:val="bottom"/>
          </w:tcPr>
          <w:p>
            <w:pPr>
              <w:spacing w:after="0"/>
              <w:rPr>
                <w:sz w:val="20"/>
                <w:szCs w:val="20"/>
                <w:color w:val="auto"/>
              </w:rPr>
            </w:pPr>
          </w:p>
        </w:tc>
      </w:tr>
      <w:tr>
        <w:trPr>
          <w:trHeight w:val="228"/>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Accounts receivable, net of allowance of $9,764 and $11,155 at June 30, 2022 and December 31,</w:t>
            </w:r>
          </w:p>
        </w:tc>
        <w:tc>
          <w:tcPr>
            <w:tcW w:w="480" w:type="dxa"/>
            <w:vAlign w:val="bottom"/>
            <w:shd w:val="clear" w:color="auto" w:fill="F4F4F4"/>
          </w:tcPr>
          <w:p>
            <w:pPr>
              <w:spacing w:after="0"/>
              <w:rPr>
                <w:sz w:val="19"/>
                <w:szCs w:val="19"/>
                <w:color w:val="auto"/>
              </w:rPr>
            </w:pPr>
          </w:p>
        </w:tc>
        <w:tc>
          <w:tcPr>
            <w:tcW w:w="1160" w:type="dxa"/>
            <w:vAlign w:val="bottom"/>
            <w:shd w:val="clear" w:color="auto" w:fill="F4F4F4"/>
          </w:tcPr>
          <w:p>
            <w:pPr>
              <w:spacing w:after="0"/>
              <w:rPr>
                <w:sz w:val="19"/>
                <w:szCs w:val="19"/>
                <w:color w:val="auto"/>
              </w:rPr>
            </w:pP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r>
      <w:tr>
        <w:trPr>
          <w:trHeight w:val="214"/>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2021, respectively</w:t>
            </w:r>
          </w:p>
        </w:tc>
        <w:tc>
          <w:tcPr>
            <w:tcW w:w="480" w:type="dxa"/>
            <w:vAlign w:val="bottom"/>
            <w:shd w:val="clear" w:color="auto" w:fill="F4F4F4"/>
          </w:tcPr>
          <w:p>
            <w:pPr>
              <w:spacing w:after="0"/>
              <w:rPr>
                <w:sz w:val="18"/>
                <w:szCs w:val="18"/>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149,237</w:t>
            </w:r>
          </w:p>
        </w:tc>
        <w:tc>
          <w:tcPr>
            <w:tcW w:w="400" w:type="dxa"/>
            <w:vAlign w:val="bottom"/>
            <w:shd w:val="clear" w:color="auto" w:fill="F4F4F4"/>
          </w:tcPr>
          <w:p>
            <w:pPr>
              <w:spacing w:after="0"/>
              <w:rPr>
                <w:sz w:val="18"/>
                <w:szCs w:val="18"/>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102,726</w:t>
            </w:r>
          </w:p>
        </w:tc>
        <w:tc>
          <w:tcPr>
            <w:tcW w:w="20" w:type="dxa"/>
            <w:vAlign w:val="bottom"/>
          </w:tcPr>
          <w:p>
            <w:pPr>
              <w:spacing w:after="0"/>
              <w:rPr>
                <w:sz w:val="18"/>
                <w:szCs w:val="18"/>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auto"/>
              </w:rPr>
              <w:t>Customer funds receivable</w:t>
            </w: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1,194</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977</w:t>
            </w:r>
          </w:p>
        </w:tc>
        <w:tc>
          <w:tcPr>
            <w:tcW w:w="20" w:type="dxa"/>
            <w:vAlign w:val="bottom"/>
          </w:tcPr>
          <w:p>
            <w:pPr>
              <w:spacing w:after="0"/>
              <w:rPr>
                <w:sz w:val="20"/>
                <w:szCs w:val="20"/>
                <w:color w:val="auto"/>
              </w:rPr>
            </w:pPr>
          </w:p>
        </w:tc>
      </w:tr>
      <w:tr>
        <w:trPr>
          <w:trHeight w:val="253"/>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480" w:type="dxa"/>
            <w:vAlign w:val="bottom"/>
            <w:tcBorders>
              <w:bottom w:val="single" w:sz="8" w:color="auto"/>
            </w:tcBorders>
            <w:shd w:val="clear" w:color="auto" w:fill="F4F4F4"/>
          </w:tcPr>
          <w:p>
            <w:pPr>
              <w:spacing w:after="0"/>
              <w:rPr>
                <w:sz w:val="21"/>
                <w:szCs w:val="21"/>
                <w:color w:val="auto"/>
              </w:rPr>
            </w:pPr>
          </w:p>
        </w:tc>
        <w:tc>
          <w:tcPr>
            <w:tcW w:w="11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98,041</w:t>
            </w:r>
          </w:p>
        </w:tc>
        <w:tc>
          <w:tcPr>
            <w:tcW w:w="400" w:type="dxa"/>
            <w:vAlign w:val="bottom"/>
            <w:tcBorders>
              <w:bottom w:val="single" w:sz="8" w:color="auto"/>
            </w:tcBorders>
            <w:shd w:val="clear" w:color="auto" w:fill="F4F4F4"/>
          </w:tcPr>
          <w:p>
            <w:pPr>
              <w:spacing w:after="0"/>
              <w:rPr>
                <w:sz w:val="21"/>
                <w:szCs w:val="21"/>
                <w:color w:val="auto"/>
              </w:rPr>
            </w:pP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95,506</w:t>
            </w:r>
          </w:p>
        </w:tc>
        <w:tc>
          <w:tcPr>
            <w:tcW w:w="20" w:type="dxa"/>
            <w:vAlign w:val="bottom"/>
          </w:tcPr>
          <w:p>
            <w:pPr>
              <w:spacing w:after="0"/>
              <w:rPr>
                <w:sz w:val="21"/>
                <w:szCs w:val="21"/>
                <w:color w:val="auto"/>
              </w:rPr>
            </w:pPr>
          </w:p>
        </w:tc>
      </w:tr>
      <w:tr>
        <w:trPr>
          <w:trHeight w:val="227"/>
        </w:trPr>
        <w:tc>
          <w:tcPr>
            <w:tcW w:w="7920" w:type="dxa"/>
            <w:vAlign w:val="bottom"/>
          </w:tcPr>
          <w:p>
            <w:pPr>
              <w:ind w:left="660"/>
              <w:spacing w:after="0"/>
              <w:rPr>
                <w:sz w:val="20"/>
                <w:szCs w:val="20"/>
                <w:color w:val="auto"/>
              </w:rPr>
            </w:pPr>
            <w:r>
              <w:rPr>
                <w:rFonts w:ascii="Arial" w:cs="Arial" w:eastAsia="Arial" w:hAnsi="Arial"/>
                <w:sz w:val="16"/>
                <w:szCs w:val="16"/>
                <w:color w:val="auto"/>
              </w:rPr>
              <w:t>Total current assets</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726,992</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850,971</w:t>
            </w:r>
          </w:p>
        </w:tc>
        <w:tc>
          <w:tcPr>
            <w:tcW w:w="20" w:type="dxa"/>
            <w:vAlign w:val="bottom"/>
          </w:tcPr>
          <w:p>
            <w:pPr>
              <w:spacing w:after="0"/>
              <w:rPr>
                <w:sz w:val="19"/>
                <w:szCs w:val="19"/>
                <w:color w:val="auto"/>
              </w:rPr>
            </w:pPr>
          </w:p>
        </w:tc>
      </w:tr>
      <w:tr>
        <w:trPr>
          <w:trHeight w:val="253"/>
        </w:trPr>
        <w:tc>
          <w:tcPr>
            <w:tcW w:w="79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Property and equipment, net</w:t>
            </w:r>
          </w:p>
        </w:tc>
        <w:tc>
          <w:tcPr>
            <w:tcW w:w="480" w:type="dxa"/>
            <w:vAlign w:val="bottom"/>
            <w:shd w:val="clear" w:color="auto" w:fill="F4F4F4"/>
          </w:tcPr>
          <w:p>
            <w:pPr>
              <w:spacing w:after="0"/>
              <w:rPr>
                <w:sz w:val="21"/>
                <w:szCs w:val="21"/>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111,865</w:t>
            </w: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111,428</w:t>
            </w:r>
          </w:p>
        </w:tc>
        <w:tc>
          <w:tcPr>
            <w:tcW w:w="20" w:type="dxa"/>
            <w:vAlign w:val="bottom"/>
          </w:tcPr>
          <w:p>
            <w:pPr>
              <w:spacing w:after="0"/>
              <w:rPr>
                <w:sz w:val="21"/>
                <w:szCs w:val="21"/>
                <w:color w:val="auto"/>
              </w:rPr>
            </w:pPr>
          </w:p>
        </w:tc>
      </w:tr>
      <w:tr>
        <w:trPr>
          <w:trHeight w:val="233"/>
        </w:trPr>
        <w:tc>
          <w:tcPr>
            <w:tcW w:w="7920" w:type="dxa"/>
            <w:vAlign w:val="bottom"/>
          </w:tcPr>
          <w:p>
            <w:pPr>
              <w:ind w:left="240"/>
              <w:spacing w:after="0"/>
              <w:rPr>
                <w:sz w:val="20"/>
                <w:szCs w:val="20"/>
                <w:color w:val="auto"/>
              </w:rPr>
            </w:pPr>
            <w:r>
              <w:rPr>
                <w:rFonts w:ascii="Arial" w:cs="Arial" w:eastAsia="Arial" w:hAnsi="Arial"/>
                <w:sz w:val="16"/>
                <w:szCs w:val="16"/>
                <w:color w:val="auto"/>
              </w:rPr>
              <w:t>Operating lease right-of-use assets</w:t>
            </w: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50,036</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53,883</w:t>
            </w:r>
          </w:p>
        </w:tc>
        <w:tc>
          <w:tcPr>
            <w:tcW w:w="20" w:type="dxa"/>
            <w:vAlign w:val="bottom"/>
          </w:tcPr>
          <w:p>
            <w:pPr>
              <w:spacing w:after="0"/>
              <w:rPr>
                <w:sz w:val="20"/>
                <w:szCs w:val="20"/>
                <w:color w:val="auto"/>
              </w:rPr>
            </w:pPr>
          </w:p>
        </w:tc>
      </w:tr>
      <w:tr>
        <w:trPr>
          <w:trHeight w:val="253"/>
        </w:trPr>
        <w:tc>
          <w:tcPr>
            <w:tcW w:w="79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Software and content development costs, net</w:t>
            </w:r>
          </w:p>
        </w:tc>
        <w:tc>
          <w:tcPr>
            <w:tcW w:w="480" w:type="dxa"/>
            <w:vAlign w:val="bottom"/>
            <w:shd w:val="clear" w:color="auto" w:fill="F4F4F4"/>
          </w:tcPr>
          <w:p>
            <w:pPr>
              <w:spacing w:after="0"/>
              <w:rPr>
                <w:sz w:val="21"/>
                <w:szCs w:val="21"/>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130,329</w:t>
            </w: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121,377</w:t>
            </w:r>
          </w:p>
        </w:tc>
        <w:tc>
          <w:tcPr>
            <w:tcW w:w="20" w:type="dxa"/>
            <w:vAlign w:val="bottom"/>
          </w:tcPr>
          <w:p>
            <w:pPr>
              <w:spacing w:after="0"/>
              <w:rPr>
                <w:sz w:val="21"/>
                <w:szCs w:val="21"/>
                <w:color w:val="auto"/>
              </w:rPr>
            </w:pPr>
          </w:p>
        </w:tc>
      </w:tr>
      <w:tr>
        <w:trPr>
          <w:trHeight w:val="233"/>
        </w:trPr>
        <w:tc>
          <w:tcPr>
            <w:tcW w:w="7920" w:type="dxa"/>
            <w:vAlign w:val="bottom"/>
          </w:tcPr>
          <w:p>
            <w:pPr>
              <w:ind w:left="240"/>
              <w:spacing w:after="0"/>
              <w:rPr>
                <w:sz w:val="20"/>
                <w:szCs w:val="20"/>
                <w:color w:val="auto"/>
              </w:rPr>
            </w:pPr>
            <w:r>
              <w:rPr>
                <w:rFonts w:ascii="Arial" w:cs="Arial" w:eastAsia="Arial" w:hAnsi="Arial"/>
                <w:sz w:val="16"/>
                <w:szCs w:val="16"/>
                <w:color w:val="auto"/>
              </w:rPr>
              <w:t>Goodwill</w:t>
            </w: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1,051,230</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1,058,640</w:t>
            </w:r>
          </w:p>
        </w:tc>
        <w:tc>
          <w:tcPr>
            <w:tcW w:w="20" w:type="dxa"/>
            <w:vAlign w:val="bottom"/>
          </w:tcPr>
          <w:p>
            <w:pPr>
              <w:spacing w:after="0"/>
              <w:rPr>
                <w:sz w:val="20"/>
                <w:szCs w:val="20"/>
                <w:color w:val="auto"/>
              </w:rPr>
            </w:pPr>
          </w:p>
        </w:tc>
      </w:tr>
      <w:tr>
        <w:trPr>
          <w:trHeight w:val="253"/>
        </w:trPr>
        <w:tc>
          <w:tcPr>
            <w:tcW w:w="79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Intangible assets, net</w:t>
            </w:r>
          </w:p>
        </w:tc>
        <w:tc>
          <w:tcPr>
            <w:tcW w:w="480" w:type="dxa"/>
            <w:vAlign w:val="bottom"/>
            <w:shd w:val="clear" w:color="auto" w:fill="F4F4F4"/>
          </w:tcPr>
          <w:p>
            <w:pPr>
              <w:spacing w:after="0"/>
              <w:rPr>
                <w:sz w:val="21"/>
                <w:szCs w:val="21"/>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664,400</w:t>
            </w: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698,052</w:t>
            </w:r>
          </w:p>
        </w:tc>
        <w:tc>
          <w:tcPr>
            <w:tcW w:w="20" w:type="dxa"/>
            <w:vAlign w:val="bottom"/>
          </w:tcPr>
          <w:p>
            <w:pPr>
              <w:spacing w:after="0"/>
              <w:rPr>
                <w:sz w:val="21"/>
                <w:szCs w:val="21"/>
                <w:color w:val="auto"/>
              </w:rPr>
            </w:pPr>
          </w:p>
        </w:tc>
      </w:tr>
      <w:tr>
        <w:trPr>
          <w:trHeight w:val="236"/>
        </w:trPr>
        <w:tc>
          <w:tcPr>
            <w:tcW w:w="7920" w:type="dxa"/>
            <w:vAlign w:val="bottom"/>
            <w:tcBorders>
              <w:bottom w:val="single" w:sz="8" w:color="F4F4F4"/>
            </w:tcBorders>
          </w:tcPr>
          <w:p>
            <w:pPr>
              <w:ind w:left="240"/>
              <w:spacing w:after="0"/>
              <w:rPr>
                <w:sz w:val="20"/>
                <w:szCs w:val="20"/>
                <w:color w:val="auto"/>
              </w:rPr>
            </w:pPr>
            <w:r>
              <w:rPr>
                <w:rFonts w:ascii="Arial" w:cs="Arial" w:eastAsia="Arial" w:hAnsi="Arial"/>
                <w:sz w:val="16"/>
                <w:szCs w:val="16"/>
                <w:color w:val="auto"/>
              </w:rPr>
              <w:t>Other assets</w:t>
            </w: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90,670</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77,266</w:t>
            </w:r>
          </w:p>
        </w:tc>
        <w:tc>
          <w:tcPr>
            <w:tcW w:w="20" w:type="dxa"/>
            <w:vAlign w:val="bottom"/>
          </w:tcPr>
          <w:p>
            <w:pPr>
              <w:spacing w:after="0"/>
              <w:rPr>
                <w:sz w:val="20"/>
                <w:szCs w:val="20"/>
                <w:color w:val="auto"/>
              </w:rPr>
            </w:pPr>
          </w:p>
        </w:tc>
      </w:tr>
      <w:tr>
        <w:trPr>
          <w:trHeight w:val="243"/>
        </w:trPr>
        <w:tc>
          <w:tcPr>
            <w:tcW w:w="7920" w:type="dxa"/>
            <w:vAlign w:val="bottom"/>
            <w:shd w:val="clear" w:color="auto" w:fill="F4F4F4"/>
          </w:tcPr>
          <w:p>
            <w:pPr>
              <w:ind w:left="880"/>
              <w:spacing w:after="0"/>
              <w:rPr>
                <w:sz w:val="20"/>
                <w:szCs w:val="20"/>
                <w:color w:val="auto"/>
              </w:rPr>
            </w:pPr>
            <w:r>
              <w:rPr>
                <w:rFonts w:ascii="Arial" w:cs="Arial" w:eastAsia="Arial" w:hAnsi="Arial"/>
                <w:sz w:val="16"/>
                <w:szCs w:val="16"/>
                <w:b w:val="1"/>
                <w:bCs w:val="1"/>
                <w:color w:val="auto"/>
              </w:rPr>
              <w:t>Total assets</w:t>
            </w:r>
          </w:p>
        </w:tc>
        <w:tc>
          <w:tcPr>
            <w:tcW w:w="480" w:type="dxa"/>
            <w:vAlign w:val="bottom"/>
            <w:tcBorders>
              <w:bottom w:val="single" w:sz="8" w:color="auto"/>
            </w:tcBorders>
            <w:shd w:val="clear" w:color="auto" w:fill="F4F4F4"/>
          </w:tcPr>
          <w:p>
            <w:pPr>
              <w:jc w:val="right"/>
              <w:ind w:right="2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2,825,522</w:t>
            </w:r>
          </w:p>
        </w:tc>
        <w:tc>
          <w:tcPr>
            <w:tcW w:w="400" w:type="dxa"/>
            <w:vAlign w:val="bottom"/>
            <w:tcBorders>
              <w:bottom w:val="single" w:sz="8" w:color="auto"/>
            </w:tcBorders>
            <w:shd w:val="clear" w:color="auto" w:fill="F4F4F4"/>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2,971,617</w:t>
            </w:r>
          </w:p>
        </w:tc>
        <w:tc>
          <w:tcPr>
            <w:tcW w:w="20" w:type="dxa"/>
            <w:vAlign w:val="bottom"/>
          </w:tcPr>
          <w:p>
            <w:pPr>
              <w:spacing w:after="0"/>
              <w:rPr>
                <w:sz w:val="21"/>
                <w:szCs w:val="21"/>
                <w:color w:val="auto"/>
              </w:rPr>
            </w:pPr>
          </w:p>
        </w:tc>
      </w:tr>
      <w:tr>
        <w:trPr>
          <w:trHeight w:val="213"/>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3"/>
        </w:trPr>
        <w:tc>
          <w:tcPr>
            <w:tcW w:w="79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Current liabilities:</w:t>
            </w:r>
          </w:p>
        </w:tc>
        <w:tc>
          <w:tcPr>
            <w:tcW w:w="480" w:type="dxa"/>
            <w:vAlign w:val="bottom"/>
            <w:shd w:val="clear" w:color="auto" w:fill="F4F4F4"/>
          </w:tcPr>
          <w:p>
            <w:pPr>
              <w:spacing w:after="0"/>
              <w:rPr>
                <w:sz w:val="21"/>
                <w:szCs w:val="21"/>
                <w:color w:val="auto"/>
              </w:rPr>
            </w:pPr>
          </w:p>
        </w:tc>
        <w:tc>
          <w:tcPr>
            <w:tcW w:w="1160" w:type="dxa"/>
            <w:vAlign w:val="bottom"/>
            <w:shd w:val="clear" w:color="auto" w:fill="F4F4F4"/>
          </w:tcPr>
          <w:p>
            <w:pPr>
              <w:spacing w:after="0"/>
              <w:rPr>
                <w:sz w:val="21"/>
                <w:szCs w:val="21"/>
                <w:color w:val="auto"/>
              </w:rPr>
            </w:pP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auto"/>
              </w:rPr>
              <w:t>Trade accounts payable</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36,640</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22,067</w:t>
            </w:r>
          </w:p>
        </w:tc>
        <w:tc>
          <w:tcPr>
            <w:tcW w:w="20" w:type="dxa"/>
            <w:vAlign w:val="bottom"/>
          </w:tcPr>
          <w:p>
            <w:pPr>
              <w:spacing w:after="0"/>
              <w:rPr>
                <w:sz w:val="20"/>
                <w:szCs w:val="20"/>
                <w:color w:val="auto"/>
              </w:rPr>
            </w:pPr>
          </w:p>
        </w:tc>
      </w:tr>
      <w:tr>
        <w:trPr>
          <w:trHeight w:val="253"/>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Accrued expenses and other current liabilities</w:t>
            </w:r>
          </w:p>
        </w:tc>
        <w:tc>
          <w:tcPr>
            <w:tcW w:w="480" w:type="dxa"/>
            <w:vAlign w:val="bottom"/>
            <w:shd w:val="clear" w:color="auto" w:fill="F4F4F4"/>
          </w:tcPr>
          <w:p>
            <w:pPr>
              <w:spacing w:after="0"/>
              <w:rPr>
                <w:sz w:val="21"/>
                <w:szCs w:val="21"/>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77,411</w:t>
            </w: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100,096</w:t>
            </w:r>
          </w:p>
        </w:tc>
        <w:tc>
          <w:tcPr>
            <w:tcW w:w="20" w:type="dxa"/>
            <w:vAlign w:val="bottom"/>
          </w:tcPr>
          <w:p>
            <w:pPr>
              <w:spacing w:after="0"/>
              <w:rPr>
                <w:sz w:val="21"/>
                <w:szCs w:val="21"/>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auto"/>
              </w:rPr>
              <w:t>Due to customers</w:t>
            </w: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449,402</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594,273</w:t>
            </w:r>
          </w:p>
        </w:tc>
        <w:tc>
          <w:tcPr>
            <w:tcW w:w="20" w:type="dxa"/>
            <w:vAlign w:val="bottom"/>
          </w:tcPr>
          <w:p>
            <w:pPr>
              <w:spacing w:after="0"/>
              <w:rPr>
                <w:sz w:val="20"/>
                <w:szCs w:val="20"/>
                <w:color w:val="auto"/>
              </w:rPr>
            </w:pPr>
          </w:p>
        </w:tc>
      </w:tr>
      <w:tr>
        <w:trPr>
          <w:trHeight w:val="253"/>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Debt, current portion</w:t>
            </w:r>
          </w:p>
        </w:tc>
        <w:tc>
          <w:tcPr>
            <w:tcW w:w="480" w:type="dxa"/>
            <w:vAlign w:val="bottom"/>
            <w:shd w:val="clear" w:color="auto" w:fill="F4F4F4"/>
          </w:tcPr>
          <w:p>
            <w:pPr>
              <w:spacing w:after="0"/>
              <w:rPr>
                <w:sz w:val="21"/>
                <w:szCs w:val="21"/>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18,154</w:t>
            </w: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18,697</w:t>
            </w:r>
          </w:p>
        </w:tc>
        <w:tc>
          <w:tcPr>
            <w:tcW w:w="20" w:type="dxa"/>
            <w:vAlign w:val="bottom"/>
          </w:tcPr>
          <w:p>
            <w:pPr>
              <w:spacing w:after="0"/>
              <w:rPr>
                <w:sz w:val="21"/>
                <w:szCs w:val="21"/>
                <w:color w:val="auto"/>
              </w:rPr>
            </w:pPr>
          </w:p>
        </w:tc>
      </w:tr>
      <w:tr>
        <w:trPr>
          <w:trHeight w:val="237"/>
        </w:trPr>
        <w:tc>
          <w:tcPr>
            <w:tcW w:w="7920" w:type="dxa"/>
            <w:vAlign w:val="bottom"/>
            <w:tcBorders>
              <w:bottom w:val="single" w:sz="8" w:color="F4F4F4"/>
            </w:tcBorders>
          </w:tcPr>
          <w:p>
            <w:pPr>
              <w:ind w:left="460"/>
              <w:spacing w:after="0"/>
              <w:rPr>
                <w:sz w:val="20"/>
                <w:szCs w:val="20"/>
                <w:color w:val="auto"/>
              </w:rPr>
            </w:pPr>
            <w:r>
              <w:rPr>
                <w:rFonts w:ascii="Arial" w:cs="Arial" w:eastAsia="Arial" w:hAnsi="Arial"/>
                <w:sz w:val="16"/>
                <w:szCs w:val="16"/>
                <w:color w:val="auto"/>
              </w:rPr>
              <w:t>Deferred revenue, current portion</w:t>
            </w: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412,712</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374,499</w:t>
            </w:r>
          </w:p>
        </w:tc>
        <w:tc>
          <w:tcPr>
            <w:tcW w:w="20" w:type="dxa"/>
            <w:vAlign w:val="bottom"/>
          </w:tcPr>
          <w:p>
            <w:pPr>
              <w:spacing w:after="0"/>
              <w:rPr>
                <w:sz w:val="20"/>
                <w:szCs w:val="20"/>
                <w:color w:val="auto"/>
              </w:rPr>
            </w:pPr>
          </w:p>
        </w:tc>
      </w:tr>
      <w:tr>
        <w:trPr>
          <w:trHeight w:val="243"/>
        </w:trPr>
        <w:tc>
          <w:tcPr>
            <w:tcW w:w="7920" w:type="dxa"/>
            <w:vAlign w:val="bottom"/>
            <w:shd w:val="clear" w:color="auto" w:fill="F4F4F4"/>
          </w:tcPr>
          <w:p>
            <w:pPr>
              <w:ind w:left="660"/>
              <w:spacing w:after="0"/>
              <w:rPr>
                <w:sz w:val="20"/>
                <w:szCs w:val="20"/>
                <w:color w:val="auto"/>
              </w:rPr>
            </w:pPr>
            <w:r>
              <w:rPr>
                <w:rFonts w:ascii="Arial" w:cs="Arial" w:eastAsia="Arial" w:hAnsi="Arial"/>
                <w:sz w:val="16"/>
                <w:szCs w:val="16"/>
                <w:color w:val="auto"/>
              </w:rPr>
              <w:t>Total current liabilities</w:t>
            </w:r>
          </w:p>
        </w:tc>
        <w:tc>
          <w:tcPr>
            <w:tcW w:w="480" w:type="dxa"/>
            <w:vAlign w:val="bottom"/>
            <w:shd w:val="clear" w:color="auto" w:fill="F4F4F4"/>
          </w:tcPr>
          <w:p>
            <w:pPr>
              <w:spacing w:after="0"/>
              <w:rPr>
                <w:sz w:val="21"/>
                <w:szCs w:val="21"/>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994,319</w:t>
            </w: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1,109,632</w:t>
            </w:r>
          </w:p>
        </w:tc>
        <w:tc>
          <w:tcPr>
            <w:tcW w:w="20" w:type="dxa"/>
            <w:vAlign w:val="bottom"/>
          </w:tcPr>
          <w:p>
            <w:pPr>
              <w:spacing w:after="0"/>
              <w:rPr>
                <w:sz w:val="21"/>
                <w:szCs w:val="21"/>
                <w:color w:val="auto"/>
              </w:rPr>
            </w:pPr>
          </w:p>
        </w:tc>
      </w:tr>
      <w:tr>
        <w:trPr>
          <w:trHeight w:val="233"/>
        </w:trPr>
        <w:tc>
          <w:tcPr>
            <w:tcW w:w="7920" w:type="dxa"/>
            <w:vAlign w:val="bottom"/>
          </w:tcPr>
          <w:p>
            <w:pPr>
              <w:ind w:left="240"/>
              <w:spacing w:after="0"/>
              <w:rPr>
                <w:sz w:val="20"/>
                <w:szCs w:val="20"/>
                <w:color w:val="auto"/>
              </w:rPr>
            </w:pPr>
            <w:r>
              <w:rPr>
                <w:rFonts w:ascii="Arial" w:cs="Arial" w:eastAsia="Arial" w:hAnsi="Arial"/>
                <w:sz w:val="16"/>
                <w:szCs w:val="16"/>
                <w:color w:val="auto"/>
              </w:rPr>
              <w:t>Debt, net of current portion</w:t>
            </w: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921,619</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937,483</w:t>
            </w:r>
          </w:p>
        </w:tc>
        <w:tc>
          <w:tcPr>
            <w:tcW w:w="20" w:type="dxa"/>
            <w:vAlign w:val="bottom"/>
          </w:tcPr>
          <w:p>
            <w:pPr>
              <w:spacing w:after="0"/>
              <w:rPr>
                <w:sz w:val="20"/>
                <w:szCs w:val="20"/>
                <w:color w:val="auto"/>
              </w:rPr>
            </w:pPr>
          </w:p>
        </w:tc>
      </w:tr>
      <w:tr>
        <w:trPr>
          <w:trHeight w:val="253"/>
        </w:trPr>
        <w:tc>
          <w:tcPr>
            <w:tcW w:w="79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Deferred tax liability</w:t>
            </w:r>
          </w:p>
        </w:tc>
        <w:tc>
          <w:tcPr>
            <w:tcW w:w="480" w:type="dxa"/>
            <w:vAlign w:val="bottom"/>
            <w:shd w:val="clear" w:color="auto" w:fill="F4F4F4"/>
          </w:tcPr>
          <w:p>
            <w:pPr>
              <w:spacing w:after="0"/>
              <w:rPr>
                <w:sz w:val="21"/>
                <w:szCs w:val="21"/>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135,393</w:t>
            </w: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148,465</w:t>
            </w:r>
          </w:p>
        </w:tc>
        <w:tc>
          <w:tcPr>
            <w:tcW w:w="20" w:type="dxa"/>
            <w:vAlign w:val="bottom"/>
          </w:tcPr>
          <w:p>
            <w:pPr>
              <w:spacing w:after="0"/>
              <w:rPr>
                <w:sz w:val="21"/>
                <w:szCs w:val="21"/>
                <w:color w:val="auto"/>
              </w:rPr>
            </w:pPr>
          </w:p>
        </w:tc>
      </w:tr>
      <w:tr>
        <w:trPr>
          <w:trHeight w:val="233"/>
        </w:trPr>
        <w:tc>
          <w:tcPr>
            <w:tcW w:w="7920" w:type="dxa"/>
            <w:vAlign w:val="bottom"/>
          </w:tcPr>
          <w:p>
            <w:pPr>
              <w:ind w:left="240"/>
              <w:spacing w:after="0"/>
              <w:rPr>
                <w:sz w:val="20"/>
                <w:szCs w:val="20"/>
                <w:color w:val="auto"/>
              </w:rPr>
            </w:pPr>
            <w:r>
              <w:rPr>
                <w:rFonts w:ascii="Arial" w:cs="Arial" w:eastAsia="Arial" w:hAnsi="Arial"/>
                <w:sz w:val="16"/>
                <w:szCs w:val="16"/>
                <w:color w:val="auto"/>
              </w:rPr>
              <w:t>Deferred revenue, net of current portion</w:t>
            </w: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3,547</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4,247</w:t>
            </w:r>
          </w:p>
        </w:tc>
        <w:tc>
          <w:tcPr>
            <w:tcW w:w="20" w:type="dxa"/>
            <w:vAlign w:val="bottom"/>
          </w:tcPr>
          <w:p>
            <w:pPr>
              <w:spacing w:after="0"/>
              <w:rPr>
                <w:sz w:val="20"/>
                <w:szCs w:val="20"/>
                <w:color w:val="auto"/>
              </w:rPr>
            </w:pPr>
          </w:p>
        </w:tc>
      </w:tr>
      <w:tr>
        <w:trPr>
          <w:trHeight w:val="253"/>
        </w:trPr>
        <w:tc>
          <w:tcPr>
            <w:tcW w:w="79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Operating lease liabilities, net of current portion</w:t>
            </w:r>
          </w:p>
        </w:tc>
        <w:tc>
          <w:tcPr>
            <w:tcW w:w="480" w:type="dxa"/>
            <w:vAlign w:val="bottom"/>
            <w:shd w:val="clear" w:color="auto" w:fill="F4F4F4"/>
          </w:tcPr>
          <w:p>
            <w:pPr>
              <w:spacing w:after="0"/>
              <w:rPr>
                <w:sz w:val="21"/>
                <w:szCs w:val="21"/>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48,542</w:t>
            </w: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53,386</w:t>
            </w:r>
          </w:p>
        </w:tc>
        <w:tc>
          <w:tcPr>
            <w:tcW w:w="20" w:type="dxa"/>
            <w:vAlign w:val="bottom"/>
          </w:tcPr>
          <w:p>
            <w:pPr>
              <w:spacing w:after="0"/>
              <w:rPr>
                <w:sz w:val="21"/>
                <w:szCs w:val="21"/>
                <w:color w:val="auto"/>
              </w:rPr>
            </w:pPr>
          </w:p>
        </w:tc>
      </w:tr>
      <w:tr>
        <w:trPr>
          <w:trHeight w:val="236"/>
        </w:trPr>
        <w:tc>
          <w:tcPr>
            <w:tcW w:w="7920" w:type="dxa"/>
            <w:vAlign w:val="bottom"/>
            <w:tcBorders>
              <w:bottom w:val="single" w:sz="8" w:color="F4F4F4"/>
            </w:tcBorders>
          </w:tcPr>
          <w:p>
            <w:pPr>
              <w:ind w:left="240"/>
              <w:spacing w:after="0"/>
              <w:rPr>
                <w:sz w:val="20"/>
                <w:szCs w:val="20"/>
                <w:color w:val="auto"/>
              </w:rPr>
            </w:pPr>
            <w:r>
              <w:rPr>
                <w:rFonts w:ascii="Arial" w:cs="Arial" w:eastAsia="Arial" w:hAnsi="Arial"/>
                <w:sz w:val="16"/>
                <w:szCs w:val="16"/>
                <w:color w:val="auto"/>
              </w:rPr>
              <w:t>Other liabilities</w:t>
            </w: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1,628</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w:t>
            </w:r>
          </w:p>
        </w:tc>
        <w:tc>
          <w:tcPr>
            <w:tcW w:w="20" w:type="dxa"/>
            <w:vAlign w:val="bottom"/>
          </w:tcPr>
          <w:p>
            <w:pPr>
              <w:spacing w:after="0"/>
              <w:rPr>
                <w:sz w:val="20"/>
                <w:szCs w:val="20"/>
                <w:color w:val="auto"/>
              </w:rPr>
            </w:pPr>
          </w:p>
        </w:tc>
      </w:tr>
      <w:tr>
        <w:trPr>
          <w:trHeight w:val="243"/>
        </w:trPr>
        <w:tc>
          <w:tcPr>
            <w:tcW w:w="7920" w:type="dxa"/>
            <w:vAlign w:val="bottom"/>
            <w:shd w:val="clear" w:color="auto" w:fill="F4F4F4"/>
          </w:tcPr>
          <w:p>
            <w:pPr>
              <w:ind w:left="880"/>
              <w:spacing w:after="0"/>
              <w:rPr>
                <w:sz w:val="20"/>
                <w:szCs w:val="20"/>
                <w:color w:val="auto"/>
              </w:rPr>
            </w:pPr>
            <w:r>
              <w:rPr>
                <w:rFonts w:ascii="Arial" w:cs="Arial" w:eastAsia="Arial" w:hAnsi="Arial"/>
                <w:sz w:val="16"/>
                <w:szCs w:val="16"/>
                <w:b w:val="1"/>
                <w:bCs w:val="1"/>
                <w:color w:val="auto"/>
              </w:rPr>
              <w:t>Total liabilities</w:t>
            </w:r>
          </w:p>
        </w:tc>
        <w:tc>
          <w:tcPr>
            <w:tcW w:w="480" w:type="dxa"/>
            <w:vAlign w:val="bottom"/>
            <w:tcBorders>
              <w:bottom w:val="single" w:sz="8" w:color="auto"/>
            </w:tcBorders>
            <w:shd w:val="clear" w:color="auto" w:fill="F4F4F4"/>
          </w:tcPr>
          <w:p>
            <w:pPr>
              <w:spacing w:after="0"/>
              <w:rPr>
                <w:sz w:val="21"/>
                <w:szCs w:val="21"/>
                <w:color w:val="auto"/>
              </w:rPr>
            </w:pPr>
          </w:p>
        </w:tc>
        <w:tc>
          <w:tcPr>
            <w:tcW w:w="11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2,105,048</w:t>
            </w:r>
          </w:p>
        </w:tc>
        <w:tc>
          <w:tcPr>
            <w:tcW w:w="400" w:type="dxa"/>
            <w:vAlign w:val="bottom"/>
            <w:tcBorders>
              <w:bottom w:val="single" w:sz="8" w:color="auto"/>
            </w:tcBorders>
            <w:shd w:val="clear" w:color="auto" w:fill="F4F4F4"/>
          </w:tcPr>
          <w:p>
            <w:pPr>
              <w:spacing w:after="0"/>
              <w:rPr>
                <w:sz w:val="21"/>
                <w:szCs w:val="21"/>
                <w:color w:val="auto"/>
              </w:rPr>
            </w:pP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2,254,557</w:t>
            </w:r>
          </w:p>
        </w:tc>
        <w:tc>
          <w:tcPr>
            <w:tcW w:w="20" w:type="dxa"/>
            <w:vAlign w:val="bottom"/>
          </w:tcPr>
          <w:p>
            <w:pPr>
              <w:spacing w:after="0"/>
              <w:rPr>
                <w:sz w:val="21"/>
                <w:szCs w:val="21"/>
                <w:color w:val="auto"/>
              </w:rPr>
            </w:pPr>
          </w:p>
        </w:tc>
      </w:tr>
      <w:tr>
        <w:trPr>
          <w:trHeight w:val="213"/>
        </w:trPr>
        <w:tc>
          <w:tcPr>
            <w:tcW w:w="7920" w:type="dxa"/>
            <w:vAlign w:val="bottom"/>
          </w:tcPr>
          <w:p>
            <w:pPr>
              <w:ind w:left="240"/>
              <w:spacing w:after="0"/>
              <w:rPr>
                <w:sz w:val="20"/>
                <w:szCs w:val="20"/>
                <w:color w:val="auto"/>
              </w:rPr>
            </w:pPr>
            <w:r>
              <w:rPr>
                <w:rFonts w:ascii="Arial" w:cs="Arial" w:eastAsia="Arial" w:hAnsi="Arial"/>
                <w:sz w:val="16"/>
                <w:szCs w:val="16"/>
                <w:color w:val="auto"/>
              </w:rPr>
              <w:t>Commitments and contingencies (see Note 10)</w:t>
            </w: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3"/>
        </w:trPr>
        <w:tc>
          <w:tcPr>
            <w:tcW w:w="79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Stockholders’ equity:</w:t>
            </w:r>
          </w:p>
        </w:tc>
        <w:tc>
          <w:tcPr>
            <w:tcW w:w="480" w:type="dxa"/>
            <w:vAlign w:val="bottom"/>
            <w:shd w:val="clear" w:color="auto" w:fill="F4F4F4"/>
          </w:tcPr>
          <w:p>
            <w:pPr>
              <w:spacing w:after="0"/>
              <w:rPr>
                <w:sz w:val="21"/>
                <w:szCs w:val="21"/>
                <w:color w:val="auto"/>
              </w:rPr>
            </w:pPr>
          </w:p>
        </w:tc>
        <w:tc>
          <w:tcPr>
            <w:tcW w:w="1160" w:type="dxa"/>
            <w:vAlign w:val="bottom"/>
            <w:shd w:val="clear" w:color="auto" w:fill="F4F4F4"/>
          </w:tcPr>
          <w:p>
            <w:pPr>
              <w:spacing w:after="0"/>
              <w:rPr>
                <w:sz w:val="21"/>
                <w:szCs w:val="21"/>
                <w:color w:val="auto"/>
              </w:rPr>
            </w:pP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auto"/>
              </w:rPr>
              <w:t>Preferred stock; 20,000,000 shares authorized, none outstanding</w:t>
            </w: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r>
      <w:tr>
        <w:trPr>
          <w:trHeight w:val="228"/>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Common stock, $0.001 par value; 180,000,000 shares authorized, 67,755,374 and 66,165,666 shares</w:t>
            </w:r>
          </w:p>
        </w:tc>
        <w:tc>
          <w:tcPr>
            <w:tcW w:w="480" w:type="dxa"/>
            <w:vAlign w:val="bottom"/>
            <w:shd w:val="clear" w:color="auto" w:fill="F4F4F4"/>
          </w:tcPr>
          <w:p>
            <w:pPr>
              <w:spacing w:after="0"/>
              <w:rPr>
                <w:sz w:val="19"/>
                <w:szCs w:val="19"/>
                <w:color w:val="auto"/>
              </w:rPr>
            </w:pPr>
          </w:p>
        </w:tc>
        <w:tc>
          <w:tcPr>
            <w:tcW w:w="1160" w:type="dxa"/>
            <w:vAlign w:val="bottom"/>
            <w:shd w:val="clear" w:color="auto" w:fill="F4F4F4"/>
          </w:tcPr>
          <w:p>
            <w:pPr>
              <w:spacing w:after="0"/>
              <w:rPr>
                <w:sz w:val="19"/>
                <w:szCs w:val="19"/>
                <w:color w:val="auto"/>
              </w:rPr>
            </w:pP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r>
      <w:tr>
        <w:trPr>
          <w:trHeight w:val="214"/>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issued at June 30, 2022 and December 31, 2021, respectively</w:t>
            </w:r>
          </w:p>
        </w:tc>
        <w:tc>
          <w:tcPr>
            <w:tcW w:w="480" w:type="dxa"/>
            <w:vAlign w:val="bottom"/>
            <w:shd w:val="clear" w:color="auto" w:fill="F4F4F4"/>
          </w:tcPr>
          <w:p>
            <w:pPr>
              <w:spacing w:after="0"/>
              <w:rPr>
                <w:sz w:val="18"/>
                <w:szCs w:val="18"/>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68</w:t>
            </w:r>
          </w:p>
        </w:tc>
        <w:tc>
          <w:tcPr>
            <w:tcW w:w="400" w:type="dxa"/>
            <w:vAlign w:val="bottom"/>
            <w:shd w:val="clear" w:color="auto" w:fill="F4F4F4"/>
          </w:tcPr>
          <w:p>
            <w:pPr>
              <w:spacing w:after="0"/>
              <w:rPr>
                <w:sz w:val="18"/>
                <w:szCs w:val="18"/>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66</w:t>
            </w:r>
          </w:p>
        </w:tc>
        <w:tc>
          <w:tcPr>
            <w:tcW w:w="20" w:type="dxa"/>
            <w:vAlign w:val="bottom"/>
          </w:tcPr>
          <w:p>
            <w:pPr>
              <w:spacing w:after="0"/>
              <w:rPr>
                <w:sz w:val="18"/>
                <w:szCs w:val="18"/>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auto"/>
              </w:rPr>
              <w:t>Additional paid-in capital</w:t>
            </w: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1,020,835</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968,927</w:t>
            </w:r>
          </w:p>
        </w:tc>
        <w:tc>
          <w:tcPr>
            <w:tcW w:w="20" w:type="dxa"/>
            <w:vAlign w:val="bottom"/>
          </w:tcPr>
          <w:p>
            <w:pPr>
              <w:spacing w:after="0"/>
              <w:rPr>
                <w:sz w:val="20"/>
                <w:szCs w:val="20"/>
                <w:color w:val="auto"/>
              </w:rPr>
            </w:pPr>
          </w:p>
        </w:tc>
      </w:tr>
      <w:tr>
        <w:trPr>
          <w:trHeight w:val="228"/>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Treasury stock, at cost; 14,731,484 and 14,182,805 shares at June 30, 2022 and December 31, 2021,</w:t>
            </w:r>
          </w:p>
        </w:tc>
        <w:tc>
          <w:tcPr>
            <w:tcW w:w="480" w:type="dxa"/>
            <w:vAlign w:val="bottom"/>
            <w:shd w:val="clear" w:color="auto" w:fill="F4F4F4"/>
          </w:tcPr>
          <w:p>
            <w:pPr>
              <w:spacing w:after="0"/>
              <w:rPr>
                <w:sz w:val="19"/>
                <w:szCs w:val="19"/>
                <w:color w:val="auto"/>
              </w:rPr>
            </w:pPr>
          </w:p>
        </w:tc>
        <w:tc>
          <w:tcPr>
            <w:tcW w:w="1160" w:type="dxa"/>
            <w:vAlign w:val="bottom"/>
            <w:shd w:val="clear" w:color="auto" w:fill="F4F4F4"/>
          </w:tcPr>
          <w:p>
            <w:pPr>
              <w:spacing w:after="0"/>
              <w:rPr>
                <w:sz w:val="19"/>
                <w:szCs w:val="19"/>
                <w:color w:val="auto"/>
              </w:rPr>
            </w:pP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r>
      <w:tr>
        <w:trPr>
          <w:trHeight w:val="214"/>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respectively</w:t>
            </w:r>
          </w:p>
        </w:tc>
        <w:tc>
          <w:tcPr>
            <w:tcW w:w="480" w:type="dxa"/>
            <w:vAlign w:val="bottom"/>
            <w:shd w:val="clear" w:color="auto" w:fill="F4F4F4"/>
          </w:tcPr>
          <w:p>
            <w:pPr>
              <w:spacing w:after="0"/>
              <w:rPr>
                <w:sz w:val="18"/>
                <w:szCs w:val="18"/>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(536,511)</w:t>
            </w:r>
          </w:p>
        </w:tc>
        <w:tc>
          <w:tcPr>
            <w:tcW w:w="400" w:type="dxa"/>
            <w:vAlign w:val="bottom"/>
            <w:shd w:val="clear" w:color="auto" w:fill="F4F4F4"/>
          </w:tcPr>
          <w:p>
            <w:pPr>
              <w:spacing w:after="0"/>
              <w:rPr>
                <w:sz w:val="18"/>
                <w:szCs w:val="18"/>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(500,911)</w:t>
            </w:r>
          </w:p>
        </w:tc>
        <w:tc>
          <w:tcPr>
            <w:tcW w:w="20" w:type="dxa"/>
            <w:vAlign w:val="bottom"/>
          </w:tcPr>
          <w:p>
            <w:pPr>
              <w:spacing w:after="0"/>
              <w:rPr>
                <w:sz w:val="18"/>
                <w:szCs w:val="18"/>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auto"/>
              </w:rPr>
              <w:t>Accumulated other comprehensive income</w:t>
            </w: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7,455</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6,522</w:t>
            </w:r>
          </w:p>
        </w:tc>
        <w:tc>
          <w:tcPr>
            <w:tcW w:w="20" w:type="dxa"/>
            <w:vAlign w:val="bottom"/>
          </w:tcPr>
          <w:p>
            <w:pPr>
              <w:spacing w:after="0"/>
              <w:rPr>
                <w:sz w:val="20"/>
                <w:szCs w:val="20"/>
                <w:color w:val="auto"/>
              </w:rPr>
            </w:pPr>
          </w:p>
        </w:tc>
      </w:tr>
      <w:tr>
        <w:trPr>
          <w:trHeight w:val="253"/>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Retained earnings</w:t>
            </w:r>
          </w:p>
        </w:tc>
        <w:tc>
          <w:tcPr>
            <w:tcW w:w="480" w:type="dxa"/>
            <w:vAlign w:val="bottom"/>
            <w:tcBorders>
              <w:bottom w:val="single" w:sz="8" w:color="auto"/>
            </w:tcBorders>
            <w:shd w:val="clear" w:color="auto" w:fill="F4F4F4"/>
          </w:tcPr>
          <w:p>
            <w:pPr>
              <w:spacing w:after="0"/>
              <w:rPr>
                <w:sz w:val="21"/>
                <w:szCs w:val="21"/>
                <w:color w:val="auto"/>
              </w:rPr>
            </w:pPr>
          </w:p>
        </w:tc>
        <w:tc>
          <w:tcPr>
            <w:tcW w:w="11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228,627</w:t>
            </w:r>
          </w:p>
        </w:tc>
        <w:tc>
          <w:tcPr>
            <w:tcW w:w="400" w:type="dxa"/>
            <w:vAlign w:val="bottom"/>
            <w:tcBorders>
              <w:bottom w:val="single" w:sz="8" w:color="auto"/>
            </w:tcBorders>
            <w:shd w:val="clear" w:color="auto" w:fill="F4F4F4"/>
          </w:tcPr>
          <w:p>
            <w:pPr>
              <w:spacing w:after="0"/>
              <w:rPr>
                <w:sz w:val="21"/>
                <w:szCs w:val="21"/>
                <w:color w:val="auto"/>
              </w:rPr>
            </w:pP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242,456</w:t>
            </w:r>
          </w:p>
        </w:tc>
        <w:tc>
          <w:tcPr>
            <w:tcW w:w="20" w:type="dxa"/>
            <w:vAlign w:val="bottom"/>
          </w:tcPr>
          <w:p>
            <w:pPr>
              <w:spacing w:after="0"/>
              <w:rPr>
                <w:sz w:val="21"/>
                <w:szCs w:val="21"/>
                <w:color w:val="auto"/>
              </w:rPr>
            </w:pPr>
          </w:p>
        </w:tc>
      </w:tr>
      <w:tr>
        <w:trPr>
          <w:trHeight w:val="230"/>
        </w:trPr>
        <w:tc>
          <w:tcPr>
            <w:tcW w:w="7920" w:type="dxa"/>
            <w:vAlign w:val="bottom"/>
            <w:tcBorders>
              <w:bottom w:val="single" w:sz="8" w:color="F4F4F4"/>
            </w:tcBorders>
          </w:tcPr>
          <w:p>
            <w:pPr>
              <w:ind w:left="880"/>
              <w:spacing w:after="0"/>
              <w:rPr>
                <w:sz w:val="20"/>
                <w:szCs w:val="20"/>
                <w:color w:val="auto"/>
              </w:rPr>
            </w:pPr>
            <w:r>
              <w:rPr>
                <w:rFonts w:ascii="Arial" w:cs="Arial" w:eastAsia="Arial" w:hAnsi="Arial"/>
                <w:sz w:val="16"/>
                <w:szCs w:val="16"/>
                <w:b w:val="1"/>
                <w:bCs w:val="1"/>
                <w:color w:val="auto"/>
              </w:rPr>
              <w:t>Total stockholders’ equity</w:t>
            </w: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720,474</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717,060</w:t>
            </w:r>
          </w:p>
        </w:tc>
        <w:tc>
          <w:tcPr>
            <w:tcW w:w="20" w:type="dxa"/>
            <w:vAlign w:val="bottom"/>
          </w:tcPr>
          <w:p>
            <w:pPr>
              <w:spacing w:after="0"/>
              <w:rPr>
                <w:sz w:val="20"/>
                <w:szCs w:val="20"/>
                <w:color w:val="auto"/>
              </w:rPr>
            </w:pPr>
          </w:p>
        </w:tc>
      </w:tr>
      <w:tr>
        <w:trPr>
          <w:trHeight w:val="237"/>
        </w:trPr>
        <w:tc>
          <w:tcPr>
            <w:tcW w:w="7920" w:type="dxa"/>
            <w:vAlign w:val="bottom"/>
            <w:tcBorders>
              <w:bottom w:val="single" w:sz="8" w:color="71BF43"/>
            </w:tcBorders>
            <w:shd w:val="clear" w:color="auto" w:fill="F4F4F4"/>
          </w:tcPr>
          <w:p>
            <w:pPr>
              <w:ind w:left="880"/>
              <w:spacing w:after="0"/>
              <w:rPr>
                <w:sz w:val="20"/>
                <w:szCs w:val="20"/>
                <w:color w:val="auto"/>
              </w:rPr>
            </w:pPr>
            <w:r>
              <w:rPr>
                <w:rFonts w:ascii="Arial" w:cs="Arial" w:eastAsia="Arial" w:hAnsi="Arial"/>
                <w:sz w:val="16"/>
                <w:szCs w:val="16"/>
                <w:b w:val="1"/>
                <w:bCs w:val="1"/>
                <w:color w:val="auto"/>
              </w:rPr>
              <w:t>Total liabilities and stockholders’ equity</w:t>
            </w:r>
          </w:p>
        </w:tc>
        <w:tc>
          <w:tcPr>
            <w:tcW w:w="480" w:type="dxa"/>
            <w:vAlign w:val="bottom"/>
            <w:tcBorders>
              <w:bottom w:val="single" w:sz="8" w:color="71BF43"/>
            </w:tcBorders>
            <w:shd w:val="clear" w:color="auto" w:fill="F4F4F4"/>
          </w:tcPr>
          <w:p>
            <w:pPr>
              <w:jc w:val="right"/>
              <w:ind w:right="2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2,825,522</w:t>
            </w:r>
          </w:p>
        </w:tc>
        <w:tc>
          <w:tcPr>
            <w:tcW w:w="400" w:type="dxa"/>
            <w:vAlign w:val="bottom"/>
            <w:tcBorders>
              <w:bottom w:val="single" w:sz="8" w:color="71BF43"/>
            </w:tcBorders>
            <w:shd w:val="clear" w:color="auto" w:fill="F4F4F4"/>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2,971,617</w:t>
            </w:r>
          </w:p>
        </w:tc>
        <w:tc>
          <w:tcPr>
            <w:tcW w:w="20" w:type="dxa"/>
            <w:vAlign w:val="bottom"/>
          </w:tcPr>
          <w:p>
            <w:pPr>
              <w:spacing w:after="0"/>
              <w:rPr>
                <w:sz w:val="20"/>
                <w:szCs w:val="20"/>
                <w:color w:val="auto"/>
              </w:rPr>
            </w:pPr>
          </w:p>
        </w:tc>
      </w:tr>
    </w:tbl>
    <w:p>
      <w:pPr>
        <w:spacing w:after="0" w:line="1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302260</wp:posOffset>
            </wp:positionV>
            <wp:extent cx="67691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6910" cy="17145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60" w:type="dxa"/>
            <w:vAlign w:val="bottom"/>
          </w:tcPr>
          <w:p>
            <w:pPr>
              <w:ind w:left="7480"/>
              <w:spacing w:after="0"/>
              <w:rPr>
                <w:sz w:val="20"/>
                <w:szCs w:val="20"/>
                <w:color w:val="auto"/>
              </w:rPr>
            </w:pPr>
            <w:r>
              <w:rPr>
                <w:rFonts w:ascii="Arial" w:cs="Arial" w:eastAsia="Arial" w:hAnsi="Arial"/>
                <w:sz w:val="14"/>
                <w:szCs w:val="14"/>
                <w:color w:val="auto"/>
              </w:rPr>
              <w:t>Second Quarter 2022 Form 10-Q</w:t>
            </w: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316"/>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4" w:name="page5"/>
    <w:bookmarkEnd w:id="4"/>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tcBorders>
              <w:top w:val="single" w:sz="8" w:color="ACACAC"/>
            </w:tcBorders>
            <w:shd w:val="clear" w:color="auto" w:fill="ACACAC"/>
          </w:tcPr>
          <w:p>
            <w:pPr>
              <w:spacing w:after="0"/>
              <w:rPr>
                <w:sz w:val="16"/>
                <w:szCs w:val="16"/>
                <w:color w:val="auto"/>
              </w:rPr>
            </w:pPr>
          </w:p>
        </w:tc>
        <w:tc>
          <w:tcPr>
            <w:tcW w:w="2620" w:type="dxa"/>
            <w:vAlign w:val="bottom"/>
            <w:tcBorders>
              <w:top w:val="single" w:sz="8" w:color="ACACAC"/>
            </w:tcBorders>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Borders>
              <w:top w:val="single" w:sz="8" w:color="ACACAC"/>
            </w:tcBorders>
          </w:tcPr>
          <w:p>
            <w:pPr>
              <w:spacing w:after="0"/>
              <w:rPr>
                <w:sz w:val="16"/>
                <w:szCs w:val="16"/>
                <w:color w:val="auto"/>
              </w:rPr>
            </w:pPr>
          </w:p>
        </w:tc>
        <w:tc>
          <w:tcPr>
            <w:tcW w:w="1320" w:type="dxa"/>
            <w:vAlign w:val="bottom"/>
            <w:tcBorders>
              <w:top w:val="single" w:sz="8" w:color="ACACAC"/>
            </w:tcBorders>
            <w:shd w:val="clear" w:color="auto" w:fill="ACACAC"/>
          </w:tcPr>
          <w:p>
            <w:pPr>
              <w:spacing w:after="0"/>
              <w:rPr>
                <w:sz w:val="16"/>
                <w:szCs w:val="16"/>
                <w:color w:val="auto"/>
              </w:rPr>
            </w:pPr>
          </w:p>
        </w:tc>
        <w:tc>
          <w:tcPr>
            <w:tcW w:w="1320" w:type="dxa"/>
            <w:vAlign w:val="bottom"/>
            <w:tcBorders>
              <w:top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Six months ended</w:t>
            </w:r>
          </w:p>
        </w:tc>
      </w:tr>
      <w:tr>
        <w:trPr>
          <w:trHeight w:val="190"/>
        </w:trPr>
        <w:tc>
          <w:tcPr>
            <w:tcW w:w="5900" w:type="dxa"/>
            <w:vAlign w:val="bottom"/>
            <w:shd w:val="clear" w:color="auto" w:fill="ACACAC"/>
          </w:tcPr>
          <w:p>
            <w:pPr>
              <w:spacing w:after="0"/>
              <w:rPr>
                <w:sz w:val="16"/>
                <w:szCs w:val="16"/>
                <w:color w:val="auto"/>
              </w:rPr>
            </w:pPr>
          </w:p>
        </w:tc>
        <w:tc>
          <w:tcPr>
            <w:tcW w:w="1310" w:type="dxa"/>
            <w:vAlign w:val="bottom"/>
            <w:shd w:val="clear" w:color="auto" w:fill="ACACAC"/>
          </w:tcPr>
          <w:p>
            <w:pPr>
              <w:spacing w:after="0"/>
              <w:rPr>
                <w:sz w:val="16"/>
                <w:szCs w:val="16"/>
                <w:color w:val="auto"/>
              </w:rPr>
            </w:pPr>
          </w:p>
        </w:tc>
        <w:tc>
          <w:tcPr>
            <w:tcW w:w="131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100" w:type="dxa"/>
            <w:vAlign w:val="bottom"/>
          </w:tcPr>
          <w:p>
            <w:pPr>
              <w:spacing w:after="0"/>
              <w:rPr>
                <w:sz w:val="16"/>
                <w:szCs w:val="16"/>
                <w:color w:val="auto"/>
              </w:rPr>
            </w:pPr>
          </w:p>
        </w:tc>
        <w:tc>
          <w:tcPr>
            <w:tcW w:w="1320" w:type="dxa"/>
            <w:vAlign w:val="bottom"/>
            <w:shd w:val="clear" w:color="auto" w:fill="ACACAC"/>
          </w:tcPr>
          <w:p>
            <w:pPr>
              <w:spacing w:after="0"/>
              <w:rPr>
                <w:sz w:val="16"/>
                <w:szCs w:val="16"/>
                <w:color w:val="auto"/>
              </w:rPr>
            </w:pPr>
          </w:p>
        </w:tc>
        <w:tc>
          <w:tcPr>
            <w:tcW w:w="13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r>
      <w:tr>
        <w:trPr>
          <w:trHeight w:val="230"/>
        </w:trPr>
        <w:tc>
          <w:tcPr>
            <w:tcW w:w="590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131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131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00" w:type="dxa"/>
            <w:vAlign w:val="bottom"/>
          </w:tcPr>
          <w:p>
            <w:pPr>
              <w:spacing w:after="0"/>
              <w:rPr>
                <w:sz w:val="19"/>
                <w:szCs w:val="19"/>
                <w:color w:val="auto"/>
              </w:rPr>
            </w:pPr>
          </w:p>
        </w:tc>
        <w:tc>
          <w:tcPr>
            <w:tcW w:w="13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13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r>
      <w:tr>
        <w:trPr>
          <w:trHeight w:val="26"/>
        </w:trPr>
        <w:tc>
          <w:tcPr>
            <w:tcW w:w="5900" w:type="dxa"/>
            <w:vAlign w:val="bottom"/>
            <w:shd w:val="clear" w:color="auto" w:fill="ACACAC"/>
          </w:tcPr>
          <w:p>
            <w:pPr>
              <w:spacing w:after="0"/>
              <w:rPr>
                <w:sz w:val="2"/>
                <w:szCs w:val="2"/>
                <w:color w:val="auto"/>
              </w:rPr>
            </w:pPr>
          </w:p>
        </w:tc>
        <w:tc>
          <w:tcPr>
            <w:tcW w:w="1310" w:type="dxa"/>
            <w:vAlign w:val="bottom"/>
            <w:shd w:val="clear" w:color="auto" w:fill="ACACAC"/>
          </w:tcPr>
          <w:p>
            <w:pPr>
              <w:spacing w:after="0"/>
              <w:rPr>
                <w:sz w:val="2"/>
                <w:szCs w:val="2"/>
                <w:color w:val="auto"/>
              </w:rPr>
            </w:pPr>
          </w:p>
        </w:tc>
        <w:tc>
          <w:tcPr>
            <w:tcW w:w="1310" w:type="dxa"/>
            <w:vAlign w:val="bottom"/>
            <w:shd w:val="clear" w:color="auto" w:fill="ACACAC"/>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shd w:val="clear" w:color="auto" w:fill="ACACAC"/>
          </w:tcPr>
          <w:p>
            <w:pPr>
              <w:spacing w:after="0"/>
              <w:rPr>
                <w:sz w:val="2"/>
                <w:szCs w:val="2"/>
                <w:color w:val="auto"/>
              </w:rPr>
            </w:pPr>
          </w:p>
        </w:tc>
        <w:tc>
          <w:tcPr>
            <w:tcW w:w="1320" w:type="dxa"/>
            <w:vAlign w:val="bottom"/>
            <w:shd w:val="clear" w:color="auto" w:fill="ACACA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-153670</wp:posOffset>
            </wp:positionV>
            <wp:extent cx="34029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color w:val="auto"/>
        </w:rPr>
        <w:t>Revenue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00" w:type="dxa"/>
            <w:vAlign w:val="bottom"/>
          </w:tcPr>
          <w:p>
            <w:pPr>
              <w:ind w:left="240"/>
              <w:spacing w:after="0"/>
              <w:rPr>
                <w:sz w:val="20"/>
                <w:szCs w:val="20"/>
                <w:color w:val="auto"/>
              </w:rPr>
            </w:pPr>
            <w:r>
              <w:rPr>
                <w:rFonts w:ascii="Arial" w:cs="Arial" w:eastAsia="Arial" w:hAnsi="Arial"/>
                <w:sz w:val="16"/>
                <w:szCs w:val="16"/>
                <w:color w:val="auto"/>
              </w:rPr>
              <w:t>Recurring</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252,507</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216,986</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497,173</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423,736</w:t>
            </w:r>
          </w:p>
        </w:tc>
      </w:tr>
      <w:tr>
        <w:trPr>
          <w:trHeight w:val="253"/>
        </w:trPr>
        <w:tc>
          <w:tcPr>
            <w:tcW w:w="5900" w:type="dxa"/>
            <w:vAlign w:val="bottom"/>
            <w:shd w:val="clear" w:color="auto" w:fill="F4F4F4"/>
          </w:tcPr>
          <w:p>
            <w:pPr>
              <w:ind w:left="240"/>
              <w:spacing w:after="0"/>
              <w:rPr>
                <w:sz w:val="20"/>
                <w:szCs w:val="20"/>
                <w:color w:val="auto"/>
              </w:rPr>
            </w:pPr>
            <w:r>
              <w:rPr>
                <w:rFonts w:ascii="Arial" w:cs="Arial" w:eastAsia="Arial" w:hAnsi="Arial"/>
                <w:sz w:val="16"/>
                <w:szCs w:val="16"/>
                <w:color w:val="auto"/>
              </w:rPr>
              <w:t>One-time services and other</w:t>
            </w: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12,420</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12,454</w:t>
            </w:r>
          </w:p>
        </w:tc>
        <w:tc>
          <w:tcPr>
            <w:tcW w:w="100" w:type="dxa"/>
            <w:vAlign w:val="bottom"/>
            <w:shd w:val="clear" w:color="auto" w:fill="F4F4F4"/>
          </w:tcPr>
          <w:p>
            <w:pPr>
              <w:spacing w:after="0"/>
              <w:rPr>
                <w:sz w:val="21"/>
                <w:szCs w:val="21"/>
                <w:color w:val="auto"/>
              </w:rPr>
            </w:pP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24,878</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24,895</w:t>
            </w:r>
          </w:p>
        </w:tc>
      </w:tr>
      <w:tr>
        <w:trPr>
          <w:trHeight w:val="227"/>
        </w:trPr>
        <w:tc>
          <w:tcPr>
            <w:tcW w:w="5900" w:type="dxa"/>
            <w:vAlign w:val="bottom"/>
          </w:tcPr>
          <w:p>
            <w:pPr>
              <w:ind w:left="460"/>
              <w:spacing w:after="0"/>
              <w:rPr>
                <w:sz w:val="20"/>
                <w:szCs w:val="20"/>
                <w:color w:val="auto"/>
              </w:rPr>
            </w:pPr>
            <w:r>
              <w:rPr>
                <w:rFonts w:ascii="Arial" w:cs="Arial" w:eastAsia="Arial" w:hAnsi="Arial"/>
                <w:sz w:val="16"/>
                <w:szCs w:val="16"/>
                <w:b w:val="1"/>
                <w:bCs w:val="1"/>
                <w:color w:val="auto"/>
              </w:rPr>
              <w:t>Total revenue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264,927</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229,440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522,051</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448,631</w:t>
            </w:r>
          </w:p>
        </w:tc>
      </w:tr>
      <w:tr>
        <w:trPr>
          <w:trHeight w:val="253"/>
        </w:trPr>
        <w:tc>
          <w:tcPr>
            <w:tcW w:w="590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Cost of revenue</w:t>
            </w:r>
          </w:p>
        </w:tc>
        <w:tc>
          <w:tcPr>
            <w:tcW w:w="260" w:type="dxa"/>
            <w:vAlign w:val="bottom"/>
            <w:shd w:val="clear" w:color="auto" w:fill="F4F4F4"/>
          </w:tcPr>
          <w:p>
            <w:pPr>
              <w:spacing w:after="0"/>
              <w:rPr>
                <w:sz w:val="21"/>
                <w:szCs w:val="21"/>
                <w:color w:val="auto"/>
              </w:rPr>
            </w:pPr>
          </w:p>
        </w:tc>
        <w:tc>
          <w:tcPr>
            <w:tcW w:w="1040" w:type="dxa"/>
            <w:vAlign w:val="bottom"/>
            <w:shd w:val="clear" w:color="auto" w:fill="F4F4F4"/>
          </w:tcPr>
          <w:p>
            <w:pPr>
              <w:spacing w:after="0"/>
              <w:rPr>
                <w:sz w:val="21"/>
                <w:szCs w:val="21"/>
                <w:color w:val="auto"/>
              </w:rPr>
            </w:pPr>
          </w:p>
        </w:tc>
        <w:tc>
          <w:tcPr>
            <w:tcW w:w="280" w:type="dxa"/>
            <w:vAlign w:val="bottom"/>
            <w:shd w:val="clear" w:color="auto" w:fill="F4F4F4"/>
          </w:tcPr>
          <w:p>
            <w:pPr>
              <w:spacing w:after="0"/>
              <w:rPr>
                <w:sz w:val="21"/>
                <w:szCs w:val="21"/>
                <w:color w:val="auto"/>
              </w:rPr>
            </w:pPr>
          </w:p>
        </w:tc>
        <w:tc>
          <w:tcPr>
            <w:tcW w:w="1040" w:type="dxa"/>
            <w:vAlign w:val="bottom"/>
            <w:shd w:val="clear" w:color="auto" w:fill="F4F4F4"/>
          </w:tcPr>
          <w:p>
            <w:pPr>
              <w:spacing w:after="0"/>
              <w:rPr>
                <w:sz w:val="21"/>
                <w:szCs w:val="21"/>
                <w:color w:val="auto"/>
              </w:rPr>
            </w:pPr>
          </w:p>
        </w:tc>
        <w:tc>
          <w:tcPr>
            <w:tcW w:w="100" w:type="dxa"/>
            <w:vAlign w:val="bottom"/>
            <w:shd w:val="clear" w:color="auto" w:fill="F4F4F4"/>
          </w:tcPr>
          <w:p>
            <w:pPr>
              <w:spacing w:after="0"/>
              <w:rPr>
                <w:sz w:val="21"/>
                <w:szCs w:val="21"/>
                <w:color w:val="auto"/>
              </w:rPr>
            </w:pPr>
          </w:p>
        </w:tc>
        <w:tc>
          <w:tcPr>
            <w:tcW w:w="260" w:type="dxa"/>
            <w:vAlign w:val="bottom"/>
            <w:shd w:val="clear" w:color="auto" w:fill="F4F4F4"/>
          </w:tcPr>
          <w:p>
            <w:pPr>
              <w:spacing w:after="0"/>
              <w:rPr>
                <w:sz w:val="21"/>
                <w:szCs w:val="21"/>
                <w:color w:val="auto"/>
              </w:rPr>
            </w:pPr>
          </w:p>
        </w:tc>
        <w:tc>
          <w:tcPr>
            <w:tcW w:w="1040" w:type="dxa"/>
            <w:vAlign w:val="bottom"/>
            <w:shd w:val="clear" w:color="auto" w:fill="F4F4F4"/>
          </w:tcPr>
          <w:p>
            <w:pPr>
              <w:spacing w:after="0"/>
              <w:rPr>
                <w:sz w:val="21"/>
                <w:szCs w:val="21"/>
                <w:color w:val="auto"/>
              </w:rPr>
            </w:pPr>
          </w:p>
        </w:tc>
        <w:tc>
          <w:tcPr>
            <w:tcW w:w="280" w:type="dxa"/>
            <w:vAlign w:val="bottom"/>
            <w:shd w:val="clear" w:color="auto" w:fill="F4F4F4"/>
          </w:tcPr>
          <w:p>
            <w:pPr>
              <w:spacing w:after="0"/>
              <w:rPr>
                <w:sz w:val="21"/>
                <w:szCs w:val="21"/>
                <w:color w:val="auto"/>
              </w:rPr>
            </w:pPr>
          </w:p>
        </w:tc>
        <w:tc>
          <w:tcPr>
            <w:tcW w:w="1040" w:type="dxa"/>
            <w:vAlign w:val="bottom"/>
            <w:shd w:val="clear" w:color="auto" w:fill="F4F4F4"/>
          </w:tcPr>
          <w:p>
            <w:pPr>
              <w:spacing w:after="0"/>
              <w:rPr>
                <w:sz w:val="21"/>
                <w:szCs w:val="21"/>
                <w:color w:val="auto"/>
              </w:rPr>
            </w:pPr>
          </w:p>
        </w:tc>
      </w:tr>
      <w:tr>
        <w:trPr>
          <w:trHeight w:val="233"/>
        </w:trPr>
        <w:tc>
          <w:tcPr>
            <w:tcW w:w="5900" w:type="dxa"/>
            <w:vAlign w:val="bottom"/>
          </w:tcPr>
          <w:p>
            <w:pPr>
              <w:ind w:left="240"/>
              <w:spacing w:after="0"/>
              <w:rPr>
                <w:sz w:val="20"/>
                <w:szCs w:val="20"/>
                <w:color w:val="auto"/>
              </w:rPr>
            </w:pPr>
            <w:r>
              <w:rPr>
                <w:rFonts w:ascii="Arial" w:cs="Arial" w:eastAsia="Arial" w:hAnsi="Arial"/>
                <w:sz w:val="16"/>
                <w:szCs w:val="16"/>
                <w:color w:val="auto"/>
              </w:rPr>
              <w:t>Cost of recurring</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114,487</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94,435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226,661</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183,300</w:t>
            </w:r>
          </w:p>
        </w:tc>
      </w:tr>
      <w:tr>
        <w:trPr>
          <w:trHeight w:val="253"/>
        </w:trPr>
        <w:tc>
          <w:tcPr>
            <w:tcW w:w="5900" w:type="dxa"/>
            <w:vAlign w:val="bottom"/>
            <w:shd w:val="clear" w:color="auto" w:fill="F4F4F4"/>
          </w:tcPr>
          <w:p>
            <w:pPr>
              <w:ind w:left="240"/>
              <w:spacing w:after="0"/>
              <w:rPr>
                <w:sz w:val="20"/>
                <w:szCs w:val="20"/>
                <w:color w:val="auto"/>
              </w:rPr>
            </w:pPr>
            <w:r>
              <w:rPr>
                <w:rFonts w:ascii="Arial" w:cs="Arial" w:eastAsia="Arial" w:hAnsi="Arial"/>
                <w:sz w:val="16"/>
                <w:szCs w:val="16"/>
                <w:color w:val="auto"/>
              </w:rPr>
              <w:t>Cost of one-time services and other</w:t>
            </w: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11,120</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13,635</w:t>
            </w:r>
          </w:p>
        </w:tc>
        <w:tc>
          <w:tcPr>
            <w:tcW w:w="100" w:type="dxa"/>
            <w:vAlign w:val="bottom"/>
            <w:shd w:val="clear" w:color="auto" w:fill="F4F4F4"/>
          </w:tcPr>
          <w:p>
            <w:pPr>
              <w:spacing w:after="0"/>
              <w:rPr>
                <w:sz w:val="21"/>
                <w:szCs w:val="21"/>
                <w:color w:val="auto"/>
              </w:rPr>
            </w:pP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22,308</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28,155</w:t>
            </w:r>
          </w:p>
        </w:tc>
      </w:tr>
      <w:tr>
        <w:trPr>
          <w:trHeight w:val="230"/>
        </w:trPr>
        <w:tc>
          <w:tcPr>
            <w:tcW w:w="5900" w:type="dxa"/>
            <w:vAlign w:val="bottom"/>
            <w:tcBorders>
              <w:bottom w:val="single" w:sz="8" w:color="F4F4F4"/>
            </w:tcBorders>
          </w:tcPr>
          <w:p>
            <w:pPr>
              <w:ind w:left="460"/>
              <w:spacing w:after="0"/>
              <w:rPr>
                <w:sz w:val="20"/>
                <w:szCs w:val="20"/>
                <w:color w:val="auto"/>
              </w:rPr>
            </w:pPr>
            <w:r>
              <w:rPr>
                <w:rFonts w:ascii="Arial" w:cs="Arial" w:eastAsia="Arial" w:hAnsi="Arial"/>
                <w:sz w:val="16"/>
                <w:szCs w:val="16"/>
                <w:b w:val="1"/>
                <w:bCs w:val="1"/>
                <w:color w:val="auto"/>
              </w:rPr>
              <w:t>Total cost of revenue</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125,607</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108,070</w:t>
            </w:r>
          </w:p>
        </w:tc>
        <w:tc>
          <w:tcPr>
            <w:tcW w:w="100" w:type="dxa"/>
            <w:vAlign w:val="bottom"/>
            <w:tcBorders>
              <w:bottom w:val="single" w:sz="8" w:color="F4F4F4"/>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248,969</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211,455</w:t>
            </w:r>
          </w:p>
        </w:tc>
      </w:tr>
      <w:tr>
        <w:trPr>
          <w:trHeight w:val="243"/>
        </w:trPr>
        <w:tc>
          <w:tcPr>
            <w:tcW w:w="590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Gross profit</w:t>
            </w: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139,320</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121,370</w:t>
            </w:r>
          </w:p>
        </w:tc>
        <w:tc>
          <w:tcPr>
            <w:tcW w:w="100" w:type="dxa"/>
            <w:vAlign w:val="bottom"/>
            <w:shd w:val="clear" w:color="auto" w:fill="F4F4F4"/>
          </w:tcPr>
          <w:p>
            <w:pPr>
              <w:spacing w:after="0"/>
              <w:rPr>
                <w:sz w:val="21"/>
                <w:szCs w:val="21"/>
                <w:color w:val="auto"/>
              </w:rPr>
            </w:pP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273,082</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237,176</w:t>
            </w: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3"/>
        </w:trPr>
        <w:tc>
          <w:tcPr>
            <w:tcW w:w="5900" w:type="dxa"/>
            <w:vAlign w:val="bottom"/>
            <w:shd w:val="clear" w:color="auto" w:fill="F4F4F4"/>
          </w:tcPr>
          <w:p>
            <w:pPr>
              <w:ind w:left="240"/>
              <w:spacing w:after="0"/>
              <w:rPr>
                <w:sz w:val="20"/>
                <w:szCs w:val="20"/>
                <w:color w:val="auto"/>
              </w:rPr>
            </w:pPr>
            <w:r>
              <w:rPr>
                <w:rFonts w:ascii="Arial" w:cs="Arial" w:eastAsia="Arial" w:hAnsi="Arial"/>
                <w:sz w:val="16"/>
                <w:szCs w:val="16"/>
                <w:color w:val="auto"/>
              </w:rPr>
              <w:t>Sales, marketing and customer success</w:t>
            </w:r>
          </w:p>
        </w:tc>
        <w:tc>
          <w:tcPr>
            <w:tcW w:w="26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52,737</w:t>
            </w:r>
          </w:p>
        </w:tc>
        <w:tc>
          <w:tcPr>
            <w:tcW w:w="28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45,452</w:t>
            </w:r>
          </w:p>
        </w:tc>
        <w:tc>
          <w:tcPr>
            <w:tcW w:w="100" w:type="dxa"/>
            <w:vAlign w:val="bottom"/>
            <w:shd w:val="clear" w:color="auto" w:fill="F4F4F4"/>
          </w:tcPr>
          <w:p>
            <w:pPr>
              <w:spacing w:after="0"/>
              <w:rPr>
                <w:sz w:val="21"/>
                <w:szCs w:val="21"/>
                <w:color w:val="auto"/>
              </w:rPr>
            </w:pPr>
          </w:p>
        </w:tc>
        <w:tc>
          <w:tcPr>
            <w:tcW w:w="26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107,953</w:t>
            </w:r>
          </w:p>
        </w:tc>
        <w:tc>
          <w:tcPr>
            <w:tcW w:w="28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94,245</w:t>
            </w:r>
          </w:p>
        </w:tc>
      </w:tr>
      <w:tr>
        <w:trPr>
          <w:trHeight w:val="233"/>
        </w:trPr>
        <w:tc>
          <w:tcPr>
            <w:tcW w:w="590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38,333</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30,222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78,285</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59,401</w:t>
            </w:r>
          </w:p>
        </w:tc>
      </w:tr>
      <w:tr>
        <w:trPr>
          <w:trHeight w:val="253"/>
        </w:trPr>
        <w:tc>
          <w:tcPr>
            <w:tcW w:w="5900" w:type="dxa"/>
            <w:vAlign w:val="bottom"/>
            <w:shd w:val="clear" w:color="auto" w:fill="F4F4F4"/>
          </w:tcPr>
          <w:p>
            <w:pPr>
              <w:ind w:left="24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47,391</w:t>
            </w:r>
          </w:p>
        </w:tc>
        <w:tc>
          <w:tcPr>
            <w:tcW w:w="28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32,008</w:t>
            </w:r>
          </w:p>
        </w:tc>
        <w:tc>
          <w:tcPr>
            <w:tcW w:w="100" w:type="dxa"/>
            <w:vAlign w:val="bottom"/>
            <w:shd w:val="clear" w:color="auto" w:fill="F4F4F4"/>
          </w:tcPr>
          <w:p>
            <w:pPr>
              <w:spacing w:after="0"/>
              <w:rPr>
                <w:sz w:val="21"/>
                <w:szCs w:val="21"/>
                <w:color w:val="auto"/>
              </w:rPr>
            </w:pPr>
          </w:p>
        </w:tc>
        <w:tc>
          <w:tcPr>
            <w:tcW w:w="26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91,153</w:t>
            </w:r>
          </w:p>
        </w:tc>
        <w:tc>
          <w:tcPr>
            <w:tcW w:w="28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62,595</w:t>
            </w:r>
          </w:p>
        </w:tc>
      </w:tr>
      <w:tr>
        <w:trPr>
          <w:trHeight w:val="233"/>
        </w:trPr>
        <w:tc>
          <w:tcPr>
            <w:tcW w:w="5900" w:type="dxa"/>
            <w:vAlign w:val="bottom"/>
          </w:tcPr>
          <w:p>
            <w:pPr>
              <w:ind w:left="240"/>
              <w:spacing w:after="0"/>
              <w:rPr>
                <w:sz w:val="20"/>
                <w:szCs w:val="20"/>
                <w:color w:val="auto"/>
              </w:rPr>
            </w:pPr>
            <w:r>
              <w:rPr>
                <w:rFonts w:ascii="Arial" w:cs="Arial" w:eastAsia="Arial" w:hAnsi="Arial"/>
                <w:sz w:val="16"/>
                <w:szCs w:val="16"/>
                <w:color w:val="auto"/>
              </w:rPr>
              <w:t>Amortization</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805</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1,616</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1,116</w:t>
            </w:r>
          </w:p>
        </w:tc>
      </w:tr>
      <w:tr>
        <w:trPr>
          <w:trHeight w:val="253"/>
        </w:trPr>
        <w:tc>
          <w:tcPr>
            <w:tcW w:w="5900" w:type="dxa"/>
            <w:vAlign w:val="bottom"/>
            <w:shd w:val="clear" w:color="auto" w:fill="F4F4F4"/>
          </w:tcPr>
          <w:p>
            <w:pPr>
              <w:ind w:left="240"/>
              <w:spacing w:after="0"/>
              <w:rPr>
                <w:sz w:val="20"/>
                <w:szCs w:val="20"/>
                <w:color w:val="auto"/>
              </w:rPr>
            </w:pPr>
            <w:r>
              <w:rPr>
                <w:rFonts w:ascii="Arial" w:cs="Arial" w:eastAsia="Arial" w:hAnsi="Arial"/>
                <w:sz w:val="16"/>
                <w:szCs w:val="16"/>
                <w:color w:val="auto"/>
              </w:rPr>
              <w:t>Restructuring</w:t>
            </w: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F4F4F4"/>
          </w:tcPr>
          <w:p>
            <w:pPr>
              <w:spacing w:after="0"/>
              <w:rPr>
                <w:sz w:val="21"/>
                <w:szCs w:val="21"/>
                <w:color w:val="auto"/>
              </w:rPr>
            </w:pP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132</w:t>
            </w:r>
          </w:p>
        </w:tc>
      </w:tr>
      <w:tr>
        <w:trPr>
          <w:trHeight w:val="230"/>
        </w:trPr>
        <w:tc>
          <w:tcPr>
            <w:tcW w:w="5900" w:type="dxa"/>
            <w:vAlign w:val="bottom"/>
            <w:tcBorders>
              <w:bottom w:val="single" w:sz="8" w:color="F4F4F4"/>
            </w:tcBorders>
          </w:tcPr>
          <w:p>
            <w:pPr>
              <w:ind w:left="460"/>
              <w:spacing w:after="0"/>
              <w:rPr>
                <w:sz w:val="20"/>
                <w:szCs w:val="20"/>
                <w:color w:val="auto"/>
              </w:rPr>
            </w:pPr>
            <w:r>
              <w:rPr>
                <w:rFonts w:ascii="Arial" w:cs="Arial" w:eastAsia="Arial" w:hAnsi="Arial"/>
                <w:sz w:val="16"/>
                <w:szCs w:val="16"/>
                <w:b w:val="1"/>
                <w:bCs w:val="1"/>
                <w:color w:val="auto"/>
              </w:rPr>
              <w:t>Total operating expenses</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139,266</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108,327</w:t>
            </w:r>
          </w:p>
        </w:tc>
        <w:tc>
          <w:tcPr>
            <w:tcW w:w="100" w:type="dxa"/>
            <w:vAlign w:val="bottom"/>
            <w:tcBorders>
              <w:bottom w:val="single" w:sz="8" w:color="F4F4F4"/>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279,007</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217,489</w:t>
            </w:r>
          </w:p>
        </w:tc>
      </w:tr>
      <w:tr>
        <w:trPr>
          <w:trHeight w:val="243"/>
        </w:trPr>
        <w:tc>
          <w:tcPr>
            <w:tcW w:w="590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54</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13,043</w:t>
            </w:r>
          </w:p>
        </w:tc>
        <w:tc>
          <w:tcPr>
            <w:tcW w:w="100" w:type="dxa"/>
            <w:vAlign w:val="bottom"/>
            <w:shd w:val="clear" w:color="auto" w:fill="F4F4F4"/>
          </w:tcPr>
          <w:p>
            <w:pPr>
              <w:spacing w:after="0"/>
              <w:rPr>
                <w:sz w:val="21"/>
                <w:szCs w:val="21"/>
                <w:color w:val="auto"/>
              </w:rPr>
            </w:pP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(5,925)</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19,687</w:t>
            </w:r>
          </w:p>
        </w:tc>
      </w:tr>
      <w:tr>
        <w:trPr>
          <w:trHeight w:val="227"/>
        </w:trPr>
        <w:tc>
          <w:tcPr>
            <w:tcW w:w="590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(8,976)</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(16,575)</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(10,168)</w:t>
            </w:r>
          </w:p>
        </w:tc>
      </w:tr>
      <w:tr>
        <w:trPr>
          <w:trHeight w:val="253"/>
        </w:trPr>
        <w:tc>
          <w:tcPr>
            <w:tcW w:w="5900" w:type="dxa"/>
            <w:vAlign w:val="bottom"/>
            <w:shd w:val="clear" w:color="auto" w:fill="F4F4F4"/>
          </w:tcPr>
          <w:p>
            <w:pPr>
              <w:ind w:left="240"/>
              <w:spacing w:after="0"/>
              <w:rPr>
                <w:sz w:val="20"/>
                <w:szCs w:val="20"/>
                <w:color w:val="auto"/>
              </w:rPr>
            </w:pPr>
            <w:r>
              <w:rPr>
                <w:rFonts w:ascii="Arial" w:cs="Arial" w:eastAsia="Arial" w:hAnsi="Arial"/>
                <w:sz w:val="16"/>
                <w:szCs w:val="16"/>
                <w:color w:val="auto"/>
              </w:rPr>
              <w:t>Other income (expense), net</w:t>
            </w: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3,133</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487</w:t>
            </w:r>
          </w:p>
        </w:tc>
        <w:tc>
          <w:tcPr>
            <w:tcW w:w="100" w:type="dxa"/>
            <w:vAlign w:val="bottom"/>
            <w:shd w:val="clear" w:color="auto" w:fill="F4F4F4"/>
          </w:tcPr>
          <w:p>
            <w:pPr>
              <w:spacing w:after="0"/>
              <w:rPr>
                <w:sz w:val="21"/>
                <w:szCs w:val="21"/>
                <w:color w:val="auto"/>
              </w:rPr>
            </w:pP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4,254</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(523)</w:t>
            </w:r>
          </w:p>
        </w:tc>
      </w:tr>
      <w:tr>
        <w:trPr>
          <w:trHeight w:val="227"/>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(Loss) income before provision for income taxes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(5,789)</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(18,246)</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8,996</w:t>
            </w:r>
          </w:p>
        </w:tc>
      </w:tr>
      <w:tr>
        <w:trPr>
          <w:trHeight w:val="253"/>
        </w:trPr>
        <w:tc>
          <w:tcPr>
            <w:tcW w:w="5900" w:type="dxa"/>
            <w:vAlign w:val="bottom"/>
            <w:shd w:val="clear" w:color="auto" w:fill="F4F4F4"/>
          </w:tcPr>
          <w:p>
            <w:pPr>
              <w:ind w:left="240"/>
              <w:spacing w:after="0"/>
              <w:rPr>
                <w:sz w:val="20"/>
                <w:szCs w:val="20"/>
                <w:color w:val="auto"/>
              </w:rPr>
            </w:pPr>
            <w:r>
              <w:rPr>
                <w:rFonts w:ascii="Arial" w:cs="Arial" w:eastAsia="Arial" w:hAnsi="Arial"/>
                <w:sz w:val="16"/>
                <w:szCs w:val="16"/>
                <w:color w:val="auto"/>
              </w:rPr>
              <w:t>Income tax (benefit) provision</w:t>
            </w: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(2,367)</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1,745</w:t>
            </w:r>
          </w:p>
        </w:tc>
        <w:tc>
          <w:tcPr>
            <w:tcW w:w="100" w:type="dxa"/>
            <w:vAlign w:val="bottom"/>
            <w:shd w:val="clear" w:color="auto" w:fill="F4F4F4"/>
          </w:tcPr>
          <w:p>
            <w:pPr>
              <w:spacing w:after="0"/>
              <w:rPr>
                <w:sz w:val="21"/>
                <w:szCs w:val="21"/>
                <w:color w:val="auto"/>
              </w:rPr>
            </w:pP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(4,417)</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2,429</w:t>
            </w:r>
          </w:p>
        </w:tc>
      </w:tr>
      <w:tr>
        <w:trPr>
          <w:trHeight w:val="230"/>
        </w:trPr>
        <w:tc>
          <w:tcPr>
            <w:tcW w:w="5900" w:type="dxa"/>
            <w:vAlign w:val="bottom"/>
            <w:tcBorders>
              <w:bottom w:val="single" w:sz="8" w:color="F4F4F4"/>
            </w:tcBorders>
          </w:tcPr>
          <w:p>
            <w:pPr>
              <w:ind w:left="20"/>
              <w:spacing w:after="0"/>
              <w:rPr>
                <w:sz w:val="20"/>
                <w:szCs w:val="20"/>
                <w:color w:val="auto"/>
              </w:rPr>
            </w:pPr>
            <w:r>
              <w:rPr>
                <w:rFonts w:ascii="Arial" w:cs="Arial" w:eastAsia="Arial" w:hAnsi="Arial"/>
                <w:sz w:val="16"/>
                <w:szCs w:val="16"/>
                <w:b w:val="1"/>
                <w:bCs w:val="1"/>
                <w:color w:val="auto"/>
              </w:rPr>
              <w:t>Net (loss) income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(3,422)</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6,731</w:t>
            </w:r>
          </w:p>
        </w:tc>
        <w:tc>
          <w:tcPr>
            <w:tcW w:w="100" w:type="dxa"/>
            <w:vAlign w:val="bottom"/>
            <w:tcBorders>
              <w:bottom w:val="single" w:sz="8" w:color="F4F4F4"/>
            </w:tcBorders>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(13,829)</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6,567</w:t>
            </w:r>
          </w:p>
        </w:tc>
      </w:tr>
      <w:tr>
        <w:trPr>
          <w:trHeight w:val="230"/>
        </w:trPr>
        <w:tc>
          <w:tcPr>
            <w:tcW w:w="590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(Loss) earnings per share</w:t>
            </w:r>
          </w:p>
        </w:tc>
        <w:tc>
          <w:tcPr>
            <w:tcW w:w="26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28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26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28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r>
      <w:tr>
        <w:trPr>
          <w:trHeight w:val="233"/>
        </w:trPr>
        <w:tc>
          <w:tcPr>
            <w:tcW w:w="5900" w:type="dxa"/>
            <w:vAlign w:val="bottom"/>
          </w:tcPr>
          <w:p>
            <w:pPr>
              <w:ind w:left="24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(0.07)</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(0.27)</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0.14</w:t>
            </w:r>
          </w:p>
        </w:tc>
      </w:tr>
      <w:tr>
        <w:trPr>
          <w:trHeight w:val="253"/>
        </w:trPr>
        <w:tc>
          <w:tcPr>
            <w:tcW w:w="5900" w:type="dxa"/>
            <w:vAlign w:val="bottom"/>
            <w:shd w:val="clear" w:color="auto" w:fill="F4F4F4"/>
          </w:tcPr>
          <w:p>
            <w:pPr>
              <w:ind w:left="24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F4F4F4"/>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(0.07)</w:t>
            </w:r>
          </w:p>
        </w:tc>
        <w:tc>
          <w:tcPr>
            <w:tcW w:w="280" w:type="dxa"/>
            <w:vAlign w:val="bottom"/>
            <w:shd w:val="clear" w:color="auto" w:fill="F4F4F4"/>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0.14</w:t>
            </w:r>
          </w:p>
        </w:tc>
        <w:tc>
          <w:tcPr>
            <w:tcW w:w="100" w:type="dxa"/>
            <w:vAlign w:val="bottom"/>
            <w:shd w:val="clear" w:color="auto" w:fill="F4F4F4"/>
          </w:tcPr>
          <w:p>
            <w:pPr>
              <w:spacing w:after="0"/>
              <w:rPr>
                <w:sz w:val="21"/>
                <w:szCs w:val="21"/>
                <w:color w:val="auto"/>
              </w:rPr>
            </w:pPr>
          </w:p>
        </w:tc>
        <w:tc>
          <w:tcPr>
            <w:tcW w:w="260" w:type="dxa"/>
            <w:vAlign w:val="bottom"/>
            <w:shd w:val="clear" w:color="auto" w:fill="F4F4F4"/>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(0.27)</w:t>
            </w:r>
          </w:p>
        </w:tc>
        <w:tc>
          <w:tcPr>
            <w:tcW w:w="280" w:type="dxa"/>
            <w:vAlign w:val="bottom"/>
            <w:shd w:val="clear" w:color="auto" w:fill="F4F4F4"/>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0.14</w:t>
            </w:r>
          </w:p>
        </w:tc>
      </w:tr>
      <w:tr>
        <w:trPr>
          <w:trHeight w:val="233"/>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Common shares and equivalents outstanding</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3"/>
        </w:trPr>
        <w:tc>
          <w:tcPr>
            <w:tcW w:w="5900" w:type="dxa"/>
            <w:vAlign w:val="bottom"/>
            <w:shd w:val="clear" w:color="auto" w:fill="F4F4F4"/>
          </w:tcPr>
          <w:p>
            <w:pPr>
              <w:ind w:left="240"/>
              <w:spacing w:after="0"/>
              <w:rPr>
                <w:sz w:val="20"/>
                <w:szCs w:val="20"/>
                <w:color w:val="auto"/>
              </w:rPr>
            </w:pPr>
            <w:r>
              <w:rPr>
                <w:rFonts w:ascii="Arial" w:cs="Arial" w:eastAsia="Arial" w:hAnsi="Arial"/>
                <w:sz w:val="16"/>
                <w:szCs w:val="16"/>
                <w:color w:val="auto"/>
              </w:rPr>
              <w:t>Basic weighted average shares</w:t>
            </w:r>
          </w:p>
        </w:tc>
        <w:tc>
          <w:tcPr>
            <w:tcW w:w="26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51,660,739</w:t>
            </w:r>
          </w:p>
        </w:tc>
        <w:tc>
          <w:tcPr>
            <w:tcW w:w="28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47,756,326</w:t>
            </w:r>
          </w:p>
        </w:tc>
        <w:tc>
          <w:tcPr>
            <w:tcW w:w="100" w:type="dxa"/>
            <w:vAlign w:val="bottom"/>
            <w:shd w:val="clear" w:color="auto" w:fill="F4F4F4"/>
          </w:tcPr>
          <w:p>
            <w:pPr>
              <w:spacing w:after="0"/>
              <w:rPr>
                <w:sz w:val="21"/>
                <w:szCs w:val="21"/>
                <w:color w:val="auto"/>
              </w:rPr>
            </w:pPr>
          </w:p>
        </w:tc>
        <w:tc>
          <w:tcPr>
            <w:tcW w:w="26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51,431,501</w:t>
            </w:r>
          </w:p>
        </w:tc>
        <w:tc>
          <w:tcPr>
            <w:tcW w:w="28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47,560,847</w:t>
            </w:r>
          </w:p>
        </w:tc>
      </w:tr>
      <w:tr>
        <w:trPr>
          <w:trHeight w:val="233"/>
        </w:trPr>
        <w:tc>
          <w:tcPr>
            <w:tcW w:w="5900" w:type="dxa"/>
            <w:vAlign w:val="bottom"/>
          </w:tcPr>
          <w:p>
            <w:pPr>
              <w:ind w:left="240"/>
              <w:spacing w:after="0"/>
              <w:rPr>
                <w:sz w:val="20"/>
                <w:szCs w:val="20"/>
                <w:color w:val="auto"/>
              </w:rPr>
            </w:pPr>
            <w:r>
              <w:rPr>
                <w:rFonts w:ascii="Arial" w:cs="Arial" w:eastAsia="Arial" w:hAnsi="Arial"/>
                <w:sz w:val="16"/>
                <w:szCs w:val="16"/>
                <w:color w:val="auto"/>
              </w:rPr>
              <w:t>Diluted weighted average shares</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51,660,739</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48,444,874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51,431,501</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48,444,658</w:t>
            </w:r>
          </w:p>
        </w:tc>
      </w:tr>
      <w:tr>
        <w:trPr>
          <w:trHeight w:val="253"/>
        </w:trPr>
        <w:tc>
          <w:tcPr>
            <w:tcW w:w="590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Other comprehensive (loss) income</w:t>
            </w:r>
          </w:p>
        </w:tc>
        <w:tc>
          <w:tcPr>
            <w:tcW w:w="260" w:type="dxa"/>
            <w:vAlign w:val="bottom"/>
            <w:shd w:val="clear" w:color="auto" w:fill="F4F4F4"/>
          </w:tcPr>
          <w:p>
            <w:pPr>
              <w:spacing w:after="0"/>
              <w:rPr>
                <w:sz w:val="21"/>
                <w:szCs w:val="21"/>
                <w:color w:val="auto"/>
              </w:rPr>
            </w:pPr>
          </w:p>
        </w:tc>
        <w:tc>
          <w:tcPr>
            <w:tcW w:w="1040" w:type="dxa"/>
            <w:vAlign w:val="bottom"/>
            <w:shd w:val="clear" w:color="auto" w:fill="F4F4F4"/>
          </w:tcPr>
          <w:p>
            <w:pPr>
              <w:spacing w:after="0"/>
              <w:rPr>
                <w:sz w:val="21"/>
                <w:szCs w:val="21"/>
                <w:color w:val="auto"/>
              </w:rPr>
            </w:pPr>
          </w:p>
        </w:tc>
        <w:tc>
          <w:tcPr>
            <w:tcW w:w="280" w:type="dxa"/>
            <w:vAlign w:val="bottom"/>
            <w:shd w:val="clear" w:color="auto" w:fill="F4F4F4"/>
          </w:tcPr>
          <w:p>
            <w:pPr>
              <w:spacing w:after="0"/>
              <w:rPr>
                <w:sz w:val="21"/>
                <w:szCs w:val="21"/>
                <w:color w:val="auto"/>
              </w:rPr>
            </w:pPr>
          </w:p>
        </w:tc>
        <w:tc>
          <w:tcPr>
            <w:tcW w:w="1040" w:type="dxa"/>
            <w:vAlign w:val="bottom"/>
            <w:shd w:val="clear" w:color="auto" w:fill="F4F4F4"/>
          </w:tcPr>
          <w:p>
            <w:pPr>
              <w:spacing w:after="0"/>
              <w:rPr>
                <w:sz w:val="21"/>
                <w:szCs w:val="21"/>
                <w:color w:val="auto"/>
              </w:rPr>
            </w:pPr>
          </w:p>
        </w:tc>
        <w:tc>
          <w:tcPr>
            <w:tcW w:w="100" w:type="dxa"/>
            <w:vAlign w:val="bottom"/>
            <w:shd w:val="clear" w:color="auto" w:fill="F4F4F4"/>
          </w:tcPr>
          <w:p>
            <w:pPr>
              <w:spacing w:after="0"/>
              <w:rPr>
                <w:sz w:val="21"/>
                <w:szCs w:val="21"/>
                <w:color w:val="auto"/>
              </w:rPr>
            </w:pPr>
          </w:p>
        </w:tc>
        <w:tc>
          <w:tcPr>
            <w:tcW w:w="260" w:type="dxa"/>
            <w:vAlign w:val="bottom"/>
            <w:shd w:val="clear" w:color="auto" w:fill="F4F4F4"/>
          </w:tcPr>
          <w:p>
            <w:pPr>
              <w:spacing w:after="0"/>
              <w:rPr>
                <w:sz w:val="21"/>
                <w:szCs w:val="21"/>
                <w:color w:val="auto"/>
              </w:rPr>
            </w:pPr>
          </w:p>
        </w:tc>
        <w:tc>
          <w:tcPr>
            <w:tcW w:w="1040" w:type="dxa"/>
            <w:vAlign w:val="bottom"/>
            <w:shd w:val="clear" w:color="auto" w:fill="F4F4F4"/>
          </w:tcPr>
          <w:p>
            <w:pPr>
              <w:spacing w:after="0"/>
              <w:rPr>
                <w:sz w:val="21"/>
                <w:szCs w:val="21"/>
                <w:color w:val="auto"/>
              </w:rPr>
            </w:pPr>
          </w:p>
        </w:tc>
        <w:tc>
          <w:tcPr>
            <w:tcW w:w="280" w:type="dxa"/>
            <w:vAlign w:val="bottom"/>
            <w:shd w:val="clear" w:color="auto" w:fill="F4F4F4"/>
          </w:tcPr>
          <w:p>
            <w:pPr>
              <w:spacing w:after="0"/>
              <w:rPr>
                <w:sz w:val="21"/>
                <w:szCs w:val="21"/>
                <w:color w:val="auto"/>
              </w:rPr>
            </w:pPr>
          </w:p>
        </w:tc>
        <w:tc>
          <w:tcPr>
            <w:tcW w:w="1040" w:type="dxa"/>
            <w:vAlign w:val="bottom"/>
            <w:shd w:val="clear" w:color="auto" w:fill="F4F4F4"/>
          </w:tcPr>
          <w:p>
            <w:pPr>
              <w:spacing w:after="0"/>
              <w:rPr>
                <w:sz w:val="21"/>
                <w:szCs w:val="21"/>
                <w:color w:val="auto"/>
              </w:rPr>
            </w:pPr>
          </w:p>
        </w:tc>
      </w:tr>
      <w:tr>
        <w:trPr>
          <w:trHeight w:val="233"/>
        </w:trPr>
        <w:tc>
          <w:tcPr>
            <w:tcW w:w="5900" w:type="dxa"/>
            <w:vAlign w:val="bottom"/>
          </w:tcPr>
          <w:p>
            <w:pPr>
              <w:ind w:left="24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(10,398)</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1,783</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(12,530)</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4,294</w:t>
            </w:r>
          </w:p>
        </w:tc>
      </w:tr>
      <w:tr>
        <w:trPr>
          <w:trHeight w:val="253"/>
        </w:trPr>
        <w:tc>
          <w:tcPr>
            <w:tcW w:w="5900" w:type="dxa"/>
            <w:vAlign w:val="bottom"/>
            <w:shd w:val="clear" w:color="auto" w:fill="F4F4F4"/>
          </w:tcPr>
          <w:p>
            <w:pPr>
              <w:ind w:left="240"/>
              <w:spacing w:after="0"/>
              <w:rPr>
                <w:sz w:val="20"/>
                <w:szCs w:val="20"/>
                <w:color w:val="auto"/>
              </w:rPr>
            </w:pPr>
            <w:r>
              <w:rPr>
                <w:rFonts w:ascii="Arial" w:cs="Arial" w:eastAsia="Arial" w:hAnsi="Arial"/>
                <w:sz w:val="16"/>
                <w:szCs w:val="16"/>
                <w:color w:val="auto"/>
              </w:rPr>
              <w:t>Unrealized gain on derivative instruments, net of tax</w:t>
            </w: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2,558</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F4F4F4"/>
          </w:tcPr>
          <w:p>
            <w:pPr>
              <w:spacing w:after="0"/>
              <w:rPr>
                <w:sz w:val="21"/>
                <w:szCs w:val="21"/>
                <w:color w:val="auto"/>
              </w:rPr>
            </w:pP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13,463</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4,494</w:t>
            </w:r>
          </w:p>
        </w:tc>
      </w:tr>
      <w:tr>
        <w:trPr>
          <w:trHeight w:val="230"/>
        </w:trPr>
        <w:tc>
          <w:tcPr>
            <w:tcW w:w="5900" w:type="dxa"/>
            <w:vAlign w:val="bottom"/>
            <w:tcBorders>
              <w:bottom w:val="single" w:sz="8" w:color="F4F4F4"/>
            </w:tcBorders>
          </w:tcPr>
          <w:p>
            <w:pPr>
              <w:ind w:left="460"/>
              <w:spacing w:after="0"/>
              <w:rPr>
                <w:sz w:val="20"/>
                <w:szCs w:val="20"/>
                <w:color w:val="auto"/>
              </w:rPr>
            </w:pPr>
            <w:r>
              <w:rPr>
                <w:rFonts w:ascii="Arial" w:cs="Arial" w:eastAsia="Arial" w:hAnsi="Arial"/>
                <w:sz w:val="16"/>
                <w:szCs w:val="16"/>
                <w:b w:val="1"/>
                <w:bCs w:val="1"/>
                <w:color w:val="auto"/>
              </w:rPr>
              <w:t>Total other comprehensive (loss) income</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(7,840)</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2,128</w:t>
            </w:r>
          </w:p>
        </w:tc>
        <w:tc>
          <w:tcPr>
            <w:tcW w:w="100" w:type="dxa"/>
            <w:vAlign w:val="bottom"/>
            <w:tcBorders>
              <w:bottom w:val="single" w:sz="8" w:color="F4F4F4"/>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933</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8,788</w:t>
            </w:r>
          </w:p>
        </w:tc>
      </w:tr>
      <w:tr>
        <w:trPr>
          <w:trHeight w:val="237"/>
        </w:trPr>
        <w:tc>
          <w:tcPr>
            <w:tcW w:w="590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6"/>
                <w:szCs w:val="16"/>
                <w:b w:val="1"/>
                <w:bCs w:val="1"/>
                <w:color w:val="auto"/>
              </w:rPr>
              <w:t>Comprehensive (loss) income</w:t>
            </w:r>
          </w:p>
        </w:tc>
        <w:tc>
          <w:tcPr>
            <w:tcW w:w="260" w:type="dxa"/>
            <w:vAlign w:val="bottom"/>
            <w:tcBorders>
              <w:bottom w:val="single" w:sz="8" w:color="71BF43"/>
            </w:tcBorders>
            <w:shd w:val="clear" w:color="auto" w:fill="F4F4F4"/>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(11,262)</w:t>
            </w:r>
          </w:p>
        </w:tc>
        <w:tc>
          <w:tcPr>
            <w:tcW w:w="280" w:type="dxa"/>
            <w:vAlign w:val="bottom"/>
            <w:tcBorders>
              <w:bottom w:val="single" w:sz="8" w:color="71BF43"/>
            </w:tcBorders>
            <w:shd w:val="clear" w:color="auto" w:fill="F4F4F4"/>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8,859</w:t>
            </w:r>
          </w:p>
        </w:tc>
        <w:tc>
          <w:tcPr>
            <w:tcW w:w="100" w:type="dxa"/>
            <w:vAlign w:val="bottom"/>
            <w:tcBorders>
              <w:bottom w:val="single" w:sz="8" w:color="71BF43"/>
            </w:tcBorders>
            <w:shd w:val="clear" w:color="auto" w:fill="F4F4F4"/>
          </w:tcPr>
          <w:p>
            <w:pPr>
              <w:spacing w:after="0"/>
              <w:rPr>
                <w:sz w:val="20"/>
                <w:szCs w:val="20"/>
                <w:color w:val="auto"/>
              </w:rPr>
            </w:pPr>
          </w:p>
        </w:tc>
        <w:tc>
          <w:tcPr>
            <w:tcW w:w="260" w:type="dxa"/>
            <w:vAlign w:val="bottom"/>
            <w:tcBorders>
              <w:bottom w:val="single" w:sz="8" w:color="71BF43"/>
            </w:tcBorders>
            <w:shd w:val="clear" w:color="auto" w:fill="F4F4F4"/>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(12,896)</w:t>
            </w:r>
          </w:p>
        </w:tc>
        <w:tc>
          <w:tcPr>
            <w:tcW w:w="280" w:type="dxa"/>
            <w:vAlign w:val="bottom"/>
            <w:tcBorders>
              <w:bottom w:val="single" w:sz="8" w:color="71BF43"/>
            </w:tcBorders>
            <w:shd w:val="clear" w:color="auto" w:fill="F4F4F4"/>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15,355</w:t>
            </w:r>
          </w:p>
        </w:tc>
      </w:tr>
    </w:tbl>
    <w:p>
      <w:pPr>
        <w:spacing w:after="0" w:line="6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46" w:lineRule="exact"/>
        <w:rPr>
          <w:sz w:val="20"/>
          <w:szCs w:val="20"/>
          <w:color w:val="auto"/>
        </w:rPr>
      </w:pPr>
    </w:p>
    <w:p>
      <w:pPr>
        <w:ind w:left="20"/>
        <w:spacing w:after="0"/>
        <w:tabs>
          <w:tab w:leader="none" w:pos="379" w:val="left"/>
        </w:tabs>
        <w:rPr>
          <w:sz w:val="20"/>
          <w:szCs w:val="20"/>
          <w:color w:val="auto"/>
        </w:rPr>
      </w:pPr>
      <w:r>
        <w:rPr>
          <w:rFonts w:ascii="Arial" w:cs="Arial" w:eastAsia="Arial" w:hAnsi="Arial"/>
          <w:sz w:val="14"/>
          <w:szCs w:val="14"/>
          <w:color w:val="auto"/>
        </w:rPr>
        <w:t>4</w:t>
      </w:r>
      <w:r>
        <w:rPr>
          <w:sz w:val="20"/>
          <w:szCs w:val="20"/>
          <w:color w:val="auto"/>
        </w:rPr>
        <w:tab/>
      </w:r>
      <w:r>
        <w:rPr>
          <w:sz w:val="1"/>
          <w:szCs w:val="1"/>
          <w:color w:val="auto"/>
        </w:rPr>
        <w:drawing>
          <wp:inline distT="0" distB="0" distL="0" distR="0">
            <wp:extent cx="676910" cy="1714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69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5" w:name="page6"/>
    <w:bookmarkEnd w:id="5"/>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78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208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Six months ended</w:t>
            </w:r>
          </w:p>
        </w:tc>
        <w:tc>
          <w:tcPr>
            <w:tcW w:w="20" w:type="dxa"/>
            <w:vAlign w:val="bottom"/>
            <w:shd w:val="clear" w:color="auto" w:fill="ACACAC"/>
          </w:tcPr>
          <w:p>
            <w:pPr>
              <w:spacing w:after="0"/>
              <w:rPr>
                <w:sz w:val="16"/>
                <w:szCs w:val="16"/>
                <w:color w:val="auto"/>
              </w:rPr>
            </w:pPr>
          </w:p>
        </w:tc>
      </w:tr>
      <w:tr>
        <w:trPr>
          <w:trHeight w:val="190"/>
        </w:trPr>
        <w:tc>
          <w:tcPr>
            <w:tcW w:w="878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88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8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20" w:type="dxa"/>
            <w:vAlign w:val="bottom"/>
            <w:shd w:val="clear" w:color="auto" w:fill="ACACAC"/>
          </w:tcPr>
          <w:p>
            <w:pPr>
              <w:spacing w:after="0"/>
              <w:rPr>
                <w:sz w:val="16"/>
                <w:szCs w:val="16"/>
                <w:color w:val="auto"/>
              </w:rPr>
            </w:pPr>
          </w:p>
        </w:tc>
      </w:tr>
      <w:tr>
        <w:trPr>
          <w:trHeight w:val="235"/>
        </w:trPr>
        <w:tc>
          <w:tcPr>
            <w:tcW w:w="878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40" w:type="dxa"/>
            <w:vAlign w:val="bottom"/>
            <w:tcBorders>
              <w:bottom w:val="single" w:sz="8" w:color="ACACAC"/>
            </w:tcBorders>
            <w:shd w:val="clear" w:color="auto" w:fill="ACACAC"/>
          </w:tcPr>
          <w:p>
            <w:pPr>
              <w:spacing w:after="0"/>
              <w:rPr>
                <w:sz w:val="20"/>
                <w:szCs w:val="20"/>
                <w:color w:val="auto"/>
              </w:rPr>
            </w:pPr>
          </w:p>
        </w:tc>
        <w:tc>
          <w:tcPr>
            <w:tcW w:w="8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340" w:type="dxa"/>
            <w:vAlign w:val="bottom"/>
            <w:tcBorders>
              <w:bottom w:val="single" w:sz="8" w:color="ACACAC"/>
            </w:tcBorders>
            <w:shd w:val="clear" w:color="auto" w:fill="ACACAC"/>
          </w:tcPr>
          <w:p>
            <w:pPr>
              <w:spacing w:after="0"/>
              <w:rPr>
                <w:sz w:val="20"/>
                <w:szCs w:val="20"/>
                <w:color w:val="auto"/>
              </w:rPr>
            </w:pPr>
          </w:p>
        </w:tc>
        <w:tc>
          <w:tcPr>
            <w:tcW w:w="8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43"/>
        </w:trPr>
        <w:tc>
          <w:tcPr>
            <w:tcW w:w="8780" w:type="dxa"/>
            <w:vAlign w:val="bottom"/>
            <w:shd w:val="clear" w:color="auto" w:fill="F4F4F4"/>
          </w:tcPr>
          <w:p>
            <w:pPr>
              <w:ind w:left="1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spacing w:after="0"/>
              <w:rPr>
                <w:sz w:val="21"/>
                <w:szCs w:val="21"/>
                <w:color w:val="auto"/>
              </w:rPr>
            </w:pPr>
          </w:p>
        </w:tc>
        <w:tc>
          <w:tcPr>
            <w:tcW w:w="340" w:type="dxa"/>
            <w:vAlign w:val="bottom"/>
            <w:shd w:val="clear" w:color="auto" w:fill="F4F4F4"/>
          </w:tcPr>
          <w:p>
            <w:pPr>
              <w:spacing w:after="0"/>
              <w:rPr>
                <w:sz w:val="21"/>
                <w:szCs w:val="21"/>
                <w:color w:val="auto"/>
              </w:rPr>
            </w:pPr>
          </w:p>
        </w:tc>
        <w:tc>
          <w:tcPr>
            <w:tcW w:w="860" w:type="dxa"/>
            <w:vAlign w:val="bottom"/>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8780" w:type="dxa"/>
            <w:vAlign w:val="bottom"/>
          </w:tcPr>
          <w:p>
            <w:pPr>
              <w:ind w:left="240"/>
              <w:spacing w:after="0"/>
              <w:rPr>
                <w:sz w:val="20"/>
                <w:szCs w:val="20"/>
                <w:color w:val="auto"/>
              </w:rPr>
            </w:pPr>
            <w:r>
              <w:rPr>
                <w:rFonts w:ascii="Arial" w:cs="Arial" w:eastAsia="Arial" w:hAnsi="Arial"/>
                <w:sz w:val="16"/>
                <w:szCs w:val="16"/>
                <w:color w:val="auto"/>
              </w:rPr>
              <w:t>Net (loss)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(13,829)</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6,567</w:t>
            </w:r>
          </w:p>
        </w:tc>
        <w:tc>
          <w:tcPr>
            <w:tcW w:w="20" w:type="dxa"/>
            <w:vAlign w:val="bottom"/>
          </w:tcPr>
          <w:p>
            <w:pPr>
              <w:spacing w:after="0"/>
              <w:rPr>
                <w:sz w:val="20"/>
                <w:szCs w:val="20"/>
                <w:color w:val="auto"/>
              </w:rPr>
            </w:pPr>
          </w:p>
        </w:tc>
      </w:tr>
      <w:tr>
        <w:trPr>
          <w:trHeight w:val="253"/>
        </w:trPr>
        <w:tc>
          <w:tcPr>
            <w:tcW w:w="8780" w:type="dxa"/>
            <w:vAlign w:val="bottom"/>
            <w:shd w:val="clear" w:color="auto" w:fill="F4F4F4"/>
          </w:tcPr>
          <w:p>
            <w:pPr>
              <w:ind w:left="34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spacing w:after="0"/>
              <w:rPr>
                <w:sz w:val="21"/>
                <w:szCs w:val="21"/>
                <w:color w:val="auto"/>
              </w:rPr>
            </w:pPr>
          </w:p>
        </w:tc>
        <w:tc>
          <w:tcPr>
            <w:tcW w:w="340" w:type="dxa"/>
            <w:vAlign w:val="bottom"/>
            <w:shd w:val="clear" w:color="auto" w:fill="F4F4F4"/>
          </w:tcPr>
          <w:p>
            <w:pPr>
              <w:spacing w:after="0"/>
              <w:rPr>
                <w:sz w:val="21"/>
                <w:szCs w:val="21"/>
                <w:color w:val="auto"/>
              </w:rPr>
            </w:pPr>
          </w:p>
        </w:tc>
        <w:tc>
          <w:tcPr>
            <w:tcW w:w="860" w:type="dxa"/>
            <w:vAlign w:val="bottom"/>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8780" w:type="dxa"/>
            <w:vAlign w:val="bottom"/>
          </w:tcPr>
          <w:p>
            <w:pPr>
              <w:ind w:left="56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51,283</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40,742</w:t>
            </w:r>
          </w:p>
        </w:tc>
        <w:tc>
          <w:tcPr>
            <w:tcW w:w="20" w:type="dxa"/>
            <w:vAlign w:val="bottom"/>
          </w:tcPr>
          <w:p>
            <w:pPr>
              <w:spacing w:after="0"/>
              <w:rPr>
                <w:sz w:val="20"/>
                <w:szCs w:val="20"/>
                <w:color w:val="auto"/>
              </w:rPr>
            </w:pPr>
          </w:p>
        </w:tc>
      </w:tr>
      <w:tr>
        <w:trPr>
          <w:trHeight w:val="253"/>
        </w:trPr>
        <w:tc>
          <w:tcPr>
            <w:tcW w:w="8780" w:type="dxa"/>
            <w:vAlign w:val="bottom"/>
            <w:shd w:val="clear" w:color="auto" w:fill="F4F4F4"/>
          </w:tcPr>
          <w:p>
            <w:pPr>
              <w:ind w:left="560"/>
              <w:spacing w:after="0"/>
              <w:rPr>
                <w:sz w:val="20"/>
                <w:szCs w:val="20"/>
                <w:color w:val="auto"/>
              </w:rPr>
            </w:pPr>
            <w:r>
              <w:rPr>
                <w:rFonts w:ascii="Arial" w:cs="Arial" w:eastAsia="Arial" w:hAnsi="Arial"/>
                <w:sz w:val="16"/>
                <w:szCs w:val="16"/>
                <w:color w:val="auto"/>
              </w:rPr>
              <w:t>Provision for credit losses and sales returns</w:t>
            </w: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3,653</w:t>
            </w:r>
          </w:p>
        </w:tc>
        <w:tc>
          <w:tcPr>
            <w:tcW w:w="340" w:type="dxa"/>
            <w:vAlign w:val="bottom"/>
            <w:shd w:val="clear" w:color="auto" w:fill="F4F4F4"/>
          </w:tcPr>
          <w:p>
            <w:pPr>
              <w:spacing w:after="0"/>
              <w:rPr>
                <w:sz w:val="21"/>
                <w:szCs w:val="21"/>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4,418</w:t>
            </w:r>
          </w:p>
        </w:tc>
        <w:tc>
          <w:tcPr>
            <w:tcW w:w="20" w:type="dxa"/>
            <w:vAlign w:val="bottom"/>
          </w:tcPr>
          <w:p>
            <w:pPr>
              <w:spacing w:after="0"/>
              <w:rPr>
                <w:sz w:val="21"/>
                <w:szCs w:val="21"/>
                <w:color w:val="auto"/>
              </w:rPr>
            </w:pPr>
          </w:p>
        </w:tc>
      </w:tr>
      <w:tr>
        <w:trPr>
          <w:trHeight w:val="233"/>
        </w:trPr>
        <w:tc>
          <w:tcPr>
            <w:tcW w:w="8780" w:type="dxa"/>
            <w:vAlign w:val="bottom"/>
          </w:tcPr>
          <w:p>
            <w:pPr>
              <w:ind w:left="56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55,714</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60,554</w:t>
            </w:r>
          </w:p>
        </w:tc>
        <w:tc>
          <w:tcPr>
            <w:tcW w:w="20" w:type="dxa"/>
            <w:vAlign w:val="bottom"/>
          </w:tcPr>
          <w:p>
            <w:pPr>
              <w:spacing w:after="0"/>
              <w:rPr>
                <w:sz w:val="20"/>
                <w:szCs w:val="20"/>
                <w:color w:val="auto"/>
              </w:rPr>
            </w:pPr>
          </w:p>
        </w:tc>
      </w:tr>
      <w:tr>
        <w:trPr>
          <w:trHeight w:val="253"/>
        </w:trPr>
        <w:tc>
          <w:tcPr>
            <w:tcW w:w="8780" w:type="dxa"/>
            <w:vAlign w:val="bottom"/>
            <w:shd w:val="clear" w:color="auto" w:fill="F4F4F4"/>
          </w:tcPr>
          <w:p>
            <w:pPr>
              <w:ind w:left="560"/>
              <w:spacing w:after="0"/>
              <w:rPr>
                <w:sz w:val="20"/>
                <w:szCs w:val="20"/>
                <w:color w:val="auto"/>
              </w:rPr>
            </w:pPr>
            <w:r>
              <w:rPr>
                <w:rFonts w:ascii="Arial" w:cs="Arial" w:eastAsia="Arial" w:hAnsi="Arial"/>
                <w:sz w:val="16"/>
                <w:szCs w:val="16"/>
                <w:color w:val="auto"/>
              </w:rPr>
              <w:t>Deferred taxes</w:t>
            </w: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(16,656)</w:t>
            </w:r>
          </w:p>
        </w:tc>
        <w:tc>
          <w:tcPr>
            <w:tcW w:w="340" w:type="dxa"/>
            <w:vAlign w:val="bottom"/>
            <w:shd w:val="clear" w:color="auto" w:fill="F4F4F4"/>
          </w:tcPr>
          <w:p>
            <w:pPr>
              <w:spacing w:after="0"/>
              <w:rPr>
                <w:sz w:val="21"/>
                <w:szCs w:val="21"/>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276</w:t>
            </w:r>
          </w:p>
        </w:tc>
        <w:tc>
          <w:tcPr>
            <w:tcW w:w="20" w:type="dxa"/>
            <w:vAlign w:val="bottom"/>
          </w:tcPr>
          <w:p>
            <w:pPr>
              <w:spacing w:after="0"/>
              <w:rPr>
                <w:sz w:val="21"/>
                <w:szCs w:val="21"/>
                <w:color w:val="auto"/>
              </w:rPr>
            </w:pPr>
          </w:p>
        </w:tc>
      </w:tr>
      <w:tr>
        <w:trPr>
          <w:trHeight w:val="233"/>
        </w:trPr>
        <w:tc>
          <w:tcPr>
            <w:tcW w:w="8780" w:type="dxa"/>
            <w:vAlign w:val="bottom"/>
          </w:tcPr>
          <w:p>
            <w:pPr>
              <w:ind w:left="560"/>
              <w:spacing w:after="0"/>
              <w:rPr>
                <w:sz w:val="20"/>
                <w:szCs w:val="20"/>
                <w:color w:val="auto"/>
              </w:rPr>
            </w:pPr>
            <w:r>
              <w:rPr>
                <w:rFonts w:ascii="Arial" w:cs="Arial" w:eastAsia="Arial" w:hAnsi="Arial"/>
                <w:sz w:val="16"/>
                <w:szCs w:val="16"/>
                <w:color w:val="auto"/>
              </w:rPr>
              <w:t>Amortization of deferred financing costs and discount</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1,254</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879</w:t>
            </w:r>
          </w:p>
        </w:tc>
        <w:tc>
          <w:tcPr>
            <w:tcW w:w="20" w:type="dxa"/>
            <w:vAlign w:val="bottom"/>
          </w:tcPr>
          <w:p>
            <w:pPr>
              <w:spacing w:after="0"/>
              <w:rPr>
                <w:sz w:val="20"/>
                <w:szCs w:val="20"/>
                <w:color w:val="auto"/>
              </w:rPr>
            </w:pPr>
          </w:p>
        </w:tc>
      </w:tr>
      <w:tr>
        <w:trPr>
          <w:trHeight w:val="253"/>
        </w:trPr>
        <w:tc>
          <w:tcPr>
            <w:tcW w:w="8780" w:type="dxa"/>
            <w:vAlign w:val="bottom"/>
            <w:shd w:val="clear" w:color="auto" w:fill="F4F4F4"/>
          </w:tcPr>
          <w:p>
            <w:pPr>
              <w:ind w:left="560"/>
              <w:spacing w:after="0"/>
              <w:rPr>
                <w:sz w:val="20"/>
                <w:szCs w:val="20"/>
                <w:color w:val="auto"/>
              </w:rPr>
            </w:pPr>
            <w:r>
              <w:rPr>
                <w:rFonts w:ascii="Arial" w:cs="Arial" w:eastAsia="Arial" w:hAnsi="Arial"/>
                <w:sz w:val="16"/>
                <w:szCs w:val="16"/>
                <w:color w:val="auto"/>
              </w:rPr>
              <w:t>Other non-cash adjustments</w:t>
            </w: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4,225</w:t>
            </w:r>
          </w:p>
        </w:tc>
        <w:tc>
          <w:tcPr>
            <w:tcW w:w="340" w:type="dxa"/>
            <w:vAlign w:val="bottom"/>
            <w:shd w:val="clear" w:color="auto" w:fill="F4F4F4"/>
          </w:tcPr>
          <w:p>
            <w:pPr>
              <w:spacing w:after="0"/>
              <w:rPr>
                <w:sz w:val="21"/>
                <w:szCs w:val="21"/>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155</w:t>
            </w:r>
          </w:p>
        </w:tc>
        <w:tc>
          <w:tcPr>
            <w:tcW w:w="20" w:type="dxa"/>
            <w:vAlign w:val="bottom"/>
          </w:tcPr>
          <w:p>
            <w:pPr>
              <w:spacing w:after="0"/>
              <w:rPr>
                <w:sz w:val="21"/>
                <w:szCs w:val="21"/>
                <w:color w:val="auto"/>
              </w:rPr>
            </w:pPr>
          </w:p>
        </w:tc>
      </w:tr>
      <w:tr>
        <w:trPr>
          <w:trHeight w:val="233"/>
        </w:trPr>
        <w:tc>
          <w:tcPr>
            <w:tcW w:w="8780" w:type="dxa"/>
            <w:vAlign w:val="bottom"/>
          </w:tcPr>
          <w:p>
            <w:pPr>
              <w:ind w:left="560"/>
              <w:spacing w:after="0"/>
              <w:rPr>
                <w:sz w:val="20"/>
                <w:szCs w:val="20"/>
                <w:color w:val="auto"/>
              </w:rPr>
            </w:pPr>
            <w:r>
              <w:rPr>
                <w:rFonts w:ascii="Arial" w:cs="Arial" w:eastAsia="Arial" w:hAnsi="Arial"/>
                <w:sz w:val="16"/>
                <w:szCs w:val="16"/>
                <w:color w:val="auto"/>
              </w:rPr>
              <w:t>Changes in operating assets and liabilities, net of acquisition and disposal of businesses: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3"/>
        </w:trPr>
        <w:tc>
          <w:tcPr>
            <w:tcW w:w="8780" w:type="dxa"/>
            <w:vAlign w:val="bottom"/>
            <w:shd w:val="clear" w:color="auto" w:fill="F4F4F4"/>
          </w:tcPr>
          <w:p>
            <w:pPr>
              <w:ind w:left="660"/>
              <w:spacing w:after="0"/>
              <w:rPr>
                <w:sz w:val="20"/>
                <w:szCs w:val="20"/>
                <w:color w:val="auto"/>
              </w:rPr>
            </w:pPr>
            <w:r>
              <w:rPr>
                <w:rFonts w:ascii="Arial" w:cs="Arial" w:eastAsia="Arial" w:hAnsi="Arial"/>
                <w:sz w:val="16"/>
                <w:szCs w:val="16"/>
                <w:color w:val="auto"/>
              </w:rPr>
              <w:t>Accounts receivable</w:t>
            </w: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(50,818)</w:t>
            </w:r>
          </w:p>
        </w:tc>
        <w:tc>
          <w:tcPr>
            <w:tcW w:w="340" w:type="dxa"/>
            <w:vAlign w:val="bottom"/>
            <w:shd w:val="clear" w:color="auto" w:fill="F4F4F4"/>
          </w:tcPr>
          <w:p>
            <w:pPr>
              <w:spacing w:after="0"/>
              <w:rPr>
                <w:sz w:val="21"/>
                <w:szCs w:val="21"/>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(27,134)</w:t>
            </w:r>
          </w:p>
        </w:tc>
        <w:tc>
          <w:tcPr>
            <w:tcW w:w="20" w:type="dxa"/>
            <w:vAlign w:val="bottom"/>
          </w:tcPr>
          <w:p>
            <w:pPr>
              <w:spacing w:after="0"/>
              <w:rPr>
                <w:sz w:val="21"/>
                <w:szCs w:val="21"/>
                <w:color w:val="auto"/>
              </w:rPr>
            </w:pPr>
          </w:p>
        </w:tc>
      </w:tr>
      <w:tr>
        <w:trPr>
          <w:trHeight w:val="233"/>
        </w:trPr>
        <w:tc>
          <w:tcPr>
            <w:tcW w:w="8780" w:type="dxa"/>
            <w:vAlign w:val="bottom"/>
          </w:tcPr>
          <w:p>
            <w:pPr>
              <w:ind w:left="66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3,685</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(18,162)</w:t>
            </w:r>
          </w:p>
        </w:tc>
        <w:tc>
          <w:tcPr>
            <w:tcW w:w="20" w:type="dxa"/>
            <w:vAlign w:val="bottom"/>
          </w:tcPr>
          <w:p>
            <w:pPr>
              <w:spacing w:after="0"/>
              <w:rPr>
                <w:sz w:val="20"/>
                <w:szCs w:val="20"/>
                <w:color w:val="auto"/>
              </w:rPr>
            </w:pPr>
          </w:p>
        </w:tc>
      </w:tr>
      <w:tr>
        <w:trPr>
          <w:trHeight w:val="253"/>
        </w:trPr>
        <w:tc>
          <w:tcPr>
            <w:tcW w:w="8780" w:type="dxa"/>
            <w:vAlign w:val="bottom"/>
            <w:shd w:val="clear" w:color="auto" w:fill="F4F4F4"/>
          </w:tcPr>
          <w:p>
            <w:pPr>
              <w:ind w:left="660"/>
              <w:spacing w:after="0"/>
              <w:rPr>
                <w:sz w:val="20"/>
                <w:szCs w:val="20"/>
                <w:color w:val="auto"/>
              </w:rPr>
            </w:pPr>
            <w:r>
              <w:rPr>
                <w:rFonts w:ascii="Arial" w:cs="Arial" w:eastAsia="Arial" w:hAnsi="Arial"/>
                <w:sz w:val="16"/>
                <w:szCs w:val="16"/>
                <w:color w:val="auto"/>
              </w:rPr>
              <w:t>Trade accounts payable</w:t>
            </w: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12,769</w:t>
            </w:r>
          </w:p>
        </w:tc>
        <w:tc>
          <w:tcPr>
            <w:tcW w:w="340" w:type="dxa"/>
            <w:vAlign w:val="bottom"/>
            <w:shd w:val="clear" w:color="auto" w:fill="F4F4F4"/>
          </w:tcPr>
          <w:p>
            <w:pPr>
              <w:spacing w:after="0"/>
              <w:rPr>
                <w:sz w:val="21"/>
                <w:szCs w:val="21"/>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2,356</w:t>
            </w:r>
          </w:p>
        </w:tc>
        <w:tc>
          <w:tcPr>
            <w:tcW w:w="20" w:type="dxa"/>
            <w:vAlign w:val="bottom"/>
          </w:tcPr>
          <w:p>
            <w:pPr>
              <w:spacing w:after="0"/>
              <w:rPr>
                <w:sz w:val="21"/>
                <w:szCs w:val="21"/>
                <w:color w:val="auto"/>
              </w:rPr>
            </w:pPr>
          </w:p>
        </w:tc>
      </w:tr>
      <w:tr>
        <w:trPr>
          <w:trHeight w:val="233"/>
        </w:trPr>
        <w:tc>
          <w:tcPr>
            <w:tcW w:w="8780" w:type="dxa"/>
            <w:vAlign w:val="bottom"/>
          </w:tcPr>
          <w:p>
            <w:pPr>
              <w:ind w:left="660"/>
              <w:spacing w:after="0"/>
              <w:rPr>
                <w:sz w:val="20"/>
                <w:szCs w:val="20"/>
                <w:color w:val="auto"/>
              </w:rPr>
            </w:pPr>
            <w:r>
              <w:rPr>
                <w:rFonts w:ascii="Arial" w:cs="Arial" w:eastAsia="Arial" w:hAnsi="Arial"/>
                <w:sz w:val="16"/>
                <w:szCs w:val="16"/>
                <w:color w:val="auto"/>
              </w:rPr>
              <w:t>Accrued expenses and other liabilities</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(8,739)</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1,443</w:t>
            </w:r>
          </w:p>
        </w:tc>
        <w:tc>
          <w:tcPr>
            <w:tcW w:w="20" w:type="dxa"/>
            <w:vAlign w:val="bottom"/>
          </w:tcPr>
          <w:p>
            <w:pPr>
              <w:spacing w:after="0"/>
              <w:rPr>
                <w:sz w:val="20"/>
                <w:szCs w:val="20"/>
                <w:color w:val="auto"/>
              </w:rPr>
            </w:pPr>
          </w:p>
        </w:tc>
      </w:tr>
      <w:tr>
        <w:trPr>
          <w:trHeight w:val="253"/>
        </w:trPr>
        <w:tc>
          <w:tcPr>
            <w:tcW w:w="8780" w:type="dxa"/>
            <w:vAlign w:val="bottom"/>
            <w:shd w:val="clear" w:color="auto" w:fill="F4F4F4"/>
          </w:tcPr>
          <w:p>
            <w:pPr>
              <w:ind w:left="660"/>
              <w:spacing w:after="0"/>
              <w:rPr>
                <w:sz w:val="20"/>
                <w:szCs w:val="20"/>
                <w:color w:val="auto"/>
              </w:rPr>
            </w:pPr>
            <w:r>
              <w:rPr>
                <w:rFonts w:ascii="Arial" w:cs="Arial" w:eastAsia="Arial" w:hAnsi="Arial"/>
                <w:sz w:val="16"/>
                <w:szCs w:val="16"/>
                <w:color w:val="auto"/>
              </w:rPr>
              <w:t>Deferred revenue</w:t>
            </w:r>
          </w:p>
        </w:tc>
        <w:tc>
          <w:tcPr>
            <w:tcW w:w="340" w:type="dxa"/>
            <w:vAlign w:val="bottom"/>
            <w:tcBorders>
              <w:bottom w:val="single" w:sz="8" w:color="auto"/>
            </w:tcBorders>
            <w:shd w:val="clear" w:color="auto" w:fill="F4F4F4"/>
          </w:tcPr>
          <w:p>
            <w:pPr>
              <w:spacing w:after="0"/>
              <w:rPr>
                <w:sz w:val="21"/>
                <w:szCs w:val="21"/>
                <w:color w:val="auto"/>
              </w:rPr>
            </w:pPr>
          </w:p>
        </w:tc>
        <w:tc>
          <w:tcPr>
            <w:tcW w:w="8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39,238</w:t>
            </w:r>
          </w:p>
        </w:tc>
        <w:tc>
          <w:tcPr>
            <w:tcW w:w="340" w:type="dxa"/>
            <w:vAlign w:val="bottom"/>
            <w:tcBorders>
              <w:bottom w:val="single" w:sz="8" w:color="auto"/>
            </w:tcBorders>
            <w:shd w:val="clear" w:color="auto" w:fill="F4F4F4"/>
          </w:tcPr>
          <w:p>
            <w:pPr>
              <w:spacing w:after="0"/>
              <w:rPr>
                <w:sz w:val="21"/>
                <w:szCs w:val="21"/>
                <w:color w:val="auto"/>
              </w:rPr>
            </w:pPr>
          </w:p>
        </w:tc>
        <w:tc>
          <w:tcPr>
            <w:tcW w:w="8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27,828</w:t>
            </w:r>
          </w:p>
        </w:tc>
        <w:tc>
          <w:tcPr>
            <w:tcW w:w="20" w:type="dxa"/>
            <w:vAlign w:val="bottom"/>
          </w:tcPr>
          <w:p>
            <w:pPr>
              <w:spacing w:after="0"/>
              <w:rPr>
                <w:sz w:val="21"/>
                <w:szCs w:val="21"/>
                <w:color w:val="auto"/>
              </w:rPr>
            </w:pPr>
          </w:p>
        </w:tc>
      </w:tr>
      <w:tr>
        <w:trPr>
          <w:trHeight w:val="227"/>
        </w:trPr>
        <w:tc>
          <w:tcPr>
            <w:tcW w:w="8780" w:type="dxa"/>
            <w:vAlign w:val="bottom"/>
          </w:tcPr>
          <w:p>
            <w:pPr>
              <w:ind w:left="880"/>
              <w:spacing w:after="0"/>
              <w:rPr>
                <w:sz w:val="20"/>
                <w:szCs w:val="20"/>
                <w:color w:val="auto"/>
              </w:rPr>
            </w:pPr>
            <w:r>
              <w:rPr>
                <w:rFonts w:ascii="Arial" w:cs="Arial" w:eastAsia="Arial" w:hAnsi="Arial"/>
                <w:sz w:val="16"/>
                <w:szCs w:val="16"/>
                <w:b w:val="1"/>
                <w:bCs w:val="1"/>
                <w:color w:val="auto"/>
              </w:rPr>
              <w:t>Net cash provided by operating activities</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81,779</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99,922</w:t>
            </w:r>
          </w:p>
        </w:tc>
        <w:tc>
          <w:tcPr>
            <w:tcW w:w="20" w:type="dxa"/>
            <w:vAlign w:val="bottom"/>
          </w:tcPr>
          <w:p>
            <w:pPr>
              <w:spacing w:after="0"/>
              <w:rPr>
                <w:sz w:val="19"/>
                <w:szCs w:val="19"/>
                <w:color w:val="auto"/>
              </w:rPr>
            </w:pPr>
          </w:p>
        </w:tc>
      </w:tr>
      <w:tr>
        <w:trPr>
          <w:trHeight w:val="253"/>
        </w:trPr>
        <w:tc>
          <w:tcPr>
            <w:tcW w:w="8780" w:type="dxa"/>
            <w:vAlign w:val="bottom"/>
            <w:shd w:val="clear" w:color="auto" w:fill="F4F4F4"/>
          </w:tcPr>
          <w:p>
            <w:pPr>
              <w:ind w:left="1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spacing w:after="0"/>
              <w:rPr>
                <w:sz w:val="21"/>
                <w:szCs w:val="21"/>
                <w:color w:val="auto"/>
              </w:rPr>
            </w:pPr>
          </w:p>
        </w:tc>
        <w:tc>
          <w:tcPr>
            <w:tcW w:w="340" w:type="dxa"/>
            <w:vAlign w:val="bottom"/>
            <w:shd w:val="clear" w:color="auto" w:fill="F4F4F4"/>
          </w:tcPr>
          <w:p>
            <w:pPr>
              <w:spacing w:after="0"/>
              <w:rPr>
                <w:sz w:val="21"/>
                <w:szCs w:val="21"/>
                <w:color w:val="auto"/>
              </w:rPr>
            </w:pPr>
          </w:p>
        </w:tc>
        <w:tc>
          <w:tcPr>
            <w:tcW w:w="860" w:type="dxa"/>
            <w:vAlign w:val="bottom"/>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8780" w:type="dxa"/>
            <w:vAlign w:val="bottom"/>
          </w:tcPr>
          <w:p>
            <w:pPr>
              <w:ind w:left="240"/>
              <w:spacing w:after="0"/>
              <w:rPr>
                <w:sz w:val="20"/>
                <w:szCs w:val="20"/>
                <w:color w:val="auto"/>
              </w:rPr>
            </w:pPr>
            <w:r>
              <w:rPr>
                <w:rFonts w:ascii="Arial" w:cs="Arial" w:eastAsia="Arial" w:hAnsi="Arial"/>
                <w:sz w:val="16"/>
                <w:szCs w:val="16"/>
                <w:color w:val="auto"/>
              </w:rPr>
              <w:t>Purchase of property and equipment</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(7,518)</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(6,128)</w:t>
            </w:r>
          </w:p>
        </w:tc>
        <w:tc>
          <w:tcPr>
            <w:tcW w:w="20" w:type="dxa"/>
            <w:vAlign w:val="bottom"/>
          </w:tcPr>
          <w:p>
            <w:pPr>
              <w:spacing w:after="0"/>
              <w:rPr>
                <w:sz w:val="20"/>
                <w:szCs w:val="20"/>
                <w:color w:val="auto"/>
              </w:rPr>
            </w:pPr>
          </w:p>
        </w:tc>
      </w:tr>
      <w:tr>
        <w:trPr>
          <w:trHeight w:val="253"/>
        </w:trPr>
        <w:tc>
          <w:tcPr>
            <w:tcW w:w="8780" w:type="dxa"/>
            <w:vAlign w:val="bottom"/>
            <w:shd w:val="clear" w:color="auto" w:fill="F4F4F4"/>
          </w:tcPr>
          <w:p>
            <w:pPr>
              <w:ind w:left="240"/>
              <w:spacing w:after="0"/>
              <w:rPr>
                <w:sz w:val="20"/>
                <w:szCs w:val="20"/>
                <w:color w:val="auto"/>
              </w:rPr>
            </w:pPr>
            <w:r>
              <w:rPr>
                <w:rFonts w:ascii="Arial" w:cs="Arial" w:eastAsia="Arial" w:hAnsi="Arial"/>
                <w:sz w:val="16"/>
                <w:szCs w:val="16"/>
                <w:color w:val="auto"/>
              </w:rPr>
              <w:t>Capitalized software and content development costs</w:t>
            </w: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(27,183)</w:t>
            </w:r>
          </w:p>
        </w:tc>
        <w:tc>
          <w:tcPr>
            <w:tcW w:w="340" w:type="dxa"/>
            <w:vAlign w:val="bottom"/>
            <w:shd w:val="clear" w:color="auto" w:fill="F4F4F4"/>
          </w:tcPr>
          <w:p>
            <w:pPr>
              <w:spacing w:after="0"/>
              <w:rPr>
                <w:sz w:val="21"/>
                <w:szCs w:val="21"/>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(19,862)</w:t>
            </w:r>
          </w:p>
        </w:tc>
        <w:tc>
          <w:tcPr>
            <w:tcW w:w="20" w:type="dxa"/>
            <w:vAlign w:val="bottom"/>
          </w:tcPr>
          <w:p>
            <w:pPr>
              <w:spacing w:after="0"/>
              <w:rPr>
                <w:sz w:val="21"/>
                <w:szCs w:val="21"/>
                <w:color w:val="auto"/>
              </w:rPr>
            </w:pPr>
          </w:p>
        </w:tc>
      </w:tr>
      <w:tr>
        <w:trPr>
          <w:trHeight w:val="236"/>
        </w:trPr>
        <w:tc>
          <w:tcPr>
            <w:tcW w:w="8780" w:type="dxa"/>
            <w:vAlign w:val="bottom"/>
            <w:tcBorders>
              <w:bottom w:val="single" w:sz="8" w:color="F4F4F4"/>
            </w:tcBorders>
          </w:tcPr>
          <w:p>
            <w:pPr>
              <w:ind w:left="240"/>
              <w:spacing w:after="0"/>
              <w:rPr>
                <w:sz w:val="20"/>
                <w:szCs w:val="20"/>
                <w:color w:val="auto"/>
              </w:rPr>
            </w:pPr>
            <w:r>
              <w:rPr>
                <w:rFonts w:ascii="Arial" w:cs="Arial" w:eastAsia="Arial" w:hAnsi="Arial"/>
                <w:sz w:val="16"/>
                <w:szCs w:val="16"/>
                <w:color w:val="auto"/>
              </w:rPr>
              <w:t>Purchase of net assets of acquired companies, net of cash and restricted cash acquired</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(19,016)</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r>
      <w:tr>
        <w:trPr>
          <w:trHeight w:val="243"/>
        </w:trPr>
        <w:tc>
          <w:tcPr>
            <w:tcW w:w="8780" w:type="dxa"/>
            <w:vAlign w:val="bottom"/>
            <w:shd w:val="clear" w:color="auto" w:fill="F4F4F4"/>
          </w:tcPr>
          <w:p>
            <w:pPr>
              <w:ind w:left="880"/>
              <w:spacing w:after="0"/>
              <w:rPr>
                <w:sz w:val="20"/>
                <w:szCs w:val="20"/>
                <w:color w:val="auto"/>
              </w:rPr>
            </w:pPr>
            <w:r>
              <w:rPr>
                <w:rFonts w:ascii="Arial" w:cs="Arial" w:eastAsia="Arial" w:hAnsi="Arial"/>
                <w:sz w:val="16"/>
                <w:szCs w:val="16"/>
                <w:b w:val="1"/>
                <w:bCs w:val="1"/>
                <w:color w:val="auto"/>
              </w:rPr>
              <w:t>Net cash used in investing activities</w:t>
            </w: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(53,717)</w:t>
            </w:r>
          </w:p>
        </w:tc>
        <w:tc>
          <w:tcPr>
            <w:tcW w:w="340" w:type="dxa"/>
            <w:vAlign w:val="bottom"/>
            <w:shd w:val="clear" w:color="auto" w:fill="F4F4F4"/>
          </w:tcPr>
          <w:p>
            <w:pPr>
              <w:spacing w:after="0"/>
              <w:rPr>
                <w:sz w:val="21"/>
                <w:szCs w:val="21"/>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(25,990)</w:t>
            </w:r>
          </w:p>
        </w:tc>
        <w:tc>
          <w:tcPr>
            <w:tcW w:w="20" w:type="dxa"/>
            <w:vAlign w:val="bottom"/>
          </w:tcPr>
          <w:p>
            <w:pPr>
              <w:spacing w:after="0"/>
              <w:rPr>
                <w:sz w:val="21"/>
                <w:szCs w:val="21"/>
                <w:color w:val="auto"/>
              </w:rPr>
            </w:pPr>
          </w:p>
        </w:tc>
      </w:tr>
      <w:tr>
        <w:trPr>
          <w:trHeight w:val="223"/>
        </w:trPr>
        <w:tc>
          <w:tcPr>
            <w:tcW w:w="8780" w:type="dxa"/>
            <w:vAlign w:val="bottom"/>
          </w:tcPr>
          <w:p>
            <w:pPr>
              <w:ind w:left="1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12700</wp:posOffset>
            </wp:positionV>
            <wp:extent cx="711517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-3552825</wp:posOffset>
            </wp:positionV>
            <wp:extent cx="15513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p>
      <w:pPr>
        <w:spacing w:after="0" w:line="4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Proceeds from issuance of debt</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Payments on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Stock issuance costs</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Employee taxes paid for withheld shares upon equity award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Change in due to customers</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Change in customer funds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Purchase of treasury stock</w:t>
      </w:r>
    </w:p>
    <w:p>
      <w:pPr>
        <w:spacing w:after="0" w:line="39"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40640</wp:posOffset>
            </wp:positionV>
            <wp:extent cx="711517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 of exchange rate on cash, cash equivalents and restricted cash</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40640</wp:posOffset>
            </wp:positionV>
            <wp:extent cx="711517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cash equivalents and restricted cash, beginning of period</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cash equivalents and restricted cash,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40640</wp:posOffset>
            </wp:positionV>
            <wp:extent cx="71151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16"/>
          <w:szCs w:val="16"/>
          <w:color w:val="auto"/>
        </w:rPr>
        <w:t>113,200</w:t>
      </w:r>
      <w:r>
        <w:rPr>
          <w:sz w:val="20"/>
          <w:szCs w:val="20"/>
          <w:color w:val="auto"/>
        </w:rPr>
        <w:tab/>
      </w:r>
      <w:r>
        <w:rPr>
          <w:rFonts w:ascii="Arial" w:cs="Arial" w:eastAsia="Arial" w:hAnsi="Arial"/>
          <w:sz w:val="16"/>
          <w:szCs w:val="16"/>
          <w:color w:val="auto"/>
        </w:rPr>
        <w:t>128,300</w:t>
      </w:r>
    </w:p>
    <w:p>
      <w:pPr>
        <w:spacing w:after="0" w:line="59" w:lineRule="exact"/>
        <w:rPr>
          <w:sz w:val="20"/>
          <w:szCs w:val="20"/>
          <w:color w:val="auto"/>
        </w:rPr>
      </w:pPr>
    </w:p>
    <w:p>
      <w:pPr>
        <w:ind w:left="500"/>
        <w:spacing w:after="0"/>
        <w:tabs>
          <w:tab w:leader="none" w:pos="1680" w:val="left"/>
        </w:tabs>
        <w:rPr>
          <w:sz w:val="20"/>
          <w:szCs w:val="20"/>
          <w:color w:val="auto"/>
        </w:rPr>
      </w:pPr>
      <w:r>
        <w:rPr>
          <w:rFonts w:ascii="Arial" w:cs="Arial" w:eastAsia="Arial" w:hAnsi="Arial"/>
          <w:sz w:val="16"/>
          <w:szCs w:val="16"/>
          <w:color w:val="auto"/>
        </w:rPr>
        <w:t>(129,548)</w:t>
      </w:r>
      <w:r>
        <w:rPr>
          <w:sz w:val="20"/>
          <w:szCs w:val="20"/>
          <w:color w:val="auto"/>
        </w:rPr>
        <w:tab/>
      </w:r>
      <w:r>
        <w:rPr>
          <w:rFonts w:ascii="Arial" w:cs="Arial" w:eastAsia="Arial" w:hAnsi="Arial"/>
          <w:sz w:val="16"/>
          <w:szCs w:val="16"/>
          <w:color w:val="auto"/>
        </w:rPr>
        <w:t>(113,477)</w:t>
      </w:r>
    </w:p>
    <w:p>
      <w:pPr>
        <w:spacing w:after="0" w:line="59" w:lineRule="exact"/>
        <w:rPr>
          <w:sz w:val="20"/>
          <w:szCs w:val="20"/>
          <w:color w:val="auto"/>
        </w:rPr>
      </w:pPr>
    </w:p>
    <w:p>
      <w:pPr>
        <w:ind w:left="2200" w:hanging="1394"/>
        <w:spacing w:after="0"/>
        <w:tabs>
          <w:tab w:leader="none" w:pos="2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(35,600)(38,712)</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(141,001)</w:t>
            </w: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(170,061)</w:t>
            </w:r>
          </w:p>
        </w:tc>
      </w:tr>
      <w:tr>
        <w:trPr>
          <w:trHeight w:val="243"/>
        </w:trPr>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(546)</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(5,014)</w:t>
            </w:r>
          </w:p>
        </w:tc>
      </w:tr>
      <w:tr>
        <w:trPr>
          <w:trHeight w:val="256"/>
        </w:trPr>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(58,074)</w:t>
            </w:r>
          </w:p>
        </w:tc>
      </w:tr>
      <w:tr>
        <w:trPr>
          <w:trHeight w:val="223"/>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(194,052)</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(257,038)</w:t>
            </w:r>
          </w:p>
        </w:tc>
      </w:tr>
      <w:tr>
        <w:trPr>
          <w:trHeight w:val="256"/>
        </w:trPr>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(7,252)</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w:t>
            </w:r>
          </w:p>
        </w:tc>
      </w:tr>
      <w:tr>
        <w:trPr>
          <w:trHeight w:val="223"/>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(173,242)</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(182,114)</w:t>
            </w:r>
          </w:p>
        </w:tc>
      </w:tr>
      <w:tr>
        <w:trPr>
          <w:trHeight w:val="256"/>
        </w:trPr>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651,762</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644,969</w:t>
            </w:r>
          </w:p>
        </w:tc>
      </w:tr>
      <w:tr>
        <w:trPr>
          <w:trHeight w:val="223"/>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478,520</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462,855</w:t>
            </w:r>
          </w:p>
        </w:tc>
      </w:tr>
    </w:tbl>
    <w:p>
      <w:pPr>
        <w:spacing w:after="0" w:line="200" w:lineRule="exact"/>
        <w:rPr>
          <w:sz w:val="20"/>
          <w:szCs w:val="20"/>
          <w:color w:val="auto"/>
        </w:rPr>
      </w:pPr>
    </w:p>
    <w:p>
      <w:pPr>
        <w:sectPr>
          <w:pgSz w:w="11900" w:h="16838" w:orient="portrait"/>
          <w:cols w:equalWidth="0" w:num="2">
            <w:col w:w="8080" w:space="720"/>
            <w:col w:w="2460"/>
          </w:cols>
          <w:pgMar w:left="320" w:top="1440" w:right="319" w:bottom="1440" w:gutter="0" w:footer="0" w:header="0"/>
          <w:type w:val="continuous"/>
        </w:sectPr>
      </w:pPr>
    </w:p>
    <w:p>
      <w:pPr>
        <w:spacing w:after="0" w:line="3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following table provides a reconciliation of cash and cash equivalents and restricted cash reported within the condensed consolidated balance sheets that sum to the total of the same such amounts shown above in the condensed consolidated statements of cash flows: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20" w:type="dxa"/>
            <w:vAlign w:val="bottom"/>
            <w:shd w:val="clear" w:color="auto" w:fill="ACACAC"/>
          </w:tcPr>
          <w:p>
            <w:pPr>
              <w:spacing w:after="0"/>
              <w:rPr>
                <w:sz w:val="16"/>
                <w:szCs w:val="16"/>
                <w:color w:val="auto"/>
              </w:rPr>
            </w:pPr>
          </w:p>
        </w:tc>
        <w:tc>
          <w:tcPr>
            <w:tcW w:w="560" w:type="dxa"/>
            <w:vAlign w:val="bottom"/>
            <w:shd w:val="clear" w:color="auto" w:fill="ACACAC"/>
          </w:tcPr>
          <w:p>
            <w:pPr>
              <w:spacing w:after="0"/>
              <w:rPr>
                <w:sz w:val="16"/>
                <w:szCs w:val="16"/>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400" w:type="dxa"/>
            <w:vAlign w:val="bottom"/>
            <w:shd w:val="clear" w:color="auto" w:fill="ACACAC"/>
          </w:tcPr>
          <w:p>
            <w:pPr>
              <w:spacing w:after="0"/>
              <w:rPr>
                <w:sz w:val="16"/>
                <w:szCs w:val="16"/>
                <w:color w:val="auto"/>
              </w:rPr>
            </w:pPr>
          </w:p>
        </w:tc>
        <w:tc>
          <w:tcPr>
            <w:tcW w:w="12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6"/>
                <w:szCs w:val="16"/>
                <w:color w:val="auto"/>
              </w:rPr>
            </w:pPr>
          </w:p>
        </w:tc>
      </w:tr>
      <w:tr>
        <w:trPr>
          <w:trHeight w:val="196"/>
        </w:trPr>
        <w:tc>
          <w:tcPr>
            <w:tcW w:w="792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60" w:type="dxa"/>
            <w:vAlign w:val="bottom"/>
            <w:tcBorders>
              <w:bottom w:val="single" w:sz="8" w:color="ACACAC"/>
            </w:tcBorders>
            <w:shd w:val="clear" w:color="auto" w:fill="ACACAC"/>
          </w:tcPr>
          <w:p>
            <w:pPr>
              <w:spacing w:after="0"/>
              <w:rPr>
                <w:sz w:val="17"/>
                <w:szCs w:val="17"/>
                <w:color w:val="auto"/>
              </w:rPr>
            </w:pPr>
          </w:p>
        </w:tc>
        <w:tc>
          <w:tcPr>
            <w:tcW w:w="11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400" w:type="dxa"/>
            <w:vAlign w:val="bottom"/>
            <w:tcBorders>
              <w:bottom w:val="single" w:sz="8" w:color="ACACAC"/>
            </w:tcBorders>
            <w:shd w:val="clear" w:color="auto" w:fill="ACACAC"/>
          </w:tcPr>
          <w:p>
            <w:pPr>
              <w:spacing w:after="0"/>
              <w:rPr>
                <w:sz w:val="17"/>
                <w:szCs w:val="17"/>
                <w:color w:val="auto"/>
              </w:rPr>
            </w:pPr>
          </w:p>
        </w:tc>
        <w:tc>
          <w:tcPr>
            <w:tcW w:w="12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43"/>
        </w:trPr>
        <w:tc>
          <w:tcPr>
            <w:tcW w:w="7920" w:type="dxa"/>
            <w:vAlign w:val="bottom"/>
            <w:shd w:val="clear" w:color="auto" w:fill="F4F4F4"/>
          </w:tcPr>
          <w:p>
            <w:pPr>
              <w:ind w:left="20"/>
              <w:spacing w:after="0"/>
              <w:rPr>
                <w:sz w:val="20"/>
                <w:szCs w:val="20"/>
                <w:color w:val="auto"/>
              </w:rPr>
            </w:pPr>
            <w:r>
              <w:rPr>
                <w:rFonts w:ascii="Arial" w:cs="Arial" w:eastAsia="Arial" w:hAnsi="Arial"/>
                <w:sz w:val="16"/>
                <w:szCs w:val="16"/>
                <w:color w:val="auto"/>
              </w:rPr>
              <w:t>Cash and cash equivalents</w:t>
            </w:r>
          </w:p>
        </w:tc>
        <w:tc>
          <w:tcPr>
            <w:tcW w:w="560" w:type="dxa"/>
            <w:vAlign w:val="bottom"/>
            <w:shd w:val="clear" w:color="auto" w:fill="F4F4F4"/>
          </w:tcPr>
          <w:p>
            <w:pPr>
              <w:jc w:val="right"/>
              <w:ind w:right="3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F4F4F4"/>
          </w:tcPr>
          <w:p>
            <w:pPr>
              <w:jc w:val="right"/>
              <w:ind w:right="3"/>
              <w:spacing w:after="0"/>
              <w:rPr>
                <w:sz w:val="20"/>
                <w:szCs w:val="20"/>
                <w:color w:val="auto"/>
              </w:rPr>
            </w:pPr>
            <w:r>
              <w:rPr>
                <w:rFonts w:ascii="Arial" w:cs="Arial" w:eastAsia="Arial" w:hAnsi="Arial"/>
                <w:sz w:val="16"/>
                <w:szCs w:val="16"/>
                <w:color w:val="auto"/>
              </w:rPr>
              <w:t>29,029</w:t>
            </w:r>
          </w:p>
        </w:tc>
        <w:tc>
          <w:tcPr>
            <w:tcW w:w="400" w:type="dxa"/>
            <w:vAlign w:val="bottom"/>
            <w:shd w:val="clear" w:color="auto" w:fill="F4F4F4"/>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F4F4F4"/>
          </w:tcPr>
          <w:p>
            <w:pPr>
              <w:jc w:val="right"/>
              <w:ind w:right="3"/>
              <w:spacing w:after="0"/>
              <w:rPr>
                <w:sz w:val="20"/>
                <w:szCs w:val="20"/>
                <w:color w:val="auto"/>
              </w:rPr>
            </w:pPr>
            <w:r>
              <w:rPr>
                <w:rFonts w:ascii="Arial" w:cs="Arial" w:eastAsia="Arial" w:hAnsi="Arial"/>
                <w:sz w:val="16"/>
                <w:szCs w:val="16"/>
                <w:color w:val="auto"/>
              </w:rPr>
              <w:t>55,146</w:t>
            </w:r>
          </w:p>
        </w:tc>
        <w:tc>
          <w:tcPr>
            <w:tcW w:w="20" w:type="dxa"/>
            <w:vAlign w:val="bottom"/>
          </w:tcPr>
          <w:p>
            <w:pPr>
              <w:spacing w:after="0"/>
              <w:rPr>
                <w:sz w:val="21"/>
                <w:szCs w:val="21"/>
                <w:color w:val="auto"/>
              </w:rPr>
            </w:pPr>
          </w:p>
        </w:tc>
      </w:tr>
      <w:tr>
        <w:trPr>
          <w:trHeight w:val="236"/>
        </w:trPr>
        <w:tc>
          <w:tcPr>
            <w:tcW w:w="7920" w:type="dxa"/>
            <w:vAlign w:val="bottom"/>
            <w:tcBorders>
              <w:bottom w:val="single" w:sz="8" w:color="F4F4F4"/>
            </w:tcBorders>
          </w:tcPr>
          <w:p>
            <w:pPr>
              <w:ind w:left="20"/>
              <w:spacing w:after="0"/>
              <w:rPr>
                <w:sz w:val="20"/>
                <w:szCs w:val="20"/>
                <w:color w:val="auto"/>
              </w:rPr>
            </w:pPr>
            <w:r>
              <w:rPr>
                <w:rFonts w:ascii="Arial" w:cs="Arial" w:eastAsia="Arial" w:hAnsi="Arial"/>
                <w:sz w:val="16"/>
                <w:szCs w:val="16"/>
                <w:color w:val="auto"/>
              </w:rPr>
              <w:t>Restricted cash</w:t>
            </w:r>
          </w:p>
        </w:tc>
        <w:tc>
          <w:tcPr>
            <w:tcW w:w="5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449,491</w:t>
            </w: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596,616</w:t>
            </w:r>
          </w:p>
        </w:tc>
        <w:tc>
          <w:tcPr>
            <w:tcW w:w="20" w:type="dxa"/>
            <w:vAlign w:val="bottom"/>
          </w:tcPr>
          <w:p>
            <w:pPr>
              <w:spacing w:after="0"/>
              <w:rPr>
                <w:sz w:val="20"/>
                <w:szCs w:val="20"/>
                <w:color w:val="auto"/>
              </w:rPr>
            </w:pPr>
          </w:p>
        </w:tc>
      </w:tr>
      <w:tr>
        <w:trPr>
          <w:trHeight w:val="236"/>
        </w:trPr>
        <w:tc>
          <w:tcPr>
            <w:tcW w:w="7920" w:type="dxa"/>
            <w:vAlign w:val="bottom"/>
            <w:tcBorders>
              <w:bottom w:val="single" w:sz="8" w:color="71BF43"/>
            </w:tcBorders>
            <w:shd w:val="clear" w:color="auto" w:fill="F4F4F4"/>
          </w:tcPr>
          <w:p>
            <w:pPr>
              <w:ind w:left="140"/>
              <w:spacing w:after="0"/>
              <w:rPr>
                <w:sz w:val="20"/>
                <w:szCs w:val="20"/>
                <w:color w:val="auto"/>
              </w:rPr>
            </w:pPr>
            <w:r>
              <w:rPr>
                <w:rFonts w:ascii="Arial" w:cs="Arial" w:eastAsia="Arial" w:hAnsi="Arial"/>
                <w:sz w:val="16"/>
                <w:szCs w:val="16"/>
                <w:color w:val="auto"/>
              </w:rPr>
              <w:t>Total cash, cash equivalents and restricted cash in the statement of cash flows</w:t>
            </w:r>
          </w:p>
        </w:tc>
        <w:tc>
          <w:tcPr>
            <w:tcW w:w="560" w:type="dxa"/>
            <w:vAlign w:val="bottom"/>
            <w:tcBorders>
              <w:bottom w:val="single" w:sz="8" w:color="71BF43"/>
            </w:tcBorders>
            <w:shd w:val="clear" w:color="auto" w:fill="F4F4F4"/>
          </w:tcPr>
          <w:p>
            <w:pPr>
              <w:jc w:val="right"/>
              <w:ind w:right="3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71BF43"/>
            </w:tcBorders>
            <w:shd w:val="clear" w:color="auto" w:fill="F4F4F4"/>
          </w:tcPr>
          <w:p>
            <w:pPr>
              <w:jc w:val="right"/>
              <w:ind w:right="3"/>
              <w:spacing w:after="0"/>
              <w:rPr>
                <w:sz w:val="20"/>
                <w:szCs w:val="20"/>
                <w:color w:val="auto"/>
              </w:rPr>
            </w:pPr>
            <w:r>
              <w:rPr>
                <w:rFonts w:ascii="Arial" w:cs="Arial" w:eastAsia="Arial" w:hAnsi="Arial"/>
                <w:sz w:val="16"/>
                <w:szCs w:val="16"/>
                <w:color w:val="auto"/>
              </w:rPr>
              <w:t>478,520</w:t>
            </w:r>
          </w:p>
        </w:tc>
        <w:tc>
          <w:tcPr>
            <w:tcW w:w="400" w:type="dxa"/>
            <w:vAlign w:val="bottom"/>
            <w:tcBorders>
              <w:bottom w:val="single" w:sz="8" w:color="71BF43"/>
            </w:tcBorders>
            <w:shd w:val="clear" w:color="auto" w:fill="F4F4F4"/>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71BF43"/>
            </w:tcBorders>
            <w:shd w:val="clear" w:color="auto" w:fill="F4F4F4"/>
          </w:tcPr>
          <w:p>
            <w:pPr>
              <w:jc w:val="right"/>
              <w:ind w:right="3"/>
              <w:spacing w:after="0"/>
              <w:rPr>
                <w:sz w:val="20"/>
                <w:szCs w:val="20"/>
                <w:color w:val="auto"/>
              </w:rPr>
            </w:pPr>
            <w:r>
              <w:rPr>
                <w:rFonts w:ascii="Arial" w:cs="Arial" w:eastAsia="Arial" w:hAnsi="Arial"/>
                <w:sz w:val="16"/>
                <w:szCs w:val="16"/>
                <w:color w:val="auto"/>
              </w:rPr>
              <w:t>651,762</w:t>
            </w:r>
          </w:p>
        </w:tc>
        <w:tc>
          <w:tcPr>
            <w:tcW w:w="20" w:type="dxa"/>
            <w:vAlign w:val="bottom"/>
          </w:tcPr>
          <w:p>
            <w:pPr>
              <w:spacing w:after="0"/>
              <w:rPr>
                <w:sz w:val="20"/>
                <w:szCs w:val="20"/>
                <w:color w:val="auto"/>
              </w:rPr>
            </w:pPr>
          </w:p>
        </w:tc>
      </w:tr>
    </w:tbl>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559435</wp:posOffset>
            </wp:positionV>
            <wp:extent cx="67691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691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60" w:type="dxa"/>
            <w:vAlign w:val="bottom"/>
          </w:tcPr>
          <w:p>
            <w:pPr>
              <w:ind w:left="7480"/>
              <w:spacing w:after="0"/>
              <w:rPr>
                <w:sz w:val="20"/>
                <w:szCs w:val="20"/>
                <w:color w:val="auto"/>
              </w:rPr>
            </w:pPr>
            <w:r>
              <w:rPr>
                <w:rFonts w:ascii="Arial" w:cs="Arial" w:eastAsia="Arial" w:hAnsi="Arial"/>
                <w:sz w:val="14"/>
                <w:szCs w:val="14"/>
                <w:color w:val="auto"/>
              </w:rPr>
              <w:t>Second Quarter 2022 Form 10-Q</w:t>
            </w: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316"/>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6" w:name="page7"/>
    <w:bookmarkEnd w:id="6"/>
    <w:p>
      <w:pPr>
        <w:jc w:val="center"/>
        <w:ind w:right="-119"/>
        <w:spacing w:after="0"/>
        <w:rPr>
          <w:sz w:val="20"/>
          <w:szCs w:val="20"/>
          <w:color w:val="auto"/>
        </w:rPr>
      </w:pPr>
      <w:r>
        <w:rPr>
          <w:rFonts w:ascii="Arial" w:cs="Arial" w:eastAsia="Arial" w:hAnsi="Arial"/>
          <w:sz w:val="18"/>
          <w:szCs w:val="18"/>
          <w:b w:val="1"/>
          <w:bCs w:val="1"/>
          <w:color w:val="auto"/>
        </w:rPr>
        <w:t>Blackbaud, Inc.</w:t>
      </w:r>
    </w:p>
    <w:p>
      <w:pPr>
        <w:spacing w:after="0" w:line="3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280670</wp:posOffset>
            </wp:positionV>
            <wp:extent cx="8890" cy="4889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48895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spacing w:after="0"/>
              <w:rPr>
                <w:sz w:val="19"/>
                <w:szCs w:val="19"/>
                <w:color w:val="auto"/>
              </w:rPr>
            </w:pPr>
          </w:p>
        </w:tc>
        <w:tc>
          <w:tcPr>
            <w:tcW w:w="4480" w:type="dxa"/>
            <w:vAlign w:val="bottom"/>
            <w:shd w:val="clear" w:color="auto" w:fill="ACACAC"/>
          </w:tcPr>
          <w:p>
            <w:pPr>
              <w:spacing w:after="0"/>
              <w:rPr>
                <w:sz w:val="19"/>
                <w:szCs w:val="19"/>
                <w:color w:val="auto"/>
              </w:rPr>
            </w:pPr>
          </w:p>
        </w:tc>
        <w:tc>
          <w:tcPr>
            <w:tcW w:w="960" w:type="dxa"/>
            <w:vAlign w:val="bottom"/>
            <w:shd w:val="clear" w:color="auto" w:fill="ACACAC"/>
          </w:tcPr>
          <w:p>
            <w:pPr>
              <w:spacing w:after="0"/>
              <w:rPr>
                <w:sz w:val="19"/>
                <w:szCs w:val="19"/>
                <w:color w:val="auto"/>
              </w:rPr>
            </w:pPr>
          </w:p>
        </w:tc>
        <w:tc>
          <w:tcPr>
            <w:tcW w:w="660" w:type="dxa"/>
            <w:vAlign w:val="bottom"/>
            <w:shd w:val="clear" w:color="auto" w:fill="ACACAC"/>
          </w:tcPr>
          <w:p>
            <w:pPr>
              <w:spacing w:after="0"/>
              <w:rPr>
                <w:sz w:val="19"/>
                <w:szCs w:val="19"/>
                <w:color w:val="auto"/>
              </w:rPr>
            </w:pPr>
          </w:p>
        </w:tc>
        <w:tc>
          <w:tcPr>
            <w:tcW w:w="1000" w:type="dxa"/>
            <w:vAlign w:val="bottom"/>
            <w:shd w:val="clear" w:color="auto" w:fill="ACACAC"/>
          </w:tcPr>
          <w:p>
            <w:pPr>
              <w:spacing w:after="0"/>
              <w:rPr>
                <w:sz w:val="19"/>
                <w:szCs w:val="19"/>
                <w:color w:val="auto"/>
              </w:rPr>
            </w:pPr>
          </w:p>
        </w:tc>
        <w:tc>
          <w:tcPr>
            <w:tcW w:w="900" w:type="dxa"/>
            <w:vAlign w:val="bottom"/>
            <w:shd w:val="clear" w:color="auto" w:fill="ACACAC"/>
          </w:tcPr>
          <w:p>
            <w:pPr>
              <w:spacing w:after="0"/>
              <w:rPr>
                <w:sz w:val="19"/>
                <w:szCs w:val="19"/>
                <w:color w:val="auto"/>
              </w:rPr>
            </w:pPr>
          </w:p>
        </w:tc>
        <w:tc>
          <w:tcPr>
            <w:tcW w:w="1140" w:type="dxa"/>
            <w:vAlign w:val="bottom"/>
            <w:shd w:val="clear" w:color="auto" w:fill="ACACAC"/>
          </w:tcPr>
          <w:p>
            <w:pPr>
              <w:jc w:val="right"/>
              <w:ind w:right="60"/>
              <w:spacing w:after="0"/>
              <w:rPr>
                <w:sz w:val="20"/>
                <w:szCs w:val="20"/>
                <w:color w:val="auto"/>
              </w:rPr>
            </w:pPr>
            <w:r>
              <w:rPr>
                <w:rFonts w:ascii="Arial" w:cs="Arial" w:eastAsia="Arial" w:hAnsi="Arial"/>
                <w:sz w:val="14"/>
                <w:szCs w:val="14"/>
                <w:b w:val="1"/>
                <w:bCs w:val="1"/>
                <w:color w:val="FFFFFF"/>
              </w:rPr>
              <w:t>Accumulated</w:t>
            </w:r>
          </w:p>
        </w:tc>
        <w:tc>
          <w:tcPr>
            <w:tcW w:w="800" w:type="dxa"/>
            <w:vAlign w:val="bottom"/>
            <w:shd w:val="clear" w:color="auto" w:fill="ACACAC"/>
          </w:tcPr>
          <w:p>
            <w:pPr>
              <w:spacing w:after="0"/>
              <w:rPr>
                <w:sz w:val="19"/>
                <w:szCs w:val="19"/>
                <w:color w:val="auto"/>
              </w:rPr>
            </w:pPr>
          </w:p>
        </w:tc>
        <w:tc>
          <w:tcPr>
            <w:tcW w:w="98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4480" w:type="dxa"/>
            <w:vAlign w:val="bottom"/>
            <w:shd w:val="clear" w:color="auto" w:fill="ACACAC"/>
          </w:tcPr>
          <w:p>
            <w:pPr>
              <w:spacing w:after="0"/>
              <w:rPr>
                <w:sz w:val="14"/>
                <w:szCs w:val="14"/>
                <w:color w:val="auto"/>
              </w:rPr>
            </w:pPr>
          </w:p>
        </w:tc>
        <w:tc>
          <w:tcPr>
            <w:tcW w:w="1620" w:type="dxa"/>
            <w:vAlign w:val="bottom"/>
            <w:gridSpan w:val="2"/>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Common stock</w:t>
            </w:r>
          </w:p>
        </w:tc>
        <w:tc>
          <w:tcPr>
            <w:tcW w:w="1000" w:type="dxa"/>
            <w:vAlign w:val="bottom"/>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Additional</w:t>
            </w:r>
          </w:p>
        </w:tc>
        <w:tc>
          <w:tcPr>
            <w:tcW w:w="900" w:type="dxa"/>
            <w:vAlign w:val="bottom"/>
            <w:shd w:val="clear" w:color="auto" w:fill="ACACAC"/>
          </w:tcPr>
          <w:p>
            <w:pPr>
              <w:spacing w:after="0"/>
              <w:rPr>
                <w:sz w:val="14"/>
                <w:szCs w:val="14"/>
                <w:color w:val="auto"/>
              </w:rPr>
            </w:pPr>
          </w:p>
        </w:tc>
        <w:tc>
          <w:tcPr>
            <w:tcW w:w="1140" w:type="dxa"/>
            <w:vAlign w:val="bottom"/>
            <w:shd w:val="clear" w:color="auto" w:fill="ACACAC"/>
          </w:tcPr>
          <w:p>
            <w:pPr>
              <w:jc w:val="right"/>
              <w:ind w:right="60"/>
              <w:spacing w:after="0"/>
              <w:rPr>
                <w:sz w:val="20"/>
                <w:szCs w:val="20"/>
                <w:color w:val="auto"/>
              </w:rPr>
            </w:pPr>
            <w:r>
              <w:rPr>
                <w:rFonts w:ascii="Arial" w:cs="Arial" w:eastAsia="Arial" w:hAnsi="Arial"/>
                <w:sz w:val="14"/>
                <w:szCs w:val="14"/>
                <w:b w:val="1"/>
                <w:bCs w:val="1"/>
                <w:color w:val="FFFFFF"/>
              </w:rPr>
              <w:t>other</w:t>
            </w:r>
          </w:p>
        </w:tc>
        <w:tc>
          <w:tcPr>
            <w:tcW w:w="800" w:type="dxa"/>
            <w:vAlign w:val="bottom"/>
            <w:shd w:val="clear" w:color="auto" w:fill="ACACAC"/>
          </w:tcPr>
          <w:p>
            <w:pPr>
              <w:spacing w:after="0"/>
              <w:rPr>
                <w:sz w:val="14"/>
                <w:szCs w:val="14"/>
                <w:color w:val="auto"/>
              </w:rPr>
            </w:pPr>
          </w:p>
        </w:tc>
        <w:tc>
          <w:tcPr>
            <w:tcW w:w="9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23"/>
        </w:trPr>
        <w:tc>
          <w:tcPr>
            <w:tcW w:w="100" w:type="dxa"/>
            <w:vAlign w:val="bottom"/>
          </w:tcPr>
          <w:p>
            <w:pPr>
              <w:spacing w:after="0"/>
              <w:rPr>
                <w:sz w:val="10"/>
                <w:szCs w:val="10"/>
                <w:color w:val="auto"/>
              </w:rPr>
            </w:pPr>
          </w:p>
        </w:tc>
        <w:tc>
          <w:tcPr>
            <w:tcW w:w="4480" w:type="dxa"/>
            <w:vAlign w:val="bottom"/>
            <w:shd w:val="clear" w:color="auto" w:fill="ACACAC"/>
          </w:tcPr>
          <w:p>
            <w:pPr>
              <w:spacing w:after="0"/>
              <w:rPr>
                <w:sz w:val="10"/>
                <w:szCs w:val="10"/>
                <w:color w:val="auto"/>
              </w:rPr>
            </w:pPr>
          </w:p>
        </w:tc>
        <w:tc>
          <w:tcPr>
            <w:tcW w:w="1620" w:type="dxa"/>
            <w:vAlign w:val="bottom"/>
            <w:gridSpan w:val="2"/>
            <w:vMerge w:val="continue"/>
            <w:shd w:val="clear" w:color="auto" w:fill="ACACAC"/>
          </w:tcPr>
          <w:p>
            <w:pPr>
              <w:spacing w:after="0"/>
              <w:rPr>
                <w:sz w:val="10"/>
                <w:szCs w:val="10"/>
                <w:color w:val="auto"/>
              </w:rPr>
            </w:pPr>
          </w:p>
        </w:tc>
        <w:tc>
          <w:tcPr>
            <w:tcW w:w="1000" w:type="dxa"/>
            <w:vAlign w:val="bottom"/>
            <w:vMerge w:val="restart"/>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paid-in</w:t>
            </w:r>
          </w:p>
        </w:tc>
        <w:tc>
          <w:tcPr>
            <w:tcW w:w="2040" w:type="dxa"/>
            <w:vAlign w:val="bottom"/>
            <w:gridSpan w:val="2"/>
            <w:vMerge w:val="restart"/>
            <w:shd w:val="clear" w:color="auto" w:fill="ACACAC"/>
          </w:tcPr>
          <w:p>
            <w:pPr>
              <w:jc w:val="right"/>
              <w:ind w:right="60"/>
              <w:spacing w:after="0"/>
              <w:rPr>
                <w:sz w:val="20"/>
                <w:szCs w:val="20"/>
                <w:color w:val="auto"/>
              </w:rPr>
            </w:pPr>
            <w:r>
              <w:rPr>
                <w:rFonts w:ascii="Arial" w:cs="Arial" w:eastAsia="Arial" w:hAnsi="Arial"/>
                <w:sz w:val="14"/>
                <w:szCs w:val="14"/>
                <w:b w:val="1"/>
                <w:bCs w:val="1"/>
                <w:color w:val="FFFFFF"/>
              </w:rPr>
              <w:t>Treasury comprehensive</w:t>
            </w:r>
          </w:p>
        </w:tc>
        <w:tc>
          <w:tcPr>
            <w:tcW w:w="80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Retained</w:t>
            </w:r>
          </w:p>
        </w:tc>
        <w:tc>
          <w:tcPr>
            <w:tcW w:w="9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stockholders'</w:t>
            </w:r>
          </w:p>
        </w:tc>
        <w:tc>
          <w:tcPr>
            <w:tcW w:w="0" w:type="dxa"/>
            <w:vAlign w:val="bottom"/>
          </w:tcPr>
          <w:p>
            <w:pPr>
              <w:spacing w:after="0"/>
              <w:rPr>
                <w:sz w:val="1"/>
                <w:szCs w:val="1"/>
                <w:color w:val="auto"/>
              </w:rPr>
            </w:pPr>
          </w:p>
        </w:tc>
      </w:tr>
      <w:tr>
        <w:trPr>
          <w:trHeight w:val="39"/>
        </w:trPr>
        <w:tc>
          <w:tcPr>
            <w:tcW w:w="100" w:type="dxa"/>
            <w:vAlign w:val="bottom"/>
          </w:tcPr>
          <w:p>
            <w:pPr>
              <w:spacing w:after="0"/>
              <w:rPr>
                <w:sz w:val="3"/>
                <w:szCs w:val="3"/>
                <w:color w:val="auto"/>
              </w:rPr>
            </w:pPr>
          </w:p>
        </w:tc>
        <w:tc>
          <w:tcPr>
            <w:tcW w:w="4480" w:type="dxa"/>
            <w:vAlign w:val="bottom"/>
            <w:shd w:val="clear" w:color="auto" w:fill="ACACAC"/>
          </w:tcPr>
          <w:p>
            <w:pPr>
              <w:spacing w:after="0"/>
              <w:rPr>
                <w:sz w:val="3"/>
                <w:szCs w:val="3"/>
                <w:color w:val="auto"/>
              </w:rPr>
            </w:pPr>
          </w:p>
        </w:tc>
        <w:tc>
          <w:tcPr>
            <w:tcW w:w="960" w:type="dxa"/>
            <w:vAlign w:val="bottom"/>
            <w:shd w:val="clear" w:color="auto" w:fill="ACACAC"/>
          </w:tcPr>
          <w:p>
            <w:pPr>
              <w:spacing w:after="0"/>
              <w:rPr>
                <w:sz w:val="3"/>
                <w:szCs w:val="3"/>
                <w:color w:val="auto"/>
              </w:rPr>
            </w:pPr>
          </w:p>
        </w:tc>
        <w:tc>
          <w:tcPr>
            <w:tcW w:w="660" w:type="dxa"/>
            <w:vAlign w:val="bottom"/>
            <w:shd w:val="clear" w:color="auto" w:fill="ACACAC"/>
          </w:tcPr>
          <w:p>
            <w:pPr>
              <w:spacing w:after="0"/>
              <w:rPr>
                <w:sz w:val="3"/>
                <w:szCs w:val="3"/>
                <w:color w:val="auto"/>
              </w:rPr>
            </w:pPr>
          </w:p>
        </w:tc>
        <w:tc>
          <w:tcPr>
            <w:tcW w:w="1000" w:type="dxa"/>
            <w:vAlign w:val="bottom"/>
            <w:vMerge w:val="continue"/>
            <w:shd w:val="clear" w:color="auto" w:fill="ACACAC"/>
          </w:tcPr>
          <w:p>
            <w:pPr>
              <w:spacing w:after="0"/>
              <w:rPr>
                <w:sz w:val="3"/>
                <w:szCs w:val="3"/>
                <w:color w:val="auto"/>
              </w:rPr>
            </w:pPr>
          </w:p>
        </w:tc>
        <w:tc>
          <w:tcPr>
            <w:tcW w:w="2040" w:type="dxa"/>
            <w:vAlign w:val="bottom"/>
            <w:gridSpan w:val="2"/>
            <w:vMerge w:val="continue"/>
            <w:shd w:val="clear" w:color="auto" w:fill="ACACAC"/>
          </w:tcPr>
          <w:p>
            <w:pPr>
              <w:spacing w:after="0"/>
              <w:rPr>
                <w:sz w:val="3"/>
                <w:szCs w:val="3"/>
                <w:color w:val="auto"/>
              </w:rPr>
            </w:pPr>
          </w:p>
        </w:tc>
        <w:tc>
          <w:tcPr>
            <w:tcW w:w="800" w:type="dxa"/>
            <w:vAlign w:val="bottom"/>
            <w:vMerge w:val="continue"/>
            <w:shd w:val="clear" w:color="auto" w:fill="ACACAC"/>
          </w:tcPr>
          <w:p>
            <w:pPr>
              <w:spacing w:after="0"/>
              <w:rPr>
                <w:sz w:val="3"/>
                <w:szCs w:val="3"/>
                <w:color w:val="auto"/>
              </w:rPr>
            </w:pPr>
          </w:p>
        </w:tc>
        <w:tc>
          <w:tcPr>
            <w:tcW w:w="980" w:type="dxa"/>
            <w:vAlign w:val="bottom"/>
            <w:vMerge w:val="continue"/>
            <w:shd w:val="clear" w:color="auto" w:fill="ACACA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4480" w:type="dxa"/>
            <w:vAlign w:val="bottom"/>
            <w:tcBorders>
              <w:bottom w:val="single" w:sz="8" w:color="ACACAC"/>
            </w:tcBorders>
            <w:shd w:val="clear" w:color="auto" w:fill="ACACAC"/>
          </w:tcPr>
          <w:p>
            <w:pPr>
              <w:spacing w:after="0"/>
              <w:rPr>
                <w:sz w:val="20"/>
                <w:szCs w:val="20"/>
                <w:color w:val="auto"/>
              </w:rPr>
            </w:pPr>
            <w:r>
              <w:rPr>
                <w:rFonts w:ascii="Arial" w:cs="Arial" w:eastAsia="Arial" w:hAnsi="Arial"/>
                <w:sz w:val="14"/>
                <w:szCs w:val="14"/>
                <w:b w:val="1"/>
                <w:bCs w:val="1"/>
                <w:color w:val="FFFFFF"/>
              </w:rPr>
              <w:t>llars in thousands)</w:t>
            </w: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Shares</w:t>
            </w:r>
          </w:p>
        </w:tc>
        <w:tc>
          <w:tcPr>
            <w:tcW w:w="6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Amount</w:t>
            </w:r>
          </w:p>
        </w:tc>
        <w:tc>
          <w:tcPr>
            <w:tcW w:w="1000" w:type="dxa"/>
            <w:vAlign w:val="bottom"/>
            <w:tcBorders>
              <w:bottom w:val="single" w:sz="8" w:color="ACACAC"/>
            </w:tcBorders>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capital</w:t>
            </w:r>
          </w:p>
        </w:tc>
        <w:tc>
          <w:tcPr>
            <w:tcW w:w="900" w:type="dxa"/>
            <w:vAlign w:val="bottom"/>
            <w:tcBorders>
              <w:bottom w:val="single" w:sz="8" w:color="ACACAC"/>
            </w:tcBorders>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stock</w:t>
            </w:r>
          </w:p>
        </w:tc>
        <w:tc>
          <w:tcPr>
            <w:tcW w:w="1140" w:type="dxa"/>
            <w:vAlign w:val="bottom"/>
            <w:tcBorders>
              <w:bottom w:val="single" w:sz="8" w:color="ACACAC"/>
            </w:tcBorders>
            <w:shd w:val="clear" w:color="auto" w:fill="ACACAC"/>
          </w:tcPr>
          <w:p>
            <w:pPr>
              <w:jc w:val="right"/>
              <w:ind w:right="60"/>
              <w:spacing w:after="0"/>
              <w:rPr>
                <w:sz w:val="20"/>
                <w:szCs w:val="20"/>
                <w:color w:val="auto"/>
              </w:rPr>
            </w:pPr>
            <w:r>
              <w:rPr>
                <w:rFonts w:ascii="Arial" w:cs="Arial" w:eastAsia="Arial" w:hAnsi="Arial"/>
                <w:sz w:val="14"/>
                <w:szCs w:val="14"/>
                <w:b w:val="1"/>
                <w:bCs w:val="1"/>
                <w:color w:val="FFFFFF"/>
              </w:rPr>
              <w:t>income</w:t>
            </w:r>
          </w:p>
        </w:tc>
        <w:tc>
          <w:tcPr>
            <w:tcW w:w="8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earnings</w:t>
            </w:r>
          </w:p>
        </w:tc>
        <w:tc>
          <w:tcPr>
            <w:tcW w:w="9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lance at December 31, 2021</w:t>
            </w:r>
          </w:p>
        </w:tc>
        <w:tc>
          <w:tcPr>
            <w:tcW w:w="960" w:type="dxa"/>
            <w:vAlign w:val="bottom"/>
          </w:tcPr>
          <w:p>
            <w:pPr>
              <w:jc w:val="right"/>
              <w:spacing w:after="0"/>
              <w:rPr>
                <w:sz w:val="20"/>
                <w:szCs w:val="20"/>
                <w:color w:val="auto"/>
              </w:rPr>
            </w:pPr>
            <w:r>
              <w:rPr>
                <w:rFonts w:ascii="Arial" w:cs="Arial" w:eastAsia="Arial" w:hAnsi="Arial"/>
                <w:sz w:val="16"/>
                <w:szCs w:val="16"/>
                <w:color w:val="auto"/>
                <w:w w:val="96"/>
              </w:rPr>
              <w:t>66,165,666$</w:t>
            </w:r>
          </w:p>
        </w:tc>
        <w:tc>
          <w:tcPr>
            <w:tcW w:w="660" w:type="dxa"/>
            <w:vAlign w:val="bottom"/>
          </w:tcPr>
          <w:p>
            <w:pPr>
              <w:jc w:val="right"/>
              <w:spacing w:after="0"/>
              <w:rPr>
                <w:sz w:val="20"/>
                <w:szCs w:val="20"/>
                <w:color w:val="auto"/>
              </w:rPr>
            </w:pPr>
            <w:r>
              <w:rPr>
                <w:rFonts w:ascii="Arial" w:cs="Arial" w:eastAsia="Arial" w:hAnsi="Arial"/>
                <w:sz w:val="16"/>
                <w:szCs w:val="16"/>
                <w:color w:val="auto"/>
              </w:rPr>
              <w:t>$66</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968,927$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(500,911)$</w:t>
            </w: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6,522$</w:t>
            </w:r>
          </w:p>
        </w:tc>
        <w:tc>
          <w:tcPr>
            <w:tcW w:w="800" w:type="dxa"/>
            <w:vAlign w:val="bottom"/>
          </w:tcPr>
          <w:p>
            <w:pPr>
              <w:jc w:val="right"/>
              <w:spacing w:after="0"/>
              <w:rPr>
                <w:sz w:val="20"/>
                <w:szCs w:val="20"/>
                <w:color w:val="auto"/>
              </w:rPr>
            </w:pPr>
            <w:r>
              <w:rPr>
                <w:rFonts w:ascii="Arial" w:cs="Arial" w:eastAsia="Arial" w:hAnsi="Arial"/>
                <w:sz w:val="16"/>
                <w:szCs w:val="16"/>
                <w:color w:val="auto"/>
              </w:rPr>
              <w:t>242,456$</w:t>
            </w:r>
          </w:p>
        </w:tc>
        <w:tc>
          <w:tcPr>
            <w:tcW w:w="980" w:type="dxa"/>
            <w:vAlign w:val="bottom"/>
          </w:tcPr>
          <w:p>
            <w:pPr>
              <w:jc w:val="right"/>
              <w:spacing w:after="0"/>
              <w:rPr>
                <w:sz w:val="20"/>
                <w:szCs w:val="20"/>
                <w:color w:val="auto"/>
              </w:rPr>
            </w:pPr>
            <w:r>
              <w:rPr>
                <w:rFonts w:ascii="Arial" w:cs="Arial" w:eastAsia="Arial" w:hAnsi="Arial"/>
                <w:sz w:val="16"/>
                <w:szCs w:val="16"/>
                <w:color w:val="auto"/>
              </w:rPr>
              <w:t>717,060</w:t>
            </w:r>
          </w:p>
        </w:tc>
        <w:tc>
          <w:tcPr>
            <w:tcW w:w="0" w:type="dxa"/>
            <w:vAlign w:val="bottom"/>
          </w:tcPr>
          <w:p>
            <w:pPr>
              <w:spacing w:after="0"/>
              <w:rPr>
                <w:sz w:val="1"/>
                <w:szCs w:val="1"/>
                <w:color w:val="auto"/>
              </w:rPr>
            </w:pPr>
          </w:p>
        </w:tc>
      </w:tr>
      <w:tr>
        <w:trPr>
          <w:trHeight w:val="243"/>
        </w:trPr>
        <w:tc>
          <w:tcPr>
            <w:tcW w:w="4580" w:type="dxa"/>
            <w:vAlign w:val="bottom"/>
            <w:gridSpan w:val="2"/>
          </w:tcPr>
          <w:p>
            <w:pPr>
              <w:ind w:left="20"/>
              <w:spacing w:after="0"/>
              <w:rPr>
                <w:sz w:val="20"/>
                <w:szCs w:val="20"/>
                <w:color w:val="auto"/>
              </w:rPr>
            </w:pPr>
            <w:r>
              <w:rPr>
                <w:rFonts w:ascii="Arial" w:cs="Arial" w:eastAsia="Arial" w:hAnsi="Arial"/>
                <w:sz w:val="16"/>
                <w:szCs w:val="16"/>
                <w:color w:val="auto"/>
              </w:rPr>
              <w:t>et loss</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(10,407)</w:t>
            </w:r>
          </w:p>
        </w:tc>
        <w:tc>
          <w:tcPr>
            <w:tcW w:w="980" w:type="dxa"/>
            <w:vAlign w:val="bottom"/>
          </w:tcPr>
          <w:p>
            <w:pPr>
              <w:jc w:val="right"/>
              <w:spacing w:after="0"/>
              <w:rPr>
                <w:sz w:val="20"/>
                <w:szCs w:val="20"/>
                <w:color w:val="auto"/>
              </w:rPr>
            </w:pPr>
            <w:r>
              <w:rPr>
                <w:rFonts w:ascii="Arial" w:cs="Arial" w:eastAsia="Arial" w:hAnsi="Arial"/>
                <w:sz w:val="16"/>
                <w:szCs w:val="16"/>
                <w:color w:val="auto"/>
              </w:rPr>
              <w:t>(10,407)</w:t>
            </w:r>
          </w:p>
        </w:tc>
        <w:tc>
          <w:tcPr>
            <w:tcW w:w="0" w:type="dxa"/>
            <w:vAlign w:val="bottom"/>
          </w:tcPr>
          <w:p>
            <w:pPr>
              <w:spacing w:after="0"/>
              <w:rPr>
                <w:sz w:val="1"/>
                <w:szCs w:val="1"/>
                <w:color w:val="auto"/>
              </w:rPr>
            </w:pPr>
          </w:p>
        </w:tc>
      </w:tr>
      <w:tr>
        <w:trPr>
          <w:trHeight w:val="237"/>
        </w:trPr>
        <w:tc>
          <w:tcPr>
            <w:tcW w:w="4580" w:type="dxa"/>
            <w:vAlign w:val="bottom"/>
            <w:gridSpan w:val="2"/>
          </w:tcPr>
          <w:p>
            <w:pPr>
              <w:ind w:left="20"/>
              <w:spacing w:after="0"/>
              <w:rPr>
                <w:sz w:val="20"/>
                <w:szCs w:val="20"/>
                <w:color w:val="auto"/>
              </w:rPr>
            </w:pPr>
            <w:r>
              <w:rPr>
                <w:rFonts w:ascii="Arial" w:cs="Arial" w:eastAsia="Arial" w:hAnsi="Arial"/>
                <w:sz w:val="16"/>
                <w:szCs w:val="16"/>
                <w:color w:val="auto"/>
              </w:rPr>
              <w:t>tock issuance costs related to purchase of EVERFI (see Note</w:t>
            </w: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4580" w:type="dxa"/>
            <w:vAlign w:val="bottom"/>
            <w:gridSpan w:val="2"/>
          </w:tcPr>
          <w:p>
            <w:pPr>
              <w:ind w:left="240"/>
              <w:spacing w:after="0"/>
              <w:rPr>
                <w:sz w:val="20"/>
                <w:szCs w:val="20"/>
                <w:color w:val="auto"/>
              </w:rPr>
            </w:pPr>
            <w:r>
              <w:rPr>
                <w:rFonts w:ascii="Arial" w:cs="Arial" w:eastAsia="Arial" w:hAnsi="Arial"/>
                <w:sz w:val="16"/>
                <w:szCs w:val="16"/>
                <w:color w:val="auto"/>
              </w:rPr>
              <w:t>3)</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(983)</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(983)</w:t>
            </w:r>
          </w:p>
        </w:tc>
        <w:tc>
          <w:tcPr>
            <w:tcW w:w="0" w:type="dxa"/>
            <w:vAlign w:val="bottom"/>
          </w:tcPr>
          <w:p>
            <w:pPr>
              <w:spacing w:after="0"/>
              <w:rPr>
                <w:sz w:val="1"/>
                <w:szCs w:val="1"/>
                <w:color w:val="auto"/>
              </w:rPr>
            </w:pPr>
          </w:p>
        </w:tc>
      </w:tr>
      <w:tr>
        <w:trPr>
          <w:trHeight w:val="253"/>
        </w:trPr>
        <w:tc>
          <w:tcPr>
            <w:tcW w:w="100" w:type="dxa"/>
            <w:vAlign w:val="bottom"/>
          </w:tcPr>
          <w:p>
            <w:pPr>
              <w:spacing w:after="0"/>
              <w:rPr>
                <w:sz w:val="21"/>
                <w:szCs w:val="21"/>
                <w:color w:val="auto"/>
              </w:rPr>
            </w:pPr>
          </w:p>
        </w:tc>
        <w:tc>
          <w:tcPr>
            <w:tcW w:w="4480" w:type="dxa"/>
            <w:vAlign w:val="bottom"/>
            <w:shd w:val="clear" w:color="auto" w:fill="F4F4F4"/>
          </w:tcPr>
          <w:p>
            <w:pPr>
              <w:spacing w:after="0"/>
              <w:rPr>
                <w:sz w:val="20"/>
                <w:szCs w:val="20"/>
                <w:color w:val="auto"/>
              </w:rPr>
            </w:pPr>
            <w:r>
              <w:rPr>
                <w:rFonts w:ascii="Arial" w:cs="Arial" w:eastAsia="Arial" w:hAnsi="Arial"/>
                <w:sz w:val="16"/>
                <w:szCs w:val="16"/>
                <w:color w:val="auto"/>
              </w:rPr>
              <w:t>etirements of common stock</w:t>
            </w:r>
            <w:r>
              <w:rPr>
                <w:rFonts w:ascii="Arial" w:cs="Arial" w:eastAsia="Arial" w:hAnsi="Arial"/>
                <w:sz w:val="21"/>
                <w:szCs w:val="21"/>
                <w:color w:val="auto"/>
                <w:vertAlign w:val="superscript"/>
              </w:rPr>
              <w:t>(1)</w:t>
            </w:r>
          </w:p>
        </w:tc>
        <w:tc>
          <w:tcPr>
            <w:tcW w:w="9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(33,075)</w:t>
            </w:r>
          </w:p>
        </w:tc>
        <w:tc>
          <w:tcPr>
            <w:tcW w:w="6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F4F4F4"/>
          </w:tcPr>
          <w:p>
            <w:pPr>
              <w:jc w:val="right"/>
              <w:ind w:right="40"/>
              <w:spacing w:after="0"/>
              <w:rPr>
                <w:sz w:val="20"/>
                <w:szCs w:val="20"/>
                <w:color w:val="auto"/>
              </w:rPr>
            </w:pPr>
            <w:r>
              <w:rPr>
                <w:rFonts w:ascii="Arial" w:cs="Arial" w:eastAsia="Arial" w:hAnsi="Arial"/>
                <w:sz w:val="16"/>
                <w:szCs w:val="16"/>
                <w:color w:val="auto"/>
              </w:rPr>
              <w:t>(2,581)</w:t>
            </w:r>
          </w:p>
        </w:tc>
        <w:tc>
          <w:tcPr>
            <w:tcW w:w="900" w:type="dxa"/>
            <w:vAlign w:val="bottom"/>
            <w:shd w:val="clear" w:color="auto" w:fill="F4F4F4"/>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F4F4F4"/>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(2,581)</w:t>
            </w:r>
          </w:p>
        </w:tc>
        <w:tc>
          <w:tcPr>
            <w:tcW w:w="0" w:type="dxa"/>
            <w:vAlign w:val="bottom"/>
          </w:tcPr>
          <w:p>
            <w:pPr>
              <w:spacing w:after="0"/>
              <w:rPr>
                <w:sz w:val="1"/>
                <w:szCs w:val="1"/>
                <w:color w:val="auto"/>
              </w:rPr>
            </w:pPr>
          </w:p>
        </w:tc>
      </w:tr>
      <w:tr>
        <w:trPr>
          <w:trHeight w:val="233"/>
        </w:trPr>
        <w:tc>
          <w:tcPr>
            <w:tcW w:w="4580" w:type="dxa"/>
            <w:vAlign w:val="bottom"/>
            <w:gridSpan w:val="2"/>
          </w:tcPr>
          <w:p>
            <w:pPr>
              <w:spacing w:after="0"/>
              <w:rPr>
                <w:sz w:val="20"/>
                <w:szCs w:val="20"/>
                <w:color w:val="auto"/>
              </w:rPr>
            </w:pPr>
            <w:r>
              <w:rPr>
                <w:rFonts w:ascii="Arial" w:cs="Arial" w:eastAsia="Arial" w:hAnsi="Arial"/>
                <w:sz w:val="16"/>
                <w:szCs w:val="16"/>
                <w:color w:val="auto"/>
              </w:rPr>
              <w:t>esting of restricted stock units</w:t>
            </w:r>
          </w:p>
        </w:tc>
        <w:tc>
          <w:tcPr>
            <w:tcW w:w="960" w:type="dxa"/>
            <w:vAlign w:val="bottom"/>
          </w:tcPr>
          <w:p>
            <w:pPr>
              <w:jc w:val="right"/>
              <w:spacing w:after="0"/>
              <w:rPr>
                <w:sz w:val="20"/>
                <w:szCs w:val="20"/>
                <w:color w:val="auto"/>
              </w:rPr>
            </w:pPr>
            <w:r>
              <w:rPr>
                <w:rFonts w:ascii="Arial" w:cs="Arial" w:eastAsia="Arial" w:hAnsi="Arial"/>
                <w:sz w:val="16"/>
                <w:szCs w:val="16"/>
                <w:color w:val="auto"/>
              </w:rPr>
              <w:t>976,312</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4480" w:type="dxa"/>
            <w:vAlign w:val="bottom"/>
            <w:shd w:val="clear" w:color="auto" w:fill="F4F4F4"/>
          </w:tcPr>
          <w:p>
            <w:pPr>
              <w:spacing w:after="0"/>
              <w:rPr>
                <w:sz w:val="20"/>
                <w:szCs w:val="20"/>
                <w:color w:val="auto"/>
              </w:rPr>
            </w:pPr>
            <w:r>
              <w:rPr>
                <w:rFonts w:ascii="Arial" w:cs="Arial" w:eastAsia="Arial" w:hAnsi="Arial"/>
                <w:sz w:val="16"/>
                <w:szCs w:val="16"/>
                <w:color w:val="auto"/>
              </w:rPr>
              <w:t>mployee taxes paid for 533,139 withheld shares upon equity</w:t>
            </w:r>
          </w:p>
        </w:tc>
        <w:tc>
          <w:tcPr>
            <w:tcW w:w="960" w:type="dxa"/>
            <w:vAlign w:val="bottom"/>
            <w:shd w:val="clear" w:color="auto" w:fill="F4F4F4"/>
          </w:tcPr>
          <w:p>
            <w:pPr>
              <w:spacing w:after="0"/>
              <w:rPr>
                <w:sz w:val="19"/>
                <w:szCs w:val="19"/>
                <w:color w:val="auto"/>
              </w:rPr>
            </w:pPr>
          </w:p>
        </w:tc>
        <w:tc>
          <w:tcPr>
            <w:tcW w:w="660" w:type="dxa"/>
            <w:vAlign w:val="bottom"/>
            <w:shd w:val="clear" w:color="auto" w:fill="F4F4F4"/>
          </w:tcPr>
          <w:p>
            <w:pPr>
              <w:spacing w:after="0"/>
              <w:rPr>
                <w:sz w:val="19"/>
                <w:szCs w:val="19"/>
                <w:color w:val="auto"/>
              </w:rPr>
            </w:pPr>
          </w:p>
        </w:tc>
        <w:tc>
          <w:tcPr>
            <w:tcW w:w="1000" w:type="dxa"/>
            <w:vAlign w:val="bottom"/>
            <w:shd w:val="clear" w:color="auto" w:fill="F4F4F4"/>
          </w:tcPr>
          <w:p>
            <w:pPr>
              <w:spacing w:after="0"/>
              <w:rPr>
                <w:sz w:val="19"/>
                <w:szCs w:val="19"/>
                <w:color w:val="auto"/>
              </w:rPr>
            </w:pPr>
          </w:p>
        </w:tc>
        <w:tc>
          <w:tcPr>
            <w:tcW w:w="900" w:type="dxa"/>
            <w:vAlign w:val="bottom"/>
            <w:shd w:val="clear" w:color="auto" w:fill="F4F4F4"/>
          </w:tcPr>
          <w:p>
            <w:pPr>
              <w:spacing w:after="0"/>
              <w:rPr>
                <w:sz w:val="19"/>
                <w:szCs w:val="19"/>
                <w:color w:val="auto"/>
              </w:rPr>
            </w:pPr>
          </w:p>
        </w:tc>
        <w:tc>
          <w:tcPr>
            <w:tcW w:w="1140" w:type="dxa"/>
            <w:vAlign w:val="bottom"/>
            <w:shd w:val="clear" w:color="auto" w:fill="F4F4F4"/>
          </w:tcPr>
          <w:p>
            <w:pPr>
              <w:spacing w:after="0"/>
              <w:rPr>
                <w:sz w:val="19"/>
                <w:szCs w:val="19"/>
                <w:color w:val="auto"/>
              </w:rPr>
            </w:pPr>
          </w:p>
        </w:tc>
        <w:tc>
          <w:tcPr>
            <w:tcW w:w="800" w:type="dxa"/>
            <w:vAlign w:val="bottom"/>
            <w:shd w:val="clear" w:color="auto" w:fill="F4F4F4"/>
          </w:tcPr>
          <w:p>
            <w:pPr>
              <w:spacing w:after="0"/>
              <w:rPr>
                <w:sz w:val="19"/>
                <w:szCs w:val="19"/>
                <w:color w:val="auto"/>
              </w:rPr>
            </w:pPr>
          </w:p>
        </w:tc>
        <w:tc>
          <w:tcPr>
            <w:tcW w:w="980" w:type="dxa"/>
            <w:vAlign w:val="bottom"/>
            <w:shd w:val="clear" w:color="auto" w:fill="F4F4F4"/>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44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award settlement</w:t>
            </w:r>
          </w:p>
        </w:tc>
        <w:tc>
          <w:tcPr>
            <w:tcW w:w="9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F4F4F4"/>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shd w:val="clear" w:color="auto" w:fill="F4F4F4"/>
          </w:tcPr>
          <w:p>
            <w:pPr>
              <w:jc w:val="right"/>
              <w:ind w:right="20"/>
              <w:spacing w:after="0"/>
              <w:rPr>
                <w:sz w:val="20"/>
                <w:szCs w:val="20"/>
                <w:color w:val="auto"/>
              </w:rPr>
            </w:pPr>
            <w:r>
              <w:rPr>
                <w:rFonts w:ascii="Arial" w:cs="Arial" w:eastAsia="Arial" w:hAnsi="Arial"/>
                <w:sz w:val="16"/>
                <w:szCs w:val="16"/>
                <w:color w:val="auto"/>
              </w:rPr>
              <w:t>(34,674)</w:t>
            </w:r>
          </w:p>
        </w:tc>
        <w:tc>
          <w:tcPr>
            <w:tcW w:w="1140" w:type="dxa"/>
            <w:vAlign w:val="bottom"/>
            <w:shd w:val="clear" w:color="auto" w:fill="F4F4F4"/>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(34,674)</w:t>
            </w:r>
          </w:p>
        </w:tc>
        <w:tc>
          <w:tcPr>
            <w:tcW w:w="0" w:type="dxa"/>
            <w:vAlign w:val="bottom"/>
          </w:tcPr>
          <w:p>
            <w:pPr>
              <w:spacing w:after="0"/>
              <w:rPr>
                <w:sz w:val="1"/>
                <w:szCs w:val="1"/>
                <w:color w:val="auto"/>
              </w:rPr>
            </w:pPr>
          </w:p>
        </w:tc>
      </w:tr>
      <w:tr>
        <w:trPr>
          <w:trHeight w:val="233"/>
        </w:trPr>
        <w:tc>
          <w:tcPr>
            <w:tcW w:w="4580" w:type="dxa"/>
            <w:vAlign w:val="bottom"/>
            <w:gridSpan w:val="2"/>
          </w:tcPr>
          <w:p>
            <w:pPr>
              <w:ind w:left="20"/>
              <w:spacing w:after="0"/>
              <w:rPr>
                <w:sz w:val="20"/>
                <w:szCs w:val="20"/>
                <w:color w:val="auto"/>
              </w:rPr>
            </w:pPr>
            <w:r>
              <w:rPr>
                <w:rFonts w:ascii="Arial" w:cs="Arial" w:eastAsia="Arial" w:hAnsi="Arial"/>
                <w:sz w:val="16"/>
                <w:szCs w:val="16"/>
                <w:color w:val="auto"/>
              </w:rPr>
              <w:t>tock-based compensation</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27,860</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27,860</w:t>
            </w:r>
          </w:p>
        </w:tc>
        <w:tc>
          <w:tcPr>
            <w:tcW w:w="0" w:type="dxa"/>
            <w:vAlign w:val="bottom"/>
          </w:tcPr>
          <w:p>
            <w:pPr>
              <w:spacing w:after="0"/>
              <w:rPr>
                <w:sz w:val="1"/>
                <w:szCs w:val="1"/>
                <w:color w:val="auto"/>
              </w:rPr>
            </w:pPr>
          </w:p>
        </w:tc>
      </w:tr>
      <w:tr>
        <w:trPr>
          <w:trHeight w:val="253"/>
        </w:trPr>
        <w:tc>
          <w:tcPr>
            <w:tcW w:w="100" w:type="dxa"/>
            <w:vAlign w:val="bottom"/>
          </w:tcPr>
          <w:p>
            <w:pPr>
              <w:spacing w:after="0"/>
              <w:rPr>
                <w:sz w:val="21"/>
                <w:szCs w:val="21"/>
                <w:color w:val="auto"/>
              </w:rPr>
            </w:pPr>
          </w:p>
        </w:tc>
        <w:tc>
          <w:tcPr>
            <w:tcW w:w="4480" w:type="dxa"/>
            <w:vAlign w:val="bottom"/>
            <w:shd w:val="clear" w:color="auto" w:fill="F4F4F4"/>
          </w:tcPr>
          <w:p>
            <w:pPr>
              <w:spacing w:after="0"/>
              <w:rPr>
                <w:sz w:val="20"/>
                <w:szCs w:val="20"/>
                <w:color w:val="auto"/>
              </w:rPr>
            </w:pPr>
            <w:r>
              <w:rPr>
                <w:rFonts w:ascii="Arial" w:cs="Arial" w:eastAsia="Arial" w:hAnsi="Arial"/>
                <w:sz w:val="16"/>
                <w:szCs w:val="16"/>
                <w:color w:val="auto"/>
              </w:rPr>
              <w:t>estricted stock grants</w:t>
            </w:r>
          </w:p>
        </w:tc>
        <w:tc>
          <w:tcPr>
            <w:tcW w:w="9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580,209</w:t>
            </w:r>
          </w:p>
        </w:tc>
        <w:tc>
          <w:tcPr>
            <w:tcW w:w="6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w:t>
            </w:r>
          </w:p>
        </w:tc>
        <w:tc>
          <w:tcPr>
            <w:tcW w:w="1000" w:type="dxa"/>
            <w:vAlign w:val="bottom"/>
            <w:shd w:val="clear" w:color="auto" w:fill="F4F4F4"/>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shd w:val="clear" w:color="auto" w:fill="F4F4F4"/>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F4F4F4"/>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3"/>
        </w:trPr>
        <w:tc>
          <w:tcPr>
            <w:tcW w:w="4580" w:type="dxa"/>
            <w:vAlign w:val="bottom"/>
            <w:gridSpan w:val="2"/>
          </w:tcPr>
          <w:p>
            <w:pPr>
              <w:ind w:left="20"/>
              <w:spacing w:after="0"/>
              <w:rPr>
                <w:sz w:val="20"/>
                <w:szCs w:val="20"/>
                <w:color w:val="auto"/>
              </w:rPr>
            </w:pPr>
            <w:r>
              <w:rPr>
                <w:rFonts w:ascii="Arial" w:cs="Arial" w:eastAsia="Arial" w:hAnsi="Arial"/>
                <w:sz w:val="16"/>
                <w:szCs w:val="16"/>
                <w:color w:val="auto"/>
              </w:rPr>
              <w:t>estricted stock cancellations</w:t>
            </w:r>
          </w:p>
        </w:tc>
        <w:tc>
          <w:tcPr>
            <w:tcW w:w="960" w:type="dxa"/>
            <w:vAlign w:val="bottom"/>
          </w:tcPr>
          <w:p>
            <w:pPr>
              <w:jc w:val="right"/>
              <w:spacing w:after="0"/>
              <w:rPr>
                <w:sz w:val="20"/>
                <w:szCs w:val="20"/>
                <w:color w:val="auto"/>
              </w:rPr>
            </w:pPr>
            <w:r>
              <w:rPr>
                <w:rFonts w:ascii="Arial" w:cs="Arial" w:eastAsia="Arial" w:hAnsi="Arial"/>
                <w:sz w:val="16"/>
                <w:szCs w:val="16"/>
                <w:color w:val="auto"/>
              </w:rPr>
              <w:t>(30,940)</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ther comprehensive income</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8,773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8,773</w:t>
            </w:r>
          </w:p>
        </w:tc>
        <w:tc>
          <w:tcPr>
            <w:tcW w:w="0" w:type="dxa"/>
            <w:vAlign w:val="bottom"/>
          </w:tcPr>
          <w:p>
            <w:pPr>
              <w:spacing w:after="0"/>
              <w:rPr>
                <w:sz w:val="1"/>
                <w:szCs w:val="1"/>
                <w:color w:val="auto"/>
              </w:rPr>
            </w:pPr>
          </w:p>
        </w:tc>
      </w:tr>
      <w:tr>
        <w:trPr>
          <w:trHeight w:val="224"/>
        </w:trPr>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lance at March 31, 2022</w:t>
            </w:r>
          </w:p>
        </w:tc>
        <w:tc>
          <w:tcPr>
            <w:tcW w:w="960" w:type="dxa"/>
            <w:vAlign w:val="bottom"/>
          </w:tcPr>
          <w:p>
            <w:pPr>
              <w:jc w:val="right"/>
              <w:spacing w:after="0"/>
              <w:rPr>
                <w:sz w:val="20"/>
                <w:szCs w:val="20"/>
                <w:color w:val="auto"/>
              </w:rPr>
            </w:pPr>
            <w:r>
              <w:rPr>
                <w:rFonts w:ascii="Arial" w:cs="Arial" w:eastAsia="Arial" w:hAnsi="Arial"/>
                <w:sz w:val="16"/>
                <w:szCs w:val="16"/>
                <w:color w:val="auto"/>
                <w:w w:val="96"/>
              </w:rPr>
              <w:t>67,658,172$</w:t>
            </w:r>
          </w:p>
        </w:tc>
        <w:tc>
          <w:tcPr>
            <w:tcW w:w="660" w:type="dxa"/>
            <w:vAlign w:val="bottom"/>
          </w:tcPr>
          <w:p>
            <w:pPr>
              <w:jc w:val="right"/>
              <w:spacing w:after="0"/>
              <w:rPr>
                <w:sz w:val="20"/>
                <w:szCs w:val="20"/>
                <w:color w:val="auto"/>
              </w:rPr>
            </w:pPr>
            <w:r>
              <w:rPr>
                <w:rFonts w:ascii="Arial" w:cs="Arial" w:eastAsia="Arial" w:hAnsi="Arial"/>
                <w:sz w:val="16"/>
                <w:szCs w:val="16"/>
                <w:color w:val="auto"/>
              </w:rPr>
              <w:t>$68</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993,223$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(535,585)$</w:t>
            </w: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15,295$</w:t>
            </w:r>
          </w:p>
        </w:tc>
        <w:tc>
          <w:tcPr>
            <w:tcW w:w="800" w:type="dxa"/>
            <w:vAlign w:val="bottom"/>
          </w:tcPr>
          <w:p>
            <w:pPr>
              <w:jc w:val="right"/>
              <w:spacing w:after="0"/>
              <w:rPr>
                <w:sz w:val="20"/>
                <w:szCs w:val="20"/>
                <w:color w:val="auto"/>
              </w:rPr>
            </w:pPr>
            <w:r>
              <w:rPr>
                <w:rFonts w:ascii="Arial" w:cs="Arial" w:eastAsia="Arial" w:hAnsi="Arial"/>
                <w:sz w:val="16"/>
                <w:szCs w:val="16"/>
                <w:color w:val="auto"/>
              </w:rPr>
              <w:t>232,049$</w:t>
            </w:r>
          </w:p>
        </w:tc>
        <w:tc>
          <w:tcPr>
            <w:tcW w:w="980" w:type="dxa"/>
            <w:vAlign w:val="bottom"/>
          </w:tcPr>
          <w:p>
            <w:pPr>
              <w:jc w:val="right"/>
              <w:spacing w:after="0"/>
              <w:rPr>
                <w:sz w:val="20"/>
                <w:szCs w:val="20"/>
                <w:color w:val="auto"/>
              </w:rPr>
            </w:pPr>
            <w:r>
              <w:rPr>
                <w:rFonts w:ascii="Arial" w:cs="Arial" w:eastAsia="Arial" w:hAnsi="Arial"/>
                <w:sz w:val="16"/>
                <w:szCs w:val="16"/>
                <w:color w:val="auto"/>
              </w:rPr>
              <w:t>705,050</w:t>
            </w:r>
          </w:p>
        </w:tc>
        <w:tc>
          <w:tcPr>
            <w:tcW w:w="0" w:type="dxa"/>
            <w:vAlign w:val="bottom"/>
          </w:tcPr>
          <w:p>
            <w:pPr>
              <w:spacing w:after="0"/>
              <w:rPr>
                <w:sz w:val="1"/>
                <w:szCs w:val="1"/>
                <w:color w:val="auto"/>
              </w:rPr>
            </w:pPr>
          </w:p>
        </w:tc>
      </w:tr>
      <w:tr>
        <w:trPr>
          <w:trHeight w:val="243"/>
        </w:trPr>
        <w:tc>
          <w:tcPr>
            <w:tcW w:w="4580" w:type="dxa"/>
            <w:vAlign w:val="bottom"/>
            <w:gridSpan w:val="2"/>
          </w:tcPr>
          <w:p>
            <w:pPr>
              <w:ind w:left="20"/>
              <w:spacing w:after="0"/>
              <w:rPr>
                <w:sz w:val="20"/>
                <w:szCs w:val="20"/>
                <w:color w:val="auto"/>
              </w:rPr>
            </w:pPr>
            <w:r>
              <w:rPr>
                <w:rFonts w:ascii="Arial" w:cs="Arial" w:eastAsia="Arial" w:hAnsi="Arial"/>
                <w:sz w:val="16"/>
                <w:szCs w:val="16"/>
                <w:color w:val="auto"/>
              </w:rPr>
              <w:t>et loss</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(3,422)</w:t>
            </w:r>
          </w:p>
        </w:tc>
        <w:tc>
          <w:tcPr>
            <w:tcW w:w="980" w:type="dxa"/>
            <w:vAlign w:val="bottom"/>
          </w:tcPr>
          <w:p>
            <w:pPr>
              <w:jc w:val="right"/>
              <w:spacing w:after="0"/>
              <w:rPr>
                <w:sz w:val="20"/>
                <w:szCs w:val="20"/>
                <w:color w:val="auto"/>
              </w:rPr>
            </w:pPr>
            <w:r>
              <w:rPr>
                <w:rFonts w:ascii="Arial" w:cs="Arial" w:eastAsia="Arial" w:hAnsi="Arial"/>
                <w:sz w:val="16"/>
                <w:szCs w:val="16"/>
                <w:color w:val="auto"/>
              </w:rPr>
              <w:t>(3,422)</w:t>
            </w:r>
          </w:p>
        </w:tc>
        <w:tc>
          <w:tcPr>
            <w:tcW w:w="0" w:type="dxa"/>
            <w:vAlign w:val="bottom"/>
          </w:tcPr>
          <w:p>
            <w:pPr>
              <w:spacing w:after="0"/>
              <w:rPr>
                <w:sz w:val="1"/>
                <w:szCs w:val="1"/>
                <w:color w:val="auto"/>
              </w:rPr>
            </w:pPr>
          </w:p>
        </w:tc>
      </w:tr>
      <w:tr>
        <w:trPr>
          <w:trHeight w:val="237"/>
        </w:trPr>
        <w:tc>
          <w:tcPr>
            <w:tcW w:w="4580" w:type="dxa"/>
            <w:vAlign w:val="bottom"/>
            <w:gridSpan w:val="2"/>
          </w:tcPr>
          <w:p>
            <w:pPr>
              <w:ind w:left="20"/>
              <w:spacing w:after="0"/>
              <w:rPr>
                <w:sz w:val="20"/>
                <w:szCs w:val="20"/>
                <w:color w:val="auto"/>
              </w:rPr>
            </w:pPr>
            <w:r>
              <w:rPr>
                <w:rFonts w:ascii="Arial" w:cs="Arial" w:eastAsia="Arial" w:hAnsi="Arial"/>
                <w:sz w:val="16"/>
                <w:szCs w:val="16"/>
                <w:color w:val="auto"/>
              </w:rPr>
              <w:t>tock issuance costs related to purchase of EVERFI (see Note</w:t>
            </w: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4580" w:type="dxa"/>
            <w:vAlign w:val="bottom"/>
            <w:gridSpan w:val="2"/>
          </w:tcPr>
          <w:p>
            <w:pPr>
              <w:ind w:left="240"/>
              <w:spacing w:after="0"/>
              <w:rPr>
                <w:sz w:val="20"/>
                <w:szCs w:val="20"/>
                <w:color w:val="auto"/>
              </w:rPr>
            </w:pPr>
            <w:r>
              <w:rPr>
                <w:rFonts w:ascii="Arial" w:cs="Arial" w:eastAsia="Arial" w:hAnsi="Arial"/>
                <w:sz w:val="16"/>
                <w:szCs w:val="16"/>
                <w:color w:val="auto"/>
              </w:rPr>
              <w:t>3)</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(223)</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53"/>
        </w:trPr>
        <w:tc>
          <w:tcPr>
            <w:tcW w:w="100" w:type="dxa"/>
            <w:vAlign w:val="bottom"/>
          </w:tcPr>
          <w:p>
            <w:pPr>
              <w:spacing w:after="0"/>
              <w:rPr>
                <w:sz w:val="21"/>
                <w:szCs w:val="21"/>
                <w:color w:val="auto"/>
              </w:rPr>
            </w:pPr>
          </w:p>
        </w:tc>
        <w:tc>
          <w:tcPr>
            <w:tcW w:w="4480" w:type="dxa"/>
            <w:vAlign w:val="bottom"/>
            <w:shd w:val="clear" w:color="auto" w:fill="F4F4F4"/>
          </w:tcPr>
          <w:p>
            <w:pPr>
              <w:spacing w:after="0"/>
              <w:rPr>
                <w:sz w:val="20"/>
                <w:szCs w:val="20"/>
                <w:color w:val="auto"/>
              </w:rPr>
            </w:pPr>
            <w:r>
              <w:rPr>
                <w:rFonts w:ascii="Arial" w:cs="Arial" w:eastAsia="Arial" w:hAnsi="Arial"/>
                <w:sz w:val="16"/>
                <w:szCs w:val="16"/>
                <w:color w:val="auto"/>
              </w:rPr>
              <w:t>etirements of common stock</w:t>
            </w:r>
            <w:r>
              <w:rPr>
                <w:rFonts w:ascii="Arial" w:cs="Arial" w:eastAsia="Arial" w:hAnsi="Arial"/>
                <w:sz w:val="21"/>
                <w:szCs w:val="21"/>
                <w:color w:val="auto"/>
                <w:vertAlign w:val="superscript"/>
              </w:rPr>
              <w:t>(1)</w:t>
            </w:r>
          </w:p>
        </w:tc>
        <w:tc>
          <w:tcPr>
            <w:tcW w:w="9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(395)</w:t>
            </w:r>
          </w:p>
        </w:tc>
        <w:tc>
          <w:tcPr>
            <w:tcW w:w="6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F4F4F4"/>
          </w:tcPr>
          <w:p>
            <w:pPr>
              <w:jc w:val="right"/>
              <w:ind w:right="40"/>
              <w:spacing w:after="0"/>
              <w:rPr>
                <w:sz w:val="20"/>
                <w:szCs w:val="20"/>
                <w:color w:val="auto"/>
              </w:rPr>
            </w:pPr>
            <w:r>
              <w:rPr>
                <w:rFonts w:ascii="Arial" w:cs="Arial" w:eastAsia="Arial" w:hAnsi="Arial"/>
                <w:sz w:val="16"/>
                <w:szCs w:val="16"/>
                <w:color w:val="auto"/>
              </w:rPr>
              <w:t>(19)</w:t>
            </w:r>
          </w:p>
        </w:tc>
        <w:tc>
          <w:tcPr>
            <w:tcW w:w="900" w:type="dxa"/>
            <w:vAlign w:val="bottom"/>
            <w:shd w:val="clear" w:color="auto" w:fill="F4F4F4"/>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F4F4F4"/>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3"/>
        </w:trPr>
        <w:tc>
          <w:tcPr>
            <w:tcW w:w="4580" w:type="dxa"/>
            <w:vAlign w:val="bottom"/>
            <w:gridSpan w:val="2"/>
          </w:tcPr>
          <w:p>
            <w:pPr>
              <w:spacing w:after="0"/>
              <w:rPr>
                <w:sz w:val="20"/>
                <w:szCs w:val="20"/>
                <w:color w:val="auto"/>
              </w:rPr>
            </w:pPr>
            <w:r>
              <w:rPr>
                <w:rFonts w:ascii="Arial" w:cs="Arial" w:eastAsia="Arial" w:hAnsi="Arial"/>
                <w:sz w:val="16"/>
                <w:szCs w:val="16"/>
                <w:color w:val="auto"/>
              </w:rPr>
              <w:t>esting of restricted stock units</w:t>
            </w:r>
          </w:p>
        </w:tc>
        <w:tc>
          <w:tcPr>
            <w:tcW w:w="960" w:type="dxa"/>
            <w:vAlign w:val="bottom"/>
          </w:tcPr>
          <w:p>
            <w:pPr>
              <w:jc w:val="right"/>
              <w:spacing w:after="0"/>
              <w:rPr>
                <w:sz w:val="20"/>
                <w:szCs w:val="20"/>
                <w:color w:val="auto"/>
              </w:rPr>
            </w:pPr>
            <w:r>
              <w:rPr>
                <w:rFonts w:ascii="Arial" w:cs="Arial" w:eastAsia="Arial" w:hAnsi="Arial"/>
                <w:sz w:val="16"/>
                <w:szCs w:val="16"/>
                <w:color w:val="auto"/>
              </w:rPr>
              <w:t>23,549</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4480" w:type="dxa"/>
            <w:vAlign w:val="bottom"/>
            <w:shd w:val="clear" w:color="auto" w:fill="F4F4F4"/>
          </w:tcPr>
          <w:p>
            <w:pPr>
              <w:spacing w:after="0"/>
              <w:rPr>
                <w:sz w:val="20"/>
                <w:szCs w:val="20"/>
                <w:color w:val="auto"/>
              </w:rPr>
            </w:pPr>
            <w:r>
              <w:rPr>
                <w:rFonts w:ascii="Arial" w:cs="Arial" w:eastAsia="Arial" w:hAnsi="Arial"/>
                <w:sz w:val="16"/>
                <w:szCs w:val="16"/>
                <w:color w:val="auto"/>
              </w:rPr>
              <w:t>mployee taxes paid for 15,540 withheld shares upon equity</w:t>
            </w:r>
          </w:p>
        </w:tc>
        <w:tc>
          <w:tcPr>
            <w:tcW w:w="960" w:type="dxa"/>
            <w:vAlign w:val="bottom"/>
            <w:shd w:val="clear" w:color="auto" w:fill="F4F4F4"/>
          </w:tcPr>
          <w:p>
            <w:pPr>
              <w:spacing w:after="0"/>
              <w:rPr>
                <w:sz w:val="19"/>
                <w:szCs w:val="19"/>
                <w:color w:val="auto"/>
              </w:rPr>
            </w:pPr>
          </w:p>
        </w:tc>
        <w:tc>
          <w:tcPr>
            <w:tcW w:w="660" w:type="dxa"/>
            <w:vAlign w:val="bottom"/>
            <w:shd w:val="clear" w:color="auto" w:fill="F4F4F4"/>
          </w:tcPr>
          <w:p>
            <w:pPr>
              <w:spacing w:after="0"/>
              <w:rPr>
                <w:sz w:val="19"/>
                <w:szCs w:val="19"/>
                <w:color w:val="auto"/>
              </w:rPr>
            </w:pPr>
          </w:p>
        </w:tc>
        <w:tc>
          <w:tcPr>
            <w:tcW w:w="1000" w:type="dxa"/>
            <w:vAlign w:val="bottom"/>
            <w:shd w:val="clear" w:color="auto" w:fill="F4F4F4"/>
          </w:tcPr>
          <w:p>
            <w:pPr>
              <w:spacing w:after="0"/>
              <w:rPr>
                <w:sz w:val="19"/>
                <w:szCs w:val="19"/>
                <w:color w:val="auto"/>
              </w:rPr>
            </w:pPr>
          </w:p>
        </w:tc>
        <w:tc>
          <w:tcPr>
            <w:tcW w:w="900" w:type="dxa"/>
            <w:vAlign w:val="bottom"/>
            <w:shd w:val="clear" w:color="auto" w:fill="F4F4F4"/>
          </w:tcPr>
          <w:p>
            <w:pPr>
              <w:spacing w:after="0"/>
              <w:rPr>
                <w:sz w:val="19"/>
                <w:szCs w:val="19"/>
                <w:color w:val="auto"/>
              </w:rPr>
            </w:pPr>
          </w:p>
        </w:tc>
        <w:tc>
          <w:tcPr>
            <w:tcW w:w="1140" w:type="dxa"/>
            <w:vAlign w:val="bottom"/>
            <w:shd w:val="clear" w:color="auto" w:fill="F4F4F4"/>
          </w:tcPr>
          <w:p>
            <w:pPr>
              <w:spacing w:after="0"/>
              <w:rPr>
                <w:sz w:val="19"/>
                <w:szCs w:val="19"/>
                <w:color w:val="auto"/>
              </w:rPr>
            </w:pPr>
          </w:p>
        </w:tc>
        <w:tc>
          <w:tcPr>
            <w:tcW w:w="800" w:type="dxa"/>
            <w:vAlign w:val="bottom"/>
            <w:shd w:val="clear" w:color="auto" w:fill="F4F4F4"/>
          </w:tcPr>
          <w:p>
            <w:pPr>
              <w:spacing w:after="0"/>
              <w:rPr>
                <w:sz w:val="19"/>
                <w:szCs w:val="19"/>
                <w:color w:val="auto"/>
              </w:rPr>
            </w:pPr>
          </w:p>
        </w:tc>
        <w:tc>
          <w:tcPr>
            <w:tcW w:w="980" w:type="dxa"/>
            <w:vAlign w:val="bottom"/>
            <w:shd w:val="clear" w:color="auto" w:fill="F4F4F4"/>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44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award settlement</w:t>
            </w:r>
          </w:p>
        </w:tc>
        <w:tc>
          <w:tcPr>
            <w:tcW w:w="9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F4F4F4"/>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shd w:val="clear" w:color="auto" w:fill="F4F4F4"/>
          </w:tcPr>
          <w:p>
            <w:pPr>
              <w:jc w:val="right"/>
              <w:ind w:right="20"/>
              <w:spacing w:after="0"/>
              <w:rPr>
                <w:sz w:val="20"/>
                <w:szCs w:val="20"/>
                <w:color w:val="auto"/>
              </w:rPr>
            </w:pPr>
            <w:r>
              <w:rPr>
                <w:rFonts w:ascii="Arial" w:cs="Arial" w:eastAsia="Arial" w:hAnsi="Arial"/>
                <w:sz w:val="16"/>
                <w:szCs w:val="16"/>
                <w:color w:val="auto"/>
              </w:rPr>
              <w:t>(926)</w:t>
            </w:r>
          </w:p>
        </w:tc>
        <w:tc>
          <w:tcPr>
            <w:tcW w:w="1140" w:type="dxa"/>
            <w:vAlign w:val="bottom"/>
            <w:shd w:val="clear" w:color="auto" w:fill="F4F4F4"/>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(926)</w:t>
            </w:r>
          </w:p>
        </w:tc>
        <w:tc>
          <w:tcPr>
            <w:tcW w:w="0" w:type="dxa"/>
            <w:vAlign w:val="bottom"/>
          </w:tcPr>
          <w:p>
            <w:pPr>
              <w:spacing w:after="0"/>
              <w:rPr>
                <w:sz w:val="1"/>
                <w:szCs w:val="1"/>
                <w:color w:val="auto"/>
              </w:rPr>
            </w:pPr>
          </w:p>
        </w:tc>
      </w:tr>
      <w:tr>
        <w:trPr>
          <w:trHeight w:val="233"/>
        </w:trPr>
        <w:tc>
          <w:tcPr>
            <w:tcW w:w="4580" w:type="dxa"/>
            <w:vAlign w:val="bottom"/>
            <w:gridSpan w:val="2"/>
          </w:tcPr>
          <w:p>
            <w:pPr>
              <w:ind w:left="20"/>
              <w:spacing w:after="0"/>
              <w:rPr>
                <w:sz w:val="20"/>
                <w:szCs w:val="20"/>
                <w:color w:val="auto"/>
              </w:rPr>
            </w:pPr>
            <w:r>
              <w:rPr>
                <w:rFonts w:ascii="Arial" w:cs="Arial" w:eastAsia="Arial" w:hAnsi="Arial"/>
                <w:sz w:val="16"/>
                <w:szCs w:val="16"/>
                <w:color w:val="auto"/>
              </w:rPr>
              <w:t>tock-based compensation</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27,854</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27,854</w:t>
            </w:r>
          </w:p>
        </w:tc>
        <w:tc>
          <w:tcPr>
            <w:tcW w:w="0" w:type="dxa"/>
            <w:vAlign w:val="bottom"/>
          </w:tcPr>
          <w:p>
            <w:pPr>
              <w:spacing w:after="0"/>
              <w:rPr>
                <w:sz w:val="1"/>
                <w:szCs w:val="1"/>
                <w:color w:val="auto"/>
              </w:rPr>
            </w:pPr>
          </w:p>
        </w:tc>
      </w:tr>
      <w:tr>
        <w:trPr>
          <w:trHeight w:val="253"/>
        </w:trPr>
        <w:tc>
          <w:tcPr>
            <w:tcW w:w="100" w:type="dxa"/>
            <w:vAlign w:val="bottom"/>
          </w:tcPr>
          <w:p>
            <w:pPr>
              <w:spacing w:after="0"/>
              <w:rPr>
                <w:sz w:val="21"/>
                <w:szCs w:val="21"/>
                <w:color w:val="auto"/>
              </w:rPr>
            </w:pPr>
          </w:p>
        </w:tc>
        <w:tc>
          <w:tcPr>
            <w:tcW w:w="4480" w:type="dxa"/>
            <w:vAlign w:val="bottom"/>
            <w:shd w:val="clear" w:color="auto" w:fill="F4F4F4"/>
          </w:tcPr>
          <w:p>
            <w:pPr>
              <w:spacing w:after="0"/>
              <w:rPr>
                <w:sz w:val="20"/>
                <w:szCs w:val="20"/>
                <w:color w:val="auto"/>
              </w:rPr>
            </w:pPr>
            <w:r>
              <w:rPr>
                <w:rFonts w:ascii="Arial" w:cs="Arial" w:eastAsia="Arial" w:hAnsi="Arial"/>
                <w:sz w:val="16"/>
                <w:szCs w:val="16"/>
                <w:color w:val="auto"/>
              </w:rPr>
              <w:t>estricted stock grants</w:t>
            </w:r>
          </w:p>
        </w:tc>
        <w:tc>
          <w:tcPr>
            <w:tcW w:w="9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136,598</w:t>
            </w:r>
          </w:p>
        </w:tc>
        <w:tc>
          <w:tcPr>
            <w:tcW w:w="6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F4F4F4"/>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shd w:val="clear" w:color="auto" w:fill="F4F4F4"/>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F4F4F4"/>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580" w:type="dxa"/>
            <w:vAlign w:val="bottom"/>
            <w:gridSpan w:val="2"/>
          </w:tcPr>
          <w:p>
            <w:pPr>
              <w:ind w:left="20"/>
              <w:spacing w:after="0"/>
              <w:rPr>
                <w:sz w:val="20"/>
                <w:szCs w:val="20"/>
                <w:color w:val="auto"/>
              </w:rPr>
            </w:pPr>
            <w:r>
              <w:rPr>
                <w:rFonts w:ascii="Arial" w:cs="Arial" w:eastAsia="Arial" w:hAnsi="Arial"/>
                <w:sz w:val="16"/>
                <w:szCs w:val="16"/>
                <w:color w:val="auto"/>
              </w:rPr>
              <w:t>estricted stock cancellations</w:t>
            </w:r>
          </w:p>
        </w:tc>
        <w:tc>
          <w:tcPr>
            <w:tcW w:w="960" w:type="dxa"/>
            <w:vAlign w:val="bottom"/>
          </w:tcPr>
          <w:p>
            <w:pPr>
              <w:jc w:val="right"/>
              <w:spacing w:after="0"/>
              <w:rPr>
                <w:sz w:val="20"/>
                <w:szCs w:val="20"/>
                <w:color w:val="auto"/>
              </w:rPr>
            </w:pPr>
            <w:r>
              <w:rPr>
                <w:rFonts w:ascii="Arial" w:cs="Arial" w:eastAsia="Arial" w:hAnsi="Arial"/>
                <w:sz w:val="16"/>
                <w:szCs w:val="16"/>
                <w:color w:val="auto"/>
              </w:rPr>
              <w:t>(62,550)</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ther comprehensive loss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(7,840)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(7,840)</w:t>
            </w:r>
          </w:p>
        </w:tc>
        <w:tc>
          <w:tcPr>
            <w:tcW w:w="0" w:type="dxa"/>
            <w:vAlign w:val="bottom"/>
          </w:tcPr>
          <w:p>
            <w:pPr>
              <w:spacing w:after="0"/>
              <w:rPr>
                <w:sz w:val="1"/>
                <w:szCs w:val="1"/>
                <w:color w:val="auto"/>
              </w:rPr>
            </w:pPr>
          </w:p>
        </w:tc>
      </w:tr>
      <w:tr>
        <w:trPr>
          <w:trHeight w:val="233"/>
        </w:trPr>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lance at June 30, 2022</w:t>
            </w:r>
          </w:p>
        </w:tc>
        <w:tc>
          <w:tcPr>
            <w:tcW w:w="960" w:type="dxa"/>
            <w:vAlign w:val="bottom"/>
          </w:tcPr>
          <w:p>
            <w:pPr>
              <w:jc w:val="right"/>
              <w:spacing w:after="0"/>
              <w:rPr>
                <w:sz w:val="20"/>
                <w:szCs w:val="20"/>
                <w:color w:val="auto"/>
              </w:rPr>
            </w:pPr>
            <w:r>
              <w:rPr>
                <w:rFonts w:ascii="Arial" w:cs="Arial" w:eastAsia="Arial" w:hAnsi="Arial"/>
                <w:sz w:val="16"/>
                <w:szCs w:val="16"/>
                <w:color w:val="auto"/>
                <w:w w:val="96"/>
              </w:rPr>
              <w:t>67,755,374$</w:t>
            </w:r>
          </w:p>
        </w:tc>
        <w:tc>
          <w:tcPr>
            <w:tcW w:w="660" w:type="dxa"/>
            <w:vAlign w:val="bottom"/>
          </w:tcPr>
          <w:p>
            <w:pPr>
              <w:jc w:val="right"/>
              <w:spacing w:after="0"/>
              <w:rPr>
                <w:sz w:val="20"/>
                <w:szCs w:val="20"/>
                <w:color w:val="auto"/>
              </w:rPr>
            </w:pPr>
            <w:r>
              <w:rPr>
                <w:rFonts w:ascii="Arial" w:cs="Arial" w:eastAsia="Arial" w:hAnsi="Arial"/>
                <w:sz w:val="16"/>
                <w:szCs w:val="16"/>
                <w:color w:val="auto"/>
              </w:rPr>
              <w:t>$68</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1,020,835$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(536,511)$</w:t>
            </w: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7,455$</w:t>
            </w:r>
          </w:p>
        </w:tc>
        <w:tc>
          <w:tcPr>
            <w:tcW w:w="800" w:type="dxa"/>
            <w:vAlign w:val="bottom"/>
          </w:tcPr>
          <w:p>
            <w:pPr>
              <w:jc w:val="right"/>
              <w:spacing w:after="0"/>
              <w:rPr>
                <w:sz w:val="20"/>
                <w:szCs w:val="20"/>
                <w:color w:val="auto"/>
              </w:rPr>
            </w:pPr>
            <w:r>
              <w:rPr>
                <w:rFonts w:ascii="Arial" w:cs="Arial" w:eastAsia="Arial" w:hAnsi="Arial"/>
                <w:sz w:val="16"/>
                <w:szCs w:val="16"/>
                <w:color w:val="auto"/>
              </w:rPr>
              <w:t>228,627$</w:t>
            </w:r>
          </w:p>
        </w:tc>
        <w:tc>
          <w:tcPr>
            <w:tcW w:w="980" w:type="dxa"/>
            <w:vAlign w:val="bottom"/>
          </w:tcPr>
          <w:p>
            <w:pPr>
              <w:jc w:val="right"/>
              <w:spacing w:after="0"/>
              <w:rPr>
                <w:sz w:val="20"/>
                <w:szCs w:val="20"/>
                <w:color w:val="auto"/>
              </w:rPr>
            </w:pPr>
            <w:r>
              <w:rPr>
                <w:rFonts w:ascii="Arial" w:cs="Arial" w:eastAsia="Arial" w:hAnsi="Arial"/>
                <w:sz w:val="16"/>
                <w:szCs w:val="16"/>
                <w:color w:val="auto"/>
              </w:rPr>
              <w:t>720,474</w:t>
            </w: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4480" w:type="dxa"/>
            <w:vAlign w:val="bottom"/>
            <w:shd w:val="clear" w:color="auto" w:fill="71BF43"/>
          </w:tcPr>
          <w:p>
            <w:pPr>
              <w:spacing w:after="0"/>
              <w:rPr>
                <w:sz w:val="2"/>
                <w:szCs w:val="2"/>
                <w:color w:val="auto"/>
              </w:rPr>
            </w:pPr>
          </w:p>
        </w:tc>
        <w:tc>
          <w:tcPr>
            <w:tcW w:w="960" w:type="dxa"/>
            <w:vAlign w:val="bottom"/>
            <w:shd w:val="clear" w:color="auto" w:fill="71BF43"/>
          </w:tcPr>
          <w:p>
            <w:pPr>
              <w:spacing w:after="0"/>
              <w:rPr>
                <w:sz w:val="2"/>
                <w:szCs w:val="2"/>
                <w:color w:val="auto"/>
              </w:rPr>
            </w:pPr>
          </w:p>
        </w:tc>
        <w:tc>
          <w:tcPr>
            <w:tcW w:w="660" w:type="dxa"/>
            <w:vAlign w:val="bottom"/>
            <w:shd w:val="clear" w:color="auto" w:fill="71BF43"/>
          </w:tcPr>
          <w:p>
            <w:pPr>
              <w:spacing w:after="0"/>
              <w:rPr>
                <w:sz w:val="2"/>
                <w:szCs w:val="2"/>
                <w:color w:val="auto"/>
              </w:rPr>
            </w:pPr>
          </w:p>
        </w:tc>
        <w:tc>
          <w:tcPr>
            <w:tcW w:w="1000" w:type="dxa"/>
            <w:vAlign w:val="bottom"/>
            <w:shd w:val="clear" w:color="auto" w:fill="71BF43"/>
          </w:tcPr>
          <w:p>
            <w:pPr>
              <w:spacing w:after="0"/>
              <w:rPr>
                <w:sz w:val="2"/>
                <w:szCs w:val="2"/>
                <w:color w:val="auto"/>
              </w:rPr>
            </w:pPr>
          </w:p>
        </w:tc>
        <w:tc>
          <w:tcPr>
            <w:tcW w:w="900" w:type="dxa"/>
            <w:vAlign w:val="bottom"/>
            <w:shd w:val="clear" w:color="auto" w:fill="71BF43"/>
          </w:tcPr>
          <w:p>
            <w:pPr>
              <w:spacing w:after="0"/>
              <w:rPr>
                <w:sz w:val="2"/>
                <w:szCs w:val="2"/>
                <w:color w:val="auto"/>
              </w:rPr>
            </w:pPr>
          </w:p>
        </w:tc>
        <w:tc>
          <w:tcPr>
            <w:tcW w:w="1140" w:type="dxa"/>
            <w:vAlign w:val="bottom"/>
            <w:shd w:val="clear" w:color="auto" w:fill="71BF43"/>
          </w:tcPr>
          <w:p>
            <w:pPr>
              <w:spacing w:after="0"/>
              <w:rPr>
                <w:sz w:val="2"/>
                <w:szCs w:val="2"/>
                <w:color w:val="auto"/>
              </w:rPr>
            </w:pPr>
          </w:p>
        </w:tc>
        <w:tc>
          <w:tcPr>
            <w:tcW w:w="800" w:type="dxa"/>
            <w:vAlign w:val="bottom"/>
            <w:shd w:val="clear" w:color="auto" w:fill="71BF43"/>
          </w:tcPr>
          <w:p>
            <w:pPr>
              <w:spacing w:after="0"/>
              <w:rPr>
                <w:sz w:val="2"/>
                <w:szCs w:val="2"/>
                <w:color w:val="auto"/>
              </w:rPr>
            </w:pPr>
          </w:p>
        </w:tc>
        <w:tc>
          <w:tcPr>
            <w:tcW w:w="980" w:type="dxa"/>
            <w:vAlign w:val="bottom"/>
            <w:shd w:val="clear" w:color="auto" w:fill="71BF43"/>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-3590925</wp:posOffset>
            </wp:positionV>
            <wp:extent cx="692658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26580" cy="15430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-2117090</wp:posOffset>
            </wp:positionV>
            <wp:extent cx="692658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26580" cy="15430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-1799590</wp:posOffset>
            </wp:positionV>
            <wp:extent cx="692658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26580" cy="15430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-325120</wp:posOffset>
            </wp:positionV>
            <wp:extent cx="692658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26580" cy="154305"/>
                    </a:xfrm>
                    <a:prstGeom prst="rect">
                      <a:avLst/>
                    </a:prstGeom>
                    <a:noFill/>
                  </pic:spPr>
                </pic:pic>
              </a:graphicData>
            </a:graphic>
          </wp:anchor>
        </w:drawing>
        <w:drawing>
          <wp:anchor simplePos="0" relativeHeight="251657728" behindDoc="1" locked="0" layoutInCell="0" allowOverlap="1">
            <wp:simplePos x="0" y="0"/>
            <wp:positionH relativeFrom="column">
              <wp:posOffset>2914650</wp:posOffset>
            </wp:positionH>
            <wp:positionV relativeFrom="paragraph">
              <wp:posOffset>-3900170</wp:posOffset>
            </wp:positionV>
            <wp:extent cx="10369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120" w:lineRule="exact"/>
        <w:rPr>
          <w:sz w:val="20"/>
          <w:szCs w:val="20"/>
          <w:color w:val="auto"/>
        </w:rPr>
      </w:pPr>
    </w:p>
    <w:p>
      <w:pPr>
        <w:ind w:left="440" w:hanging="332"/>
        <w:spacing w:after="0" w:line="258" w:lineRule="auto"/>
        <w:tabs>
          <w:tab w:leader="none" w:pos="454"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shares retired after determining certain EVERFI's selling shareholders would be paid in cash, rather than shares of our common stock. See Note 3 for additional information regarding our acquisition of EVERFI.</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40" w:hanging="314"/>
        <w:spacing w:after="0"/>
        <w:tabs>
          <w:tab w:leader="none" w:pos="440" w:val="left"/>
        </w:tabs>
        <w:numPr>
          <w:ilvl w:val="0"/>
          <w:numId w:val="5"/>
        </w:numPr>
        <w:rPr>
          <w:rFonts w:ascii="Arial" w:cs="Arial" w:eastAsia="Arial" w:hAnsi="Arial"/>
          <w:sz w:val="14"/>
          <w:szCs w:val="14"/>
          <w:color w:val="auto"/>
        </w:rPr>
      </w:pPr>
      <w:r>
        <w:rPr>
          <w:rFonts w:ascii="Arial" w:cs="Arial" w:eastAsia="Arial" w:hAnsi="Arial"/>
          <w:sz w:val="1"/>
          <w:szCs w:val="1"/>
          <w:color w:val="auto"/>
        </w:rPr>
        <w:drawing>
          <wp:inline distT="0" distB="0" distL="0" distR="0">
            <wp:extent cx="651510" cy="1714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18"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shd w:val="clear" w:color="auto" w:fill="ACACAC"/>
          </w:tcPr>
          <w:p>
            <w:pPr>
              <w:spacing w:after="0"/>
              <w:rPr>
                <w:sz w:val="19"/>
                <w:szCs w:val="19"/>
                <w:color w:val="auto"/>
              </w:rPr>
            </w:pPr>
          </w:p>
        </w:tc>
        <w:tc>
          <w:tcPr>
            <w:tcW w:w="980" w:type="dxa"/>
            <w:vAlign w:val="bottom"/>
            <w:shd w:val="clear" w:color="auto" w:fill="ACACAC"/>
          </w:tcPr>
          <w:p>
            <w:pPr>
              <w:spacing w:after="0"/>
              <w:rPr>
                <w:sz w:val="19"/>
                <w:szCs w:val="19"/>
                <w:color w:val="auto"/>
              </w:rPr>
            </w:pPr>
          </w:p>
        </w:tc>
        <w:tc>
          <w:tcPr>
            <w:tcW w:w="120" w:type="dxa"/>
            <w:vAlign w:val="bottom"/>
            <w:shd w:val="clear" w:color="auto" w:fill="ACACAC"/>
          </w:tcPr>
          <w:p>
            <w:pPr>
              <w:spacing w:after="0"/>
              <w:rPr>
                <w:sz w:val="19"/>
                <w:szCs w:val="19"/>
                <w:color w:val="auto"/>
              </w:rPr>
            </w:pPr>
          </w:p>
        </w:tc>
        <w:tc>
          <w:tcPr>
            <w:tcW w:w="580" w:type="dxa"/>
            <w:vAlign w:val="bottom"/>
            <w:shd w:val="clear" w:color="auto" w:fill="ACACAC"/>
          </w:tcPr>
          <w:p>
            <w:pPr>
              <w:spacing w:after="0"/>
              <w:rPr>
                <w:sz w:val="19"/>
                <w:szCs w:val="19"/>
                <w:color w:val="auto"/>
              </w:rPr>
            </w:pPr>
          </w:p>
        </w:tc>
        <w:tc>
          <w:tcPr>
            <w:tcW w:w="160" w:type="dxa"/>
            <w:vAlign w:val="bottom"/>
            <w:shd w:val="clear" w:color="auto" w:fill="ACACAC"/>
          </w:tcPr>
          <w:p>
            <w:pPr>
              <w:spacing w:after="0"/>
              <w:rPr>
                <w:sz w:val="19"/>
                <w:szCs w:val="19"/>
                <w:color w:val="auto"/>
              </w:rPr>
            </w:pPr>
          </w:p>
        </w:tc>
        <w:tc>
          <w:tcPr>
            <w:tcW w:w="780" w:type="dxa"/>
            <w:vAlign w:val="bottom"/>
            <w:shd w:val="clear" w:color="auto" w:fill="ACACAC"/>
          </w:tcPr>
          <w:p>
            <w:pPr>
              <w:spacing w:after="0"/>
              <w:rPr>
                <w:sz w:val="19"/>
                <w:szCs w:val="19"/>
                <w:color w:val="auto"/>
              </w:rPr>
            </w:pPr>
          </w:p>
        </w:tc>
        <w:tc>
          <w:tcPr>
            <w:tcW w:w="160" w:type="dxa"/>
            <w:vAlign w:val="bottom"/>
            <w:shd w:val="clear" w:color="auto" w:fill="ACACAC"/>
          </w:tcPr>
          <w:p>
            <w:pPr>
              <w:spacing w:after="0"/>
              <w:rPr>
                <w:sz w:val="19"/>
                <w:szCs w:val="19"/>
                <w:color w:val="auto"/>
              </w:rPr>
            </w:pPr>
          </w:p>
        </w:tc>
        <w:tc>
          <w:tcPr>
            <w:tcW w:w="780" w:type="dxa"/>
            <w:vAlign w:val="bottom"/>
            <w:shd w:val="clear" w:color="auto" w:fill="ACACAC"/>
          </w:tcPr>
          <w:p>
            <w:pPr>
              <w:spacing w:after="0"/>
              <w:rPr>
                <w:sz w:val="19"/>
                <w:szCs w:val="19"/>
                <w:color w:val="auto"/>
              </w:rPr>
            </w:pPr>
          </w:p>
        </w:tc>
        <w:tc>
          <w:tcPr>
            <w:tcW w:w="160" w:type="dxa"/>
            <w:vAlign w:val="bottom"/>
            <w:shd w:val="clear" w:color="auto" w:fill="ACACAC"/>
          </w:tcPr>
          <w:p>
            <w:pPr>
              <w:spacing w:after="0"/>
              <w:rPr>
                <w:sz w:val="19"/>
                <w:szCs w:val="19"/>
                <w:color w:val="auto"/>
              </w:rPr>
            </w:pPr>
          </w:p>
        </w:tc>
        <w:tc>
          <w:tcPr>
            <w:tcW w:w="10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Accumulated</w:t>
            </w:r>
          </w:p>
        </w:tc>
        <w:tc>
          <w:tcPr>
            <w:tcW w:w="200" w:type="dxa"/>
            <w:vAlign w:val="bottom"/>
            <w:shd w:val="clear" w:color="auto" w:fill="ACACAC"/>
          </w:tcPr>
          <w:p>
            <w:pPr>
              <w:spacing w:after="0"/>
              <w:rPr>
                <w:sz w:val="19"/>
                <w:szCs w:val="19"/>
                <w:color w:val="auto"/>
              </w:rPr>
            </w:pPr>
          </w:p>
        </w:tc>
        <w:tc>
          <w:tcPr>
            <w:tcW w:w="740" w:type="dxa"/>
            <w:vAlign w:val="bottom"/>
            <w:shd w:val="clear" w:color="auto" w:fill="ACACAC"/>
          </w:tcPr>
          <w:p>
            <w:pPr>
              <w:spacing w:after="0"/>
              <w:rPr>
                <w:sz w:val="19"/>
                <w:szCs w:val="19"/>
                <w:color w:val="auto"/>
              </w:rPr>
            </w:pPr>
          </w:p>
        </w:tc>
        <w:tc>
          <w:tcPr>
            <w:tcW w:w="220" w:type="dxa"/>
            <w:vAlign w:val="bottom"/>
            <w:shd w:val="clear" w:color="auto" w:fill="ACACAC"/>
          </w:tcPr>
          <w:p>
            <w:pPr>
              <w:spacing w:after="0"/>
              <w:rPr>
                <w:sz w:val="19"/>
                <w:szCs w:val="19"/>
                <w:color w:val="auto"/>
              </w:rPr>
            </w:pPr>
          </w:p>
        </w:tc>
        <w:tc>
          <w:tcPr>
            <w:tcW w:w="780"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580" w:type="dxa"/>
            <w:vAlign w:val="bottom"/>
            <w:shd w:val="clear" w:color="auto" w:fill="ACACAC"/>
          </w:tcPr>
          <w:p>
            <w:pPr>
              <w:spacing w:after="0"/>
              <w:rPr>
                <w:sz w:val="14"/>
                <w:szCs w:val="14"/>
                <w:color w:val="auto"/>
              </w:rPr>
            </w:pPr>
          </w:p>
        </w:tc>
        <w:tc>
          <w:tcPr>
            <w:tcW w:w="1680" w:type="dxa"/>
            <w:vAlign w:val="bottom"/>
            <w:gridSpan w:val="3"/>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Common stock</w:t>
            </w:r>
          </w:p>
        </w:tc>
        <w:tc>
          <w:tcPr>
            <w:tcW w:w="160" w:type="dxa"/>
            <w:vAlign w:val="bottom"/>
            <w:shd w:val="clear" w:color="auto" w:fill="ACACAC"/>
          </w:tcPr>
          <w:p>
            <w:pPr>
              <w:spacing w:after="0"/>
              <w:rPr>
                <w:sz w:val="14"/>
                <w:szCs w:val="14"/>
                <w:color w:val="auto"/>
              </w:rPr>
            </w:pPr>
          </w:p>
        </w:tc>
        <w:tc>
          <w:tcPr>
            <w:tcW w:w="7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Additional</w:t>
            </w:r>
          </w:p>
        </w:tc>
        <w:tc>
          <w:tcPr>
            <w:tcW w:w="160" w:type="dxa"/>
            <w:vAlign w:val="bottom"/>
            <w:shd w:val="clear" w:color="auto" w:fill="ACACAC"/>
          </w:tcPr>
          <w:p>
            <w:pPr>
              <w:spacing w:after="0"/>
              <w:rPr>
                <w:sz w:val="14"/>
                <w:szCs w:val="14"/>
                <w:color w:val="auto"/>
              </w:rPr>
            </w:pPr>
          </w:p>
        </w:tc>
        <w:tc>
          <w:tcPr>
            <w:tcW w:w="780" w:type="dxa"/>
            <w:vAlign w:val="bottom"/>
            <w:shd w:val="clear" w:color="auto" w:fill="ACACAC"/>
          </w:tcPr>
          <w:p>
            <w:pPr>
              <w:spacing w:after="0"/>
              <w:rPr>
                <w:sz w:val="14"/>
                <w:szCs w:val="14"/>
                <w:color w:val="auto"/>
              </w:rPr>
            </w:pPr>
          </w:p>
        </w:tc>
        <w:tc>
          <w:tcPr>
            <w:tcW w:w="160" w:type="dxa"/>
            <w:vAlign w:val="bottom"/>
            <w:shd w:val="clear" w:color="auto" w:fill="ACACAC"/>
          </w:tcPr>
          <w:p>
            <w:pPr>
              <w:spacing w:after="0"/>
              <w:rPr>
                <w:sz w:val="14"/>
                <w:szCs w:val="14"/>
                <w:color w:val="auto"/>
              </w:rPr>
            </w:pPr>
          </w:p>
        </w:tc>
        <w:tc>
          <w:tcPr>
            <w:tcW w:w="10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other</w:t>
            </w:r>
          </w:p>
        </w:tc>
        <w:tc>
          <w:tcPr>
            <w:tcW w:w="200" w:type="dxa"/>
            <w:vAlign w:val="bottom"/>
            <w:shd w:val="clear" w:color="auto" w:fill="ACACAC"/>
          </w:tcPr>
          <w:p>
            <w:pPr>
              <w:spacing w:after="0"/>
              <w:rPr>
                <w:sz w:val="14"/>
                <w:szCs w:val="14"/>
                <w:color w:val="auto"/>
              </w:rPr>
            </w:pPr>
          </w:p>
        </w:tc>
        <w:tc>
          <w:tcPr>
            <w:tcW w:w="740" w:type="dxa"/>
            <w:vAlign w:val="bottom"/>
            <w:shd w:val="clear" w:color="auto" w:fill="ACACAC"/>
          </w:tcPr>
          <w:p>
            <w:pPr>
              <w:spacing w:after="0"/>
              <w:rPr>
                <w:sz w:val="14"/>
                <w:szCs w:val="14"/>
                <w:color w:val="auto"/>
              </w:rPr>
            </w:pPr>
          </w:p>
        </w:tc>
        <w:tc>
          <w:tcPr>
            <w:tcW w:w="220" w:type="dxa"/>
            <w:vAlign w:val="bottom"/>
            <w:shd w:val="clear" w:color="auto" w:fill="ACACAC"/>
          </w:tcPr>
          <w:p>
            <w:pPr>
              <w:spacing w:after="0"/>
              <w:rPr>
                <w:sz w:val="14"/>
                <w:szCs w:val="14"/>
                <w:color w:val="auto"/>
              </w:rPr>
            </w:pPr>
          </w:p>
        </w:tc>
        <w:tc>
          <w:tcPr>
            <w:tcW w:w="7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580" w:type="dxa"/>
            <w:vAlign w:val="bottom"/>
            <w:shd w:val="clear" w:color="auto" w:fill="ACACAC"/>
          </w:tcPr>
          <w:p>
            <w:pPr>
              <w:spacing w:after="0"/>
              <w:rPr>
                <w:sz w:val="10"/>
                <w:szCs w:val="10"/>
                <w:color w:val="auto"/>
              </w:rPr>
            </w:pPr>
          </w:p>
        </w:tc>
        <w:tc>
          <w:tcPr>
            <w:tcW w:w="1680" w:type="dxa"/>
            <w:vAlign w:val="bottom"/>
            <w:gridSpan w:val="3"/>
            <w:vMerge w:val="continue"/>
            <w:shd w:val="clear" w:color="auto" w:fill="ACACAC"/>
          </w:tcPr>
          <w:p>
            <w:pPr>
              <w:spacing w:after="0"/>
              <w:rPr>
                <w:sz w:val="10"/>
                <w:szCs w:val="10"/>
                <w:color w:val="auto"/>
              </w:rPr>
            </w:pPr>
          </w:p>
        </w:tc>
        <w:tc>
          <w:tcPr>
            <w:tcW w:w="160" w:type="dxa"/>
            <w:vAlign w:val="bottom"/>
            <w:shd w:val="clear" w:color="auto" w:fill="ACACAC"/>
          </w:tcPr>
          <w:p>
            <w:pPr>
              <w:spacing w:after="0"/>
              <w:rPr>
                <w:sz w:val="10"/>
                <w:szCs w:val="10"/>
                <w:color w:val="auto"/>
              </w:rPr>
            </w:pPr>
          </w:p>
        </w:tc>
        <w:tc>
          <w:tcPr>
            <w:tcW w:w="7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paid-in</w:t>
            </w:r>
          </w:p>
        </w:tc>
        <w:tc>
          <w:tcPr>
            <w:tcW w:w="160" w:type="dxa"/>
            <w:vAlign w:val="bottom"/>
            <w:shd w:val="clear" w:color="auto" w:fill="ACACAC"/>
          </w:tcPr>
          <w:p>
            <w:pPr>
              <w:spacing w:after="0"/>
              <w:rPr>
                <w:sz w:val="10"/>
                <w:szCs w:val="10"/>
                <w:color w:val="auto"/>
              </w:rPr>
            </w:pPr>
          </w:p>
        </w:tc>
        <w:tc>
          <w:tcPr>
            <w:tcW w:w="7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Treasury</w:t>
            </w:r>
          </w:p>
        </w:tc>
        <w:tc>
          <w:tcPr>
            <w:tcW w:w="1160" w:type="dxa"/>
            <w:vAlign w:val="bottom"/>
            <w:gridSpan w:val="2"/>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comprehensive</w:t>
            </w:r>
          </w:p>
        </w:tc>
        <w:tc>
          <w:tcPr>
            <w:tcW w:w="200" w:type="dxa"/>
            <w:vAlign w:val="bottom"/>
            <w:shd w:val="clear" w:color="auto" w:fill="ACACAC"/>
          </w:tcPr>
          <w:p>
            <w:pPr>
              <w:spacing w:after="0"/>
              <w:rPr>
                <w:sz w:val="10"/>
                <w:szCs w:val="10"/>
                <w:color w:val="auto"/>
              </w:rPr>
            </w:pPr>
          </w:p>
        </w:tc>
        <w:tc>
          <w:tcPr>
            <w:tcW w:w="74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Retained</w:t>
            </w:r>
          </w:p>
        </w:tc>
        <w:tc>
          <w:tcPr>
            <w:tcW w:w="1000" w:type="dxa"/>
            <w:vAlign w:val="bottom"/>
            <w:gridSpan w:val="2"/>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stockholders'</w:t>
            </w:r>
          </w:p>
        </w:tc>
        <w:tc>
          <w:tcPr>
            <w:tcW w:w="20" w:type="dxa"/>
            <w:vAlign w:val="bottom"/>
            <w:shd w:val="clear" w:color="auto" w:fill="ACACAC"/>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4580" w:type="dxa"/>
            <w:vAlign w:val="bottom"/>
            <w:shd w:val="clear" w:color="auto" w:fill="ACACAC"/>
          </w:tcPr>
          <w:p>
            <w:pPr>
              <w:spacing w:after="0"/>
              <w:rPr>
                <w:sz w:val="3"/>
                <w:szCs w:val="3"/>
                <w:color w:val="auto"/>
              </w:rPr>
            </w:pPr>
          </w:p>
        </w:tc>
        <w:tc>
          <w:tcPr>
            <w:tcW w:w="980" w:type="dxa"/>
            <w:vAlign w:val="bottom"/>
            <w:shd w:val="clear" w:color="auto" w:fill="ACACAC"/>
          </w:tcPr>
          <w:p>
            <w:pPr>
              <w:spacing w:after="0"/>
              <w:rPr>
                <w:sz w:val="3"/>
                <w:szCs w:val="3"/>
                <w:color w:val="auto"/>
              </w:rPr>
            </w:pPr>
          </w:p>
        </w:tc>
        <w:tc>
          <w:tcPr>
            <w:tcW w:w="120" w:type="dxa"/>
            <w:vAlign w:val="bottom"/>
            <w:shd w:val="clear" w:color="auto" w:fill="ACACAC"/>
          </w:tcPr>
          <w:p>
            <w:pPr>
              <w:spacing w:after="0"/>
              <w:rPr>
                <w:sz w:val="3"/>
                <w:szCs w:val="3"/>
                <w:color w:val="auto"/>
              </w:rPr>
            </w:pPr>
          </w:p>
        </w:tc>
        <w:tc>
          <w:tcPr>
            <w:tcW w:w="580" w:type="dxa"/>
            <w:vAlign w:val="bottom"/>
            <w:shd w:val="clear" w:color="auto" w:fill="ACACAC"/>
          </w:tcPr>
          <w:p>
            <w:pPr>
              <w:spacing w:after="0"/>
              <w:rPr>
                <w:sz w:val="3"/>
                <w:szCs w:val="3"/>
                <w:color w:val="auto"/>
              </w:rPr>
            </w:pPr>
          </w:p>
        </w:tc>
        <w:tc>
          <w:tcPr>
            <w:tcW w:w="160" w:type="dxa"/>
            <w:vAlign w:val="bottom"/>
            <w:shd w:val="clear" w:color="auto" w:fill="ACACAC"/>
          </w:tcPr>
          <w:p>
            <w:pPr>
              <w:spacing w:after="0"/>
              <w:rPr>
                <w:sz w:val="3"/>
                <w:szCs w:val="3"/>
                <w:color w:val="auto"/>
              </w:rPr>
            </w:pPr>
          </w:p>
        </w:tc>
        <w:tc>
          <w:tcPr>
            <w:tcW w:w="780" w:type="dxa"/>
            <w:vAlign w:val="bottom"/>
            <w:vMerge w:val="continue"/>
            <w:shd w:val="clear" w:color="auto" w:fill="ACACAC"/>
          </w:tcPr>
          <w:p>
            <w:pPr>
              <w:spacing w:after="0"/>
              <w:rPr>
                <w:sz w:val="3"/>
                <w:szCs w:val="3"/>
                <w:color w:val="auto"/>
              </w:rPr>
            </w:pPr>
          </w:p>
        </w:tc>
        <w:tc>
          <w:tcPr>
            <w:tcW w:w="160" w:type="dxa"/>
            <w:vAlign w:val="bottom"/>
            <w:shd w:val="clear" w:color="auto" w:fill="ACACAC"/>
          </w:tcPr>
          <w:p>
            <w:pPr>
              <w:spacing w:after="0"/>
              <w:rPr>
                <w:sz w:val="3"/>
                <w:szCs w:val="3"/>
                <w:color w:val="auto"/>
              </w:rPr>
            </w:pPr>
          </w:p>
        </w:tc>
        <w:tc>
          <w:tcPr>
            <w:tcW w:w="780" w:type="dxa"/>
            <w:vAlign w:val="bottom"/>
            <w:vMerge w:val="continue"/>
            <w:shd w:val="clear" w:color="auto" w:fill="ACACAC"/>
          </w:tcPr>
          <w:p>
            <w:pPr>
              <w:spacing w:after="0"/>
              <w:rPr>
                <w:sz w:val="3"/>
                <w:szCs w:val="3"/>
                <w:color w:val="auto"/>
              </w:rPr>
            </w:pPr>
          </w:p>
        </w:tc>
        <w:tc>
          <w:tcPr>
            <w:tcW w:w="1160" w:type="dxa"/>
            <w:vAlign w:val="bottom"/>
            <w:gridSpan w:val="2"/>
            <w:vMerge w:val="continue"/>
            <w:shd w:val="clear" w:color="auto" w:fill="ACACAC"/>
          </w:tcPr>
          <w:p>
            <w:pPr>
              <w:spacing w:after="0"/>
              <w:rPr>
                <w:sz w:val="3"/>
                <w:szCs w:val="3"/>
                <w:color w:val="auto"/>
              </w:rPr>
            </w:pPr>
          </w:p>
        </w:tc>
        <w:tc>
          <w:tcPr>
            <w:tcW w:w="200" w:type="dxa"/>
            <w:vAlign w:val="bottom"/>
            <w:shd w:val="clear" w:color="auto" w:fill="ACACAC"/>
          </w:tcPr>
          <w:p>
            <w:pPr>
              <w:spacing w:after="0"/>
              <w:rPr>
                <w:sz w:val="3"/>
                <w:szCs w:val="3"/>
                <w:color w:val="auto"/>
              </w:rPr>
            </w:pPr>
          </w:p>
        </w:tc>
        <w:tc>
          <w:tcPr>
            <w:tcW w:w="740" w:type="dxa"/>
            <w:vAlign w:val="bottom"/>
            <w:vMerge w:val="continue"/>
            <w:shd w:val="clear" w:color="auto" w:fill="ACACAC"/>
          </w:tcPr>
          <w:p>
            <w:pPr>
              <w:spacing w:after="0"/>
              <w:rPr>
                <w:sz w:val="3"/>
                <w:szCs w:val="3"/>
                <w:color w:val="auto"/>
              </w:rPr>
            </w:pPr>
          </w:p>
        </w:tc>
        <w:tc>
          <w:tcPr>
            <w:tcW w:w="1000" w:type="dxa"/>
            <w:vAlign w:val="bottom"/>
            <w:gridSpan w:val="2"/>
            <w:vMerge w:val="continue"/>
            <w:shd w:val="clear" w:color="auto" w:fill="ACACAC"/>
          </w:tcPr>
          <w:p>
            <w:pPr>
              <w:spacing w:after="0"/>
              <w:rPr>
                <w:sz w:val="3"/>
                <w:szCs w:val="3"/>
                <w:color w:val="auto"/>
              </w:rPr>
            </w:pPr>
          </w:p>
        </w:tc>
        <w:tc>
          <w:tcPr>
            <w:tcW w:w="20" w:type="dxa"/>
            <w:vAlign w:val="bottom"/>
            <w:shd w:val="clear" w:color="auto" w:fill="ACACA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9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Shares</w:t>
            </w:r>
          </w:p>
        </w:tc>
        <w:tc>
          <w:tcPr>
            <w:tcW w:w="120" w:type="dxa"/>
            <w:vAlign w:val="bottom"/>
            <w:tcBorders>
              <w:bottom w:val="single" w:sz="8" w:color="ACACAC"/>
            </w:tcBorders>
            <w:shd w:val="clear" w:color="auto" w:fill="ACACAC"/>
          </w:tcPr>
          <w:p>
            <w:pPr>
              <w:spacing w:after="0"/>
              <w:rPr>
                <w:sz w:val="17"/>
                <w:szCs w:val="17"/>
                <w:color w:val="auto"/>
              </w:rPr>
            </w:pPr>
          </w:p>
        </w:tc>
        <w:tc>
          <w:tcPr>
            <w:tcW w:w="5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Amount</w:t>
            </w:r>
          </w:p>
        </w:tc>
        <w:tc>
          <w:tcPr>
            <w:tcW w:w="160" w:type="dxa"/>
            <w:vAlign w:val="bottom"/>
            <w:tcBorders>
              <w:bottom w:val="single" w:sz="8" w:color="ACACAC"/>
            </w:tcBorders>
            <w:shd w:val="clear" w:color="auto" w:fill="ACACAC"/>
          </w:tcPr>
          <w:p>
            <w:pPr>
              <w:spacing w:after="0"/>
              <w:rPr>
                <w:sz w:val="17"/>
                <w:szCs w:val="17"/>
                <w:color w:val="auto"/>
              </w:rPr>
            </w:pPr>
          </w:p>
        </w:tc>
        <w:tc>
          <w:tcPr>
            <w:tcW w:w="7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capital</w:t>
            </w:r>
          </w:p>
        </w:tc>
        <w:tc>
          <w:tcPr>
            <w:tcW w:w="160" w:type="dxa"/>
            <w:vAlign w:val="bottom"/>
            <w:tcBorders>
              <w:bottom w:val="single" w:sz="8" w:color="ACACAC"/>
            </w:tcBorders>
            <w:shd w:val="clear" w:color="auto" w:fill="ACACAC"/>
          </w:tcPr>
          <w:p>
            <w:pPr>
              <w:spacing w:after="0"/>
              <w:rPr>
                <w:sz w:val="17"/>
                <w:szCs w:val="17"/>
                <w:color w:val="auto"/>
              </w:rPr>
            </w:pPr>
          </w:p>
        </w:tc>
        <w:tc>
          <w:tcPr>
            <w:tcW w:w="7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stock</w:t>
            </w:r>
          </w:p>
        </w:tc>
        <w:tc>
          <w:tcPr>
            <w:tcW w:w="160" w:type="dxa"/>
            <w:vAlign w:val="bottom"/>
            <w:tcBorders>
              <w:bottom w:val="single" w:sz="8" w:color="ACACAC"/>
            </w:tcBorders>
            <w:shd w:val="clear" w:color="auto" w:fill="ACACAC"/>
          </w:tcPr>
          <w:p>
            <w:pPr>
              <w:spacing w:after="0"/>
              <w:rPr>
                <w:sz w:val="17"/>
                <w:szCs w:val="17"/>
                <w:color w:val="auto"/>
              </w:rPr>
            </w:pPr>
          </w:p>
        </w:tc>
        <w:tc>
          <w:tcPr>
            <w:tcW w:w="10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income (loss)</w:t>
            </w:r>
          </w:p>
        </w:tc>
        <w:tc>
          <w:tcPr>
            <w:tcW w:w="200" w:type="dxa"/>
            <w:vAlign w:val="bottom"/>
            <w:tcBorders>
              <w:bottom w:val="single" w:sz="8" w:color="ACACAC"/>
            </w:tcBorders>
            <w:shd w:val="clear" w:color="auto" w:fill="ACACAC"/>
          </w:tcPr>
          <w:p>
            <w:pPr>
              <w:spacing w:after="0"/>
              <w:rPr>
                <w:sz w:val="17"/>
                <w:szCs w:val="17"/>
                <w:color w:val="auto"/>
              </w:rPr>
            </w:pPr>
          </w:p>
        </w:tc>
        <w:tc>
          <w:tcPr>
            <w:tcW w:w="7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earnings</w:t>
            </w:r>
          </w:p>
        </w:tc>
        <w:tc>
          <w:tcPr>
            <w:tcW w:w="220" w:type="dxa"/>
            <w:vAlign w:val="bottom"/>
            <w:tcBorders>
              <w:bottom w:val="single" w:sz="8" w:color="ACACAC"/>
            </w:tcBorders>
            <w:shd w:val="clear" w:color="auto" w:fill="ACACAC"/>
          </w:tcPr>
          <w:p>
            <w:pPr>
              <w:spacing w:after="0"/>
              <w:rPr>
                <w:sz w:val="17"/>
                <w:szCs w:val="17"/>
                <w:color w:val="auto"/>
              </w:rPr>
            </w:pPr>
          </w:p>
        </w:tc>
        <w:tc>
          <w:tcPr>
            <w:tcW w:w="7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equity</w:t>
            </w:r>
          </w:p>
        </w:tc>
        <w:tc>
          <w:tcPr>
            <w:tcW w:w="20" w:type="dxa"/>
            <w:vAlign w:val="bottom"/>
            <w:tcBorders>
              <w:bottom w:val="single" w:sz="8" w:color="ACACAC"/>
            </w:tcBorders>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980" w:type="dxa"/>
            <w:vAlign w:val="bottom"/>
          </w:tcPr>
          <w:p>
            <w:pPr>
              <w:jc w:val="right"/>
              <w:spacing w:after="0"/>
              <w:rPr>
                <w:sz w:val="20"/>
                <w:szCs w:val="20"/>
                <w:color w:val="auto"/>
              </w:rPr>
            </w:pPr>
            <w:r>
              <w:rPr>
                <w:rFonts w:ascii="Arial" w:cs="Arial" w:eastAsia="Arial" w:hAnsi="Arial"/>
                <w:sz w:val="16"/>
                <w:szCs w:val="16"/>
                <w:color w:val="auto"/>
              </w:rPr>
              <w:t>60,904,638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544,963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(353,091)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(2,497)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236,714</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426,150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Net loss</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(164)</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140"/>
              <w:spacing w:after="0"/>
              <w:rPr>
                <w:sz w:val="20"/>
                <w:szCs w:val="20"/>
                <w:color w:val="auto"/>
              </w:rPr>
            </w:pPr>
            <w:r>
              <w:rPr>
                <w:rFonts w:ascii="Arial" w:cs="Arial" w:eastAsia="Arial" w:hAnsi="Arial"/>
                <w:sz w:val="16"/>
                <w:szCs w:val="16"/>
                <w:color w:val="auto"/>
              </w:rPr>
              <w:t>Purchase of 465,821 treasury shares under stock repurchase</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580" w:type="dxa"/>
            <w:vAlign w:val="bottom"/>
          </w:tcPr>
          <w:p>
            <w:pPr>
              <w:ind w:left="140"/>
              <w:spacing w:after="0"/>
              <w:rPr>
                <w:sz w:val="20"/>
                <w:szCs w:val="20"/>
                <w:color w:val="auto"/>
              </w:rPr>
            </w:pPr>
            <w:r>
              <w:rPr>
                <w:rFonts w:ascii="Arial" w:cs="Arial" w:eastAsia="Arial" w:hAnsi="Arial"/>
                <w:sz w:val="16"/>
                <w:szCs w:val="16"/>
                <w:color w:val="auto"/>
              </w:rPr>
              <w:t>program</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(28,066)</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(28,066)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Vesting of restricted stock units</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206,418</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140"/>
              <w:spacing w:after="0"/>
              <w:rPr>
                <w:sz w:val="20"/>
                <w:szCs w:val="20"/>
                <w:color w:val="auto"/>
              </w:rPr>
            </w:pPr>
            <w:r>
              <w:rPr>
                <w:rFonts w:ascii="Arial" w:cs="Arial" w:eastAsia="Arial" w:hAnsi="Arial"/>
                <w:sz w:val="16"/>
                <w:szCs w:val="16"/>
                <w:color w:val="auto"/>
              </w:rPr>
              <w:t>Employee taxes paid for 240,867 withheld shares upon equity</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580" w:type="dxa"/>
            <w:vAlign w:val="bottom"/>
          </w:tcPr>
          <w:p>
            <w:pPr>
              <w:ind w:left="140"/>
              <w:spacing w:after="0"/>
              <w:rPr>
                <w:sz w:val="20"/>
                <w:szCs w:val="20"/>
                <w:color w:val="auto"/>
              </w:rPr>
            </w:pPr>
            <w:r>
              <w:rPr>
                <w:rFonts w:ascii="Arial" w:cs="Arial" w:eastAsia="Arial" w:hAnsi="Arial"/>
                <w:sz w:val="16"/>
                <w:szCs w:val="16"/>
                <w:color w:val="auto"/>
              </w:rPr>
              <w:t>award settlement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(18,426)</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(18,426)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Stock-based compensation</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29,995</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10</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30,005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140"/>
              <w:spacing w:after="0"/>
              <w:rPr>
                <w:sz w:val="20"/>
                <w:szCs w:val="20"/>
                <w:color w:val="auto"/>
              </w:rPr>
            </w:pPr>
            <w:r>
              <w:rPr>
                <w:rFonts w:ascii="Arial" w:cs="Arial" w:eastAsia="Arial" w:hAnsi="Arial"/>
                <w:sz w:val="16"/>
                <w:szCs w:val="16"/>
                <w:color w:val="auto"/>
              </w:rPr>
              <w:t>Restricted stock grants</w:t>
            </w:r>
          </w:p>
        </w:tc>
        <w:tc>
          <w:tcPr>
            <w:tcW w:w="980" w:type="dxa"/>
            <w:vAlign w:val="bottom"/>
          </w:tcPr>
          <w:p>
            <w:pPr>
              <w:jc w:val="right"/>
              <w:spacing w:after="0"/>
              <w:rPr>
                <w:sz w:val="20"/>
                <w:szCs w:val="20"/>
                <w:color w:val="auto"/>
              </w:rPr>
            </w:pPr>
            <w:r>
              <w:rPr>
                <w:rFonts w:ascii="Arial" w:cs="Arial" w:eastAsia="Arial" w:hAnsi="Arial"/>
                <w:sz w:val="16"/>
                <w:szCs w:val="16"/>
                <w:color w:val="auto"/>
              </w:rPr>
              <w:t>519,009</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Restricted stock cancellations</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(34,789)</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tcBorders>
              <w:bottom w:val="single" w:sz="8" w:color="F4F4F4"/>
            </w:tcBorders>
          </w:tcPr>
          <w:p>
            <w:pPr>
              <w:ind w:left="140"/>
              <w:spacing w:after="0"/>
              <w:rPr>
                <w:sz w:val="20"/>
                <w:szCs w:val="20"/>
                <w:color w:val="auto"/>
              </w:rPr>
            </w:pPr>
            <w:r>
              <w:rPr>
                <w:rFonts w:ascii="Arial" w:cs="Arial" w:eastAsia="Arial" w:hAnsi="Arial"/>
                <w:sz w:val="16"/>
                <w:szCs w:val="16"/>
                <w:color w:val="auto"/>
              </w:rPr>
              <w:t>Other comprehensive income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6,660</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61,595,276</w:t>
            </w:r>
          </w:p>
        </w:tc>
        <w:tc>
          <w:tcPr>
            <w:tcW w:w="120" w:type="dxa"/>
            <w:vAlign w:val="bottom"/>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62</w:t>
            </w:r>
          </w:p>
        </w:tc>
        <w:tc>
          <w:tcPr>
            <w:tcW w:w="160" w:type="dxa"/>
            <w:vAlign w:val="bottom"/>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574,958</w:t>
            </w:r>
          </w:p>
        </w:tc>
        <w:tc>
          <w:tcPr>
            <w:tcW w:w="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(399,583)</w:t>
            </w:r>
          </w:p>
        </w:tc>
        <w:tc>
          <w:tcPr>
            <w:tcW w:w="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4,163</w:t>
            </w:r>
          </w:p>
        </w:tc>
        <w:tc>
          <w:tcPr>
            <w:tcW w:w="200" w:type="dxa"/>
            <w:vAlign w:val="bottom"/>
            <w:shd w:val="clear" w:color="auto" w:fill="F4F4F4"/>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236,560</w:t>
            </w:r>
          </w:p>
        </w:tc>
        <w:tc>
          <w:tcPr>
            <w:tcW w:w="220" w:type="dxa"/>
            <w:vAlign w:val="bottom"/>
            <w:shd w:val="clear" w:color="auto" w:fill="F4F4F4"/>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416,160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6,731</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Purchase of 405,047 treasury shares under stock repurchase</w:t>
            </w:r>
          </w:p>
        </w:tc>
        <w:tc>
          <w:tcPr>
            <w:tcW w:w="980" w:type="dxa"/>
            <w:vAlign w:val="bottom"/>
            <w:shd w:val="clear" w:color="auto" w:fill="F4F4F4"/>
          </w:tcPr>
          <w:p>
            <w:pPr>
              <w:spacing w:after="0"/>
              <w:rPr>
                <w:sz w:val="19"/>
                <w:szCs w:val="19"/>
                <w:color w:val="auto"/>
              </w:rPr>
            </w:pPr>
          </w:p>
        </w:tc>
        <w:tc>
          <w:tcPr>
            <w:tcW w:w="120" w:type="dxa"/>
            <w:vAlign w:val="bottom"/>
            <w:shd w:val="clear" w:color="auto" w:fill="F4F4F4"/>
          </w:tcPr>
          <w:p>
            <w:pPr>
              <w:spacing w:after="0"/>
              <w:rPr>
                <w:sz w:val="19"/>
                <w:szCs w:val="19"/>
                <w:color w:val="auto"/>
              </w:rPr>
            </w:pPr>
          </w:p>
        </w:tc>
        <w:tc>
          <w:tcPr>
            <w:tcW w:w="580" w:type="dxa"/>
            <w:vAlign w:val="bottom"/>
            <w:shd w:val="clear" w:color="auto" w:fill="F4F4F4"/>
          </w:tcPr>
          <w:p>
            <w:pPr>
              <w:spacing w:after="0"/>
              <w:rPr>
                <w:sz w:val="19"/>
                <w:szCs w:val="19"/>
                <w:color w:val="auto"/>
              </w:rPr>
            </w:pPr>
          </w:p>
        </w:tc>
        <w:tc>
          <w:tcPr>
            <w:tcW w:w="160" w:type="dxa"/>
            <w:vAlign w:val="bottom"/>
            <w:shd w:val="clear" w:color="auto" w:fill="F4F4F4"/>
          </w:tcPr>
          <w:p>
            <w:pPr>
              <w:spacing w:after="0"/>
              <w:rPr>
                <w:sz w:val="19"/>
                <w:szCs w:val="19"/>
                <w:color w:val="auto"/>
              </w:rPr>
            </w:pPr>
          </w:p>
        </w:tc>
        <w:tc>
          <w:tcPr>
            <w:tcW w:w="780" w:type="dxa"/>
            <w:vAlign w:val="bottom"/>
            <w:shd w:val="clear" w:color="auto" w:fill="F4F4F4"/>
          </w:tcPr>
          <w:p>
            <w:pPr>
              <w:spacing w:after="0"/>
              <w:rPr>
                <w:sz w:val="19"/>
                <w:szCs w:val="19"/>
                <w:color w:val="auto"/>
              </w:rPr>
            </w:pPr>
          </w:p>
        </w:tc>
        <w:tc>
          <w:tcPr>
            <w:tcW w:w="160" w:type="dxa"/>
            <w:vAlign w:val="bottom"/>
            <w:shd w:val="clear" w:color="auto" w:fill="F4F4F4"/>
          </w:tcPr>
          <w:p>
            <w:pPr>
              <w:spacing w:after="0"/>
              <w:rPr>
                <w:sz w:val="19"/>
                <w:szCs w:val="19"/>
                <w:color w:val="auto"/>
              </w:rPr>
            </w:pPr>
          </w:p>
        </w:tc>
        <w:tc>
          <w:tcPr>
            <w:tcW w:w="780" w:type="dxa"/>
            <w:vAlign w:val="bottom"/>
            <w:shd w:val="clear" w:color="auto" w:fill="F4F4F4"/>
          </w:tcPr>
          <w:p>
            <w:pPr>
              <w:spacing w:after="0"/>
              <w:rPr>
                <w:sz w:val="19"/>
                <w:szCs w:val="19"/>
                <w:color w:val="auto"/>
              </w:rPr>
            </w:pPr>
          </w:p>
        </w:tc>
        <w:tc>
          <w:tcPr>
            <w:tcW w:w="160" w:type="dxa"/>
            <w:vAlign w:val="bottom"/>
            <w:shd w:val="clear" w:color="auto" w:fill="F4F4F4"/>
          </w:tcPr>
          <w:p>
            <w:pPr>
              <w:spacing w:after="0"/>
              <w:rPr>
                <w:sz w:val="19"/>
                <w:szCs w:val="19"/>
                <w:color w:val="auto"/>
              </w:rPr>
            </w:pPr>
          </w:p>
        </w:tc>
        <w:tc>
          <w:tcPr>
            <w:tcW w:w="1000" w:type="dxa"/>
            <w:vAlign w:val="bottom"/>
            <w:shd w:val="clear" w:color="auto" w:fill="F4F4F4"/>
          </w:tcPr>
          <w:p>
            <w:pPr>
              <w:spacing w:after="0"/>
              <w:rPr>
                <w:sz w:val="19"/>
                <w:szCs w:val="19"/>
                <w:color w:val="auto"/>
              </w:rPr>
            </w:pPr>
          </w:p>
        </w:tc>
        <w:tc>
          <w:tcPr>
            <w:tcW w:w="200" w:type="dxa"/>
            <w:vAlign w:val="bottom"/>
            <w:shd w:val="clear" w:color="auto" w:fill="F4F4F4"/>
          </w:tcPr>
          <w:p>
            <w:pPr>
              <w:spacing w:after="0"/>
              <w:rPr>
                <w:sz w:val="19"/>
                <w:szCs w:val="19"/>
                <w:color w:val="auto"/>
              </w:rPr>
            </w:pPr>
          </w:p>
        </w:tc>
        <w:tc>
          <w:tcPr>
            <w:tcW w:w="740" w:type="dxa"/>
            <w:vAlign w:val="bottom"/>
            <w:shd w:val="clear" w:color="auto" w:fill="F4F4F4"/>
          </w:tcPr>
          <w:p>
            <w:pPr>
              <w:spacing w:after="0"/>
              <w:rPr>
                <w:sz w:val="19"/>
                <w:szCs w:val="19"/>
                <w:color w:val="auto"/>
              </w:rPr>
            </w:pPr>
          </w:p>
        </w:tc>
        <w:tc>
          <w:tcPr>
            <w:tcW w:w="220" w:type="dxa"/>
            <w:vAlign w:val="bottom"/>
            <w:shd w:val="clear" w:color="auto" w:fill="F4F4F4"/>
          </w:tcPr>
          <w:p>
            <w:pPr>
              <w:spacing w:after="0"/>
              <w:rPr>
                <w:sz w:val="19"/>
                <w:szCs w:val="19"/>
                <w:color w:val="auto"/>
              </w:rPr>
            </w:pPr>
          </w:p>
        </w:tc>
        <w:tc>
          <w:tcPr>
            <w:tcW w:w="78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program</w:t>
            </w:r>
          </w:p>
        </w:tc>
        <w:tc>
          <w:tcPr>
            <w:tcW w:w="980" w:type="dxa"/>
            <w:vAlign w:val="bottom"/>
            <w:shd w:val="clear" w:color="auto" w:fill="F4F4F4"/>
          </w:tcPr>
          <w:p>
            <w:pPr>
              <w:spacing w:after="0"/>
              <w:rPr>
                <w:sz w:val="18"/>
                <w:szCs w:val="18"/>
                <w:color w:val="auto"/>
              </w:rPr>
            </w:pPr>
          </w:p>
        </w:tc>
        <w:tc>
          <w:tcPr>
            <w:tcW w:w="120" w:type="dxa"/>
            <w:vAlign w:val="bottom"/>
            <w:shd w:val="clear" w:color="auto" w:fill="F4F4F4"/>
          </w:tcPr>
          <w:p>
            <w:pPr>
              <w:spacing w:after="0"/>
              <w:rPr>
                <w:sz w:val="18"/>
                <w:szCs w:val="18"/>
                <w:color w:val="auto"/>
              </w:rPr>
            </w:pPr>
          </w:p>
        </w:tc>
        <w:tc>
          <w:tcPr>
            <w:tcW w:w="580" w:type="dxa"/>
            <w:vAlign w:val="bottom"/>
            <w:shd w:val="clear" w:color="auto" w:fill="F4F4F4"/>
          </w:tcPr>
          <w:p>
            <w:pPr>
              <w:spacing w:after="0"/>
              <w:rPr>
                <w:sz w:val="18"/>
                <w:szCs w:val="18"/>
                <w:color w:val="auto"/>
              </w:rPr>
            </w:pPr>
          </w:p>
        </w:tc>
        <w:tc>
          <w:tcPr>
            <w:tcW w:w="160" w:type="dxa"/>
            <w:vAlign w:val="bottom"/>
            <w:shd w:val="clear" w:color="auto" w:fill="F4F4F4"/>
          </w:tcPr>
          <w:p>
            <w:pPr>
              <w:spacing w:after="0"/>
              <w:rPr>
                <w:sz w:val="18"/>
                <w:szCs w:val="18"/>
                <w:color w:val="auto"/>
              </w:rPr>
            </w:pPr>
          </w:p>
        </w:tc>
        <w:tc>
          <w:tcPr>
            <w:tcW w:w="780" w:type="dxa"/>
            <w:vAlign w:val="bottom"/>
            <w:shd w:val="clear" w:color="auto" w:fill="F4F4F4"/>
          </w:tcPr>
          <w:p>
            <w:pPr>
              <w:spacing w:after="0"/>
              <w:rPr>
                <w:sz w:val="18"/>
                <w:szCs w:val="18"/>
                <w:color w:val="auto"/>
              </w:rPr>
            </w:pPr>
          </w:p>
        </w:tc>
        <w:tc>
          <w:tcPr>
            <w:tcW w:w="160" w:type="dxa"/>
            <w:vAlign w:val="bottom"/>
            <w:shd w:val="clear" w:color="auto" w:fill="F4F4F4"/>
          </w:tcPr>
          <w:p>
            <w:pPr>
              <w:spacing w:after="0"/>
              <w:rPr>
                <w:sz w:val="18"/>
                <w:szCs w:val="18"/>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(30,008)</w:t>
            </w:r>
          </w:p>
        </w:tc>
        <w:tc>
          <w:tcPr>
            <w:tcW w:w="160" w:type="dxa"/>
            <w:vAlign w:val="bottom"/>
            <w:shd w:val="clear" w:color="auto" w:fill="F4F4F4"/>
          </w:tcPr>
          <w:p>
            <w:pPr>
              <w:spacing w:after="0"/>
              <w:rPr>
                <w:sz w:val="18"/>
                <w:szCs w:val="18"/>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18"/>
                <w:szCs w:val="18"/>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18"/>
                <w:szCs w:val="18"/>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(30,008)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140"/>
              <w:spacing w:after="0"/>
              <w:rPr>
                <w:sz w:val="20"/>
                <w:szCs w:val="20"/>
                <w:color w:val="auto"/>
              </w:rPr>
            </w:pPr>
            <w:r>
              <w:rPr>
                <w:rFonts w:ascii="Arial" w:cs="Arial" w:eastAsia="Arial" w:hAnsi="Arial"/>
                <w:sz w:val="16"/>
                <w:szCs w:val="16"/>
                <w:color w:val="auto"/>
              </w:rPr>
              <w:t>Vesting of restricted stock units</w:t>
            </w:r>
          </w:p>
        </w:tc>
        <w:tc>
          <w:tcPr>
            <w:tcW w:w="980" w:type="dxa"/>
            <w:vAlign w:val="bottom"/>
          </w:tcPr>
          <w:p>
            <w:pPr>
              <w:jc w:val="right"/>
              <w:spacing w:after="0"/>
              <w:rPr>
                <w:sz w:val="20"/>
                <w:szCs w:val="20"/>
                <w:color w:val="auto"/>
              </w:rPr>
            </w:pPr>
            <w:r>
              <w:rPr>
                <w:rFonts w:ascii="Arial" w:cs="Arial" w:eastAsia="Arial" w:hAnsi="Arial"/>
                <w:sz w:val="16"/>
                <w:szCs w:val="16"/>
                <w:color w:val="auto"/>
              </w:rPr>
              <w:t>804,323</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Employee taxes paid for 285,521 withheld shares upon equity</w:t>
            </w:r>
          </w:p>
        </w:tc>
        <w:tc>
          <w:tcPr>
            <w:tcW w:w="980" w:type="dxa"/>
            <w:vAlign w:val="bottom"/>
            <w:shd w:val="clear" w:color="auto" w:fill="F4F4F4"/>
          </w:tcPr>
          <w:p>
            <w:pPr>
              <w:spacing w:after="0"/>
              <w:rPr>
                <w:sz w:val="19"/>
                <w:szCs w:val="19"/>
                <w:color w:val="auto"/>
              </w:rPr>
            </w:pPr>
          </w:p>
        </w:tc>
        <w:tc>
          <w:tcPr>
            <w:tcW w:w="120" w:type="dxa"/>
            <w:vAlign w:val="bottom"/>
            <w:shd w:val="clear" w:color="auto" w:fill="F4F4F4"/>
          </w:tcPr>
          <w:p>
            <w:pPr>
              <w:spacing w:after="0"/>
              <w:rPr>
                <w:sz w:val="19"/>
                <w:szCs w:val="19"/>
                <w:color w:val="auto"/>
              </w:rPr>
            </w:pPr>
          </w:p>
        </w:tc>
        <w:tc>
          <w:tcPr>
            <w:tcW w:w="580" w:type="dxa"/>
            <w:vAlign w:val="bottom"/>
            <w:shd w:val="clear" w:color="auto" w:fill="F4F4F4"/>
          </w:tcPr>
          <w:p>
            <w:pPr>
              <w:spacing w:after="0"/>
              <w:rPr>
                <w:sz w:val="19"/>
                <w:szCs w:val="19"/>
                <w:color w:val="auto"/>
              </w:rPr>
            </w:pPr>
          </w:p>
        </w:tc>
        <w:tc>
          <w:tcPr>
            <w:tcW w:w="160" w:type="dxa"/>
            <w:vAlign w:val="bottom"/>
            <w:shd w:val="clear" w:color="auto" w:fill="F4F4F4"/>
          </w:tcPr>
          <w:p>
            <w:pPr>
              <w:spacing w:after="0"/>
              <w:rPr>
                <w:sz w:val="19"/>
                <w:szCs w:val="19"/>
                <w:color w:val="auto"/>
              </w:rPr>
            </w:pPr>
          </w:p>
        </w:tc>
        <w:tc>
          <w:tcPr>
            <w:tcW w:w="780" w:type="dxa"/>
            <w:vAlign w:val="bottom"/>
            <w:shd w:val="clear" w:color="auto" w:fill="F4F4F4"/>
          </w:tcPr>
          <w:p>
            <w:pPr>
              <w:spacing w:after="0"/>
              <w:rPr>
                <w:sz w:val="19"/>
                <w:szCs w:val="19"/>
                <w:color w:val="auto"/>
              </w:rPr>
            </w:pPr>
          </w:p>
        </w:tc>
        <w:tc>
          <w:tcPr>
            <w:tcW w:w="160" w:type="dxa"/>
            <w:vAlign w:val="bottom"/>
            <w:shd w:val="clear" w:color="auto" w:fill="F4F4F4"/>
          </w:tcPr>
          <w:p>
            <w:pPr>
              <w:spacing w:after="0"/>
              <w:rPr>
                <w:sz w:val="19"/>
                <w:szCs w:val="19"/>
                <w:color w:val="auto"/>
              </w:rPr>
            </w:pPr>
          </w:p>
        </w:tc>
        <w:tc>
          <w:tcPr>
            <w:tcW w:w="780" w:type="dxa"/>
            <w:vAlign w:val="bottom"/>
            <w:shd w:val="clear" w:color="auto" w:fill="F4F4F4"/>
          </w:tcPr>
          <w:p>
            <w:pPr>
              <w:spacing w:after="0"/>
              <w:rPr>
                <w:sz w:val="19"/>
                <w:szCs w:val="19"/>
                <w:color w:val="auto"/>
              </w:rPr>
            </w:pPr>
          </w:p>
        </w:tc>
        <w:tc>
          <w:tcPr>
            <w:tcW w:w="160" w:type="dxa"/>
            <w:vAlign w:val="bottom"/>
            <w:shd w:val="clear" w:color="auto" w:fill="F4F4F4"/>
          </w:tcPr>
          <w:p>
            <w:pPr>
              <w:spacing w:after="0"/>
              <w:rPr>
                <w:sz w:val="19"/>
                <w:szCs w:val="19"/>
                <w:color w:val="auto"/>
              </w:rPr>
            </w:pPr>
          </w:p>
        </w:tc>
        <w:tc>
          <w:tcPr>
            <w:tcW w:w="1000" w:type="dxa"/>
            <w:vAlign w:val="bottom"/>
            <w:shd w:val="clear" w:color="auto" w:fill="F4F4F4"/>
          </w:tcPr>
          <w:p>
            <w:pPr>
              <w:spacing w:after="0"/>
              <w:rPr>
                <w:sz w:val="19"/>
                <w:szCs w:val="19"/>
                <w:color w:val="auto"/>
              </w:rPr>
            </w:pPr>
          </w:p>
        </w:tc>
        <w:tc>
          <w:tcPr>
            <w:tcW w:w="200" w:type="dxa"/>
            <w:vAlign w:val="bottom"/>
            <w:shd w:val="clear" w:color="auto" w:fill="F4F4F4"/>
          </w:tcPr>
          <w:p>
            <w:pPr>
              <w:spacing w:after="0"/>
              <w:rPr>
                <w:sz w:val="19"/>
                <w:szCs w:val="19"/>
                <w:color w:val="auto"/>
              </w:rPr>
            </w:pPr>
          </w:p>
        </w:tc>
        <w:tc>
          <w:tcPr>
            <w:tcW w:w="740" w:type="dxa"/>
            <w:vAlign w:val="bottom"/>
            <w:shd w:val="clear" w:color="auto" w:fill="F4F4F4"/>
          </w:tcPr>
          <w:p>
            <w:pPr>
              <w:spacing w:after="0"/>
              <w:rPr>
                <w:sz w:val="19"/>
                <w:szCs w:val="19"/>
                <w:color w:val="auto"/>
              </w:rPr>
            </w:pPr>
          </w:p>
        </w:tc>
        <w:tc>
          <w:tcPr>
            <w:tcW w:w="220" w:type="dxa"/>
            <w:vAlign w:val="bottom"/>
            <w:shd w:val="clear" w:color="auto" w:fill="F4F4F4"/>
          </w:tcPr>
          <w:p>
            <w:pPr>
              <w:spacing w:after="0"/>
              <w:rPr>
                <w:sz w:val="19"/>
                <w:szCs w:val="19"/>
                <w:color w:val="auto"/>
              </w:rPr>
            </w:pPr>
          </w:p>
        </w:tc>
        <w:tc>
          <w:tcPr>
            <w:tcW w:w="78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award settlement</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18"/>
                <w:szCs w:val="18"/>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8"/>
                <w:szCs w:val="18"/>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8"/>
                <w:szCs w:val="18"/>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(20,286)</w:t>
            </w:r>
          </w:p>
        </w:tc>
        <w:tc>
          <w:tcPr>
            <w:tcW w:w="160" w:type="dxa"/>
            <w:vAlign w:val="bottom"/>
            <w:shd w:val="clear" w:color="auto" w:fill="F4F4F4"/>
          </w:tcPr>
          <w:p>
            <w:pPr>
              <w:spacing w:after="0"/>
              <w:rPr>
                <w:sz w:val="18"/>
                <w:szCs w:val="18"/>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18"/>
                <w:szCs w:val="18"/>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18"/>
                <w:szCs w:val="18"/>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(20,286)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30,528</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30,549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Restricted stock grants</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9,431</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140"/>
              <w:spacing w:after="0"/>
              <w:rPr>
                <w:sz w:val="20"/>
                <w:szCs w:val="20"/>
                <w:color w:val="auto"/>
              </w:rPr>
            </w:pPr>
            <w:r>
              <w:rPr>
                <w:rFonts w:ascii="Arial" w:cs="Arial" w:eastAsia="Arial" w:hAnsi="Arial"/>
                <w:sz w:val="16"/>
                <w:szCs w:val="16"/>
                <w:color w:val="auto"/>
              </w:rPr>
              <w:t>Restricted stock cancellations</w:t>
            </w:r>
          </w:p>
        </w:tc>
        <w:tc>
          <w:tcPr>
            <w:tcW w:w="980" w:type="dxa"/>
            <w:vAlign w:val="bottom"/>
          </w:tcPr>
          <w:p>
            <w:pPr>
              <w:jc w:val="right"/>
              <w:spacing w:after="0"/>
              <w:rPr>
                <w:sz w:val="20"/>
                <w:szCs w:val="20"/>
                <w:color w:val="auto"/>
              </w:rPr>
            </w:pPr>
            <w:r>
              <w:rPr>
                <w:rFonts w:ascii="Arial" w:cs="Arial" w:eastAsia="Arial" w:hAnsi="Arial"/>
                <w:sz w:val="16"/>
                <w:szCs w:val="16"/>
                <w:color w:val="auto"/>
              </w:rPr>
              <w:t>(76,316)</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Other comprehensive income</w:t>
            </w:r>
          </w:p>
        </w:tc>
        <w:tc>
          <w:tcPr>
            <w:tcW w:w="9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F4F4F4"/>
          </w:tcPr>
          <w:p>
            <w:pPr>
              <w:spacing w:after="0"/>
              <w:rPr>
                <w:sz w:val="21"/>
                <w:szCs w:val="21"/>
                <w:color w:val="auto"/>
              </w:rPr>
            </w:pPr>
          </w:p>
        </w:tc>
        <w:tc>
          <w:tcPr>
            <w:tcW w:w="5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F4F4F4"/>
          </w:tcPr>
          <w:p>
            <w:pPr>
              <w:spacing w:after="0"/>
              <w:rPr>
                <w:sz w:val="21"/>
                <w:szCs w:val="21"/>
                <w:color w:val="auto"/>
              </w:rPr>
            </w:pPr>
          </w:p>
        </w:tc>
        <w:tc>
          <w:tcPr>
            <w:tcW w:w="7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F4F4F4"/>
          </w:tcPr>
          <w:p>
            <w:pPr>
              <w:spacing w:after="0"/>
              <w:rPr>
                <w:sz w:val="21"/>
                <w:szCs w:val="21"/>
                <w:color w:val="auto"/>
              </w:rPr>
            </w:pPr>
          </w:p>
        </w:tc>
        <w:tc>
          <w:tcPr>
            <w:tcW w:w="7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F4F4F4"/>
          </w:tcPr>
          <w:p>
            <w:pPr>
              <w:spacing w:after="0"/>
              <w:rPr>
                <w:sz w:val="21"/>
                <w:szCs w:val="21"/>
                <w:color w:val="auto"/>
              </w:rPr>
            </w:pPr>
          </w:p>
        </w:tc>
        <w:tc>
          <w:tcPr>
            <w:tcW w:w="10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2,128</w:t>
            </w:r>
          </w:p>
        </w:tc>
        <w:tc>
          <w:tcPr>
            <w:tcW w:w="200" w:type="dxa"/>
            <w:vAlign w:val="bottom"/>
            <w:tcBorders>
              <w:bottom w:val="single" w:sz="8" w:color="auto"/>
            </w:tcBorders>
            <w:shd w:val="clear" w:color="auto" w:fill="F4F4F4"/>
          </w:tcPr>
          <w:p>
            <w:pPr>
              <w:spacing w:after="0"/>
              <w:rPr>
                <w:sz w:val="21"/>
                <w:szCs w:val="21"/>
                <w:color w:val="auto"/>
              </w:rPr>
            </w:pPr>
          </w:p>
        </w:tc>
        <w:tc>
          <w:tcPr>
            <w:tcW w:w="7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F4F4F4"/>
          </w:tcPr>
          <w:p>
            <w:pPr>
              <w:spacing w:after="0"/>
              <w:rPr>
                <w:sz w:val="21"/>
                <w:szCs w:val="21"/>
                <w:color w:val="auto"/>
              </w:rPr>
            </w:pPr>
          </w:p>
        </w:tc>
        <w:tc>
          <w:tcPr>
            <w:tcW w:w="7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2,128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71BF43"/>
            </w:tcBorders>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980" w:type="dxa"/>
            <w:vAlign w:val="bottom"/>
            <w:tcBorders>
              <w:bottom w:val="single" w:sz="8" w:color="71BF43"/>
            </w:tcBorders>
          </w:tcPr>
          <w:p>
            <w:pPr>
              <w:jc w:val="right"/>
              <w:spacing w:after="0"/>
              <w:rPr>
                <w:sz w:val="20"/>
                <w:szCs w:val="20"/>
                <w:color w:val="auto"/>
              </w:rPr>
            </w:pPr>
            <w:r>
              <w:rPr>
                <w:rFonts w:ascii="Arial" w:cs="Arial" w:eastAsia="Arial" w:hAnsi="Arial"/>
                <w:sz w:val="16"/>
                <w:szCs w:val="16"/>
                <w:color w:val="auto"/>
              </w:rPr>
              <w:t>62,332,714</w:t>
            </w:r>
          </w:p>
        </w:tc>
        <w:tc>
          <w:tcPr>
            <w:tcW w:w="120" w:type="dxa"/>
            <w:vAlign w:val="bottom"/>
            <w:tcBorders>
              <w:bottom w:val="single" w:sz="8" w:color="71BF43"/>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71BF43"/>
            </w:tcBorders>
          </w:tcPr>
          <w:p>
            <w:pPr>
              <w:jc w:val="right"/>
              <w:spacing w:after="0"/>
              <w:rPr>
                <w:sz w:val="20"/>
                <w:szCs w:val="20"/>
                <w:color w:val="auto"/>
              </w:rPr>
            </w:pPr>
            <w:r>
              <w:rPr>
                <w:rFonts w:ascii="Arial" w:cs="Arial" w:eastAsia="Arial" w:hAnsi="Arial"/>
                <w:sz w:val="16"/>
                <w:szCs w:val="16"/>
                <w:color w:val="auto"/>
              </w:rPr>
              <w:t>62</w:t>
            </w:r>
          </w:p>
        </w:tc>
        <w:tc>
          <w:tcPr>
            <w:tcW w:w="160" w:type="dxa"/>
            <w:vAlign w:val="bottom"/>
            <w:tcBorders>
              <w:bottom w:val="single" w:sz="8" w:color="71BF43"/>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71BF43"/>
            </w:tcBorders>
          </w:tcPr>
          <w:p>
            <w:pPr>
              <w:jc w:val="right"/>
              <w:spacing w:after="0"/>
              <w:rPr>
                <w:sz w:val="20"/>
                <w:szCs w:val="20"/>
                <w:color w:val="auto"/>
              </w:rPr>
            </w:pPr>
            <w:r>
              <w:rPr>
                <w:rFonts w:ascii="Arial" w:cs="Arial" w:eastAsia="Arial" w:hAnsi="Arial"/>
                <w:sz w:val="16"/>
                <w:szCs w:val="16"/>
                <w:color w:val="auto"/>
              </w:rPr>
              <w:t>605,486</w:t>
            </w:r>
          </w:p>
        </w:tc>
        <w:tc>
          <w:tcPr>
            <w:tcW w:w="160" w:type="dxa"/>
            <w:vAlign w:val="bottom"/>
            <w:tcBorders>
              <w:bottom w:val="single" w:sz="8" w:color="71BF43"/>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71BF43"/>
            </w:tcBorders>
          </w:tcPr>
          <w:p>
            <w:pPr>
              <w:jc w:val="right"/>
              <w:spacing w:after="0"/>
              <w:rPr>
                <w:sz w:val="20"/>
                <w:szCs w:val="20"/>
                <w:color w:val="auto"/>
              </w:rPr>
            </w:pPr>
            <w:r>
              <w:rPr>
                <w:rFonts w:ascii="Arial" w:cs="Arial" w:eastAsia="Arial" w:hAnsi="Arial"/>
                <w:sz w:val="16"/>
                <w:szCs w:val="16"/>
                <w:color w:val="auto"/>
              </w:rPr>
              <w:t>(449,877)</w:t>
            </w:r>
          </w:p>
        </w:tc>
        <w:tc>
          <w:tcPr>
            <w:tcW w:w="160" w:type="dxa"/>
            <w:vAlign w:val="bottom"/>
            <w:tcBorders>
              <w:bottom w:val="single" w:sz="8" w:color="71BF43"/>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71BF43"/>
            </w:tcBorders>
          </w:tcPr>
          <w:p>
            <w:pPr>
              <w:jc w:val="right"/>
              <w:spacing w:after="0"/>
              <w:rPr>
                <w:sz w:val="20"/>
                <w:szCs w:val="20"/>
                <w:color w:val="auto"/>
              </w:rPr>
            </w:pPr>
            <w:r>
              <w:rPr>
                <w:rFonts w:ascii="Arial" w:cs="Arial" w:eastAsia="Arial" w:hAnsi="Arial"/>
                <w:sz w:val="16"/>
                <w:szCs w:val="16"/>
                <w:color w:val="auto"/>
              </w:rPr>
              <w:t>6,291</w:t>
            </w:r>
          </w:p>
        </w:tc>
        <w:tc>
          <w:tcPr>
            <w:tcW w:w="200" w:type="dxa"/>
            <w:vAlign w:val="bottom"/>
            <w:tcBorders>
              <w:bottom w:val="single" w:sz="8" w:color="71BF43"/>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71BF43"/>
            </w:tcBorders>
          </w:tcPr>
          <w:p>
            <w:pPr>
              <w:jc w:val="right"/>
              <w:spacing w:after="0"/>
              <w:rPr>
                <w:sz w:val="20"/>
                <w:szCs w:val="20"/>
                <w:color w:val="auto"/>
              </w:rPr>
            </w:pPr>
            <w:r>
              <w:rPr>
                <w:rFonts w:ascii="Arial" w:cs="Arial" w:eastAsia="Arial" w:hAnsi="Arial"/>
                <w:sz w:val="16"/>
                <w:szCs w:val="16"/>
                <w:color w:val="auto"/>
              </w:rPr>
              <w:t>243,312</w:t>
            </w:r>
          </w:p>
        </w:tc>
        <w:tc>
          <w:tcPr>
            <w:tcW w:w="220" w:type="dxa"/>
            <w:vAlign w:val="bottom"/>
            <w:tcBorders>
              <w:bottom w:val="single" w:sz="8" w:color="71BF43"/>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71BF43"/>
            </w:tcBorders>
          </w:tcPr>
          <w:p>
            <w:pPr>
              <w:jc w:val="right"/>
              <w:spacing w:after="0"/>
              <w:rPr>
                <w:sz w:val="20"/>
                <w:szCs w:val="20"/>
                <w:color w:val="auto"/>
              </w:rPr>
            </w:pPr>
            <w:r>
              <w:rPr>
                <w:rFonts w:ascii="Arial" w:cs="Arial" w:eastAsia="Arial" w:hAnsi="Arial"/>
                <w:sz w:val="16"/>
                <w:szCs w:val="16"/>
                <w:color w:val="auto"/>
              </w:rPr>
              <w:t>405,274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-3591560</wp:posOffset>
            </wp:positionV>
            <wp:extent cx="10718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6271260</wp:posOffset>
            </wp:positionH>
            <wp:positionV relativeFrom="paragraph">
              <wp:posOffset>816610</wp:posOffset>
            </wp:positionV>
            <wp:extent cx="65976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480" w:type="dxa"/>
            <w:vAlign w:val="bottom"/>
          </w:tcPr>
          <w:p>
            <w:pPr>
              <w:ind w:left="7720"/>
              <w:spacing w:after="0"/>
              <w:rPr>
                <w:sz w:val="20"/>
                <w:szCs w:val="20"/>
                <w:color w:val="auto"/>
              </w:rPr>
            </w:pPr>
            <w:r>
              <w:rPr>
                <w:rFonts w:ascii="Arial" w:cs="Arial" w:eastAsia="Arial" w:hAnsi="Arial"/>
                <w:sz w:val="14"/>
                <w:szCs w:val="14"/>
                <w:color w:val="auto"/>
              </w:rPr>
              <w:t>Second Quarter 2022 Form 10-Q</w:t>
            </w:r>
          </w:p>
        </w:tc>
        <w:tc>
          <w:tcPr>
            <w:tcW w:w="7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329"/>
        </w:trPr>
        <w:tc>
          <w:tcPr>
            <w:tcW w:w="104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the world’s leading cloud software company powering social good. Serving the entire social good community—nonprofits, higher education institutions, K–12 schools, healthcare organizations, faith communities, arts and cultural organizations, foundations, companies and individual change agents—we connect and empower organizations to increase their impact through cloud software, services, expertise and data intelligence. Our portfolio is tailored to the unique needs of vertical markets, with solutions for fundraising and CRM, marketing, advocacy, peer-to-peer fundraising, corporate social responsibility (CSR) and environmental, social and governance (ESG), school management, ticketing, grantmaking, financial management, payment processing and analytics. Serving the industry for more than four decades, we are a remote-first company headquartered in Charleston, South Carolina, with operations in the United States, Australia, Canada, Costa Rica and the United Kingdom.</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2.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interim financial statements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accompanying condensed consolidated interim financial statements have been prepared pursuant to the rules and regulations of the United States Securities and Exchange Commission ("SEC") for interim financial reporting. These consolidated statements are unaudited and, in the opinion of management, include all adjustments (consisting of normal recurring adjustments and accruals) necessary to state fairly the consolidated balance sheets, consolidated statements of comprehensive income, consolidated statements of cash flows and consolidated statements of stockholders’ equity, for the periods presented in accordance with accounting principles generally accepted in the United States ("U.S.") ("GAAP"). The consolidated balance sheet at December 31, 2021 has been derived from the audited consolidated financial statements at that date. Operating results and cash flows for the six months ended June 30, 2022 are not necessarily indicative of the results that may be expected for the fiscal year ending December 31, 2022, or any other future period. Certain information and footnote disclosures normally included in annual financial statements prepared in accordance with GAAP have been omitted in accordance with the rules and regulations for interim reporting of the SEC. These condensed consolidated interim financial statements should be read in conjunction with the consolidated financial statements and notes thereto included in our Annual Report on Form 10-K for the year ended December 31, 2021, and other forms filed with the SEC from time to time.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condensed consolidated financial statements include the accounts of Blackbaud, Inc. and its wholly owned subsidiaries. All intercompany balances and transactions have been eliminated in consolidation.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report our operating results and financial information in one operating and reportable segment. Our chief operating decision maker uses consolidated financial information to make operating decisions, assess financial performance and allocate resources. Our chief operating decision maker is our chief executive officer.</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acquired EVERFI (as defined below) on December 31, 2021. As we are working to integrate EVERFI into our business, it had not yet been included in one of our market groups as of June 30, 2022. This change did not impact our conclusions that we have one operating and reportable segment and one goodwill reporting unit.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 related to COVID-19</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risks and uncertainties as a result of the global COVID-19 pandemic. We believe that COVID-19 may continue to significantly impact our vertical markets and geographies, but the magnitude of the impact on our business cannot be determined at this time due to numerous uncertainties, including the duration of the outbreak, the severity of variants which may develop, travel restrictions and business closures, the effectiveness of vaccination programs and other actions taken to contain the disease and other unforeseeable consequences.</w:t>
      </w:r>
    </w:p>
    <w:p>
      <w:pPr>
        <w:spacing w:after="0" w:line="325"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8</w:t>
      </w:r>
      <w:r>
        <w:rPr>
          <w:sz w:val="20"/>
          <w:szCs w:val="20"/>
          <w:color w:val="auto"/>
        </w:rPr>
        <w:tab/>
      </w:r>
      <w:r>
        <w:rPr>
          <w:sz w:val="1"/>
          <w:szCs w:val="1"/>
          <w:color w:val="auto"/>
        </w:rPr>
        <w:drawing>
          <wp:inline distT="0" distB="0" distL="0" distR="0">
            <wp:extent cx="651510" cy="17145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revenues and expenses during the reporting periods. On an ongoing basis, we reconsider and evaluate our estimates and assumptions, including those that impact revenue recognition, long-lived and intangible assets, income taxes, business combinations, stock-based compensation, capitalization of software development costs, our allowances for credit losses and sales returns, costs of obtaining contracts, valuation of derivative instruments, loss contingencies and insurance recoveries, among others. Changes in the facts or circumstances underlying these estimates, including due to COVID-19, could result in material changes and actual results could materially differ from these estimates.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are no recently issued accounting pronouncements that we expect to have a material impact on our consolidated financial statements when adopted in the future.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19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There have been no material changes to our significant accounting policies described in our Annual Report on Form 10-K for the year ended December 31, 2021, filed with the SEC on March 1, 2022.</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3. Business Combinations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Acquisition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EVERFI</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December 31, 2021, we acquired all of the outstanding equity securities, including all voting equity interests, of EVERFI, Inc., a Delaware corporation ("EVERFI"), pursuant to an agreement and plan of merger. The acquisition advanced our position as a leader in the rapidly evolving ESG and CSR spaces. We acquired the equity securities for approximately $441.8 million in cash consideration and 3,810,953 shares of the company's common stock, valued at approximately $301.0 million, for an aggregate purchase price of approximately $742.8 million, net of closing adjustments. The cash consideration and related expenses were funded primarily through cash on hand and new borrowings under the 2020 Credit Facility (as defined below). As a result of the acquisition, EVERFI has become a wholly owned subsidiary of ours. The operating results of EVERFI have been included in our consolidated financial statements from the date of acquisition. In accordance with applicable accounting rules, we determined that the impact of this acquisition was not material to our consolidated financial statements; therefore, revenue and earnings since the acquisition date and pro forma information are not required to be presented.</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fair values assigned to the assets acquired and liabilities assumed in our acquisition of EVERFI are based on our best estimates and assumptions as of the reporting date and are considered preliminary pending finalization. The estimates and assumptions are subject to change as we obtain additional information during the measurement period, which may be up to one year from the acquisition date. The assets and liabilities, pending finalization, include the valuation of intangible assets as well as the assumed deferred income tax balances. During the six months ended June 30, 2022, we recorded insignificant measurement period adjustments to the estimated fair value of the EVERFI assets acquired and liabilities assumed following the receipt of new information. The adjustments resulted in an increase to net working capital, excluding deferred revenue, with the corresponding offset to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217805</wp:posOffset>
            </wp:positionV>
            <wp:extent cx="65976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60" w:type="dxa"/>
            <w:vAlign w:val="bottom"/>
          </w:tcPr>
          <w:p>
            <w:pPr>
              <w:ind w:left="7480"/>
              <w:spacing w:after="0"/>
              <w:rPr>
                <w:sz w:val="20"/>
                <w:szCs w:val="20"/>
                <w:color w:val="auto"/>
              </w:rPr>
            </w:pPr>
            <w:r>
              <w:rPr>
                <w:rFonts w:ascii="Arial" w:cs="Arial" w:eastAsia="Arial" w:hAnsi="Arial"/>
                <w:sz w:val="14"/>
                <w:szCs w:val="14"/>
                <w:color w:val="auto"/>
              </w:rPr>
              <w:t>Second Quarter 2022 Form 10-Q</w:t>
            </w:r>
          </w:p>
        </w:tc>
        <w:tc>
          <w:tcPr>
            <w:tcW w:w="88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329"/>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4. Goodwill and 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change in goodwill during the six months ended June 30, 2022, consisted of the following: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80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40" w:type="dxa"/>
            <w:vAlign w:val="bottom"/>
            <w:tcBorders>
              <w:bottom w:val="single" w:sz="8" w:color="ACACAC"/>
            </w:tcBorders>
            <w:shd w:val="clear" w:color="auto" w:fill="ACACAC"/>
          </w:tcPr>
          <w:p>
            <w:pPr>
              <w:spacing w:after="0"/>
              <w:rPr>
                <w:sz w:val="19"/>
                <w:szCs w:val="19"/>
                <w:color w:val="auto"/>
              </w:rPr>
            </w:pPr>
          </w:p>
        </w:tc>
        <w:tc>
          <w:tcPr>
            <w:tcW w:w="11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p>
        </w:tc>
        <w:tc>
          <w:tcPr>
            <w:tcW w:w="20" w:type="dxa"/>
            <w:vAlign w:val="bottom"/>
            <w:tcBorders>
              <w:bottom w:val="single" w:sz="8" w:color="ACACAC"/>
            </w:tcBorders>
            <w:shd w:val="clear" w:color="auto" w:fill="ACACAC"/>
          </w:tcPr>
          <w:p>
            <w:pPr>
              <w:spacing w:after="0"/>
              <w:rPr>
                <w:sz w:val="19"/>
                <w:szCs w:val="19"/>
                <w:color w:val="auto"/>
              </w:rPr>
            </w:pPr>
          </w:p>
        </w:tc>
      </w:tr>
      <w:tr>
        <w:trPr>
          <w:trHeight w:val="250"/>
        </w:trPr>
        <w:tc>
          <w:tcPr>
            <w:tcW w:w="98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34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1,058,640</w:t>
            </w:r>
          </w:p>
        </w:tc>
        <w:tc>
          <w:tcPr>
            <w:tcW w:w="20" w:type="dxa"/>
            <w:vAlign w:val="bottom"/>
          </w:tcPr>
          <w:p>
            <w:pPr>
              <w:spacing w:after="0"/>
              <w:rPr>
                <w:sz w:val="21"/>
                <w:szCs w:val="21"/>
                <w:color w:val="auto"/>
              </w:rPr>
            </w:pPr>
          </w:p>
        </w:tc>
      </w:tr>
      <w:tr>
        <w:trPr>
          <w:trHeight w:val="324"/>
        </w:trPr>
        <w:tc>
          <w:tcPr>
            <w:tcW w:w="9800" w:type="dxa"/>
            <w:vAlign w:val="bottom"/>
          </w:tcPr>
          <w:p>
            <w:pPr>
              <w:ind w:left="20"/>
              <w:spacing w:after="0"/>
              <w:rPr>
                <w:sz w:val="20"/>
                <w:szCs w:val="20"/>
                <w:color w:val="auto"/>
              </w:rPr>
            </w:pPr>
            <w:r>
              <w:rPr>
                <w:rFonts w:ascii="Arial" w:cs="Arial" w:eastAsia="Arial" w:hAnsi="Arial"/>
                <w:sz w:val="18"/>
                <w:szCs w:val="18"/>
                <w:color w:val="auto"/>
              </w:rPr>
              <w:t>Adjustments related to prior year business combination</w:t>
            </w:r>
            <w:r>
              <w:rPr>
                <w:rFonts w:ascii="Arial" w:cs="Arial" w:eastAsia="Arial" w:hAnsi="Arial"/>
                <w:sz w:val="23"/>
                <w:szCs w:val="23"/>
                <w:color w:val="auto"/>
                <w:vertAlign w:val="superscript"/>
              </w:rPr>
              <w:t>(1)</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(1,203)</w:t>
            </w:r>
          </w:p>
        </w:tc>
        <w:tc>
          <w:tcPr>
            <w:tcW w:w="20" w:type="dxa"/>
            <w:vAlign w:val="bottom"/>
          </w:tcPr>
          <w:p>
            <w:pPr>
              <w:spacing w:after="0"/>
              <w:rPr>
                <w:sz w:val="24"/>
                <w:szCs w:val="24"/>
                <w:color w:val="auto"/>
              </w:rPr>
            </w:pPr>
          </w:p>
        </w:tc>
      </w:tr>
      <w:tr>
        <w:trPr>
          <w:trHeight w:val="270"/>
        </w:trPr>
        <w:tc>
          <w:tcPr>
            <w:tcW w:w="98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Effect of foreign currency translation</w:t>
            </w:r>
          </w:p>
        </w:tc>
        <w:tc>
          <w:tcPr>
            <w:tcW w:w="340" w:type="dxa"/>
            <w:vAlign w:val="bottom"/>
            <w:tcBorders>
              <w:bottom w:val="single" w:sz="8" w:color="F4F4F4"/>
            </w:tcBorders>
            <w:shd w:val="clear" w:color="auto" w:fill="F4F4F4"/>
          </w:tcPr>
          <w:p>
            <w:pPr>
              <w:spacing w:after="0"/>
              <w:rPr>
                <w:sz w:val="23"/>
                <w:szCs w:val="23"/>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(6,207)</w:t>
            </w:r>
          </w:p>
        </w:tc>
        <w:tc>
          <w:tcPr>
            <w:tcW w:w="20" w:type="dxa"/>
            <w:vAlign w:val="bottom"/>
          </w:tcPr>
          <w:p>
            <w:pPr>
              <w:spacing w:after="0"/>
              <w:rPr>
                <w:sz w:val="23"/>
                <w:szCs w:val="23"/>
                <w:color w:val="auto"/>
              </w:rPr>
            </w:pPr>
          </w:p>
        </w:tc>
      </w:tr>
      <w:tr>
        <w:trPr>
          <w:trHeight w:val="237"/>
        </w:trPr>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1,051,230</w:t>
            </w:r>
          </w:p>
        </w:tc>
        <w:tc>
          <w:tcPr>
            <w:tcW w:w="20" w:type="dxa"/>
            <w:vAlign w:val="bottom"/>
          </w:tcPr>
          <w:p>
            <w:pPr>
              <w:spacing w:after="0"/>
              <w:rPr>
                <w:sz w:val="20"/>
                <w:szCs w:val="20"/>
                <w:color w:val="auto"/>
              </w:rPr>
            </w:pPr>
          </w:p>
        </w:tc>
      </w:tr>
      <w:tr>
        <w:trPr>
          <w:trHeight w:val="27"/>
        </w:trPr>
        <w:tc>
          <w:tcPr>
            <w:tcW w:w="9800" w:type="dxa"/>
            <w:vAlign w:val="bottom"/>
            <w:tcBorders>
              <w:bottom w:val="single" w:sz="8" w:color="71BF43"/>
            </w:tcBorders>
          </w:tcPr>
          <w:p>
            <w:pPr>
              <w:spacing w:after="0"/>
              <w:rPr>
                <w:sz w:val="2"/>
                <w:szCs w:val="2"/>
                <w:color w:val="auto"/>
              </w:rPr>
            </w:pPr>
          </w:p>
        </w:tc>
        <w:tc>
          <w:tcPr>
            <w:tcW w:w="340" w:type="dxa"/>
            <w:vAlign w:val="bottom"/>
            <w:tcBorders>
              <w:bottom w:val="single" w:sz="8" w:color="71BF43"/>
            </w:tcBorders>
          </w:tcPr>
          <w:p>
            <w:pPr>
              <w:spacing w:after="0"/>
              <w:rPr>
                <w:sz w:val="2"/>
                <w:szCs w:val="2"/>
                <w:color w:val="auto"/>
              </w:rPr>
            </w:pPr>
          </w:p>
        </w:tc>
        <w:tc>
          <w:tcPr>
            <w:tcW w:w="1100" w:type="dxa"/>
            <w:vAlign w:val="bottom"/>
            <w:tcBorders>
              <w:bottom w:val="single" w:sz="8" w:color="71BF4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86" w:lineRule="exact"/>
        <w:rPr>
          <w:sz w:val="20"/>
          <w:szCs w:val="20"/>
          <w:color w:val="auto"/>
        </w:rPr>
      </w:pPr>
    </w:p>
    <w:p>
      <w:pPr>
        <w:ind w:left="340" w:right="20" w:hanging="332"/>
        <w:spacing w:after="0" w:line="258" w:lineRule="auto"/>
        <w:tabs>
          <w:tab w:leader="none" w:pos="354" w:val="left"/>
        </w:tabs>
        <w:numPr>
          <w:ilvl w:val="0"/>
          <w:numId w:val="6"/>
        </w:numPr>
        <w:rPr>
          <w:rFonts w:ascii="Arial" w:cs="Arial" w:eastAsia="Arial" w:hAnsi="Arial"/>
          <w:sz w:val="14"/>
          <w:szCs w:val="14"/>
          <w:color w:val="auto"/>
        </w:rPr>
      </w:pPr>
      <w:r>
        <w:rPr>
          <w:rFonts w:ascii="Arial" w:cs="Arial" w:eastAsia="Arial" w:hAnsi="Arial"/>
          <w:sz w:val="14"/>
          <w:szCs w:val="14"/>
          <w:color w:val="auto"/>
        </w:rPr>
        <w:t>See Note 3 to these condensed consolidated financial statements for a discussion of the measurement period adjustments during the three and six months ended June 30, 2022 to the estimated fair value of the EVERFI assets acquired and liabilities assumed.</w:t>
      </w:r>
    </w:p>
    <w:p>
      <w:pPr>
        <w:spacing w:after="0" w:line="224" w:lineRule="exact"/>
        <w:rPr>
          <w:rFonts w:ascii="Arial" w:cs="Arial" w:eastAsia="Arial" w:hAnsi="Arial"/>
          <w:sz w:val="14"/>
          <w:szCs w:val="14"/>
          <w:color w:val="auto"/>
        </w:rPr>
      </w:pPr>
    </w:p>
    <w:p>
      <w:pPr>
        <w:ind w:left="260" w:hanging="234"/>
        <w:spacing w:after="0"/>
        <w:tabs>
          <w:tab w:leader="none" w:pos="260" w:val="left"/>
        </w:tabs>
        <w:numPr>
          <w:ilvl w:val="1"/>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(Loss)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We compute basic (loss) earnings per share by dividing net (loss) income available to common stockholders by the weighted average number of common shares outstanding during the period. Diluted (loss) earnings per share is computed by dividing net (loss) income available to common stockholders by the weighted average number of common shares and dilutive potential common shares outstanding during the period. Diluted (loss) earnings per share reflect the assumed exercise, settlement and vesting of all dilutive securities using the “treasury stock method” except when the effect is anti-dilutive. Potentially dilutive securities consist of shares issuable upon the exercise of stock options, settlement of stock appreciation rights and vesting of restricted stock awards and units. Diluted loss per share for the three and six months ended June 30, 2022 was the same as basic loss per share as there was a net loss in the period and inclusion of potentially dilutive securities was anti-dilutive.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(loss) earnings per share: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80" w:type="dxa"/>
            <w:vAlign w:val="bottom"/>
            <w:shd w:val="clear" w:color="auto" w:fill="ACACAC"/>
          </w:tcPr>
          <w:p>
            <w:pPr>
              <w:spacing w:after="0"/>
              <w:rPr>
                <w:sz w:val="16"/>
                <w:szCs w:val="16"/>
                <w:color w:val="auto"/>
              </w:rPr>
            </w:pPr>
          </w:p>
        </w:tc>
        <w:tc>
          <w:tcPr>
            <w:tcW w:w="4320" w:type="dxa"/>
            <w:vAlign w:val="bottom"/>
            <w:shd w:val="clear" w:color="auto" w:fill="ACACAC"/>
          </w:tcPr>
          <w:p>
            <w:pPr>
              <w:spacing w:after="0"/>
              <w:rPr>
                <w:sz w:val="16"/>
                <w:szCs w:val="16"/>
                <w:color w:val="auto"/>
              </w:rPr>
            </w:pPr>
          </w:p>
        </w:tc>
        <w:tc>
          <w:tcPr>
            <w:tcW w:w="220" w:type="dxa"/>
            <w:vAlign w:val="bottom"/>
            <w:shd w:val="clear" w:color="auto" w:fill="ACACAC"/>
          </w:tcPr>
          <w:p>
            <w:pPr>
              <w:spacing w:after="0"/>
              <w:rPr>
                <w:sz w:val="16"/>
                <w:szCs w:val="16"/>
                <w:color w:val="auto"/>
              </w:rPr>
            </w:pPr>
          </w:p>
        </w:tc>
        <w:tc>
          <w:tcPr>
            <w:tcW w:w="240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6"/>
                <w:szCs w:val="16"/>
                <w:color w:val="auto"/>
              </w:rPr>
            </w:pPr>
          </w:p>
        </w:tc>
        <w:tc>
          <w:tcPr>
            <w:tcW w:w="220" w:type="dxa"/>
            <w:vAlign w:val="bottom"/>
            <w:shd w:val="clear" w:color="auto" w:fill="ACACAC"/>
          </w:tcPr>
          <w:p>
            <w:pPr>
              <w:spacing w:after="0"/>
              <w:rPr>
                <w:sz w:val="16"/>
                <w:szCs w:val="16"/>
                <w:color w:val="auto"/>
              </w:rPr>
            </w:pPr>
          </w:p>
        </w:tc>
        <w:tc>
          <w:tcPr>
            <w:tcW w:w="1100" w:type="dxa"/>
            <w:vAlign w:val="bottom"/>
            <w:shd w:val="clear" w:color="auto" w:fill="ACACAC"/>
          </w:tcPr>
          <w:p>
            <w:pPr>
              <w:spacing w:after="0"/>
              <w:rPr>
                <w:sz w:val="16"/>
                <w:szCs w:val="16"/>
                <w:color w:val="auto"/>
              </w:rPr>
            </w:pPr>
          </w:p>
        </w:tc>
        <w:tc>
          <w:tcPr>
            <w:tcW w:w="130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Six months ended</w:t>
            </w:r>
          </w:p>
        </w:tc>
        <w:tc>
          <w:tcPr>
            <w:tcW w:w="20" w:type="dxa"/>
            <w:vAlign w:val="bottom"/>
            <w:shd w:val="clear" w:color="auto" w:fill="ACACAC"/>
          </w:tcPr>
          <w:p>
            <w:pPr>
              <w:spacing w:after="0"/>
              <w:rPr>
                <w:sz w:val="16"/>
                <w:szCs w:val="16"/>
                <w:color w:val="auto"/>
              </w:rPr>
            </w:pPr>
          </w:p>
        </w:tc>
      </w:tr>
      <w:tr>
        <w:trPr>
          <w:trHeight w:val="190"/>
        </w:trPr>
        <w:tc>
          <w:tcPr>
            <w:tcW w:w="1580" w:type="dxa"/>
            <w:vAlign w:val="bottom"/>
            <w:shd w:val="clear" w:color="auto" w:fill="ACACAC"/>
          </w:tcPr>
          <w:p>
            <w:pPr>
              <w:spacing w:after="0"/>
              <w:rPr>
                <w:sz w:val="16"/>
                <w:szCs w:val="16"/>
                <w:color w:val="auto"/>
              </w:rPr>
            </w:pPr>
          </w:p>
        </w:tc>
        <w:tc>
          <w:tcPr>
            <w:tcW w:w="4320" w:type="dxa"/>
            <w:vAlign w:val="bottom"/>
            <w:shd w:val="clear" w:color="auto" w:fill="ACACAC"/>
          </w:tcPr>
          <w:p>
            <w:pPr>
              <w:spacing w:after="0"/>
              <w:rPr>
                <w:sz w:val="16"/>
                <w:szCs w:val="16"/>
                <w:color w:val="auto"/>
              </w:rPr>
            </w:pPr>
          </w:p>
        </w:tc>
        <w:tc>
          <w:tcPr>
            <w:tcW w:w="220" w:type="dxa"/>
            <w:vAlign w:val="bottom"/>
            <w:shd w:val="clear" w:color="auto" w:fill="ACACAC"/>
          </w:tcPr>
          <w:p>
            <w:pPr>
              <w:spacing w:after="0"/>
              <w:rPr>
                <w:sz w:val="16"/>
                <w:szCs w:val="16"/>
                <w:color w:val="auto"/>
              </w:rPr>
            </w:pPr>
          </w:p>
        </w:tc>
        <w:tc>
          <w:tcPr>
            <w:tcW w:w="1080" w:type="dxa"/>
            <w:vAlign w:val="bottom"/>
            <w:shd w:val="clear" w:color="auto" w:fill="ACACAC"/>
          </w:tcPr>
          <w:p>
            <w:pPr>
              <w:spacing w:after="0"/>
              <w:rPr>
                <w:sz w:val="16"/>
                <w:szCs w:val="16"/>
                <w:color w:val="auto"/>
              </w:rPr>
            </w:pPr>
          </w:p>
        </w:tc>
        <w:tc>
          <w:tcPr>
            <w:tcW w:w="220" w:type="dxa"/>
            <w:vAlign w:val="bottom"/>
            <w:shd w:val="clear" w:color="auto" w:fill="ACACAC"/>
          </w:tcPr>
          <w:p>
            <w:pPr>
              <w:spacing w:after="0"/>
              <w:rPr>
                <w:sz w:val="16"/>
                <w:szCs w:val="16"/>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100" w:type="dxa"/>
            <w:vAlign w:val="bottom"/>
          </w:tcPr>
          <w:p>
            <w:pPr>
              <w:spacing w:after="0"/>
              <w:rPr>
                <w:sz w:val="16"/>
                <w:szCs w:val="16"/>
                <w:color w:val="auto"/>
              </w:rPr>
            </w:pPr>
          </w:p>
        </w:tc>
        <w:tc>
          <w:tcPr>
            <w:tcW w:w="220" w:type="dxa"/>
            <w:vAlign w:val="bottom"/>
            <w:shd w:val="clear" w:color="auto" w:fill="ACACAC"/>
          </w:tcPr>
          <w:p>
            <w:pPr>
              <w:spacing w:after="0"/>
              <w:rPr>
                <w:sz w:val="16"/>
                <w:szCs w:val="16"/>
                <w:color w:val="auto"/>
              </w:rPr>
            </w:pPr>
          </w:p>
        </w:tc>
        <w:tc>
          <w:tcPr>
            <w:tcW w:w="1100" w:type="dxa"/>
            <w:vAlign w:val="bottom"/>
            <w:shd w:val="clear" w:color="auto" w:fill="ACACAC"/>
          </w:tcPr>
          <w:p>
            <w:pPr>
              <w:spacing w:after="0"/>
              <w:rPr>
                <w:sz w:val="16"/>
                <w:szCs w:val="16"/>
                <w:color w:val="auto"/>
              </w:rPr>
            </w:pPr>
          </w:p>
        </w:tc>
        <w:tc>
          <w:tcPr>
            <w:tcW w:w="220" w:type="dxa"/>
            <w:vAlign w:val="bottom"/>
            <w:shd w:val="clear" w:color="auto" w:fill="ACACAC"/>
          </w:tcPr>
          <w:p>
            <w:pPr>
              <w:spacing w:after="0"/>
              <w:rPr>
                <w:sz w:val="16"/>
                <w:szCs w:val="16"/>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20" w:type="dxa"/>
            <w:vAlign w:val="bottom"/>
            <w:shd w:val="clear" w:color="auto" w:fill="ACACAC"/>
          </w:tcPr>
          <w:p>
            <w:pPr>
              <w:spacing w:after="0"/>
              <w:rPr>
                <w:sz w:val="16"/>
                <w:szCs w:val="16"/>
                <w:color w:val="auto"/>
              </w:rPr>
            </w:pPr>
          </w:p>
        </w:tc>
      </w:tr>
      <w:tr>
        <w:trPr>
          <w:trHeight w:val="236"/>
        </w:trPr>
        <w:tc>
          <w:tcPr>
            <w:tcW w:w="5900" w:type="dxa"/>
            <w:vAlign w:val="bottom"/>
            <w:tcBorders>
              <w:bottom w:val="single" w:sz="8" w:color="ACACAC"/>
            </w:tcBorders>
            <w:gridSpan w:val="2"/>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220" w:type="dxa"/>
            <w:vAlign w:val="bottom"/>
            <w:tcBorders>
              <w:bottom w:val="single" w:sz="8" w:color="ACACAC"/>
            </w:tcBorders>
            <w:shd w:val="clear" w:color="auto" w:fill="ACACAC"/>
          </w:tcPr>
          <w:p>
            <w:pPr>
              <w:spacing w:after="0"/>
              <w:rPr>
                <w:sz w:val="20"/>
                <w:szCs w:val="20"/>
                <w:color w:val="auto"/>
              </w:rPr>
            </w:pPr>
          </w:p>
        </w:tc>
        <w:tc>
          <w:tcPr>
            <w:tcW w:w="10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220" w:type="dxa"/>
            <w:vAlign w:val="bottom"/>
            <w:tcBorders>
              <w:bottom w:val="single" w:sz="8" w:color="ACACAC"/>
            </w:tcBorders>
            <w:shd w:val="clear" w:color="auto" w:fill="ACACAC"/>
          </w:tcPr>
          <w:p>
            <w:pPr>
              <w:spacing w:after="0"/>
              <w:rPr>
                <w:sz w:val="20"/>
                <w:szCs w:val="20"/>
                <w:color w:val="auto"/>
              </w:rPr>
            </w:pPr>
          </w:p>
        </w:tc>
        <w:tc>
          <w:tcPr>
            <w:tcW w:w="11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00" w:type="dxa"/>
            <w:vAlign w:val="bottom"/>
            <w:tcBorders>
              <w:bottom w:val="single" w:sz="8" w:color="F4F4F4"/>
            </w:tcBorders>
          </w:tcPr>
          <w:p>
            <w:pPr>
              <w:spacing w:after="0"/>
              <w:rPr>
                <w:sz w:val="20"/>
                <w:szCs w:val="20"/>
                <w:color w:val="auto"/>
              </w:rPr>
            </w:pPr>
          </w:p>
        </w:tc>
        <w:tc>
          <w:tcPr>
            <w:tcW w:w="220" w:type="dxa"/>
            <w:vAlign w:val="bottom"/>
            <w:tcBorders>
              <w:bottom w:val="single" w:sz="8" w:color="ACACAC"/>
            </w:tcBorders>
            <w:shd w:val="clear" w:color="auto" w:fill="ACACAC"/>
          </w:tcPr>
          <w:p>
            <w:pPr>
              <w:spacing w:after="0"/>
              <w:rPr>
                <w:sz w:val="20"/>
                <w:szCs w:val="20"/>
                <w:color w:val="auto"/>
              </w:rPr>
            </w:pPr>
          </w:p>
        </w:tc>
        <w:tc>
          <w:tcPr>
            <w:tcW w:w="11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220" w:type="dxa"/>
            <w:vAlign w:val="bottom"/>
            <w:tcBorders>
              <w:bottom w:val="single" w:sz="8" w:color="ACACAC"/>
            </w:tcBorders>
            <w:shd w:val="clear" w:color="auto" w:fill="ACACAC"/>
          </w:tcPr>
          <w:p>
            <w:pPr>
              <w:spacing w:after="0"/>
              <w:rPr>
                <w:sz w:val="20"/>
                <w:szCs w:val="20"/>
                <w:color w:val="auto"/>
              </w:rPr>
            </w:pPr>
          </w:p>
        </w:tc>
        <w:tc>
          <w:tcPr>
            <w:tcW w:w="10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49"/>
        </w:trPr>
        <w:tc>
          <w:tcPr>
            <w:tcW w:w="15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Numerator:</w:t>
            </w:r>
          </w:p>
        </w:tc>
        <w:tc>
          <w:tcPr>
            <w:tcW w:w="432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1580" w:type="dxa"/>
            <w:vAlign w:val="bottom"/>
          </w:tcPr>
          <w:p>
            <w:pPr>
              <w:ind w:left="140"/>
              <w:spacing w:after="0"/>
              <w:rPr>
                <w:sz w:val="20"/>
                <w:szCs w:val="20"/>
                <w:color w:val="auto"/>
              </w:rPr>
            </w:pPr>
            <w:r>
              <w:rPr>
                <w:rFonts w:ascii="Arial" w:cs="Arial" w:eastAsia="Arial" w:hAnsi="Arial"/>
                <w:sz w:val="18"/>
                <w:szCs w:val="18"/>
                <w:color w:val="auto"/>
              </w:rPr>
              <w:t>Net (loss) income</w:t>
            </w:r>
          </w:p>
        </w:tc>
        <w:tc>
          <w:tcPr>
            <w:tcW w:w="43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(3,422)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6,731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(13,829)</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6,567</w:t>
            </w:r>
          </w:p>
        </w:tc>
        <w:tc>
          <w:tcPr>
            <w:tcW w:w="20" w:type="dxa"/>
            <w:vAlign w:val="bottom"/>
          </w:tcPr>
          <w:p>
            <w:pPr>
              <w:spacing w:after="0"/>
              <w:rPr>
                <w:sz w:val="21"/>
                <w:szCs w:val="21"/>
                <w:color w:val="auto"/>
              </w:rPr>
            </w:pPr>
          </w:p>
        </w:tc>
      </w:tr>
      <w:tr>
        <w:trPr>
          <w:trHeight w:val="27"/>
        </w:trPr>
        <w:tc>
          <w:tcPr>
            <w:tcW w:w="15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5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Denominator:</w:t>
            </w:r>
          </w:p>
        </w:tc>
        <w:tc>
          <w:tcPr>
            <w:tcW w:w="432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900" w:type="dxa"/>
            <w:vAlign w:val="bottom"/>
            <w:gridSpan w:val="2"/>
          </w:tcPr>
          <w:p>
            <w:pPr>
              <w:ind w:left="140"/>
              <w:spacing w:after="0"/>
              <w:rPr>
                <w:sz w:val="20"/>
                <w:szCs w:val="20"/>
                <w:color w:val="auto"/>
              </w:rPr>
            </w:pPr>
            <w:r>
              <w:rPr>
                <w:rFonts w:ascii="Arial" w:cs="Arial" w:eastAsia="Arial" w:hAnsi="Arial"/>
                <w:sz w:val="18"/>
                <w:szCs w:val="18"/>
                <w:color w:val="auto"/>
              </w:rPr>
              <w:t>Weighted average common shares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51,660,739</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47,756,326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51,431,501</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47,560,847</w:t>
            </w:r>
          </w:p>
        </w:tc>
        <w:tc>
          <w:tcPr>
            <w:tcW w:w="20" w:type="dxa"/>
            <w:vAlign w:val="bottom"/>
          </w:tcPr>
          <w:p>
            <w:pPr>
              <w:spacing w:after="0"/>
              <w:rPr>
                <w:sz w:val="21"/>
                <w:szCs w:val="21"/>
                <w:color w:val="auto"/>
              </w:rPr>
            </w:pPr>
          </w:p>
        </w:tc>
      </w:tr>
      <w:tr>
        <w:trPr>
          <w:trHeight w:val="27"/>
        </w:trPr>
        <w:tc>
          <w:tcPr>
            <w:tcW w:w="5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900" w:type="dxa"/>
            <w:vAlign w:val="bottom"/>
            <w:tcBorders>
              <w:bottom w:val="single" w:sz="8" w:color="F4F4F4"/>
            </w:tcBorders>
            <w:gridSpan w:val="2"/>
            <w:shd w:val="clear" w:color="auto" w:fill="F4F4F4"/>
          </w:tcPr>
          <w:p>
            <w:pPr>
              <w:ind w:left="140"/>
              <w:spacing w:after="0"/>
              <w:rPr>
                <w:sz w:val="20"/>
                <w:szCs w:val="20"/>
                <w:color w:val="auto"/>
              </w:rPr>
            </w:pPr>
            <w:r>
              <w:rPr>
                <w:rFonts w:ascii="Arial" w:cs="Arial" w:eastAsia="Arial" w:hAnsi="Arial"/>
                <w:sz w:val="18"/>
                <w:szCs w:val="18"/>
                <w:color w:val="auto"/>
              </w:rPr>
              <w:t>Add effect of dilutive securities:</w:t>
            </w:r>
          </w:p>
        </w:tc>
        <w:tc>
          <w:tcPr>
            <w:tcW w:w="2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900" w:type="dxa"/>
            <w:vAlign w:val="bottom"/>
            <w:gridSpan w:val="2"/>
          </w:tcPr>
          <w:p>
            <w:pPr>
              <w:ind w:left="360"/>
              <w:spacing w:after="0"/>
              <w:rPr>
                <w:sz w:val="20"/>
                <w:szCs w:val="20"/>
                <w:color w:val="auto"/>
              </w:rPr>
            </w:pPr>
            <w:r>
              <w:rPr>
                <w:rFonts w:ascii="Arial" w:cs="Arial" w:eastAsia="Arial" w:hAnsi="Arial"/>
                <w:sz w:val="18"/>
                <w:szCs w:val="18"/>
                <w:color w:val="auto"/>
              </w:rPr>
              <w:t>Stock-based awards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688,548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883,811</w:t>
            </w:r>
          </w:p>
        </w:tc>
        <w:tc>
          <w:tcPr>
            <w:tcW w:w="20" w:type="dxa"/>
            <w:vAlign w:val="bottom"/>
          </w:tcPr>
          <w:p>
            <w:pPr>
              <w:spacing w:after="0"/>
              <w:rPr>
                <w:sz w:val="21"/>
                <w:szCs w:val="21"/>
                <w:color w:val="auto"/>
              </w:rPr>
            </w:pPr>
          </w:p>
        </w:tc>
      </w:tr>
      <w:tr>
        <w:trPr>
          <w:trHeight w:val="27"/>
        </w:trPr>
        <w:tc>
          <w:tcPr>
            <w:tcW w:w="5900" w:type="dxa"/>
            <w:vAlign w:val="bottom"/>
            <w:tcBorders>
              <w:bottom w:val="single" w:sz="8" w:color="F4F4F4"/>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5900" w:type="dxa"/>
            <w:vAlign w:val="bottom"/>
            <w:tcBorders>
              <w:bottom w:val="single" w:sz="8" w:color="F4F4F4"/>
            </w:tcBorders>
            <w:gridSpan w:val="2"/>
            <w:shd w:val="clear" w:color="auto" w:fill="F4F4F4"/>
          </w:tcPr>
          <w:p>
            <w:pPr>
              <w:ind w:left="140"/>
              <w:spacing w:after="0"/>
              <w:rPr>
                <w:sz w:val="20"/>
                <w:szCs w:val="20"/>
                <w:color w:val="auto"/>
              </w:rPr>
            </w:pPr>
            <w:r>
              <w:rPr>
                <w:rFonts w:ascii="Arial" w:cs="Arial" w:eastAsia="Arial" w:hAnsi="Arial"/>
                <w:sz w:val="18"/>
                <w:szCs w:val="18"/>
                <w:color w:val="auto"/>
              </w:rPr>
              <w:t>Weighted average common shares assuming dilution</w:t>
            </w:r>
          </w:p>
        </w:tc>
        <w:tc>
          <w:tcPr>
            <w:tcW w:w="220" w:type="dxa"/>
            <w:vAlign w:val="bottom"/>
            <w:tcBorders>
              <w:bottom w:val="single" w:sz="8" w:color="F4F4F4"/>
            </w:tcBorders>
            <w:shd w:val="clear" w:color="auto" w:fill="F4F4F4"/>
          </w:tcPr>
          <w:p>
            <w:pPr>
              <w:spacing w:after="0"/>
              <w:rPr>
                <w:sz w:val="22"/>
                <w:szCs w:val="22"/>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51,660,739</w:t>
            </w:r>
          </w:p>
        </w:tc>
        <w:tc>
          <w:tcPr>
            <w:tcW w:w="220" w:type="dxa"/>
            <w:vAlign w:val="bottom"/>
            <w:tcBorders>
              <w:bottom w:val="single" w:sz="8" w:color="F4F4F4"/>
            </w:tcBorders>
            <w:shd w:val="clear" w:color="auto" w:fill="F4F4F4"/>
          </w:tcPr>
          <w:p>
            <w:pPr>
              <w:spacing w:after="0"/>
              <w:rPr>
                <w:sz w:val="22"/>
                <w:szCs w:val="22"/>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48,444,874</w:t>
            </w:r>
          </w:p>
        </w:tc>
        <w:tc>
          <w:tcPr>
            <w:tcW w:w="100" w:type="dxa"/>
            <w:vAlign w:val="bottom"/>
            <w:tcBorders>
              <w:bottom w:val="single" w:sz="8" w:color="F4F4F4"/>
            </w:tcBorders>
            <w:shd w:val="clear" w:color="auto" w:fill="F4F4F4"/>
          </w:tcPr>
          <w:p>
            <w:pPr>
              <w:spacing w:after="0"/>
              <w:rPr>
                <w:sz w:val="22"/>
                <w:szCs w:val="22"/>
                <w:color w:val="auto"/>
              </w:rPr>
            </w:pPr>
          </w:p>
        </w:tc>
        <w:tc>
          <w:tcPr>
            <w:tcW w:w="220" w:type="dxa"/>
            <w:vAlign w:val="bottom"/>
            <w:tcBorders>
              <w:bottom w:val="single" w:sz="8" w:color="F4F4F4"/>
            </w:tcBorders>
            <w:shd w:val="clear" w:color="auto" w:fill="F4F4F4"/>
          </w:tcPr>
          <w:p>
            <w:pPr>
              <w:spacing w:after="0"/>
              <w:rPr>
                <w:sz w:val="22"/>
                <w:szCs w:val="22"/>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51,431,501</w:t>
            </w:r>
          </w:p>
        </w:tc>
        <w:tc>
          <w:tcPr>
            <w:tcW w:w="220" w:type="dxa"/>
            <w:vAlign w:val="bottom"/>
            <w:tcBorders>
              <w:bottom w:val="single" w:sz="8" w:color="F4F4F4"/>
            </w:tcBorders>
            <w:shd w:val="clear" w:color="auto" w:fill="F4F4F4"/>
          </w:tcPr>
          <w:p>
            <w:pPr>
              <w:spacing w:after="0"/>
              <w:rPr>
                <w:sz w:val="22"/>
                <w:szCs w:val="22"/>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48,444,658</w:t>
            </w:r>
          </w:p>
        </w:tc>
        <w:tc>
          <w:tcPr>
            <w:tcW w:w="20" w:type="dxa"/>
            <w:vAlign w:val="bottom"/>
          </w:tcPr>
          <w:p>
            <w:pPr>
              <w:spacing w:after="0"/>
              <w:rPr>
                <w:sz w:val="22"/>
                <w:szCs w:val="22"/>
                <w:color w:val="auto"/>
              </w:rPr>
            </w:pPr>
          </w:p>
        </w:tc>
      </w:tr>
      <w:tr>
        <w:trPr>
          <w:trHeight w:val="223"/>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(Loss) earnings per share:</w:t>
            </w: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15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58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Basic</w:t>
            </w:r>
          </w:p>
        </w:tc>
        <w:tc>
          <w:tcPr>
            <w:tcW w:w="432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(0.07)</w:t>
            </w:r>
          </w:p>
        </w:tc>
        <w:tc>
          <w:tcPr>
            <w:tcW w:w="220" w:type="dxa"/>
            <w:vAlign w:val="bottom"/>
            <w:tcBorders>
              <w:bottom w:val="single" w:sz="8" w:color="F4F4F4"/>
            </w:tcBorders>
            <w:shd w:val="clear" w:color="auto" w:fill="F4F4F4"/>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0.14</w:t>
            </w:r>
          </w:p>
        </w:tc>
        <w:tc>
          <w:tcPr>
            <w:tcW w:w="320" w:type="dxa"/>
            <w:vAlign w:val="bottom"/>
            <w:tcBorders>
              <w:bottom w:val="single" w:sz="8" w:color="F4F4F4"/>
            </w:tcBorders>
            <w:gridSpan w:val="2"/>
            <w:shd w:val="clear" w:color="auto" w:fill="F4F4F4"/>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(0.27)</w:t>
            </w:r>
          </w:p>
        </w:tc>
        <w:tc>
          <w:tcPr>
            <w:tcW w:w="220" w:type="dxa"/>
            <w:vAlign w:val="bottom"/>
            <w:tcBorders>
              <w:bottom w:val="single" w:sz="8" w:color="F4F4F4"/>
            </w:tcBorders>
            <w:shd w:val="clear" w:color="auto" w:fill="F4F4F4"/>
          </w:tcPr>
          <w:p>
            <w:pPr>
              <w:jc w:val="right"/>
              <w:ind w:right="35"/>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21"/>
                <w:szCs w:val="21"/>
                <w:color w:val="auto"/>
              </w:rPr>
            </w:pPr>
          </w:p>
        </w:tc>
      </w:tr>
      <w:tr>
        <w:trPr>
          <w:trHeight w:val="243"/>
        </w:trPr>
        <w:tc>
          <w:tcPr>
            <w:tcW w:w="1580" w:type="dxa"/>
            <w:vAlign w:val="bottom"/>
          </w:tcPr>
          <w:p>
            <w:pPr>
              <w:ind w:left="140"/>
              <w:spacing w:after="0"/>
              <w:rPr>
                <w:sz w:val="20"/>
                <w:szCs w:val="20"/>
                <w:color w:val="auto"/>
              </w:rPr>
            </w:pPr>
            <w:r>
              <w:rPr>
                <w:rFonts w:ascii="Arial" w:cs="Arial" w:eastAsia="Arial" w:hAnsi="Arial"/>
                <w:sz w:val="18"/>
                <w:szCs w:val="18"/>
                <w:color w:val="auto"/>
              </w:rPr>
              <w:t>Diluted</w:t>
            </w:r>
          </w:p>
        </w:tc>
        <w:tc>
          <w:tcPr>
            <w:tcW w:w="43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(0.07)</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(0.27)</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21"/>
                <w:szCs w:val="21"/>
                <w:color w:val="auto"/>
              </w:rPr>
            </w:pPr>
          </w:p>
        </w:tc>
      </w:tr>
      <w:tr>
        <w:trPr>
          <w:trHeight w:val="27"/>
        </w:trPr>
        <w:tc>
          <w:tcPr>
            <w:tcW w:w="5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900" w:type="dxa"/>
            <w:vAlign w:val="bottom"/>
            <w:gridSpan w:val="2"/>
            <w:shd w:val="clear" w:color="auto" w:fill="F4F4F4"/>
          </w:tcPr>
          <w:p>
            <w:pPr>
              <w:spacing w:after="0"/>
              <w:rPr>
                <w:sz w:val="23"/>
                <w:szCs w:val="23"/>
                <w:color w:val="auto"/>
              </w:rPr>
            </w:pPr>
          </w:p>
        </w:tc>
        <w:tc>
          <w:tcPr>
            <w:tcW w:w="220" w:type="dxa"/>
            <w:vAlign w:val="bottom"/>
            <w:shd w:val="clear" w:color="auto" w:fill="F4F4F4"/>
          </w:tcPr>
          <w:p>
            <w:pPr>
              <w:spacing w:after="0"/>
              <w:rPr>
                <w:sz w:val="23"/>
                <w:szCs w:val="23"/>
                <w:color w:val="auto"/>
              </w:rPr>
            </w:pPr>
          </w:p>
        </w:tc>
        <w:tc>
          <w:tcPr>
            <w:tcW w:w="1080" w:type="dxa"/>
            <w:vAlign w:val="bottom"/>
            <w:shd w:val="clear" w:color="auto" w:fill="F4F4F4"/>
          </w:tcPr>
          <w:p>
            <w:pPr>
              <w:spacing w:after="0"/>
              <w:rPr>
                <w:sz w:val="23"/>
                <w:szCs w:val="23"/>
                <w:color w:val="auto"/>
              </w:rPr>
            </w:pPr>
          </w:p>
        </w:tc>
        <w:tc>
          <w:tcPr>
            <w:tcW w:w="220" w:type="dxa"/>
            <w:vAlign w:val="bottom"/>
            <w:shd w:val="clear" w:color="auto" w:fill="F4F4F4"/>
          </w:tcPr>
          <w:p>
            <w:pPr>
              <w:spacing w:after="0"/>
              <w:rPr>
                <w:sz w:val="23"/>
                <w:szCs w:val="23"/>
                <w:color w:val="auto"/>
              </w:rPr>
            </w:pPr>
          </w:p>
        </w:tc>
        <w:tc>
          <w:tcPr>
            <w:tcW w:w="1100" w:type="dxa"/>
            <w:vAlign w:val="bottom"/>
            <w:shd w:val="clear" w:color="auto" w:fill="F4F4F4"/>
          </w:tcPr>
          <w:p>
            <w:pPr>
              <w:spacing w:after="0"/>
              <w:rPr>
                <w:sz w:val="23"/>
                <w:szCs w:val="23"/>
                <w:color w:val="auto"/>
              </w:rPr>
            </w:pPr>
          </w:p>
        </w:tc>
        <w:tc>
          <w:tcPr>
            <w:tcW w:w="100" w:type="dxa"/>
            <w:vAlign w:val="bottom"/>
            <w:shd w:val="clear" w:color="auto" w:fill="F4F4F4"/>
          </w:tcPr>
          <w:p>
            <w:pPr>
              <w:spacing w:after="0"/>
              <w:rPr>
                <w:sz w:val="23"/>
                <w:szCs w:val="23"/>
                <w:color w:val="auto"/>
              </w:rPr>
            </w:pPr>
          </w:p>
        </w:tc>
        <w:tc>
          <w:tcPr>
            <w:tcW w:w="220" w:type="dxa"/>
            <w:vAlign w:val="bottom"/>
            <w:shd w:val="clear" w:color="auto" w:fill="F4F4F4"/>
          </w:tcPr>
          <w:p>
            <w:pPr>
              <w:spacing w:after="0"/>
              <w:rPr>
                <w:sz w:val="23"/>
                <w:szCs w:val="23"/>
                <w:color w:val="auto"/>
              </w:rPr>
            </w:pPr>
          </w:p>
        </w:tc>
        <w:tc>
          <w:tcPr>
            <w:tcW w:w="1100" w:type="dxa"/>
            <w:vAlign w:val="bottom"/>
            <w:shd w:val="clear" w:color="auto" w:fill="F4F4F4"/>
          </w:tcPr>
          <w:p>
            <w:pPr>
              <w:spacing w:after="0"/>
              <w:rPr>
                <w:sz w:val="23"/>
                <w:szCs w:val="23"/>
                <w:color w:val="auto"/>
              </w:rPr>
            </w:pPr>
          </w:p>
        </w:tc>
        <w:tc>
          <w:tcPr>
            <w:tcW w:w="220" w:type="dxa"/>
            <w:vAlign w:val="bottom"/>
            <w:shd w:val="clear" w:color="auto" w:fill="F4F4F4"/>
          </w:tcPr>
          <w:p>
            <w:pPr>
              <w:spacing w:after="0"/>
              <w:rPr>
                <w:sz w:val="23"/>
                <w:szCs w:val="23"/>
                <w:color w:val="auto"/>
              </w:rPr>
            </w:pPr>
          </w:p>
        </w:tc>
        <w:tc>
          <w:tcPr>
            <w:tcW w:w="1080" w:type="dxa"/>
            <w:vAlign w:val="bottom"/>
            <w:shd w:val="clear" w:color="auto" w:fill="F4F4F4"/>
          </w:tcPr>
          <w:p>
            <w:pPr>
              <w:spacing w:after="0"/>
              <w:rPr>
                <w:sz w:val="23"/>
                <w:szCs w:val="23"/>
                <w:color w:val="auto"/>
              </w:rPr>
            </w:pPr>
          </w:p>
        </w:tc>
        <w:tc>
          <w:tcPr>
            <w:tcW w:w="20" w:type="dxa"/>
            <w:vAlign w:val="bottom"/>
          </w:tcPr>
          <w:p>
            <w:pPr>
              <w:spacing w:after="0"/>
              <w:rPr>
                <w:sz w:val="23"/>
                <w:szCs w:val="23"/>
                <w:color w:val="auto"/>
              </w:rPr>
            </w:pPr>
          </w:p>
        </w:tc>
      </w:tr>
      <w:tr>
        <w:trPr>
          <w:trHeight w:val="242"/>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Anti-dilutive shares excluded from calculations of diluted (loss) earnings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7"/>
        </w:trPr>
        <w:tc>
          <w:tcPr>
            <w:tcW w:w="1580" w:type="dxa"/>
            <w:vAlign w:val="bottom"/>
          </w:tcPr>
          <w:p>
            <w:pPr>
              <w:ind w:left="20"/>
              <w:spacing w:after="0"/>
              <w:rPr>
                <w:sz w:val="20"/>
                <w:szCs w:val="20"/>
                <w:color w:val="auto"/>
              </w:rPr>
            </w:pPr>
            <w:r>
              <w:rPr>
                <w:rFonts w:ascii="Arial" w:cs="Arial" w:eastAsia="Arial" w:hAnsi="Arial"/>
                <w:sz w:val="18"/>
                <w:szCs w:val="18"/>
                <w:color w:val="auto"/>
              </w:rPr>
              <w:t>per share</w:t>
            </w:r>
          </w:p>
        </w:tc>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1,167,368</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907,210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2,090,267</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1,032,655</w:t>
            </w:r>
          </w:p>
        </w:tc>
        <w:tc>
          <w:tcPr>
            <w:tcW w:w="20" w:type="dxa"/>
            <w:vAlign w:val="bottom"/>
          </w:tcPr>
          <w:p>
            <w:pPr>
              <w:spacing w:after="0"/>
              <w:rPr>
                <w:sz w:val="18"/>
                <w:szCs w:val="18"/>
                <w:color w:val="auto"/>
              </w:rPr>
            </w:pPr>
          </w:p>
        </w:tc>
      </w:tr>
      <w:tr>
        <w:trPr>
          <w:trHeight w:val="27"/>
        </w:trPr>
        <w:tc>
          <w:tcPr>
            <w:tcW w:w="1580" w:type="dxa"/>
            <w:vAlign w:val="bottom"/>
            <w:tcBorders>
              <w:bottom w:val="single" w:sz="8" w:color="71BF43"/>
            </w:tcBorders>
          </w:tcPr>
          <w:p>
            <w:pPr>
              <w:spacing w:after="0"/>
              <w:rPr>
                <w:sz w:val="2"/>
                <w:szCs w:val="2"/>
                <w:color w:val="auto"/>
              </w:rPr>
            </w:pPr>
          </w:p>
        </w:tc>
        <w:tc>
          <w:tcPr>
            <w:tcW w:w="4320" w:type="dxa"/>
            <w:vAlign w:val="bottom"/>
            <w:tcBorders>
              <w:bottom w:val="single" w:sz="8" w:color="71BF43"/>
            </w:tcBorders>
          </w:tcPr>
          <w:p>
            <w:pPr>
              <w:spacing w:after="0"/>
              <w:rPr>
                <w:sz w:val="2"/>
                <w:szCs w:val="2"/>
                <w:color w:val="auto"/>
              </w:rPr>
            </w:pPr>
          </w:p>
        </w:tc>
        <w:tc>
          <w:tcPr>
            <w:tcW w:w="220" w:type="dxa"/>
            <w:vAlign w:val="bottom"/>
            <w:tcBorders>
              <w:bottom w:val="single" w:sz="8" w:color="71BF43"/>
            </w:tcBorders>
          </w:tcPr>
          <w:p>
            <w:pPr>
              <w:spacing w:after="0"/>
              <w:rPr>
                <w:sz w:val="2"/>
                <w:szCs w:val="2"/>
                <w:color w:val="auto"/>
              </w:rPr>
            </w:pPr>
          </w:p>
        </w:tc>
        <w:tc>
          <w:tcPr>
            <w:tcW w:w="1080" w:type="dxa"/>
            <w:vAlign w:val="bottom"/>
            <w:tcBorders>
              <w:bottom w:val="single" w:sz="8" w:color="71BF43"/>
            </w:tcBorders>
          </w:tcPr>
          <w:p>
            <w:pPr>
              <w:spacing w:after="0"/>
              <w:rPr>
                <w:sz w:val="2"/>
                <w:szCs w:val="2"/>
                <w:color w:val="auto"/>
              </w:rPr>
            </w:pPr>
          </w:p>
        </w:tc>
        <w:tc>
          <w:tcPr>
            <w:tcW w:w="220" w:type="dxa"/>
            <w:vAlign w:val="bottom"/>
            <w:tcBorders>
              <w:bottom w:val="single" w:sz="8" w:color="71BF43"/>
            </w:tcBorders>
          </w:tcPr>
          <w:p>
            <w:pPr>
              <w:spacing w:after="0"/>
              <w:rPr>
                <w:sz w:val="2"/>
                <w:szCs w:val="2"/>
                <w:color w:val="auto"/>
              </w:rPr>
            </w:pPr>
          </w:p>
        </w:tc>
        <w:tc>
          <w:tcPr>
            <w:tcW w:w="1100" w:type="dxa"/>
            <w:vAlign w:val="bottom"/>
            <w:tcBorders>
              <w:bottom w:val="single" w:sz="8" w:color="71BF43"/>
            </w:tcBorders>
          </w:tcPr>
          <w:p>
            <w:pPr>
              <w:spacing w:after="0"/>
              <w:rPr>
                <w:sz w:val="2"/>
                <w:szCs w:val="2"/>
                <w:color w:val="auto"/>
              </w:rPr>
            </w:pPr>
          </w:p>
        </w:tc>
        <w:tc>
          <w:tcPr>
            <w:tcW w:w="100" w:type="dxa"/>
            <w:vAlign w:val="bottom"/>
            <w:tcBorders>
              <w:bottom w:val="single" w:sz="8" w:color="71BF43"/>
            </w:tcBorders>
          </w:tcPr>
          <w:p>
            <w:pPr>
              <w:spacing w:after="0"/>
              <w:rPr>
                <w:sz w:val="2"/>
                <w:szCs w:val="2"/>
                <w:color w:val="auto"/>
              </w:rPr>
            </w:pPr>
          </w:p>
        </w:tc>
        <w:tc>
          <w:tcPr>
            <w:tcW w:w="220" w:type="dxa"/>
            <w:vAlign w:val="bottom"/>
            <w:tcBorders>
              <w:bottom w:val="single" w:sz="8" w:color="71BF43"/>
            </w:tcBorders>
          </w:tcPr>
          <w:p>
            <w:pPr>
              <w:spacing w:after="0"/>
              <w:rPr>
                <w:sz w:val="2"/>
                <w:szCs w:val="2"/>
                <w:color w:val="auto"/>
              </w:rPr>
            </w:pPr>
          </w:p>
        </w:tc>
        <w:tc>
          <w:tcPr>
            <w:tcW w:w="1100" w:type="dxa"/>
            <w:vAlign w:val="bottom"/>
            <w:tcBorders>
              <w:bottom w:val="single" w:sz="8" w:color="71BF43"/>
            </w:tcBorders>
          </w:tcPr>
          <w:p>
            <w:pPr>
              <w:spacing w:after="0"/>
              <w:rPr>
                <w:sz w:val="2"/>
                <w:szCs w:val="2"/>
                <w:color w:val="auto"/>
              </w:rPr>
            </w:pPr>
          </w:p>
        </w:tc>
        <w:tc>
          <w:tcPr>
            <w:tcW w:w="220" w:type="dxa"/>
            <w:vAlign w:val="bottom"/>
            <w:tcBorders>
              <w:bottom w:val="single" w:sz="8" w:color="71BF43"/>
            </w:tcBorders>
          </w:tcPr>
          <w:p>
            <w:pPr>
              <w:spacing w:after="0"/>
              <w:rPr>
                <w:sz w:val="2"/>
                <w:szCs w:val="2"/>
                <w:color w:val="auto"/>
              </w:rPr>
            </w:pPr>
          </w:p>
        </w:tc>
        <w:tc>
          <w:tcPr>
            <w:tcW w:w="1080" w:type="dxa"/>
            <w:vAlign w:val="bottom"/>
            <w:tcBorders>
              <w:bottom w:val="single" w:sz="8" w:color="71BF43"/>
            </w:tcBorders>
          </w:tcPr>
          <w:p>
            <w:pPr>
              <w:spacing w:after="0"/>
              <w:rPr>
                <w:sz w:val="2"/>
                <w:szCs w:val="2"/>
                <w:color w:val="auto"/>
              </w:rPr>
            </w:pPr>
          </w:p>
        </w:tc>
        <w:tc>
          <w:tcPr>
            <w:tcW w:w="20" w:type="dxa"/>
            <w:vAlign w:val="bottom"/>
          </w:tcPr>
          <w:p>
            <w:pPr>
              <w:spacing w:after="0"/>
              <w:rPr>
                <w:sz w:val="2"/>
                <w:szCs w:val="2"/>
                <w:color w:val="auto"/>
              </w:rPr>
            </w:pPr>
          </w:p>
        </w:tc>
      </w:tr>
      <w:tr>
        <w:trPr>
          <w:trHeight w:val="684"/>
        </w:trPr>
        <w:tc>
          <w:tcPr>
            <w:tcW w:w="1580" w:type="dxa"/>
            <w:vAlign w:val="bottom"/>
          </w:tcPr>
          <w:p>
            <w:pPr>
              <w:ind w:left="20"/>
              <w:spacing w:after="0"/>
              <w:rPr>
                <w:sz w:val="20"/>
                <w:szCs w:val="20"/>
                <w:color w:val="auto"/>
              </w:rPr>
            </w:pPr>
            <w:r>
              <w:rPr>
                <w:rFonts w:ascii="Arial" w:cs="Arial" w:eastAsia="Arial" w:hAnsi="Arial"/>
                <w:sz w:val="14"/>
                <w:szCs w:val="14"/>
                <w:color w:val="auto"/>
              </w:rPr>
              <w:t>10</w:t>
            </w:r>
          </w:p>
        </w:tc>
        <w:tc>
          <w:tcPr>
            <w:tcW w:w="4320" w:type="dxa"/>
            <w:vAlign w:val="bottom"/>
          </w:tcPr>
          <w:p>
            <w:pPr>
              <w:ind w:left="60"/>
              <w:spacing w:after="0"/>
              <w:rPr>
                <w:sz w:val="20"/>
                <w:szCs w:val="20"/>
                <w:color w:val="auto"/>
              </w:rPr>
            </w:pPr>
            <w:r>
              <w:rPr>
                <w:rFonts w:ascii="Arial" w:cs="Arial" w:eastAsia="Arial" w:hAnsi="Arial"/>
                <w:sz w:val="14"/>
                <w:szCs w:val="14"/>
                <w:color w:val="auto"/>
              </w:rPr>
              <w:t>Second Quarter 2022 Form 10-Q</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9"/>
        </w:trPr>
        <w:tc>
          <w:tcPr>
            <w:tcW w:w="158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-3025140</wp:posOffset>
            </wp:positionV>
            <wp:extent cx="34029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0296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-376555</wp:posOffset>
            </wp:positionV>
            <wp:extent cx="65151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1510" cy="17145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6.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We use a three-tier fair value hierarchy to measure fair value. This hierarchy prioritizes the inputs into three broad levels as follows:</w:t>
      </w:r>
    </w:p>
    <w:p>
      <w:pPr>
        <w:spacing w:after="0" w:line="171" w:lineRule="exact"/>
        <w:rPr>
          <w:sz w:val="20"/>
          <w:szCs w:val="20"/>
          <w:color w:val="auto"/>
        </w:rPr>
      </w:pPr>
    </w:p>
    <w:p>
      <w:pPr>
        <w:ind w:left="700" w:hanging="287"/>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Quoted prices for identical assets or liabilities in active markets;</w:t>
      </w:r>
    </w:p>
    <w:p>
      <w:pPr>
        <w:spacing w:after="0" w:line="171" w:lineRule="exact"/>
        <w:rPr>
          <w:rFonts w:ascii="Arial" w:cs="Arial" w:eastAsia="Arial" w:hAnsi="Arial"/>
          <w:sz w:val="18"/>
          <w:szCs w:val="18"/>
          <w:color w:val="auto"/>
        </w:rPr>
      </w:pPr>
    </w:p>
    <w:p>
      <w:pPr>
        <w:jc w:val="both"/>
        <w:ind w:left="740" w:right="20" w:hanging="327"/>
        <w:spacing w:after="0" w:line="256" w:lineRule="auto"/>
        <w:tabs>
          <w:tab w:leader="none" w:pos="708"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Quoted prices for similar assets and liabilities in active markets, quoted prices for identical or similar assets in markets that are not active, and model-derived valuations in which all significant inputs and significant value drivers are observable in active markets; and</w:t>
      </w:r>
    </w:p>
    <w:p>
      <w:pPr>
        <w:spacing w:after="0" w:line="147" w:lineRule="exact"/>
        <w:rPr>
          <w:rFonts w:ascii="Arial" w:cs="Arial" w:eastAsia="Arial" w:hAnsi="Arial"/>
          <w:sz w:val="18"/>
          <w:szCs w:val="18"/>
          <w:color w:val="auto"/>
        </w:rPr>
      </w:pPr>
    </w:p>
    <w:p>
      <w:pPr>
        <w:ind w:left="700" w:hanging="287"/>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Valuations derived from valuation techniques in which one or more significant inputs are unobservable.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that are measured at fair value on a recurring basis consisted of the following, as of the dates indicated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920" w:type="dxa"/>
            <w:vAlign w:val="bottom"/>
            <w:shd w:val="clear" w:color="auto" w:fill="ACACAC"/>
          </w:tcPr>
          <w:p>
            <w:pPr>
              <w:spacing w:after="0"/>
              <w:rPr>
                <w:sz w:val="18"/>
                <w:szCs w:val="18"/>
                <w:color w:val="auto"/>
              </w:rPr>
            </w:pPr>
          </w:p>
        </w:tc>
        <w:tc>
          <w:tcPr>
            <w:tcW w:w="560" w:type="dxa"/>
            <w:vAlign w:val="bottom"/>
            <w:shd w:val="clear" w:color="auto" w:fill="ACACAC"/>
          </w:tcPr>
          <w:p>
            <w:pPr>
              <w:spacing w:after="0"/>
              <w:rPr>
                <w:sz w:val="18"/>
                <w:szCs w:val="18"/>
                <w:color w:val="auto"/>
              </w:rPr>
            </w:pPr>
          </w:p>
        </w:tc>
        <w:tc>
          <w:tcPr>
            <w:tcW w:w="940" w:type="dxa"/>
            <w:vAlign w:val="bottom"/>
            <w:shd w:val="clear" w:color="auto" w:fill="ACACAC"/>
          </w:tcPr>
          <w:p>
            <w:pPr>
              <w:spacing w:after="0"/>
              <w:rPr>
                <w:sz w:val="18"/>
                <w:szCs w:val="18"/>
                <w:color w:val="auto"/>
              </w:rPr>
            </w:pPr>
          </w:p>
        </w:tc>
        <w:tc>
          <w:tcPr>
            <w:tcW w:w="100" w:type="dxa"/>
            <w:vAlign w:val="bottom"/>
            <w:shd w:val="clear" w:color="auto" w:fill="ACACAC"/>
          </w:tcPr>
          <w:p>
            <w:pPr>
              <w:spacing w:after="0"/>
              <w:rPr>
                <w:sz w:val="18"/>
                <w:szCs w:val="18"/>
                <w:color w:val="auto"/>
              </w:rPr>
            </w:pPr>
          </w:p>
        </w:tc>
        <w:tc>
          <w:tcPr>
            <w:tcW w:w="500" w:type="dxa"/>
            <w:vAlign w:val="bottom"/>
            <w:shd w:val="clear" w:color="auto" w:fill="ACACAC"/>
          </w:tcPr>
          <w:p>
            <w:pPr>
              <w:spacing w:after="0"/>
              <w:rPr>
                <w:sz w:val="18"/>
                <w:szCs w:val="18"/>
                <w:color w:val="auto"/>
              </w:rPr>
            </w:pPr>
          </w:p>
        </w:tc>
        <w:tc>
          <w:tcPr>
            <w:tcW w:w="2620" w:type="dxa"/>
            <w:vAlign w:val="bottom"/>
            <w:gridSpan w:val="4"/>
            <w:shd w:val="clear" w:color="auto" w:fill="ACACAC"/>
          </w:tcPr>
          <w:p>
            <w:pPr>
              <w:jc w:val="right"/>
              <w:spacing w:after="0"/>
              <w:rPr>
                <w:sz w:val="20"/>
                <w:szCs w:val="20"/>
                <w:color w:val="auto"/>
              </w:rPr>
            </w:pPr>
            <w:r>
              <w:rPr>
                <w:rFonts w:ascii="Arial" w:cs="Arial" w:eastAsia="Arial" w:hAnsi="Arial"/>
                <w:sz w:val="14"/>
                <w:szCs w:val="14"/>
                <w:b w:val="1"/>
                <w:bCs w:val="1"/>
                <w:color w:val="FFFFFF"/>
              </w:rPr>
              <w:t>Fair value measurement using</w:t>
            </w:r>
          </w:p>
        </w:tc>
        <w:tc>
          <w:tcPr>
            <w:tcW w:w="100" w:type="dxa"/>
            <w:vAlign w:val="bottom"/>
            <w:shd w:val="clear" w:color="auto" w:fill="ACACAC"/>
          </w:tcPr>
          <w:p>
            <w:pPr>
              <w:spacing w:after="0"/>
              <w:rPr>
                <w:sz w:val="18"/>
                <w:szCs w:val="18"/>
                <w:color w:val="auto"/>
              </w:rPr>
            </w:pPr>
          </w:p>
        </w:tc>
        <w:tc>
          <w:tcPr>
            <w:tcW w:w="500" w:type="dxa"/>
            <w:vAlign w:val="bottom"/>
            <w:shd w:val="clear" w:color="auto" w:fill="ACACAC"/>
          </w:tcPr>
          <w:p>
            <w:pPr>
              <w:spacing w:after="0"/>
              <w:rPr>
                <w:sz w:val="18"/>
                <w:szCs w:val="18"/>
                <w:color w:val="auto"/>
              </w:rPr>
            </w:pPr>
          </w:p>
        </w:tc>
        <w:tc>
          <w:tcPr>
            <w:tcW w:w="1000" w:type="dxa"/>
            <w:vAlign w:val="bottom"/>
            <w:shd w:val="clear" w:color="auto" w:fill="ACACAC"/>
          </w:tcPr>
          <w:p>
            <w:pPr>
              <w:spacing w:after="0"/>
              <w:rPr>
                <w:sz w:val="18"/>
                <w:szCs w:val="18"/>
                <w:color w:val="auto"/>
              </w:rPr>
            </w:pPr>
          </w:p>
        </w:tc>
        <w:tc>
          <w:tcPr>
            <w:tcW w:w="20" w:type="dxa"/>
            <w:vAlign w:val="bottom"/>
            <w:shd w:val="clear" w:color="auto" w:fill="ACACAC"/>
          </w:tcPr>
          <w:p>
            <w:pPr>
              <w:spacing w:after="0"/>
              <w:rPr>
                <w:sz w:val="18"/>
                <w:szCs w:val="18"/>
                <w:color w:val="auto"/>
              </w:rPr>
            </w:pPr>
          </w:p>
        </w:tc>
      </w:tr>
      <w:tr>
        <w:trPr>
          <w:trHeight w:val="235"/>
        </w:trPr>
        <w:tc>
          <w:tcPr>
            <w:tcW w:w="492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60" w:type="dxa"/>
            <w:vAlign w:val="bottom"/>
            <w:tcBorders>
              <w:bottom w:val="single" w:sz="8" w:color="ACACAC"/>
            </w:tcBorders>
            <w:shd w:val="clear" w:color="auto" w:fill="ACACAC"/>
          </w:tcPr>
          <w:p>
            <w:pPr>
              <w:spacing w:after="0"/>
              <w:rPr>
                <w:sz w:val="20"/>
                <w:szCs w:val="20"/>
                <w:color w:val="auto"/>
              </w:rPr>
            </w:pPr>
          </w:p>
        </w:tc>
        <w:tc>
          <w:tcPr>
            <w:tcW w:w="940" w:type="dxa"/>
            <w:vAlign w:val="bottom"/>
            <w:tcBorders>
              <w:bottom w:val="single" w:sz="8" w:color="ACACAC"/>
            </w:tcBorders>
            <w:shd w:val="clear" w:color="auto" w:fill="ACACAC"/>
          </w:tcPr>
          <w:p>
            <w:pPr>
              <w:ind w:left="440"/>
              <w:spacing w:after="0"/>
              <w:rPr>
                <w:sz w:val="20"/>
                <w:szCs w:val="20"/>
                <w:color w:val="auto"/>
              </w:rPr>
            </w:pPr>
            <w:r>
              <w:rPr>
                <w:rFonts w:ascii="Arial" w:cs="Arial" w:eastAsia="Arial" w:hAnsi="Arial"/>
                <w:sz w:val="14"/>
                <w:szCs w:val="14"/>
                <w:b w:val="1"/>
                <w:bCs w:val="1"/>
                <w:color w:val="FFFFFF"/>
              </w:rPr>
              <w:t>Level 1</w:t>
            </w:r>
          </w:p>
        </w:tc>
        <w:tc>
          <w:tcPr>
            <w:tcW w:w="100" w:type="dxa"/>
            <w:vAlign w:val="bottom"/>
            <w:tcBorders>
              <w:bottom w:val="single" w:sz="8" w:color="ACACAC"/>
            </w:tcBorders>
            <w:shd w:val="clear" w:color="auto" w:fill="ACACAC"/>
          </w:tcPr>
          <w:p>
            <w:pPr>
              <w:spacing w:after="0"/>
              <w:rPr>
                <w:sz w:val="20"/>
                <w:szCs w:val="20"/>
                <w:color w:val="auto"/>
              </w:rPr>
            </w:pPr>
          </w:p>
        </w:tc>
        <w:tc>
          <w:tcPr>
            <w:tcW w:w="500" w:type="dxa"/>
            <w:vAlign w:val="bottom"/>
            <w:tcBorders>
              <w:bottom w:val="single" w:sz="8" w:color="ACACAC"/>
            </w:tcBorders>
            <w:shd w:val="clear" w:color="auto" w:fill="ACACAC"/>
          </w:tcPr>
          <w:p>
            <w:pPr>
              <w:spacing w:after="0"/>
              <w:rPr>
                <w:sz w:val="20"/>
                <w:szCs w:val="20"/>
                <w:color w:val="auto"/>
              </w:rPr>
            </w:pPr>
          </w:p>
        </w:tc>
        <w:tc>
          <w:tcPr>
            <w:tcW w:w="10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Level 2</w:t>
            </w:r>
          </w:p>
        </w:tc>
        <w:tc>
          <w:tcPr>
            <w:tcW w:w="120" w:type="dxa"/>
            <w:vAlign w:val="bottom"/>
            <w:tcBorders>
              <w:bottom w:val="single" w:sz="8" w:color="ACACAC"/>
            </w:tcBorders>
            <w:shd w:val="clear" w:color="auto" w:fill="ACACAC"/>
          </w:tcPr>
          <w:p>
            <w:pPr>
              <w:spacing w:after="0"/>
              <w:rPr>
                <w:sz w:val="20"/>
                <w:szCs w:val="20"/>
                <w:color w:val="auto"/>
              </w:rPr>
            </w:pPr>
          </w:p>
        </w:tc>
        <w:tc>
          <w:tcPr>
            <w:tcW w:w="560" w:type="dxa"/>
            <w:vAlign w:val="bottom"/>
            <w:tcBorders>
              <w:bottom w:val="single" w:sz="8" w:color="ACACAC"/>
            </w:tcBorders>
            <w:shd w:val="clear" w:color="auto" w:fill="ACACAC"/>
          </w:tcPr>
          <w:p>
            <w:pPr>
              <w:spacing w:after="0"/>
              <w:rPr>
                <w:sz w:val="20"/>
                <w:szCs w:val="20"/>
                <w:color w:val="auto"/>
              </w:rPr>
            </w:pPr>
          </w:p>
        </w:tc>
        <w:tc>
          <w:tcPr>
            <w:tcW w:w="9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Level 3</w:t>
            </w:r>
          </w:p>
        </w:tc>
        <w:tc>
          <w:tcPr>
            <w:tcW w:w="100" w:type="dxa"/>
            <w:vAlign w:val="bottom"/>
            <w:tcBorders>
              <w:bottom w:val="single" w:sz="8" w:color="ACACAC"/>
            </w:tcBorders>
            <w:shd w:val="clear" w:color="auto" w:fill="ACACAC"/>
          </w:tcPr>
          <w:p>
            <w:pPr>
              <w:spacing w:after="0"/>
              <w:rPr>
                <w:sz w:val="20"/>
                <w:szCs w:val="20"/>
                <w:color w:val="auto"/>
              </w:rPr>
            </w:pPr>
          </w:p>
        </w:tc>
        <w:tc>
          <w:tcPr>
            <w:tcW w:w="500" w:type="dxa"/>
            <w:vAlign w:val="bottom"/>
            <w:tcBorders>
              <w:bottom w:val="single" w:sz="8" w:color="ACACAC"/>
            </w:tcBorders>
            <w:shd w:val="clear" w:color="auto" w:fill="ACACAC"/>
          </w:tcPr>
          <w:p>
            <w:pPr>
              <w:spacing w:after="0"/>
              <w:rPr>
                <w:sz w:val="20"/>
                <w:szCs w:val="20"/>
                <w:color w:val="auto"/>
              </w:rPr>
            </w:pPr>
          </w:p>
        </w:tc>
        <w:tc>
          <w:tcPr>
            <w:tcW w:w="10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50"/>
        </w:trPr>
        <w:tc>
          <w:tcPr>
            <w:tcW w:w="49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Fair value as of June 30, 2022</w:t>
            </w:r>
          </w:p>
        </w:tc>
        <w:tc>
          <w:tcPr>
            <w:tcW w:w="56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50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spacing w:after="0"/>
              <w:rPr>
                <w:sz w:val="21"/>
                <w:szCs w:val="21"/>
                <w:color w:val="auto"/>
              </w:rPr>
            </w:pPr>
          </w:p>
        </w:tc>
        <w:tc>
          <w:tcPr>
            <w:tcW w:w="120" w:type="dxa"/>
            <w:vAlign w:val="bottom"/>
            <w:tcBorders>
              <w:bottom w:val="single" w:sz="8" w:color="F4F4F4"/>
            </w:tcBorders>
            <w:shd w:val="clear" w:color="auto" w:fill="F4F4F4"/>
          </w:tcPr>
          <w:p>
            <w:pPr>
              <w:spacing w:after="0"/>
              <w:rPr>
                <w:sz w:val="21"/>
                <w:szCs w:val="21"/>
                <w:color w:val="auto"/>
              </w:rPr>
            </w:pPr>
          </w:p>
        </w:tc>
        <w:tc>
          <w:tcPr>
            <w:tcW w:w="56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50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Financial assets:</w:t>
            </w: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92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Derivative instruments</w:t>
            </w:r>
          </w:p>
        </w:tc>
        <w:tc>
          <w:tcPr>
            <w:tcW w:w="560" w:type="dxa"/>
            <w:vAlign w:val="bottom"/>
            <w:tcBorders>
              <w:bottom w:val="single" w:sz="8" w:color="F4F4F4"/>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4F4F4"/>
            </w:tcBorders>
            <w:gridSpan w:val="2"/>
            <w:shd w:val="clear" w:color="auto" w:fill="F4F4F4"/>
          </w:tcPr>
          <w:p>
            <w:pPr>
              <w:ind w:left="6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F4F4F4"/>
            </w:tcBorders>
            <w:shd w:val="clear" w:color="auto" w:fill="F4F4F4"/>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25,412</w:t>
            </w:r>
          </w:p>
        </w:tc>
        <w:tc>
          <w:tcPr>
            <w:tcW w:w="120" w:type="dxa"/>
            <w:vAlign w:val="bottom"/>
            <w:tcBorders>
              <w:bottom w:val="single" w:sz="8" w:color="F4F4F4"/>
            </w:tcBorders>
            <w:shd w:val="clear" w:color="auto" w:fill="F4F4F4"/>
          </w:tcPr>
          <w:p>
            <w:pPr>
              <w:spacing w:after="0"/>
              <w:rPr>
                <w:sz w:val="23"/>
                <w:szCs w:val="23"/>
                <w:color w:val="auto"/>
              </w:rPr>
            </w:pPr>
          </w:p>
        </w:tc>
        <w:tc>
          <w:tcPr>
            <w:tcW w:w="560" w:type="dxa"/>
            <w:vAlign w:val="bottom"/>
            <w:tcBorders>
              <w:bottom w:val="single" w:sz="8" w:color="F4F4F4"/>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4F4F4"/>
            </w:tcBorders>
            <w:gridSpan w:val="2"/>
            <w:shd w:val="clear" w:color="auto" w:fill="F4F4F4"/>
          </w:tcPr>
          <w:p>
            <w:pPr>
              <w:ind w:left="6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F4F4F4"/>
            </w:tcBorders>
            <w:shd w:val="clear" w:color="auto" w:fill="F4F4F4"/>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25,412</w:t>
            </w:r>
          </w:p>
        </w:tc>
        <w:tc>
          <w:tcPr>
            <w:tcW w:w="20" w:type="dxa"/>
            <w:vAlign w:val="bottom"/>
          </w:tcPr>
          <w:p>
            <w:pPr>
              <w:spacing w:after="0"/>
              <w:rPr>
                <w:sz w:val="23"/>
                <w:szCs w:val="23"/>
                <w:color w:val="auto"/>
              </w:rPr>
            </w:pPr>
          </w:p>
        </w:tc>
      </w:tr>
      <w:tr>
        <w:trPr>
          <w:trHeight w:val="237"/>
        </w:trPr>
        <w:tc>
          <w:tcPr>
            <w:tcW w:w="4920" w:type="dxa"/>
            <w:vAlign w:val="bottom"/>
          </w:tcPr>
          <w:p>
            <w:pPr>
              <w:ind w:left="240"/>
              <w:spacing w:after="0"/>
              <w:rPr>
                <w:sz w:val="20"/>
                <w:szCs w:val="20"/>
                <w:color w:val="auto"/>
              </w:rPr>
            </w:pPr>
            <w:r>
              <w:rPr>
                <w:rFonts w:ascii="Arial" w:cs="Arial" w:eastAsia="Arial" w:hAnsi="Arial"/>
                <w:sz w:val="18"/>
                <w:szCs w:val="18"/>
                <w:color w:val="auto"/>
              </w:rPr>
              <w:t>Total financial assets</w:t>
            </w: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25,412</w:t>
            </w:r>
          </w:p>
        </w:tc>
        <w:tc>
          <w:tcPr>
            <w:tcW w:w="12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25,412</w:t>
            </w:r>
          </w:p>
        </w:tc>
        <w:tc>
          <w:tcPr>
            <w:tcW w:w="2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920" w:type="dxa"/>
            <w:vAlign w:val="bottom"/>
            <w:shd w:val="clear" w:color="auto" w:fill="F4F4F4"/>
          </w:tcPr>
          <w:p>
            <w:pPr>
              <w:spacing w:after="0"/>
              <w:rPr>
                <w:sz w:val="23"/>
                <w:szCs w:val="23"/>
                <w:color w:val="auto"/>
              </w:rPr>
            </w:pPr>
          </w:p>
        </w:tc>
        <w:tc>
          <w:tcPr>
            <w:tcW w:w="560" w:type="dxa"/>
            <w:vAlign w:val="bottom"/>
            <w:shd w:val="clear" w:color="auto" w:fill="F4F4F4"/>
          </w:tcPr>
          <w:p>
            <w:pPr>
              <w:spacing w:after="0"/>
              <w:rPr>
                <w:sz w:val="23"/>
                <w:szCs w:val="23"/>
                <w:color w:val="auto"/>
              </w:rPr>
            </w:pPr>
          </w:p>
        </w:tc>
        <w:tc>
          <w:tcPr>
            <w:tcW w:w="940" w:type="dxa"/>
            <w:vAlign w:val="bottom"/>
            <w:shd w:val="clear" w:color="auto" w:fill="F4F4F4"/>
          </w:tcPr>
          <w:p>
            <w:pPr>
              <w:spacing w:after="0"/>
              <w:rPr>
                <w:sz w:val="23"/>
                <w:szCs w:val="23"/>
                <w:color w:val="auto"/>
              </w:rPr>
            </w:pPr>
          </w:p>
        </w:tc>
        <w:tc>
          <w:tcPr>
            <w:tcW w:w="100" w:type="dxa"/>
            <w:vAlign w:val="bottom"/>
            <w:shd w:val="clear" w:color="auto" w:fill="F4F4F4"/>
          </w:tcPr>
          <w:p>
            <w:pPr>
              <w:spacing w:after="0"/>
              <w:rPr>
                <w:sz w:val="23"/>
                <w:szCs w:val="23"/>
                <w:color w:val="auto"/>
              </w:rPr>
            </w:pPr>
          </w:p>
        </w:tc>
        <w:tc>
          <w:tcPr>
            <w:tcW w:w="500" w:type="dxa"/>
            <w:vAlign w:val="bottom"/>
            <w:shd w:val="clear" w:color="auto" w:fill="F4F4F4"/>
          </w:tcPr>
          <w:p>
            <w:pPr>
              <w:spacing w:after="0"/>
              <w:rPr>
                <w:sz w:val="23"/>
                <w:szCs w:val="23"/>
                <w:color w:val="auto"/>
              </w:rPr>
            </w:pPr>
          </w:p>
        </w:tc>
        <w:tc>
          <w:tcPr>
            <w:tcW w:w="1000" w:type="dxa"/>
            <w:vAlign w:val="bottom"/>
            <w:shd w:val="clear" w:color="auto" w:fill="F4F4F4"/>
          </w:tcPr>
          <w:p>
            <w:pPr>
              <w:spacing w:after="0"/>
              <w:rPr>
                <w:sz w:val="23"/>
                <w:szCs w:val="23"/>
                <w:color w:val="auto"/>
              </w:rPr>
            </w:pPr>
          </w:p>
        </w:tc>
        <w:tc>
          <w:tcPr>
            <w:tcW w:w="120" w:type="dxa"/>
            <w:vAlign w:val="bottom"/>
            <w:shd w:val="clear" w:color="auto" w:fill="F4F4F4"/>
          </w:tcPr>
          <w:p>
            <w:pPr>
              <w:spacing w:after="0"/>
              <w:rPr>
                <w:sz w:val="23"/>
                <w:szCs w:val="23"/>
                <w:color w:val="auto"/>
              </w:rPr>
            </w:pPr>
          </w:p>
        </w:tc>
        <w:tc>
          <w:tcPr>
            <w:tcW w:w="560" w:type="dxa"/>
            <w:vAlign w:val="bottom"/>
            <w:shd w:val="clear" w:color="auto" w:fill="F4F4F4"/>
          </w:tcPr>
          <w:p>
            <w:pPr>
              <w:spacing w:after="0"/>
              <w:rPr>
                <w:sz w:val="23"/>
                <w:szCs w:val="23"/>
                <w:color w:val="auto"/>
              </w:rPr>
            </w:pPr>
          </w:p>
        </w:tc>
        <w:tc>
          <w:tcPr>
            <w:tcW w:w="940" w:type="dxa"/>
            <w:vAlign w:val="bottom"/>
            <w:shd w:val="clear" w:color="auto" w:fill="F4F4F4"/>
          </w:tcPr>
          <w:p>
            <w:pPr>
              <w:spacing w:after="0"/>
              <w:rPr>
                <w:sz w:val="23"/>
                <w:szCs w:val="23"/>
                <w:color w:val="auto"/>
              </w:rPr>
            </w:pPr>
          </w:p>
        </w:tc>
        <w:tc>
          <w:tcPr>
            <w:tcW w:w="100" w:type="dxa"/>
            <w:vAlign w:val="bottom"/>
            <w:shd w:val="clear" w:color="auto" w:fill="F4F4F4"/>
          </w:tcPr>
          <w:p>
            <w:pPr>
              <w:spacing w:after="0"/>
              <w:rPr>
                <w:sz w:val="23"/>
                <w:szCs w:val="23"/>
                <w:color w:val="auto"/>
              </w:rPr>
            </w:pPr>
          </w:p>
        </w:tc>
        <w:tc>
          <w:tcPr>
            <w:tcW w:w="500" w:type="dxa"/>
            <w:vAlign w:val="bottom"/>
            <w:shd w:val="clear" w:color="auto" w:fill="F4F4F4"/>
          </w:tcPr>
          <w:p>
            <w:pPr>
              <w:spacing w:after="0"/>
              <w:rPr>
                <w:sz w:val="23"/>
                <w:szCs w:val="23"/>
                <w:color w:val="auto"/>
              </w:rPr>
            </w:pPr>
          </w:p>
        </w:tc>
        <w:tc>
          <w:tcPr>
            <w:tcW w:w="1000" w:type="dxa"/>
            <w:vAlign w:val="bottom"/>
            <w:shd w:val="clear" w:color="auto" w:fill="F4F4F4"/>
          </w:tcPr>
          <w:p>
            <w:pPr>
              <w:spacing w:after="0"/>
              <w:rPr>
                <w:sz w:val="23"/>
                <w:szCs w:val="23"/>
                <w:color w:val="auto"/>
              </w:rPr>
            </w:pPr>
          </w:p>
        </w:tc>
        <w:tc>
          <w:tcPr>
            <w:tcW w:w="20" w:type="dxa"/>
            <w:vAlign w:val="bottom"/>
          </w:tcPr>
          <w:p>
            <w:pPr>
              <w:spacing w:after="0"/>
              <w:rPr>
                <w:sz w:val="23"/>
                <w:szCs w:val="23"/>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Fair value as of December 31, 2021</w:t>
            </w: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9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Financial assets:</w:t>
            </w:r>
          </w:p>
        </w:tc>
        <w:tc>
          <w:tcPr>
            <w:tcW w:w="56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50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spacing w:after="0"/>
              <w:rPr>
                <w:sz w:val="21"/>
                <w:szCs w:val="21"/>
                <w:color w:val="auto"/>
              </w:rPr>
            </w:pPr>
          </w:p>
        </w:tc>
        <w:tc>
          <w:tcPr>
            <w:tcW w:w="120" w:type="dxa"/>
            <w:vAlign w:val="bottom"/>
            <w:tcBorders>
              <w:bottom w:val="single" w:sz="8" w:color="F4F4F4"/>
            </w:tcBorders>
            <w:shd w:val="clear" w:color="auto" w:fill="F4F4F4"/>
          </w:tcPr>
          <w:p>
            <w:pPr>
              <w:spacing w:after="0"/>
              <w:rPr>
                <w:sz w:val="21"/>
                <w:szCs w:val="21"/>
                <w:color w:val="auto"/>
              </w:rPr>
            </w:pPr>
          </w:p>
        </w:tc>
        <w:tc>
          <w:tcPr>
            <w:tcW w:w="56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50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Derivative instruments</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7,160</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7,160</w:t>
            </w:r>
          </w:p>
        </w:tc>
        <w:tc>
          <w:tcPr>
            <w:tcW w:w="20" w:type="dxa"/>
            <w:vAlign w:val="bottom"/>
          </w:tcPr>
          <w:p>
            <w:pPr>
              <w:spacing w:after="0"/>
              <w:rPr>
                <w:sz w:val="21"/>
                <w:szCs w:val="21"/>
                <w:color w:val="auto"/>
              </w:rPr>
            </w:pPr>
          </w:p>
        </w:tc>
      </w:tr>
      <w:tr>
        <w:trPr>
          <w:trHeight w:val="27"/>
        </w:trPr>
        <w:tc>
          <w:tcPr>
            <w:tcW w:w="4920" w:type="dxa"/>
            <w:vAlign w:val="bottom"/>
            <w:tcBorders>
              <w:bottom w:val="single" w:sz="8" w:color="F4F4F4"/>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4F4F4"/>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9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Total financial assets</w:t>
            </w:r>
          </w:p>
        </w:tc>
        <w:tc>
          <w:tcPr>
            <w:tcW w:w="560" w:type="dxa"/>
            <w:vAlign w:val="bottom"/>
            <w:tcBorders>
              <w:bottom w:val="single" w:sz="8" w:color="F4F4F4"/>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4F4F4"/>
            </w:tcBorders>
            <w:gridSpan w:val="2"/>
            <w:shd w:val="clear" w:color="auto" w:fill="F4F4F4"/>
          </w:tcPr>
          <w:p>
            <w:pPr>
              <w:ind w:left="6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F4F4F4"/>
            </w:tcBorders>
            <w:shd w:val="clear" w:color="auto" w:fill="F4F4F4"/>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7,160</w:t>
            </w:r>
          </w:p>
        </w:tc>
        <w:tc>
          <w:tcPr>
            <w:tcW w:w="120" w:type="dxa"/>
            <w:vAlign w:val="bottom"/>
            <w:tcBorders>
              <w:bottom w:val="single" w:sz="8" w:color="F4F4F4"/>
            </w:tcBorders>
            <w:shd w:val="clear" w:color="auto" w:fill="F4F4F4"/>
          </w:tcPr>
          <w:p>
            <w:pPr>
              <w:spacing w:after="0"/>
              <w:rPr>
                <w:sz w:val="21"/>
                <w:szCs w:val="21"/>
                <w:color w:val="auto"/>
              </w:rPr>
            </w:pPr>
          </w:p>
        </w:tc>
        <w:tc>
          <w:tcPr>
            <w:tcW w:w="560" w:type="dxa"/>
            <w:vAlign w:val="bottom"/>
            <w:tcBorders>
              <w:bottom w:val="single" w:sz="8" w:color="F4F4F4"/>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4F4F4"/>
            </w:tcBorders>
            <w:gridSpan w:val="2"/>
            <w:shd w:val="clear" w:color="auto" w:fill="F4F4F4"/>
          </w:tcPr>
          <w:p>
            <w:pPr>
              <w:ind w:left="6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F4F4F4"/>
            </w:tcBorders>
            <w:shd w:val="clear" w:color="auto" w:fill="F4F4F4"/>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7,160</w:t>
            </w:r>
          </w:p>
        </w:tc>
        <w:tc>
          <w:tcPr>
            <w:tcW w:w="20" w:type="dxa"/>
            <w:vAlign w:val="bottom"/>
          </w:tcPr>
          <w:p>
            <w:pPr>
              <w:spacing w:after="0"/>
              <w:rPr>
                <w:sz w:val="21"/>
                <w:szCs w:val="21"/>
                <w:color w:val="auto"/>
              </w:rPr>
            </w:pPr>
          </w:p>
        </w:tc>
      </w:tr>
      <w:tr>
        <w:trPr>
          <w:trHeight w:val="20"/>
        </w:trPr>
        <w:tc>
          <w:tcPr>
            <w:tcW w:w="4920" w:type="dxa"/>
            <w:vAlign w:val="bottom"/>
            <w:shd w:val="clear" w:color="auto" w:fill="71BF43"/>
          </w:tcPr>
          <w:p>
            <w:pPr>
              <w:spacing w:after="0" w:line="20" w:lineRule="exact"/>
              <w:rPr>
                <w:sz w:val="1"/>
                <w:szCs w:val="1"/>
                <w:color w:val="auto"/>
              </w:rPr>
            </w:pPr>
          </w:p>
        </w:tc>
        <w:tc>
          <w:tcPr>
            <w:tcW w:w="560" w:type="dxa"/>
            <w:vAlign w:val="bottom"/>
            <w:shd w:val="clear" w:color="auto" w:fill="71BF43"/>
          </w:tcPr>
          <w:p>
            <w:pPr>
              <w:spacing w:after="0" w:line="20" w:lineRule="exact"/>
              <w:rPr>
                <w:sz w:val="1"/>
                <w:szCs w:val="1"/>
                <w:color w:val="auto"/>
              </w:rPr>
            </w:pPr>
          </w:p>
        </w:tc>
        <w:tc>
          <w:tcPr>
            <w:tcW w:w="940" w:type="dxa"/>
            <w:vAlign w:val="bottom"/>
            <w:shd w:val="clear" w:color="auto" w:fill="71BF43"/>
          </w:tcPr>
          <w:p>
            <w:pPr>
              <w:spacing w:after="0" w:line="20" w:lineRule="exact"/>
              <w:rPr>
                <w:sz w:val="1"/>
                <w:szCs w:val="1"/>
                <w:color w:val="auto"/>
              </w:rPr>
            </w:pPr>
          </w:p>
        </w:tc>
        <w:tc>
          <w:tcPr>
            <w:tcW w:w="100" w:type="dxa"/>
            <w:vAlign w:val="bottom"/>
            <w:shd w:val="clear" w:color="auto" w:fill="71BF43"/>
          </w:tcPr>
          <w:p>
            <w:pPr>
              <w:spacing w:after="0" w:line="20" w:lineRule="exact"/>
              <w:rPr>
                <w:sz w:val="1"/>
                <w:szCs w:val="1"/>
                <w:color w:val="auto"/>
              </w:rPr>
            </w:pPr>
          </w:p>
        </w:tc>
        <w:tc>
          <w:tcPr>
            <w:tcW w:w="500" w:type="dxa"/>
            <w:vAlign w:val="bottom"/>
            <w:shd w:val="clear" w:color="auto" w:fill="71BF43"/>
          </w:tcPr>
          <w:p>
            <w:pPr>
              <w:spacing w:after="0" w:line="20" w:lineRule="exact"/>
              <w:rPr>
                <w:sz w:val="1"/>
                <w:szCs w:val="1"/>
                <w:color w:val="auto"/>
              </w:rPr>
            </w:pPr>
          </w:p>
        </w:tc>
        <w:tc>
          <w:tcPr>
            <w:tcW w:w="1000" w:type="dxa"/>
            <w:vAlign w:val="bottom"/>
            <w:shd w:val="clear" w:color="auto" w:fill="71BF43"/>
          </w:tcPr>
          <w:p>
            <w:pPr>
              <w:spacing w:after="0" w:line="20" w:lineRule="exact"/>
              <w:rPr>
                <w:sz w:val="1"/>
                <w:szCs w:val="1"/>
                <w:color w:val="auto"/>
              </w:rPr>
            </w:pPr>
          </w:p>
        </w:tc>
        <w:tc>
          <w:tcPr>
            <w:tcW w:w="120" w:type="dxa"/>
            <w:vAlign w:val="bottom"/>
            <w:shd w:val="clear" w:color="auto" w:fill="71BF43"/>
          </w:tcPr>
          <w:p>
            <w:pPr>
              <w:spacing w:after="0" w:line="20" w:lineRule="exact"/>
              <w:rPr>
                <w:sz w:val="1"/>
                <w:szCs w:val="1"/>
                <w:color w:val="auto"/>
              </w:rPr>
            </w:pPr>
          </w:p>
        </w:tc>
        <w:tc>
          <w:tcPr>
            <w:tcW w:w="560" w:type="dxa"/>
            <w:vAlign w:val="bottom"/>
            <w:shd w:val="clear" w:color="auto" w:fill="71BF43"/>
          </w:tcPr>
          <w:p>
            <w:pPr>
              <w:spacing w:after="0" w:line="20" w:lineRule="exact"/>
              <w:rPr>
                <w:sz w:val="1"/>
                <w:szCs w:val="1"/>
                <w:color w:val="auto"/>
              </w:rPr>
            </w:pPr>
          </w:p>
        </w:tc>
        <w:tc>
          <w:tcPr>
            <w:tcW w:w="940" w:type="dxa"/>
            <w:vAlign w:val="bottom"/>
            <w:shd w:val="clear" w:color="auto" w:fill="71BF43"/>
          </w:tcPr>
          <w:p>
            <w:pPr>
              <w:spacing w:after="0" w:line="20" w:lineRule="exact"/>
              <w:rPr>
                <w:sz w:val="1"/>
                <w:szCs w:val="1"/>
                <w:color w:val="auto"/>
              </w:rPr>
            </w:pPr>
          </w:p>
        </w:tc>
        <w:tc>
          <w:tcPr>
            <w:tcW w:w="100" w:type="dxa"/>
            <w:vAlign w:val="bottom"/>
            <w:shd w:val="clear" w:color="auto" w:fill="71BF43"/>
          </w:tcPr>
          <w:p>
            <w:pPr>
              <w:spacing w:after="0" w:line="20" w:lineRule="exact"/>
              <w:rPr>
                <w:sz w:val="1"/>
                <w:szCs w:val="1"/>
                <w:color w:val="auto"/>
              </w:rPr>
            </w:pPr>
          </w:p>
        </w:tc>
        <w:tc>
          <w:tcPr>
            <w:tcW w:w="500" w:type="dxa"/>
            <w:vAlign w:val="bottom"/>
            <w:shd w:val="clear" w:color="auto" w:fill="71BF43"/>
          </w:tcPr>
          <w:p>
            <w:pPr>
              <w:spacing w:after="0" w:line="20" w:lineRule="exact"/>
              <w:rPr>
                <w:sz w:val="1"/>
                <w:szCs w:val="1"/>
                <w:color w:val="auto"/>
              </w:rPr>
            </w:pPr>
          </w:p>
        </w:tc>
        <w:tc>
          <w:tcPr>
            <w:tcW w:w="100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-1722755</wp:posOffset>
            </wp:positionV>
            <wp:extent cx="30003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19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Our derivative instruments within the scope of Accounting Standards Codification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are required to be recorded at fair value. Our derivative instruments that are recorded at fair value include interest rate swaps. See Note 9 to these condensed consolidated financial statements for additional information about our derivative instruments.</w:t>
      </w:r>
    </w:p>
    <w:p>
      <w:pPr>
        <w:spacing w:after="0" w:line="14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fair value of our interest rate swaps was based on model-driven valuations using LIBOR rates, which are observable at commonly quoted intervals. Accordingly, our interest rate swaps are classified within Level 2 of the fair value hierarchy. The Financial Conduct Authority in the U.K. has stated that it plans to phase out all tenors of LIBOR by June 2023. We do not currently anticipate a significant impact to our financial position or results of operations as a result of this action as we expect that our financial contracts currently indexed to LIBOR will either expire or be modified without significant financial impact before the phase out occurs.</w:t>
      </w:r>
    </w:p>
    <w:p>
      <w:pPr>
        <w:spacing w:after="0" w:line="15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believe the carrying amounts of our cash and cash equivalents, restricted cash, accounts receivable, trade accounts payable, accrued expenses and other current liabilities and due to customers approximate their fair values at June 30, 2022 and December 31, 2021, due to the immediate or short-term maturity of these instruments.</w:t>
      </w:r>
    </w:p>
    <w:p>
      <w:pPr>
        <w:spacing w:after="0" w:line="148"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We believe the carrying amount of our debt approximates its fair value at June 30, 2022 and December 31, 2021, as the debt bears interest rates that approximate market value. As LIBOR and SOFR rates are observable at commonly quoted intervals, our debt under the 2020 Credit Facility (as defined below) is classified within Level 2 of the fair value hierarchy. Our fixed rate debt is also classified within Level 2 of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224155</wp:posOffset>
            </wp:positionV>
            <wp:extent cx="65976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480"/>
              <w:spacing w:after="0"/>
              <w:rPr>
                <w:sz w:val="20"/>
                <w:szCs w:val="20"/>
                <w:color w:val="auto"/>
              </w:rPr>
            </w:pPr>
            <w:r>
              <w:rPr>
                <w:rFonts w:ascii="Arial" w:cs="Arial" w:eastAsia="Arial" w:hAnsi="Arial"/>
                <w:sz w:val="14"/>
                <w:szCs w:val="14"/>
                <w:color w:val="auto"/>
              </w:rPr>
              <w:t>Second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316"/>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We did not transfer any assets or liabilities among the levels within the fair value hierarchy during the six months ended June 30,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did not hold any Level 3 assets or liabilities during the six months ended June 30,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193"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Assets and liabilities that are measured at fair value on a non-recurring basis include long-lived assets, intangible assets, goodwill and operating lease right-of-use ("ROU") assets. These assets are recognized at fair value during the period in which an acquisition is completed or at lease commencement, from updated estimates and assumptions during the measurement period, or when they are considered to be impaired. These non-recurring fair value measurements, primarily for long-lived assets, intangible assets acquired and operating lease ROU assets, are based on Level 3 unobservable inputs. In the event of an impairment, we determine the fair value of these assets other than goodwill using a discounted cash flow approach, which contains significant unobservable inputs and, therefore, is considered a Level 3 fair value measurement. The unobservable inputs in the analysis generally include future cash flow projections and a discount rate. For goodwill impairment testing, we estimate fair value using market-based methods including the use of market capitalization and consideration of a control premium.</w:t>
      </w:r>
    </w:p>
    <w:p>
      <w:pPr>
        <w:spacing w:after="0" w:line="15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During the three and six months ended June 30, 2022, we recorded a noncash impairment charge of $2.3 million against certain previously capitalized software development costs that reduced the carrying value of those assets to zero. The impairment charge is reflected in general and administrative expense and resulted primarily from our decision to end customer support for certain solutions.</w:t>
      </w:r>
    </w:p>
    <w:p>
      <w:pPr>
        <w:spacing w:after="0" w:line="14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the three and six months ended June 30, 2022, we recorded a noncash impairment charge of $2.0 million against certain insignificant customer relationship intangible assets that were held for sale. The impairment charge is reflected in general and administrative expense.</w:t>
      </w:r>
    </w:p>
    <w:p>
      <w:pPr>
        <w:spacing w:after="0" w:line="144"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There were no other non-recurring fair value adjustments during the six months ended June 30, 2022 except for certain insignificant business combination accounting adjustments to the initial fair value estimates of assets acquired and liabilities assumed at the acquisition date from updated estimates and assumptions during the measurement period. See Note 3 to these condensed consolidated financial statements for additional details.</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7. Consolidated Financial Statement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shd w:val="clear" w:color="auto" w:fill="ACACAC"/>
          </w:tcPr>
          <w:p>
            <w:pPr>
              <w:spacing w:after="0"/>
              <w:rPr>
                <w:sz w:val="16"/>
                <w:szCs w:val="16"/>
                <w:color w:val="auto"/>
              </w:rPr>
            </w:pPr>
          </w:p>
        </w:tc>
        <w:tc>
          <w:tcPr>
            <w:tcW w:w="520" w:type="dxa"/>
            <w:vAlign w:val="bottom"/>
            <w:shd w:val="clear" w:color="auto" w:fill="ACACAC"/>
          </w:tcPr>
          <w:p>
            <w:pPr>
              <w:spacing w:after="0"/>
              <w:rPr>
                <w:sz w:val="16"/>
                <w:szCs w:val="16"/>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400" w:type="dxa"/>
            <w:vAlign w:val="bottom"/>
            <w:shd w:val="clear" w:color="auto" w:fill="ACACAC"/>
          </w:tcPr>
          <w:p>
            <w:pPr>
              <w:spacing w:after="0"/>
              <w:rPr>
                <w:sz w:val="16"/>
                <w:szCs w:val="16"/>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6"/>
                <w:szCs w:val="16"/>
                <w:color w:val="auto"/>
              </w:rPr>
            </w:pPr>
          </w:p>
        </w:tc>
      </w:tr>
      <w:tr>
        <w:trPr>
          <w:trHeight w:val="202"/>
        </w:trPr>
        <w:tc>
          <w:tcPr>
            <w:tcW w:w="794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20" w:type="dxa"/>
            <w:vAlign w:val="bottom"/>
            <w:shd w:val="clear" w:color="auto" w:fill="ACACAC"/>
          </w:tcPr>
          <w:p>
            <w:pPr>
              <w:spacing w:after="0"/>
              <w:rPr>
                <w:sz w:val="17"/>
                <w:szCs w:val="17"/>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400" w:type="dxa"/>
            <w:vAlign w:val="bottom"/>
            <w:shd w:val="clear" w:color="auto" w:fill="ACACAC"/>
          </w:tcPr>
          <w:p>
            <w:pPr>
              <w:spacing w:after="0"/>
              <w:rPr>
                <w:sz w:val="17"/>
                <w:szCs w:val="17"/>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shd w:val="clear" w:color="auto" w:fill="ACACAC"/>
          </w:tcPr>
          <w:p>
            <w:pPr>
              <w:spacing w:after="0"/>
              <w:rPr>
                <w:sz w:val="17"/>
                <w:szCs w:val="17"/>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Restricted cash due to customers</w:t>
            </w:r>
          </w:p>
        </w:tc>
        <w:tc>
          <w:tcPr>
            <w:tcW w:w="520" w:type="dxa"/>
            <w:vAlign w:val="bottom"/>
            <w:tcBorders>
              <w:bottom w:val="single" w:sz="8" w:color="F4F4F4"/>
            </w:tcBorders>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448,208</w:t>
            </w:r>
          </w:p>
        </w:tc>
        <w:tc>
          <w:tcPr>
            <w:tcW w:w="40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593,296</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Letters of credit for operating leases</w:t>
            </w: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2,186</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Real estate escrow balances and other</w:t>
            </w:r>
          </w:p>
        </w:tc>
        <w:tc>
          <w:tcPr>
            <w:tcW w:w="520" w:type="dxa"/>
            <w:vAlign w:val="bottom"/>
            <w:tcBorders>
              <w:bottom w:val="single" w:sz="8" w:color="F4F4F4"/>
            </w:tcBorders>
            <w:shd w:val="clear" w:color="auto" w:fill="F4F4F4"/>
          </w:tcPr>
          <w:p>
            <w:pPr>
              <w:spacing w:after="0"/>
              <w:rPr>
                <w:sz w:val="24"/>
                <w:szCs w:val="24"/>
                <w:color w:val="auto"/>
              </w:rPr>
            </w:pP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1,283</w:t>
            </w:r>
          </w:p>
        </w:tc>
        <w:tc>
          <w:tcPr>
            <w:tcW w:w="400" w:type="dxa"/>
            <w:vAlign w:val="bottom"/>
            <w:tcBorders>
              <w:bottom w:val="single" w:sz="8" w:color="F4F4F4"/>
            </w:tcBorders>
            <w:shd w:val="clear" w:color="auto" w:fill="F4F4F4"/>
          </w:tcPr>
          <w:p>
            <w:pPr>
              <w:spacing w:after="0"/>
              <w:rPr>
                <w:sz w:val="24"/>
                <w:szCs w:val="24"/>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1,134</w:t>
            </w:r>
          </w:p>
        </w:tc>
        <w:tc>
          <w:tcPr>
            <w:tcW w:w="20" w:type="dxa"/>
            <w:vAlign w:val="bottom"/>
          </w:tcPr>
          <w:p>
            <w:pPr>
              <w:spacing w:after="0"/>
              <w:rPr>
                <w:sz w:val="24"/>
                <w:szCs w:val="24"/>
                <w:color w:val="auto"/>
              </w:rPr>
            </w:pPr>
          </w:p>
        </w:tc>
      </w:tr>
      <w:tr>
        <w:trPr>
          <w:trHeight w:val="237"/>
        </w:trPr>
        <w:tc>
          <w:tcPr>
            <w:tcW w:w="7940" w:type="dxa"/>
            <w:vAlign w:val="bottom"/>
          </w:tcPr>
          <w:p>
            <w:pPr>
              <w:ind w:left="140"/>
              <w:spacing w:after="0"/>
              <w:rPr>
                <w:sz w:val="20"/>
                <w:szCs w:val="20"/>
                <w:color w:val="auto"/>
              </w:rPr>
            </w:pPr>
            <w:r>
              <w:rPr>
                <w:rFonts w:ascii="Arial" w:cs="Arial" w:eastAsia="Arial" w:hAnsi="Arial"/>
                <w:sz w:val="18"/>
                <w:szCs w:val="18"/>
                <w:color w:val="auto"/>
              </w:rPr>
              <w:t>Total restricted cash</w:t>
            </w: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449,491</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596,616</w:t>
            </w:r>
          </w:p>
        </w:tc>
        <w:tc>
          <w:tcPr>
            <w:tcW w:w="20" w:type="dxa"/>
            <w:vAlign w:val="bottom"/>
          </w:tcPr>
          <w:p>
            <w:pPr>
              <w:spacing w:after="0"/>
              <w:rPr>
                <w:sz w:val="20"/>
                <w:szCs w:val="20"/>
                <w:color w:val="auto"/>
              </w:rPr>
            </w:pPr>
          </w:p>
        </w:tc>
      </w:tr>
      <w:tr>
        <w:trPr>
          <w:trHeight w:val="27"/>
        </w:trPr>
        <w:tc>
          <w:tcPr>
            <w:tcW w:w="7940" w:type="dxa"/>
            <w:vAlign w:val="bottom"/>
            <w:tcBorders>
              <w:bottom w:val="single" w:sz="8" w:color="8CBE4F"/>
            </w:tcBorders>
          </w:tcPr>
          <w:p>
            <w:pPr>
              <w:spacing w:after="0"/>
              <w:rPr>
                <w:sz w:val="2"/>
                <w:szCs w:val="2"/>
                <w:color w:val="auto"/>
              </w:rPr>
            </w:pPr>
          </w:p>
        </w:tc>
        <w:tc>
          <w:tcPr>
            <w:tcW w:w="520" w:type="dxa"/>
            <w:vAlign w:val="bottom"/>
            <w:tcBorders>
              <w:bottom w:val="single" w:sz="8" w:color="8CBE4F"/>
            </w:tcBorders>
          </w:tcPr>
          <w:p>
            <w:pPr>
              <w:spacing w:after="0"/>
              <w:rPr>
                <w:sz w:val="2"/>
                <w:szCs w:val="2"/>
                <w:color w:val="auto"/>
              </w:rPr>
            </w:pPr>
          </w:p>
        </w:tc>
        <w:tc>
          <w:tcPr>
            <w:tcW w:w="1140" w:type="dxa"/>
            <w:vAlign w:val="bottom"/>
            <w:tcBorders>
              <w:bottom w:val="single" w:sz="8" w:color="8CBE4F"/>
            </w:tcBorders>
          </w:tcPr>
          <w:p>
            <w:pPr>
              <w:spacing w:after="0"/>
              <w:rPr>
                <w:sz w:val="2"/>
                <w:szCs w:val="2"/>
                <w:color w:val="auto"/>
              </w:rPr>
            </w:pPr>
          </w:p>
        </w:tc>
        <w:tc>
          <w:tcPr>
            <w:tcW w:w="400" w:type="dxa"/>
            <w:vAlign w:val="bottom"/>
            <w:tcBorders>
              <w:bottom w:val="single" w:sz="8" w:color="8CBE4F"/>
            </w:tcBorders>
          </w:tcPr>
          <w:p>
            <w:pPr>
              <w:spacing w:after="0"/>
              <w:rPr>
                <w:sz w:val="2"/>
                <w:szCs w:val="2"/>
                <w:color w:val="auto"/>
              </w:rPr>
            </w:pPr>
          </w:p>
        </w:tc>
        <w:tc>
          <w:tcPr>
            <w:tcW w:w="1240" w:type="dxa"/>
            <w:vAlign w:val="bottom"/>
            <w:tcBorders>
              <w:bottom w:val="single" w:sz="8" w:color="8CBE4F"/>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12</w:t>
      </w:r>
      <w:r>
        <w:rPr>
          <w:sz w:val="20"/>
          <w:szCs w:val="20"/>
          <w:color w:val="auto"/>
        </w:rPr>
        <w:tab/>
      </w:r>
      <w:r>
        <w:rPr>
          <w:sz w:val="1"/>
          <w:szCs w:val="1"/>
          <w:color w:val="auto"/>
        </w:rPr>
        <w:drawing>
          <wp:inline distT="0" distB="0" distL="0" distR="0">
            <wp:extent cx="651510" cy="17145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 and other assets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shd w:val="clear" w:color="auto" w:fill="ACACAC"/>
          </w:tcPr>
          <w:p>
            <w:pPr>
              <w:spacing w:after="0"/>
              <w:rPr>
                <w:sz w:val="16"/>
                <w:szCs w:val="16"/>
                <w:color w:val="auto"/>
              </w:rPr>
            </w:pPr>
          </w:p>
        </w:tc>
        <w:tc>
          <w:tcPr>
            <w:tcW w:w="520" w:type="dxa"/>
            <w:vAlign w:val="bottom"/>
            <w:shd w:val="clear" w:color="auto" w:fill="ACACAC"/>
          </w:tcPr>
          <w:p>
            <w:pPr>
              <w:spacing w:after="0"/>
              <w:rPr>
                <w:sz w:val="16"/>
                <w:szCs w:val="16"/>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400" w:type="dxa"/>
            <w:vAlign w:val="bottom"/>
            <w:shd w:val="clear" w:color="auto" w:fill="ACACAC"/>
          </w:tcPr>
          <w:p>
            <w:pPr>
              <w:spacing w:after="0"/>
              <w:rPr>
                <w:sz w:val="16"/>
                <w:szCs w:val="16"/>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6"/>
                <w:szCs w:val="16"/>
                <w:color w:val="auto"/>
              </w:rPr>
            </w:pPr>
          </w:p>
        </w:tc>
      </w:tr>
      <w:tr>
        <w:trPr>
          <w:trHeight w:val="196"/>
        </w:trPr>
        <w:tc>
          <w:tcPr>
            <w:tcW w:w="794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20" w:type="dxa"/>
            <w:vAlign w:val="bottom"/>
            <w:tcBorders>
              <w:bottom w:val="single" w:sz="8" w:color="ACACAC"/>
            </w:tcBorders>
            <w:shd w:val="clear" w:color="auto" w:fill="ACACAC"/>
          </w:tcPr>
          <w:p>
            <w:pPr>
              <w:spacing w:after="0"/>
              <w:rPr>
                <w:sz w:val="17"/>
                <w:szCs w:val="17"/>
                <w:color w:val="auto"/>
              </w:rPr>
            </w:pPr>
          </w:p>
        </w:tc>
        <w:tc>
          <w:tcPr>
            <w:tcW w:w="11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400" w:type="dxa"/>
            <w:vAlign w:val="bottom"/>
            <w:tcBorders>
              <w:bottom w:val="single" w:sz="8" w:color="ACACAC"/>
            </w:tcBorders>
            <w:shd w:val="clear" w:color="auto" w:fill="ACACAC"/>
          </w:tcPr>
          <w:p>
            <w:pPr>
              <w:spacing w:after="0"/>
              <w:rPr>
                <w:sz w:val="17"/>
                <w:szCs w:val="17"/>
                <w:color w:val="auto"/>
              </w:rPr>
            </w:pPr>
          </w:p>
        </w:tc>
        <w:tc>
          <w:tcPr>
            <w:tcW w:w="12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ACACAC"/>
            </w:tcBorders>
            <w:shd w:val="clear" w:color="auto" w:fill="ACACAC"/>
          </w:tcPr>
          <w:p>
            <w:pPr>
              <w:spacing w:after="0"/>
              <w:rPr>
                <w:sz w:val="17"/>
                <w:szCs w:val="17"/>
                <w:color w:val="auto"/>
              </w:rPr>
            </w:pPr>
          </w:p>
        </w:tc>
      </w:tr>
      <w:tr>
        <w:trPr>
          <w:trHeight w:val="324"/>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Costs of obtaining contracts</w:t>
            </w:r>
            <w:r>
              <w:rPr>
                <w:rFonts w:ascii="Arial" w:cs="Arial" w:eastAsia="Arial" w:hAnsi="Arial"/>
                <w:sz w:val="23"/>
                <w:szCs w:val="23"/>
                <w:color w:val="auto"/>
                <w:vertAlign w:val="superscript"/>
              </w:rPr>
              <w:t>(1)(2)</w:t>
            </w:r>
          </w:p>
        </w:tc>
        <w:tc>
          <w:tcPr>
            <w:tcW w:w="520" w:type="dxa"/>
            <w:vAlign w:val="bottom"/>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74,378</w:t>
            </w:r>
          </w:p>
        </w:tc>
        <w:tc>
          <w:tcPr>
            <w:tcW w:w="400" w:type="dxa"/>
            <w:vAlign w:val="bottom"/>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78,465</w:t>
            </w:r>
          </w:p>
        </w:tc>
        <w:tc>
          <w:tcPr>
            <w:tcW w:w="20" w:type="dxa"/>
            <w:vAlign w:val="bottom"/>
          </w:tcPr>
          <w:p>
            <w:pPr>
              <w:spacing w:after="0"/>
              <w:rPr>
                <w:sz w:val="24"/>
                <w:szCs w:val="24"/>
                <w:color w:val="auto"/>
              </w:rPr>
            </w:pPr>
          </w:p>
        </w:tc>
      </w:tr>
      <w:tr>
        <w:trPr>
          <w:trHeight w:val="324"/>
        </w:trPr>
        <w:tc>
          <w:tcPr>
            <w:tcW w:w="7940" w:type="dxa"/>
            <w:vAlign w:val="bottom"/>
          </w:tcPr>
          <w:p>
            <w:pPr>
              <w:ind w:left="20"/>
              <w:spacing w:after="0"/>
              <w:rPr>
                <w:sz w:val="20"/>
                <w:szCs w:val="20"/>
                <w:color w:val="auto"/>
              </w:rPr>
            </w:pPr>
            <w:r>
              <w:rPr>
                <w:rFonts w:ascii="Arial" w:cs="Arial" w:eastAsia="Arial" w:hAnsi="Arial"/>
                <w:sz w:val="18"/>
                <w:szCs w:val="18"/>
                <w:color w:val="auto"/>
              </w:rPr>
              <w:t>Prepaid software maintenance and subscriptions</w:t>
            </w:r>
            <w:r>
              <w:rPr>
                <w:rFonts w:ascii="Arial" w:cs="Arial" w:eastAsia="Arial" w:hAnsi="Arial"/>
                <w:sz w:val="23"/>
                <w:szCs w:val="23"/>
                <w:color w:val="auto"/>
                <w:vertAlign w:val="superscript"/>
              </w:rPr>
              <w:t>(3)</w:t>
            </w:r>
          </w:p>
        </w:tc>
        <w:tc>
          <w:tcPr>
            <w:tcW w:w="5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31,723</w:t>
            </w: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28,880</w:t>
            </w:r>
          </w:p>
        </w:tc>
        <w:tc>
          <w:tcPr>
            <w:tcW w:w="20" w:type="dxa"/>
            <w:vAlign w:val="bottom"/>
          </w:tcPr>
          <w:p>
            <w:pPr>
              <w:spacing w:after="0"/>
              <w:rPr>
                <w:sz w:val="24"/>
                <w:szCs w:val="24"/>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Derivative instruments</w:t>
            </w:r>
          </w:p>
        </w:tc>
        <w:tc>
          <w:tcPr>
            <w:tcW w:w="520" w:type="dxa"/>
            <w:vAlign w:val="bottom"/>
            <w:tcBorders>
              <w:bottom w:val="single" w:sz="8" w:color="F4F4F4"/>
            </w:tcBorders>
            <w:shd w:val="clear" w:color="auto" w:fill="F4F4F4"/>
          </w:tcPr>
          <w:p>
            <w:pPr>
              <w:spacing w:after="0"/>
              <w:rPr>
                <w:sz w:val="21"/>
                <w:szCs w:val="21"/>
                <w:color w:val="auto"/>
              </w:rPr>
            </w:pP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25,412</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7,160</w:t>
            </w:r>
          </w:p>
        </w:tc>
        <w:tc>
          <w:tcPr>
            <w:tcW w:w="20" w:type="dxa"/>
            <w:vAlign w:val="bottom"/>
          </w:tcPr>
          <w:p>
            <w:pPr>
              <w:spacing w:after="0"/>
              <w:rPr>
                <w:sz w:val="21"/>
                <w:szCs w:val="21"/>
                <w:color w:val="auto"/>
              </w:rPr>
            </w:pPr>
          </w:p>
        </w:tc>
      </w:tr>
      <w:tr>
        <w:trPr>
          <w:trHeight w:val="324"/>
        </w:trPr>
        <w:tc>
          <w:tcPr>
            <w:tcW w:w="7940" w:type="dxa"/>
            <w:vAlign w:val="bottom"/>
          </w:tcPr>
          <w:p>
            <w:pPr>
              <w:ind w:left="20"/>
              <w:spacing w:after="0"/>
              <w:rPr>
                <w:sz w:val="20"/>
                <w:szCs w:val="20"/>
                <w:color w:val="auto"/>
              </w:rPr>
            </w:pPr>
            <w:r>
              <w:rPr>
                <w:rFonts w:ascii="Arial" w:cs="Arial" w:eastAsia="Arial" w:hAnsi="Arial"/>
                <w:sz w:val="18"/>
                <w:szCs w:val="18"/>
                <w:color w:val="auto"/>
              </w:rPr>
              <w:t>Implementation costs for cloud computing arrangements, net</w:t>
            </w:r>
            <w:r>
              <w:rPr>
                <w:rFonts w:ascii="Arial" w:cs="Arial" w:eastAsia="Arial" w:hAnsi="Arial"/>
                <w:sz w:val="23"/>
                <w:szCs w:val="23"/>
                <w:color w:val="auto"/>
                <w:vertAlign w:val="superscript"/>
              </w:rPr>
              <w:t>(4)(5)</w:t>
            </w:r>
          </w:p>
        </w:tc>
        <w:tc>
          <w:tcPr>
            <w:tcW w:w="5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10,816</w:t>
            </w: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11,892</w:t>
            </w:r>
          </w:p>
        </w:tc>
        <w:tc>
          <w:tcPr>
            <w:tcW w:w="20" w:type="dxa"/>
            <w:vAlign w:val="bottom"/>
          </w:tcPr>
          <w:p>
            <w:pPr>
              <w:spacing w:after="0"/>
              <w:rPr>
                <w:sz w:val="24"/>
                <w:szCs w:val="24"/>
                <w:color w:val="auto"/>
              </w:rPr>
            </w:pPr>
          </w:p>
        </w:tc>
      </w:tr>
      <w:tr>
        <w:trPr>
          <w:trHeight w:val="324"/>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Receivables for probable insurance recoveries</w:t>
            </w:r>
            <w:r>
              <w:rPr>
                <w:rFonts w:ascii="Arial" w:cs="Arial" w:eastAsia="Arial" w:hAnsi="Arial"/>
                <w:sz w:val="23"/>
                <w:szCs w:val="23"/>
                <w:color w:val="auto"/>
                <w:vertAlign w:val="superscript"/>
              </w:rPr>
              <w:t>(6)(7)</w:t>
            </w:r>
          </w:p>
        </w:tc>
        <w:tc>
          <w:tcPr>
            <w:tcW w:w="520" w:type="dxa"/>
            <w:vAlign w:val="bottom"/>
            <w:shd w:val="clear" w:color="auto" w:fill="F4F4F4"/>
          </w:tcPr>
          <w:p>
            <w:pPr>
              <w:spacing w:after="0"/>
              <w:rPr>
                <w:sz w:val="24"/>
                <w:szCs w:val="24"/>
                <w:color w:val="auto"/>
              </w:rPr>
            </w:pP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10,000</w:t>
            </w:r>
          </w:p>
        </w:tc>
        <w:tc>
          <w:tcPr>
            <w:tcW w:w="400" w:type="dxa"/>
            <w:vAlign w:val="bottom"/>
            <w:shd w:val="clear" w:color="auto" w:fill="F4F4F4"/>
          </w:tcPr>
          <w:p>
            <w:pPr>
              <w:spacing w:after="0"/>
              <w:rPr>
                <w:sz w:val="24"/>
                <w:szCs w:val="24"/>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18,202</w:t>
            </w:r>
          </w:p>
        </w:tc>
        <w:tc>
          <w:tcPr>
            <w:tcW w:w="20" w:type="dxa"/>
            <w:vAlign w:val="bottom"/>
          </w:tcPr>
          <w:p>
            <w:pPr>
              <w:spacing w:after="0"/>
              <w:rPr>
                <w:sz w:val="24"/>
                <w:szCs w:val="24"/>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9,499</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5,363</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Unbilled accounts receivable</w:t>
            </w:r>
          </w:p>
        </w:tc>
        <w:tc>
          <w:tcPr>
            <w:tcW w:w="520" w:type="dxa"/>
            <w:vAlign w:val="bottom"/>
            <w:tcBorders>
              <w:bottom w:val="single" w:sz="8" w:color="F4F4F4"/>
            </w:tcBorders>
            <w:shd w:val="clear" w:color="auto" w:fill="F4F4F4"/>
          </w:tcPr>
          <w:p>
            <w:pPr>
              <w:spacing w:after="0"/>
              <w:rPr>
                <w:sz w:val="21"/>
                <w:szCs w:val="21"/>
                <w:color w:val="auto"/>
              </w:rPr>
            </w:pP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8,243</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5,443</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Taxes, prepaid and receivable</w:t>
            </w: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4,009</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3,986</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Deferred tax assets</w:t>
            </w:r>
          </w:p>
        </w:tc>
        <w:tc>
          <w:tcPr>
            <w:tcW w:w="520" w:type="dxa"/>
            <w:vAlign w:val="bottom"/>
            <w:tcBorders>
              <w:bottom w:val="single" w:sz="8" w:color="F4F4F4"/>
            </w:tcBorders>
            <w:shd w:val="clear" w:color="auto" w:fill="F4F4F4"/>
          </w:tcPr>
          <w:p>
            <w:pPr>
              <w:spacing w:after="0"/>
              <w:rPr>
                <w:sz w:val="21"/>
                <w:szCs w:val="21"/>
                <w:color w:val="auto"/>
              </w:rPr>
            </w:pP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1,466</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1,546</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13,165</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11,835</w:t>
            </w:r>
          </w:p>
        </w:tc>
        <w:tc>
          <w:tcPr>
            <w:tcW w:w="20" w:type="dxa"/>
            <w:vAlign w:val="bottom"/>
          </w:tcPr>
          <w:p>
            <w:pPr>
              <w:spacing w:after="0"/>
              <w:rPr>
                <w:sz w:val="21"/>
                <w:szCs w:val="21"/>
                <w:color w:val="auto"/>
              </w:rPr>
            </w:pPr>
          </w:p>
        </w:tc>
      </w:tr>
      <w:tr>
        <w:trPr>
          <w:trHeight w:val="27"/>
        </w:trPr>
        <w:tc>
          <w:tcPr>
            <w:tcW w:w="7940" w:type="dxa"/>
            <w:vAlign w:val="bottom"/>
            <w:tcBorders>
              <w:bottom w:val="single" w:sz="8" w:color="F4F4F4"/>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794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Total prepaid expenses and other assets</w:t>
            </w:r>
          </w:p>
        </w:tc>
        <w:tc>
          <w:tcPr>
            <w:tcW w:w="520" w:type="dxa"/>
            <w:vAlign w:val="bottom"/>
            <w:tcBorders>
              <w:bottom w:val="single" w:sz="8" w:color="F4F4F4"/>
            </w:tcBorders>
            <w:shd w:val="clear" w:color="auto" w:fill="F4F4F4"/>
          </w:tcPr>
          <w:p>
            <w:pPr>
              <w:spacing w:after="0"/>
              <w:rPr>
                <w:sz w:val="21"/>
                <w:szCs w:val="21"/>
                <w:color w:val="auto"/>
              </w:rPr>
            </w:pP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188,711</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172,772</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Less: Long-term portion</w:t>
            </w: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90,670</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77,266</w:t>
            </w:r>
          </w:p>
        </w:tc>
        <w:tc>
          <w:tcPr>
            <w:tcW w:w="20" w:type="dxa"/>
            <w:vAlign w:val="bottom"/>
          </w:tcPr>
          <w:p>
            <w:pPr>
              <w:spacing w:after="0"/>
              <w:rPr>
                <w:sz w:val="21"/>
                <w:szCs w:val="21"/>
                <w:color w:val="auto"/>
              </w:rPr>
            </w:pPr>
          </w:p>
        </w:tc>
      </w:tr>
      <w:tr>
        <w:trPr>
          <w:trHeight w:val="27"/>
        </w:trPr>
        <w:tc>
          <w:tcPr>
            <w:tcW w:w="7940" w:type="dxa"/>
            <w:vAlign w:val="bottom"/>
            <w:tcBorders>
              <w:bottom w:val="single" w:sz="8" w:color="F4F4F4"/>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520" w:type="dxa"/>
            <w:vAlign w:val="bottom"/>
            <w:tcBorders>
              <w:bottom w:val="single" w:sz="8" w:color="F4F4F4"/>
            </w:tcBorders>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98,041</w:t>
            </w:r>
          </w:p>
        </w:tc>
        <w:tc>
          <w:tcPr>
            <w:tcW w:w="40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95,506</w:t>
            </w:r>
          </w:p>
        </w:tc>
        <w:tc>
          <w:tcPr>
            <w:tcW w:w="20" w:type="dxa"/>
            <w:vAlign w:val="bottom"/>
          </w:tcPr>
          <w:p>
            <w:pPr>
              <w:spacing w:after="0"/>
              <w:rPr>
                <w:sz w:val="21"/>
                <w:szCs w:val="21"/>
                <w:color w:val="auto"/>
              </w:rPr>
            </w:pPr>
          </w:p>
        </w:tc>
      </w:tr>
      <w:tr>
        <w:trPr>
          <w:trHeight w:val="20"/>
        </w:trPr>
        <w:tc>
          <w:tcPr>
            <w:tcW w:w="7940" w:type="dxa"/>
            <w:vAlign w:val="bottom"/>
            <w:shd w:val="clear" w:color="auto" w:fill="71BF43"/>
          </w:tcPr>
          <w:p>
            <w:pPr>
              <w:spacing w:after="0" w:line="20" w:lineRule="exact"/>
              <w:rPr>
                <w:sz w:val="1"/>
                <w:szCs w:val="1"/>
                <w:color w:val="auto"/>
              </w:rPr>
            </w:pPr>
          </w:p>
        </w:tc>
        <w:tc>
          <w:tcPr>
            <w:tcW w:w="520" w:type="dxa"/>
            <w:vAlign w:val="bottom"/>
            <w:shd w:val="clear" w:color="auto" w:fill="71BF43"/>
          </w:tcPr>
          <w:p>
            <w:pPr>
              <w:spacing w:after="0" w:line="20" w:lineRule="exact"/>
              <w:rPr>
                <w:sz w:val="1"/>
                <w:szCs w:val="1"/>
                <w:color w:val="auto"/>
              </w:rPr>
            </w:pPr>
          </w:p>
        </w:tc>
        <w:tc>
          <w:tcPr>
            <w:tcW w:w="1140" w:type="dxa"/>
            <w:vAlign w:val="bottom"/>
            <w:shd w:val="clear" w:color="auto" w:fill="71BF43"/>
          </w:tcPr>
          <w:p>
            <w:pPr>
              <w:spacing w:after="0" w:line="20" w:lineRule="exact"/>
              <w:rPr>
                <w:sz w:val="1"/>
                <w:szCs w:val="1"/>
                <w:color w:val="auto"/>
              </w:rPr>
            </w:pPr>
          </w:p>
        </w:tc>
        <w:tc>
          <w:tcPr>
            <w:tcW w:w="400" w:type="dxa"/>
            <w:vAlign w:val="bottom"/>
            <w:shd w:val="clear" w:color="auto" w:fill="71BF43"/>
          </w:tcPr>
          <w:p>
            <w:pPr>
              <w:spacing w:after="0" w:line="20" w:lineRule="exact"/>
              <w:rPr>
                <w:sz w:val="1"/>
                <w:szCs w:val="1"/>
                <w:color w:val="auto"/>
              </w:rPr>
            </w:pPr>
          </w:p>
        </w:tc>
        <w:tc>
          <w:tcPr>
            <w:tcW w:w="124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9" w:lineRule="exact"/>
        <w:rPr>
          <w:sz w:val="20"/>
          <w:szCs w:val="20"/>
          <w:color w:val="auto"/>
        </w:rPr>
      </w:pPr>
    </w:p>
    <w:p>
      <w:pPr>
        <w:ind w:left="340" w:right="20" w:hanging="332"/>
        <w:spacing w:after="0" w:line="241" w:lineRule="auto"/>
        <w:tabs>
          <w:tab w:leader="none" w:pos="354"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Amortization expense from costs of obtaining contracts was $8.5 million and $17.0 million for the three and six months ended June 30, 2022, respectively, and $9.0 million and $18.2 million for the three and six months ended June 30, 2021.</w:t>
      </w: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current portion of costs of obtaining contracts as of June 30, 2022 and December 31, 2021 was $29.1 million and $30.2 million, respectively.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current portion of prepaid software maintenance and subscriptions as of June 30, 2022 and December 31, 2021 was $28.2 million and $24.7 million, respectively.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These costs primarily relate to the multi-year implementations of our new global enterprise resource planning and customer relationship management systems.</w:t>
      </w:r>
    </w:p>
    <w:p>
      <w:pPr>
        <w:spacing w:after="0" w:line="1" w:lineRule="exact"/>
        <w:rPr>
          <w:rFonts w:ascii="Arial" w:cs="Arial" w:eastAsia="Arial" w:hAnsi="Arial"/>
          <w:sz w:val="14"/>
          <w:szCs w:val="14"/>
          <w:color w:val="auto"/>
        </w:rPr>
      </w:pPr>
    </w:p>
    <w:p>
      <w:pPr>
        <w:jc w:val="both"/>
        <w:ind w:left="340" w:right="20" w:hanging="332"/>
        <w:spacing w:after="0" w:line="241" w:lineRule="auto"/>
        <w:tabs>
          <w:tab w:leader="none" w:pos="354"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Amortization expense from capitalized cloud computing implementation costs was insignificant for the three months ended June 30, 2022 and 2021, respectively, and $1.1 million and $0.9 million for the six months ended June 30, 2022 and 2021, respectively. Accumulated amortization for these costs was $4.1 million and $3.0 million as of June 30, 2022 and December 31, 2021, respectively.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All receivables for probable insurance recoveries are classified as current.</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See discussion of the Security Incident at Note 10 to these condensed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liabilities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shd w:val="clear" w:color="auto" w:fill="ACACAC"/>
          </w:tcPr>
          <w:p>
            <w:pPr>
              <w:spacing w:after="0"/>
              <w:rPr>
                <w:sz w:val="16"/>
                <w:szCs w:val="16"/>
                <w:color w:val="auto"/>
              </w:rPr>
            </w:pPr>
          </w:p>
        </w:tc>
        <w:tc>
          <w:tcPr>
            <w:tcW w:w="580" w:type="dxa"/>
            <w:vAlign w:val="bottom"/>
            <w:shd w:val="clear" w:color="auto" w:fill="ACACAC"/>
          </w:tcPr>
          <w:p>
            <w:pPr>
              <w:spacing w:after="0"/>
              <w:rPr>
                <w:sz w:val="16"/>
                <w:szCs w:val="16"/>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400" w:type="dxa"/>
            <w:vAlign w:val="bottom"/>
            <w:shd w:val="clear" w:color="auto" w:fill="ACACAC"/>
          </w:tcPr>
          <w:p>
            <w:pPr>
              <w:spacing w:after="0"/>
              <w:rPr>
                <w:sz w:val="16"/>
                <w:szCs w:val="16"/>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6"/>
                <w:szCs w:val="16"/>
                <w:color w:val="auto"/>
              </w:rPr>
            </w:pPr>
          </w:p>
        </w:tc>
      </w:tr>
      <w:tr>
        <w:trPr>
          <w:trHeight w:val="196"/>
        </w:trPr>
        <w:tc>
          <w:tcPr>
            <w:tcW w:w="794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80" w:type="dxa"/>
            <w:vAlign w:val="bottom"/>
            <w:tcBorders>
              <w:bottom w:val="single" w:sz="8" w:color="ACACAC"/>
            </w:tcBorders>
            <w:shd w:val="clear" w:color="auto" w:fill="ACACAC"/>
          </w:tcPr>
          <w:p>
            <w:pPr>
              <w:spacing w:after="0"/>
              <w:rPr>
                <w:sz w:val="17"/>
                <w:szCs w:val="17"/>
                <w:color w:val="auto"/>
              </w:rPr>
            </w:pPr>
          </w:p>
        </w:tc>
        <w:tc>
          <w:tcPr>
            <w:tcW w:w="10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400" w:type="dxa"/>
            <w:vAlign w:val="bottom"/>
            <w:tcBorders>
              <w:bottom w:val="single" w:sz="8" w:color="ACACAC"/>
            </w:tcBorders>
            <w:shd w:val="clear" w:color="auto" w:fill="ACACAC"/>
          </w:tcPr>
          <w:p>
            <w:pPr>
              <w:spacing w:after="0"/>
              <w:rPr>
                <w:sz w:val="17"/>
                <w:szCs w:val="17"/>
                <w:color w:val="auto"/>
              </w:rPr>
            </w:pPr>
          </w:p>
        </w:tc>
        <w:tc>
          <w:tcPr>
            <w:tcW w:w="12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ACACAC"/>
            </w:tcBorders>
            <w:shd w:val="clear" w:color="auto" w:fill="ACACAC"/>
          </w:tcPr>
          <w:p>
            <w:pPr>
              <w:spacing w:after="0"/>
              <w:rPr>
                <w:sz w:val="17"/>
                <w:szCs w:val="17"/>
                <w:color w:val="auto"/>
              </w:rPr>
            </w:pPr>
          </w:p>
        </w:tc>
      </w:tr>
      <w:tr>
        <w:trPr>
          <w:trHeight w:val="324"/>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Taxes payable</w:t>
            </w:r>
            <w:r>
              <w:rPr>
                <w:rFonts w:ascii="Arial" w:cs="Arial" w:eastAsia="Arial" w:hAnsi="Arial"/>
                <w:sz w:val="23"/>
                <w:szCs w:val="23"/>
                <w:color w:val="auto"/>
                <w:vertAlign w:val="superscript"/>
              </w:rPr>
              <w:t>(1)</w:t>
            </w:r>
          </w:p>
        </w:tc>
        <w:tc>
          <w:tcPr>
            <w:tcW w:w="580" w:type="dxa"/>
            <w:vAlign w:val="bottom"/>
            <w:shd w:val="clear" w:color="auto" w:fill="F4F4F4"/>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26,488</w:t>
            </w:r>
          </w:p>
        </w:tc>
        <w:tc>
          <w:tcPr>
            <w:tcW w:w="400" w:type="dxa"/>
            <w:vAlign w:val="bottom"/>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19,777</w:t>
            </w:r>
          </w:p>
        </w:tc>
        <w:tc>
          <w:tcPr>
            <w:tcW w:w="20" w:type="dxa"/>
            <w:vAlign w:val="bottom"/>
          </w:tcPr>
          <w:p>
            <w:pPr>
              <w:spacing w:after="0"/>
              <w:rPr>
                <w:sz w:val="24"/>
                <w:szCs w:val="24"/>
                <w:color w:val="auto"/>
              </w:rPr>
            </w:pPr>
          </w:p>
        </w:tc>
      </w:tr>
      <w:tr>
        <w:trPr>
          <w:trHeight w:val="324"/>
        </w:trPr>
        <w:tc>
          <w:tcPr>
            <w:tcW w:w="7940" w:type="dxa"/>
            <w:vAlign w:val="bottom"/>
          </w:tcPr>
          <w:p>
            <w:pPr>
              <w:ind w:left="20"/>
              <w:spacing w:after="0"/>
              <w:rPr>
                <w:sz w:val="20"/>
                <w:szCs w:val="20"/>
                <w:color w:val="auto"/>
              </w:rPr>
            </w:pPr>
            <w:r>
              <w:rPr>
                <w:rFonts w:ascii="Arial" w:cs="Arial" w:eastAsia="Arial" w:hAnsi="Arial"/>
                <w:sz w:val="18"/>
                <w:szCs w:val="18"/>
                <w:color w:val="auto"/>
              </w:rPr>
              <w:t>Accrued legal costs</w:t>
            </w:r>
            <w:r>
              <w:rPr>
                <w:rFonts w:ascii="Arial" w:cs="Arial" w:eastAsia="Arial" w:hAnsi="Arial"/>
                <w:sz w:val="23"/>
                <w:szCs w:val="23"/>
                <w:color w:val="auto"/>
                <w:vertAlign w:val="superscript"/>
              </w:rPr>
              <w:t>(2)</w:t>
            </w:r>
          </w:p>
        </w:tc>
        <w:tc>
          <w:tcPr>
            <w:tcW w:w="5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15,405</w:t>
            </w: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11,724</w:t>
            </w:r>
          </w:p>
        </w:tc>
        <w:tc>
          <w:tcPr>
            <w:tcW w:w="20" w:type="dxa"/>
            <w:vAlign w:val="bottom"/>
          </w:tcPr>
          <w:p>
            <w:pPr>
              <w:spacing w:after="0"/>
              <w:rPr>
                <w:sz w:val="24"/>
                <w:szCs w:val="24"/>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Operating lease liabilities, current portion</w:t>
            </w:r>
          </w:p>
        </w:tc>
        <w:tc>
          <w:tcPr>
            <w:tcW w:w="58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8,560</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9,170</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Customer credit balances</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6,287</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8,403</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Accrued commissions and salaries</w:t>
            </w:r>
          </w:p>
        </w:tc>
        <w:tc>
          <w:tcPr>
            <w:tcW w:w="58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5,457</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7,872</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Accrued health care costs</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2,676</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3,042</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Accrued vacation costs</w:t>
            </w:r>
          </w:p>
        </w:tc>
        <w:tc>
          <w:tcPr>
            <w:tcW w:w="58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2,266</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2,234</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Accrued transaction-based costs related to payments services</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2,236</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5,427</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Accrued bonuses</w:t>
            </w:r>
          </w:p>
        </w:tc>
        <w:tc>
          <w:tcPr>
            <w:tcW w:w="58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1,845</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5,829</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Unrecognized tax benefit</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1,533</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1,248</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Amounts payable to former EVERFI option holders</w:t>
            </w:r>
            <w:r>
              <w:rPr>
                <w:rFonts w:ascii="Arial" w:cs="Arial" w:eastAsia="Arial" w:hAnsi="Arial"/>
                <w:sz w:val="23"/>
                <w:szCs w:val="23"/>
                <w:color w:val="auto"/>
                <w:vertAlign w:val="superscript"/>
              </w:rPr>
              <w:t>(3)</w:t>
            </w:r>
          </w:p>
        </w:tc>
        <w:tc>
          <w:tcPr>
            <w:tcW w:w="580" w:type="dxa"/>
            <w:vAlign w:val="bottom"/>
            <w:shd w:val="clear" w:color="auto" w:fill="F4F4F4"/>
          </w:tcPr>
          <w:p>
            <w:pPr>
              <w:spacing w:after="0"/>
              <w:rPr>
                <w:sz w:val="24"/>
                <w:szCs w:val="24"/>
                <w:color w:val="auto"/>
              </w:rPr>
            </w:pP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F4F4F4"/>
          </w:tcPr>
          <w:p>
            <w:pPr>
              <w:spacing w:after="0"/>
              <w:rPr>
                <w:sz w:val="24"/>
                <w:szCs w:val="24"/>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17,404</w:t>
            </w:r>
          </w:p>
        </w:tc>
        <w:tc>
          <w:tcPr>
            <w:tcW w:w="20" w:type="dxa"/>
            <w:vAlign w:val="bottom"/>
          </w:tcPr>
          <w:p>
            <w:pPr>
              <w:spacing w:after="0"/>
              <w:rPr>
                <w:sz w:val="24"/>
                <w:szCs w:val="24"/>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6,286</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9,310</w:t>
            </w:r>
          </w:p>
        </w:tc>
        <w:tc>
          <w:tcPr>
            <w:tcW w:w="20" w:type="dxa"/>
            <w:vAlign w:val="bottom"/>
          </w:tcPr>
          <w:p>
            <w:pPr>
              <w:spacing w:after="0"/>
              <w:rPr>
                <w:sz w:val="21"/>
                <w:szCs w:val="21"/>
                <w:color w:val="auto"/>
              </w:rPr>
            </w:pPr>
          </w:p>
        </w:tc>
      </w:tr>
      <w:tr>
        <w:trPr>
          <w:trHeight w:val="27"/>
        </w:trPr>
        <w:tc>
          <w:tcPr>
            <w:tcW w:w="7940" w:type="dxa"/>
            <w:vAlign w:val="bottom"/>
            <w:tcBorders>
              <w:bottom w:val="single" w:sz="8" w:color="F4F4F4"/>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794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Total accrued expenses and other liabilities</w:t>
            </w:r>
          </w:p>
        </w:tc>
        <w:tc>
          <w:tcPr>
            <w:tcW w:w="58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79,039</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101,440</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Less: Long-term portion</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1,628</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1,344</w:t>
            </w:r>
          </w:p>
        </w:tc>
        <w:tc>
          <w:tcPr>
            <w:tcW w:w="20" w:type="dxa"/>
            <w:vAlign w:val="bottom"/>
          </w:tcPr>
          <w:p>
            <w:pPr>
              <w:spacing w:after="0"/>
              <w:rPr>
                <w:sz w:val="21"/>
                <w:szCs w:val="21"/>
                <w:color w:val="auto"/>
              </w:rPr>
            </w:pPr>
          </w:p>
        </w:tc>
      </w:tr>
      <w:tr>
        <w:trPr>
          <w:trHeight w:val="27"/>
        </w:trPr>
        <w:tc>
          <w:tcPr>
            <w:tcW w:w="7940" w:type="dxa"/>
            <w:vAlign w:val="bottom"/>
            <w:tcBorders>
              <w:bottom w:val="single" w:sz="8" w:color="F4F4F4"/>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580" w:type="dxa"/>
            <w:vAlign w:val="bottom"/>
            <w:tcBorders>
              <w:bottom w:val="single" w:sz="8" w:color="F4F4F4"/>
            </w:tcBorders>
            <w:shd w:val="clear" w:color="auto" w:fill="F4F4F4"/>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77,411</w:t>
            </w:r>
          </w:p>
        </w:tc>
        <w:tc>
          <w:tcPr>
            <w:tcW w:w="40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100,096</w:t>
            </w:r>
          </w:p>
        </w:tc>
        <w:tc>
          <w:tcPr>
            <w:tcW w:w="20" w:type="dxa"/>
            <w:vAlign w:val="bottom"/>
          </w:tcPr>
          <w:p>
            <w:pPr>
              <w:spacing w:after="0"/>
              <w:rPr>
                <w:sz w:val="21"/>
                <w:szCs w:val="21"/>
                <w:color w:val="auto"/>
              </w:rPr>
            </w:pPr>
          </w:p>
        </w:tc>
      </w:tr>
      <w:tr>
        <w:trPr>
          <w:trHeight w:val="20"/>
        </w:trPr>
        <w:tc>
          <w:tcPr>
            <w:tcW w:w="7940" w:type="dxa"/>
            <w:vAlign w:val="bottom"/>
            <w:shd w:val="clear" w:color="auto" w:fill="71BF43"/>
          </w:tcPr>
          <w:p>
            <w:pPr>
              <w:spacing w:after="0" w:line="20" w:lineRule="exact"/>
              <w:rPr>
                <w:sz w:val="1"/>
                <w:szCs w:val="1"/>
                <w:color w:val="auto"/>
              </w:rPr>
            </w:pPr>
          </w:p>
        </w:tc>
        <w:tc>
          <w:tcPr>
            <w:tcW w:w="580" w:type="dxa"/>
            <w:vAlign w:val="bottom"/>
            <w:shd w:val="clear" w:color="auto" w:fill="71BF43"/>
          </w:tcPr>
          <w:p>
            <w:pPr>
              <w:spacing w:after="0" w:line="20" w:lineRule="exact"/>
              <w:rPr>
                <w:sz w:val="1"/>
                <w:szCs w:val="1"/>
                <w:color w:val="auto"/>
              </w:rPr>
            </w:pPr>
          </w:p>
        </w:tc>
        <w:tc>
          <w:tcPr>
            <w:tcW w:w="1080" w:type="dxa"/>
            <w:vAlign w:val="bottom"/>
            <w:shd w:val="clear" w:color="auto" w:fill="71BF43"/>
          </w:tcPr>
          <w:p>
            <w:pPr>
              <w:spacing w:after="0" w:line="20" w:lineRule="exact"/>
              <w:rPr>
                <w:sz w:val="1"/>
                <w:szCs w:val="1"/>
                <w:color w:val="auto"/>
              </w:rPr>
            </w:pPr>
          </w:p>
        </w:tc>
        <w:tc>
          <w:tcPr>
            <w:tcW w:w="400" w:type="dxa"/>
            <w:vAlign w:val="bottom"/>
            <w:shd w:val="clear" w:color="auto" w:fill="71BF43"/>
          </w:tcPr>
          <w:p>
            <w:pPr>
              <w:spacing w:after="0" w:line="20" w:lineRule="exact"/>
              <w:rPr>
                <w:sz w:val="1"/>
                <w:szCs w:val="1"/>
                <w:color w:val="auto"/>
              </w:rPr>
            </w:pPr>
          </w:p>
        </w:tc>
        <w:tc>
          <w:tcPr>
            <w:tcW w:w="124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6" w:lineRule="exact"/>
        <w:rPr>
          <w:sz w:val="20"/>
          <w:szCs w:val="20"/>
          <w:color w:val="auto"/>
        </w:rPr>
      </w:pPr>
    </w:p>
    <w:p>
      <w:pPr>
        <w:ind w:left="340" w:right="20" w:hanging="332"/>
        <w:spacing w:after="0" w:line="258" w:lineRule="auto"/>
        <w:tabs>
          <w:tab w:leader="none" w:pos="354"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deferred payments of the employer's portion of Social Security taxes during 2020 under the Coronavirus, Aid, Relief and Economic Security Act, half of which was due by the end of calendar year 2021 with the remainder due by the end of calendar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214630</wp:posOffset>
            </wp:positionV>
            <wp:extent cx="65976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480"/>
              <w:spacing w:after="0"/>
              <w:rPr>
                <w:sz w:val="20"/>
                <w:szCs w:val="20"/>
                <w:color w:val="auto"/>
              </w:rPr>
            </w:pPr>
            <w:r>
              <w:rPr>
                <w:rFonts w:ascii="Arial" w:cs="Arial" w:eastAsia="Arial" w:hAnsi="Arial"/>
                <w:sz w:val="14"/>
                <w:szCs w:val="14"/>
                <w:color w:val="auto"/>
              </w:rPr>
              <w:t>Second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316"/>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All accrued legal costs are classified as current.</w:t>
      </w:r>
    </w:p>
    <w:p>
      <w:pPr>
        <w:spacing w:after="0" w:line="1" w:lineRule="exact"/>
        <w:rPr>
          <w:rFonts w:ascii="Arial" w:cs="Arial" w:eastAsia="Arial" w:hAnsi="Arial"/>
          <w:sz w:val="14"/>
          <w:szCs w:val="14"/>
          <w:color w:val="auto"/>
        </w:rPr>
      </w:pPr>
    </w:p>
    <w:p>
      <w:pPr>
        <w:ind w:left="340" w:right="20" w:hanging="332"/>
        <w:spacing w:after="0" w:line="258" w:lineRule="auto"/>
        <w:tabs>
          <w:tab w:leader="none" w:pos="354"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amounts that had not been paid by EVERFI to its former option holders as of December 31, 2021, solely due to the timing of the acquisition on the last day of 2021. See Note 3 to these condensed consolidated financial statements for additional information regarding our acquisition of EVERFI.</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 (expense), net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00" w:type="dxa"/>
            <w:vAlign w:val="bottom"/>
            <w:shd w:val="clear" w:color="auto" w:fill="ACACAC"/>
          </w:tcPr>
          <w:p>
            <w:pPr>
              <w:spacing w:after="0"/>
              <w:rPr>
                <w:sz w:val="16"/>
                <w:szCs w:val="16"/>
                <w:color w:val="auto"/>
              </w:rPr>
            </w:pPr>
          </w:p>
        </w:tc>
        <w:tc>
          <w:tcPr>
            <w:tcW w:w="620" w:type="dxa"/>
            <w:vAlign w:val="bottom"/>
            <w:shd w:val="clear" w:color="auto" w:fill="ACACAC"/>
          </w:tcPr>
          <w:p>
            <w:pPr>
              <w:spacing w:after="0"/>
              <w:rPr>
                <w:sz w:val="16"/>
                <w:szCs w:val="16"/>
                <w:color w:val="auto"/>
              </w:rPr>
            </w:pPr>
          </w:p>
        </w:tc>
        <w:tc>
          <w:tcPr>
            <w:tcW w:w="1020" w:type="dxa"/>
            <w:vAlign w:val="bottom"/>
            <w:shd w:val="clear" w:color="auto" w:fill="ACACAC"/>
          </w:tcPr>
          <w:p>
            <w:pPr>
              <w:spacing w:after="0"/>
              <w:rPr>
                <w:sz w:val="16"/>
                <w:szCs w:val="16"/>
                <w:color w:val="auto"/>
              </w:rPr>
            </w:pPr>
          </w:p>
        </w:tc>
        <w:tc>
          <w:tcPr>
            <w:tcW w:w="160" w:type="dxa"/>
            <w:vAlign w:val="bottom"/>
            <w:shd w:val="clear" w:color="auto" w:fill="ACACAC"/>
          </w:tcPr>
          <w:p>
            <w:pPr>
              <w:spacing w:after="0"/>
              <w:rPr>
                <w:sz w:val="16"/>
                <w:szCs w:val="16"/>
                <w:color w:val="auto"/>
              </w:rPr>
            </w:pPr>
          </w:p>
        </w:tc>
        <w:tc>
          <w:tcPr>
            <w:tcW w:w="148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6"/>
                <w:szCs w:val="16"/>
                <w:color w:val="auto"/>
              </w:rPr>
            </w:pPr>
          </w:p>
        </w:tc>
        <w:tc>
          <w:tcPr>
            <w:tcW w:w="600" w:type="dxa"/>
            <w:vAlign w:val="bottom"/>
            <w:shd w:val="clear" w:color="auto" w:fill="ACACAC"/>
          </w:tcPr>
          <w:p>
            <w:pPr>
              <w:spacing w:after="0"/>
              <w:rPr>
                <w:sz w:val="16"/>
                <w:szCs w:val="16"/>
                <w:color w:val="auto"/>
              </w:rPr>
            </w:pPr>
          </w:p>
        </w:tc>
        <w:tc>
          <w:tcPr>
            <w:tcW w:w="1020" w:type="dxa"/>
            <w:vAlign w:val="bottom"/>
            <w:shd w:val="clear" w:color="auto" w:fill="ACACAC"/>
          </w:tcPr>
          <w:p>
            <w:pPr>
              <w:spacing w:after="0"/>
              <w:rPr>
                <w:sz w:val="16"/>
                <w:szCs w:val="16"/>
                <w:color w:val="auto"/>
              </w:rPr>
            </w:pPr>
          </w:p>
        </w:tc>
        <w:tc>
          <w:tcPr>
            <w:tcW w:w="260" w:type="dxa"/>
            <w:vAlign w:val="bottom"/>
            <w:shd w:val="clear" w:color="auto" w:fill="ACACAC"/>
          </w:tcPr>
          <w:p>
            <w:pPr>
              <w:spacing w:after="0"/>
              <w:rPr>
                <w:sz w:val="16"/>
                <w:szCs w:val="16"/>
                <w:color w:val="auto"/>
              </w:rPr>
            </w:pPr>
          </w:p>
        </w:tc>
        <w:tc>
          <w:tcPr>
            <w:tcW w:w="13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Six months ended</w:t>
            </w:r>
          </w:p>
        </w:tc>
        <w:tc>
          <w:tcPr>
            <w:tcW w:w="20" w:type="dxa"/>
            <w:vAlign w:val="bottom"/>
            <w:shd w:val="clear" w:color="auto" w:fill="ACACAC"/>
          </w:tcPr>
          <w:p>
            <w:pPr>
              <w:spacing w:after="0"/>
              <w:rPr>
                <w:sz w:val="16"/>
                <w:szCs w:val="16"/>
                <w:color w:val="auto"/>
              </w:rPr>
            </w:pPr>
          </w:p>
        </w:tc>
      </w:tr>
      <w:tr>
        <w:trPr>
          <w:trHeight w:val="190"/>
        </w:trPr>
        <w:tc>
          <w:tcPr>
            <w:tcW w:w="4600" w:type="dxa"/>
            <w:vAlign w:val="bottom"/>
            <w:shd w:val="clear" w:color="auto" w:fill="ACACAC"/>
          </w:tcPr>
          <w:p>
            <w:pPr>
              <w:spacing w:after="0"/>
              <w:rPr>
                <w:sz w:val="16"/>
                <w:szCs w:val="16"/>
                <w:color w:val="auto"/>
              </w:rPr>
            </w:pPr>
          </w:p>
        </w:tc>
        <w:tc>
          <w:tcPr>
            <w:tcW w:w="620" w:type="dxa"/>
            <w:vAlign w:val="bottom"/>
            <w:shd w:val="clear" w:color="auto" w:fill="ACACAC"/>
          </w:tcPr>
          <w:p>
            <w:pPr>
              <w:spacing w:after="0"/>
              <w:rPr>
                <w:sz w:val="16"/>
                <w:szCs w:val="16"/>
                <w:color w:val="auto"/>
              </w:rPr>
            </w:pPr>
          </w:p>
        </w:tc>
        <w:tc>
          <w:tcPr>
            <w:tcW w:w="1020" w:type="dxa"/>
            <w:vAlign w:val="bottom"/>
            <w:shd w:val="clear" w:color="auto" w:fill="ACACAC"/>
          </w:tcPr>
          <w:p>
            <w:pPr>
              <w:spacing w:after="0"/>
              <w:rPr>
                <w:sz w:val="16"/>
                <w:szCs w:val="16"/>
                <w:color w:val="auto"/>
              </w:rPr>
            </w:pPr>
          </w:p>
        </w:tc>
        <w:tc>
          <w:tcPr>
            <w:tcW w:w="160" w:type="dxa"/>
            <w:vAlign w:val="bottom"/>
            <w:shd w:val="clear" w:color="auto" w:fill="ACACAC"/>
          </w:tcPr>
          <w:p>
            <w:pPr>
              <w:spacing w:after="0"/>
              <w:rPr>
                <w:sz w:val="16"/>
                <w:szCs w:val="16"/>
                <w:color w:val="auto"/>
              </w:rPr>
            </w:pPr>
          </w:p>
        </w:tc>
        <w:tc>
          <w:tcPr>
            <w:tcW w:w="148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100" w:type="dxa"/>
            <w:vAlign w:val="bottom"/>
          </w:tcPr>
          <w:p>
            <w:pPr>
              <w:spacing w:after="0"/>
              <w:rPr>
                <w:sz w:val="16"/>
                <w:szCs w:val="16"/>
                <w:color w:val="auto"/>
              </w:rPr>
            </w:pPr>
          </w:p>
        </w:tc>
        <w:tc>
          <w:tcPr>
            <w:tcW w:w="600" w:type="dxa"/>
            <w:vAlign w:val="bottom"/>
            <w:shd w:val="clear" w:color="auto" w:fill="ACACAC"/>
          </w:tcPr>
          <w:p>
            <w:pPr>
              <w:spacing w:after="0"/>
              <w:rPr>
                <w:sz w:val="16"/>
                <w:szCs w:val="16"/>
                <w:color w:val="auto"/>
              </w:rPr>
            </w:pPr>
          </w:p>
        </w:tc>
        <w:tc>
          <w:tcPr>
            <w:tcW w:w="1020" w:type="dxa"/>
            <w:vAlign w:val="bottom"/>
            <w:shd w:val="clear" w:color="auto" w:fill="ACACAC"/>
          </w:tcPr>
          <w:p>
            <w:pPr>
              <w:spacing w:after="0"/>
              <w:rPr>
                <w:sz w:val="16"/>
                <w:szCs w:val="16"/>
                <w:color w:val="auto"/>
              </w:rPr>
            </w:pPr>
          </w:p>
        </w:tc>
        <w:tc>
          <w:tcPr>
            <w:tcW w:w="260" w:type="dxa"/>
            <w:vAlign w:val="bottom"/>
            <w:shd w:val="clear" w:color="auto" w:fill="ACACAC"/>
          </w:tcPr>
          <w:p>
            <w:pPr>
              <w:spacing w:after="0"/>
              <w:rPr>
                <w:sz w:val="16"/>
                <w:szCs w:val="16"/>
                <w:color w:val="auto"/>
              </w:rPr>
            </w:pPr>
          </w:p>
        </w:tc>
        <w:tc>
          <w:tcPr>
            <w:tcW w:w="13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20" w:type="dxa"/>
            <w:vAlign w:val="bottom"/>
            <w:shd w:val="clear" w:color="auto" w:fill="ACACAC"/>
          </w:tcPr>
          <w:p>
            <w:pPr>
              <w:spacing w:after="0"/>
              <w:rPr>
                <w:sz w:val="16"/>
                <w:szCs w:val="16"/>
                <w:color w:val="auto"/>
              </w:rPr>
            </w:pPr>
          </w:p>
        </w:tc>
      </w:tr>
      <w:tr>
        <w:trPr>
          <w:trHeight w:val="236"/>
        </w:trPr>
        <w:tc>
          <w:tcPr>
            <w:tcW w:w="460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620" w:type="dxa"/>
            <w:vAlign w:val="bottom"/>
            <w:tcBorders>
              <w:bottom w:val="single" w:sz="8" w:color="ACACAC"/>
            </w:tcBorders>
            <w:shd w:val="clear" w:color="auto" w:fill="ACACAC"/>
          </w:tcPr>
          <w:p>
            <w:pPr>
              <w:spacing w:after="0"/>
              <w:rPr>
                <w:sz w:val="20"/>
                <w:szCs w:val="20"/>
                <w:color w:val="auto"/>
              </w:rPr>
            </w:pPr>
          </w:p>
        </w:tc>
        <w:tc>
          <w:tcPr>
            <w:tcW w:w="10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160" w:type="dxa"/>
            <w:vAlign w:val="bottom"/>
            <w:tcBorders>
              <w:bottom w:val="single" w:sz="8" w:color="ACACAC"/>
            </w:tcBorders>
            <w:shd w:val="clear" w:color="auto" w:fill="ACACAC"/>
          </w:tcPr>
          <w:p>
            <w:pPr>
              <w:spacing w:after="0"/>
              <w:rPr>
                <w:sz w:val="20"/>
                <w:szCs w:val="20"/>
                <w:color w:val="auto"/>
              </w:rPr>
            </w:pPr>
          </w:p>
        </w:tc>
        <w:tc>
          <w:tcPr>
            <w:tcW w:w="1480" w:type="dxa"/>
            <w:vAlign w:val="bottom"/>
            <w:tcBorders>
              <w:bottom w:val="single" w:sz="8" w:color="ACACAC"/>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00" w:type="dxa"/>
            <w:vAlign w:val="bottom"/>
            <w:tcBorders>
              <w:bottom w:val="single" w:sz="8" w:color="F4F4F4"/>
            </w:tcBorders>
          </w:tcPr>
          <w:p>
            <w:pPr>
              <w:spacing w:after="0"/>
              <w:rPr>
                <w:sz w:val="20"/>
                <w:szCs w:val="20"/>
                <w:color w:val="auto"/>
              </w:rPr>
            </w:pPr>
          </w:p>
        </w:tc>
        <w:tc>
          <w:tcPr>
            <w:tcW w:w="600" w:type="dxa"/>
            <w:vAlign w:val="bottom"/>
            <w:tcBorders>
              <w:bottom w:val="single" w:sz="8" w:color="ACACAC"/>
            </w:tcBorders>
            <w:shd w:val="clear" w:color="auto" w:fill="ACACAC"/>
          </w:tcPr>
          <w:p>
            <w:pPr>
              <w:spacing w:after="0"/>
              <w:rPr>
                <w:sz w:val="20"/>
                <w:szCs w:val="20"/>
                <w:color w:val="auto"/>
              </w:rPr>
            </w:pPr>
          </w:p>
        </w:tc>
        <w:tc>
          <w:tcPr>
            <w:tcW w:w="10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260" w:type="dxa"/>
            <w:vAlign w:val="bottom"/>
            <w:tcBorders>
              <w:bottom w:val="single" w:sz="8" w:color="ACACAC"/>
            </w:tcBorders>
            <w:shd w:val="clear" w:color="auto" w:fill="ACACAC"/>
          </w:tcPr>
          <w:p>
            <w:pPr>
              <w:spacing w:after="0"/>
              <w:rPr>
                <w:sz w:val="20"/>
                <w:szCs w:val="20"/>
                <w:color w:val="auto"/>
              </w:rPr>
            </w:pPr>
          </w:p>
        </w:tc>
        <w:tc>
          <w:tcPr>
            <w:tcW w:w="13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50"/>
        </w:trPr>
        <w:tc>
          <w:tcPr>
            <w:tcW w:w="46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Interest income</w:t>
            </w:r>
          </w:p>
        </w:tc>
        <w:tc>
          <w:tcPr>
            <w:tcW w:w="620" w:type="dxa"/>
            <w:vAlign w:val="bottom"/>
            <w:tcBorders>
              <w:bottom w:val="single" w:sz="8" w:color="F4F4F4"/>
            </w:tcBorders>
            <w:shd w:val="clear" w:color="auto" w:fill="F4F4F4"/>
          </w:tcPr>
          <w:p>
            <w:pPr>
              <w:jc w:val="right"/>
              <w:ind w:right="4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F4F4F4"/>
              <w:right w:val="single" w:sz="8" w:color="F4F4F4"/>
            </w:tcBorders>
            <w:shd w:val="clear" w:color="auto" w:fill="F4F4F4"/>
          </w:tcPr>
          <w:p>
            <w:pPr>
              <w:jc w:val="right"/>
              <w:ind w:right="18"/>
              <w:spacing w:after="0"/>
              <w:rPr>
                <w:sz w:val="20"/>
                <w:szCs w:val="20"/>
                <w:color w:val="auto"/>
              </w:rPr>
            </w:pPr>
            <w:r>
              <w:rPr>
                <w:rFonts w:ascii="Arial" w:cs="Arial" w:eastAsia="Arial" w:hAnsi="Arial"/>
                <w:sz w:val="18"/>
                <w:szCs w:val="18"/>
                <w:color w:val="auto"/>
              </w:rPr>
              <w:t>77</w:t>
            </w:r>
          </w:p>
        </w:tc>
        <w:tc>
          <w:tcPr>
            <w:tcW w:w="700" w:type="dxa"/>
            <w:vAlign w:val="bottom"/>
            <w:tcBorders>
              <w:bottom w:val="single" w:sz="8" w:color="F4F4F4"/>
            </w:tcBorders>
            <w:gridSpan w:val="2"/>
            <w:shd w:val="clear" w:color="auto" w:fill="F4F4F4"/>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237</w:t>
            </w:r>
          </w:p>
        </w:tc>
        <w:tc>
          <w:tcPr>
            <w:tcW w:w="260" w:type="dxa"/>
            <w:vAlign w:val="bottom"/>
            <w:tcBorders>
              <w:bottom w:val="single" w:sz="8" w:color="F4F4F4"/>
            </w:tcBorders>
            <w:shd w:val="clear" w:color="auto" w:fill="F4F4F4"/>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229</w:t>
            </w:r>
          </w:p>
        </w:tc>
        <w:tc>
          <w:tcPr>
            <w:tcW w:w="20" w:type="dxa"/>
            <w:vAlign w:val="bottom"/>
          </w:tcPr>
          <w:p>
            <w:pPr>
              <w:spacing w:after="0"/>
              <w:rPr>
                <w:sz w:val="21"/>
                <w:szCs w:val="21"/>
                <w:color w:val="auto"/>
              </w:rPr>
            </w:pP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Currency revaluation gains (losses)</w:t>
            </w:r>
          </w:p>
        </w:tc>
        <w:tc>
          <w:tcPr>
            <w:tcW w:w="6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2,271</w:t>
            </w:r>
          </w:p>
        </w:tc>
        <w:tc>
          <w:tcPr>
            <w:tcW w:w="160" w:type="dxa"/>
            <w:vAlign w:val="bottom"/>
          </w:tcPr>
          <w:p>
            <w:pPr>
              <w:spacing w:after="0"/>
              <w:rPr>
                <w:sz w:val="21"/>
                <w:szCs w:val="21"/>
                <w:color w:val="auto"/>
              </w:rPr>
            </w:pP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2,853</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(1,167)</w:t>
            </w:r>
          </w:p>
        </w:tc>
        <w:tc>
          <w:tcPr>
            <w:tcW w:w="2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6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Other income, net</w:t>
            </w:r>
          </w:p>
        </w:tc>
        <w:tc>
          <w:tcPr>
            <w:tcW w:w="620" w:type="dxa"/>
            <w:vAlign w:val="bottom"/>
            <w:tcBorders>
              <w:bottom w:val="single" w:sz="8" w:color="F4F4F4"/>
            </w:tcBorders>
            <w:shd w:val="clear" w:color="auto" w:fill="F4F4F4"/>
          </w:tcPr>
          <w:p>
            <w:pPr>
              <w:spacing w:after="0"/>
              <w:rPr>
                <w:sz w:val="23"/>
                <w:szCs w:val="23"/>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748</w:t>
            </w:r>
          </w:p>
        </w:tc>
        <w:tc>
          <w:tcPr>
            <w:tcW w:w="160" w:type="dxa"/>
            <w:vAlign w:val="bottom"/>
            <w:tcBorders>
              <w:bottom w:val="single" w:sz="8" w:color="F4F4F4"/>
            </w:tcBorders>
            <w:shd w:val="clear" w:color="auto" w:fill="F4F4F4"/>
          </w:tcPr>
          <w:p>
            <w:pPr>
              <w:spacing w:after="0"/>
              <w:rPr>
                <w:sz w:val="23"/>
                <w:szCs w:val="23"/>
                <w:color w:val="auto"/>
              </w:rPr>
            </w:pPr>
          </w:p>
        </w:tc>
        <w:tc>
          <w:tcPr>
            <w:tcW w:w="1480" w:type="dxa"/>
            <w:vAlign w:val="bottom"/>
            <w:tcBorders>
              <w:bottom w:val="single" w:sz="8" w:color="F4F4F4"/>
              <w:right w:val="single" w:sz="8" w:color="F4F4F4"/>
            </w:tcBorders>
            <w:shd w:val="clear" w:color="auto" w:fill="F4F4F4"/>
          </w:tcPr>
          <w:p>
            <w:pPr>
              <w:jc w:val="right"/>
              <w:ind w:right="18"/>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F4F4F4"/>
            </w:tcBorders>
            <w:shd w:val="clear" w:color="auto" w:fill="F4F4F4"/>
          </w:tcPr>
          <w:p>
            <w:pPr>
              <w:spacing w:after="0"/>
              <w:rPr>
                <w:sz w:val="23"/>
                <w:szCs w:val="23"/>
                <w:color w:val="auto"/>
              </w:rPr>
            </w:pPr>
          </w:p>
        </w:tc>
        <w:tc>
          <w:tcPr>
            <w:tcW w:w="600" w:type="dxa"/>
            <w:vAlign w:val="bottom"/>
            <w:tcBorders>
              <w:bottom w:val="single" w:sz="8" w:color="F4F4F4"/>
            </w:tcBorders>
            <w:shd w:val="clear" w:color="auto" w:fill="F4F4F4"/>
          </w:tcPr>
          <w:p>
            <w:pPr>
              <w:spacing w:after="0"/>
              <w:rPr>
                <w:sz w:val="23"/>
                <w:szCs w:val="23"/>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1,164</w:t>
            </w:r>
          </w:p>
        </w:tc>
        <w:tc>
          <w:tcPr>
            <w:tcW w:w="260" w:type="dxa"/>
            <w:vAlign w:val="bottom"/>
            <w:tcBorders>
              <w:bottom w:val="single" w:sz="8" w:color="F4F4F4"/>
            </w:tcBorders>
            <w:shd w:val="clear" w:color="auto" w:fill="F4F4F4"/>
          </w:tcPr>
          <w:p>
            <w:pPr>
              <w:spacing w:after="0"/>
              <w:rPr>
                <w:sz w:val="23"/>
                <w:szCs w:val="23"/>
                <w:color w:val="auto"/>
              </w:rPr>
            </w:pPr>
          </w:p>
        </w:tc>
        <w:tc>
          <w:tcPr>
            <w:tcW w:w="13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415</w:t>
            </w:r>
          </w:p>
        </w:tc>
        <w:tc>
          <w:tcPr>
            <w:tcW w:w="20" w:type="dxa"/>
            <w:vAlign w:val="bottom"/>
          </w:tcPr>
          <w:p>
            <w:pPr>
              <w:spacing w:after="0"/>
              <w:rPr>
                <w:sz w:val="23"/>
                <w:szCs w:val="23"/>
                <w:color w:val="auto"/>
              </w:rPr>
            </w:pPr>
          </w:p>
        </w:tc>
      </w:tr>
      <w:tr>
        <w:trPr>
          <w:trHeight w:val="237"/>
        </w:trPr>
        <w:tc>
          <w:tcPr>
            <w:tcW w:w="4600" w:type="dxa"/>
            <w:vAlign w:val="bottom"/>
          </w:tcPr>
          <w:p>
            <w:pPr>
              <w:ind w:left="140"/>
              <w:spacing w:after="0"/>
              <w:rPr>
                <w:sz w:val="20"/>
                <w:szCs w:val="20"/>
                <w:color w:val="auto"/>
              </w:rPr>
            </w:pPr>
            <w:r>
              <w:rPr>
                <w:rFonts w:ascii="Arial" w:cs="Arial" w:eastAsia="Arial" w:hAnsi="Arial"/>
                <w:sz w:val="18"/>
                <w:szCs w:val="18"/>
                <w:color w:val="auto"/>
              </w:rPr>
              <w:t>Other income (expense), net</w:t>
            </w:r>
          </w:p>
        </w:tc>
        <w:tc>
          <w:tcPr>
            <w:tcW w:w="620" w:type="dxa"/>
            <w:vAlign w:val="bottom"/>
            <w:tcBorders>
              <w:top w:val="single" w:sz="8" w:color="ACACAC"/>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CACAC"/>
            </w:tcBorders>
          </w:tcPr>
          <w:p>
            <w:pPr>
              <w:jc w:val="right"/>
              <w:spacing w:after="0"/>
              <w:rPr>
                <w:sz w:val="20"/>
                <w:szCs w:val="20"/>
                <w:color w:val="auto"/>
              </w:rPr>
            </w:pPr>
            <w:r>
              <w:rPr>
                <w:rFonts w:ascii="Arial" w:cs="Arial" w:eastAsia="Arial" w:hAnsi="Arial"/>
                <w:sz w:val="18"/>
                <w:szCs w:val="18"/>
                <w:color w:val="auto"/>
              </w:rPr>
              <w:t>3,133</w:t>
            </w:r>
          </w:p>
        </w:tc>
        <w:tc>
          <w:tcPr>
            <w:tcW w:w="160" w:type="dxa"/>
            <w:vAlign w:val="bottom"/>
            <w:tcBorders>
              <w:top w:val="single" w:sz="8" w:color="ACACAC"/>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CACAC"/>
            </w:tcBorders>
          </w:tcPr>
          <w:p>
            <w:pPr>
              <w:jc w:val="right"/>
              <w:ind w:right="18"/>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0"/>
                <w:szCs w:val="20"/>
                <w:color w:val="auto"/>
              </w:rPr>
            </w:pPr>
          </w:p>
        </w:tc>
        <w:tc>
          <w:tcPr>
            <w:tcW w:w="600" w:type="dxa"/>
            <w:vAlign w:val="bottom"/>
            <w:tcBorders>
              <w:top w:val="single" w:sz="8" w:color="ACACAC"/>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CACAC"/>
            </w:tcBorders>
          </w:tcPr>
          <w:p>
            <w:pPr>
              <w:jc w:val="right"/>
              <w:spacing w:after="0"/>
              <w:rPr>
                <w:sz w:val="20"/>
                <w:szCs w:val="20"/>
                <w:color w:val="auto"/>
              </w:rPr>
            </w:pPr>
            <w:r>
              <w:rPr>
                <w:rFonts w:ascii="Arial" w:cs="Arial" w:eastAsia="Arial" w:hAnsi="Arial"/>
                <w:sz w:val="18"/>
                <w:szCs w:val="18"/>
                <w:color w:val="auto"/>
              </w:rPr>
              <w:t>4,254</w:t>
            </w:r>
          </w:p>
        </w:tc>
        <w:tc>
          <w:tcPr>
            <w:tcW w:w="260" w:type="dxa"/>
            <w:vAlign w:val="bottom"/>
            <w:tcBorders>
              <w:top w:val="single" w:sz="8" w:color="ACACAC"/>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CACAC"/>
            </w:tcBorders>
          </w:tcPr>
          <w:p>
            <w:pPr>
              <w:jc w:val="right"/>
              <w:spacing w:after="0"/>
              <w:rPr>
                <w:sz w:val="20"/>
                <w:szCs w:val="20"/>
                <w:color w:val="auto"/>
              </w:rPr>
            </w:pPr>
            <w:r>
              <w:rPr>
                <w:rFonts w:ascii="Arial" w:cs="Arial" w:eastAsia="Arial" w:hAnsi="Arial"/>
                <w:sz w:val="18"/>
                <w:szCs w:val="18"/>
                <w:color w:val="auto"/>
              </w:rPr>
              <w:t>(523)</w:t>
            </w:r>
          </w:p>
        </w:tc>
        <w:tc>
          <w:tcPr>
            <w:tcW w:w="20" w:type="dxa"/>
            <w:vAlign w:val="bottom"/>
          </w:tcPr>
          <w:p>
            <w:pPr>
              <w:spacing w:after="0"/>
              <w:rPr>
                <w:sz w:val="20"/>
                <w:szCs w:val="20"/>
                <w:color w:val="auto"/>
              </w:rPr>
            </w:pPr>
          </w:p>
        </w:tc>
      </w:tr>
      <w:tr>
        <w:trPr>
          <w:trHeight w:val="27"/>
        </w:trPr>
        <w:tc>
          <w:tcPr>
            <w:tcW w:w="4600" w:type="dxa"/>
            <w:vAlign w:val="bottom"/>
            <w:tcBorders>
              <w:bottom w:val="single" w:sz="8" w:color="71BF43"/>
            </w:tcBorders>
          </w:tcPr>
          <w:p>
            <w:pPr>
              <w:spacing w:after="0"/>
              <w:rPr>
                <w:sz w:val="2"/>
                <w:szCs w:val="2"/>
                <w:color w:val="auto"/>
              </w:rPr>
            </w:pPr>
          </w:p>
        </w:tc>
        <w:tc>
          <w:tcPr>
            <w:tcW w:w="620" w:type="dxa"/>
            <w:vAlign w:val="bottom"/>
            <w:tcBorders>
              <w:bottom w:val="single" w:sz="8" w:color="8CBE4F"/>
            </w:tcBorders>
          </w:tcPr>
          <w:p>
            <w:pPr>
              <w:spacing w:after="0"/>
              <w:rPr>
                <w:sz w:val="2"/>
                <w:szCs w:val="2"/>
                <w:color w:val="auto"/>
              </w:rPr>
            </w:pPr>
          </w:p>
        </w:tc>
        <w:tc>
          <w:tcPr>
            <w:tcW w:w="1020" w:type="dxa"/>
            <w:vAlign w:val="bottom"/>
            <w:tcBorders>
              <w:bottom w:val="single" w:sz="8" w:color="8CBE4F"/>
            </w:tcBorders>
          </w:tcPr>
          <w:p>
            <w:pPr>
              <w:spacing w:after="0"/>
              <w:rPr>
                <w:sz w:val="2"/>
                <w:szCs w:val="2"/>
                <w:color w:val="auto"/>
              </w:rPr>
            </w:pPr>
          </w:p>
        </w:tc>
        <w:tc>
          <w:tcPr>
            <w:tcW w:w="160" w:type="dxa"/>
            <w:vAlign w:val="bottom"/>
            <w:tcBorders>
              <w:bottom w:val="single" w:sz="8" w:color="8CBE4F"/>
            </w:tcBorders>
          </w:tcPr>
          <w:p>
            <w:pPr>
              <w:spacing w:after="0"/>
              <w:rPr>
                <w:sz w:val="2"/>
                <w:szCs w:val="2"/>
                <w:color w:val="auto"/>
              </w:rPr>
            </w:pPr>
          </w:p>
        </w:tc>
        <w:tc>
          <w:tcPr>
            <w:tcW w:w="1480" w:type="dxa"/>
            <w:vAlign w:val="bottom"/>
            <w:tcBorders>
              <w:bottom w:val="single" w:sz="8" w:color="8CBE4F"/>
            </w:tcBorders>
          </w:tcPr>
          <w:p>
            <w:pPr>
              <w:spacing w:after="0"/>
              <w:rPr>
                <w:sz w:val="2"/>
                <w:szCs w:val="2"/>
                <w:color w:val="auto"/>
              </w:rPr>
            </w:pPr>
          </w:p>
        </w:tc>
        <w:tc>
          <w:tcPr>
            <w:tcW w:w="100" w:type="dxa"/>
            <w:vAlign w:val="bottom"/>
            <w:tcBorders>
              <w:bottom w:val="single" w:sz="8" w:color="8CBE4F"/>
            </w:tcBorders>
          </w:tcPr>
          <w:p>
            <w:pPr>
              <w:spacing w:after="0"/>
              <w:rPr>
                <w:sz w:val="2"/>
                <w:szCs w:val="2"/>
                <w:color w:val="auto"/>
              </w:rPr>
            </w:pPr>
          </w:p>
        </w:tc>
        <w:tc>
          <w:tcPr>
            <w:tcW w:w="600" w:type="dxa"/>
            <w:vAlign w:val="bottom"/>
            <w:tcBorders>
              <w:bottom w:val="single" w:sz="8" w:color="8CBE4F"/>
            </w:tcBorders>
          </w:tcPr>
          <w:p>
            <w:pPr>
              <w:spacing w:after="0"/>
              <w:rPr>
                <w:sz w:val="2"/>
                <w:szCs w:val="2"/>
                <w:color w:val="auto"/>
              </w:rPr>
            </w:pPr>
          </w:p>
        </w:tc>
        <w:tc>
          <w:tcPr>
            <w:tcW w:w="1020" w:type="dxa"/>
            <w:vAlign w:val="bottom"/>
            <w:tcBorders>
              <w:bottom w:val="single" w:sz="8" w:color="8CBE4F"/>
            </w:tcBorders>
          </w:tcPr>
          <w:p>
            <w:pPr>
              <w:spacing w:after="0"/>
              <w:rPr>
                <w:sz w:val="2"/>
                <w:szCs w:val="2"/>
                <w:color w:val="auto"/>
              </w:rPr>
            </w:pPr>
          </w:p>
        </w:tc>
        <w:tc>
          <w:tcPr>
            <w:tcW w:w="260" w:type="dxa"/>
            <w:vAlign w:val="bottom"/>
            <w:tcBorders>
              <w:bottom w:val="single" w:sz="8" w:color="8CBE4F"/>
            </w:tcBorders>
          </w:tcPr>
          <w:p>
            <w:pPr>
              <w:spacing w:after="0"/>
              <w:rPr>
                <w:sz w:val="2"/>
                <w:szCs w:val="2"/>
                <w:color w:val="auto"/>
              </w:rPr>
            </w:pPr>
          </w:p>
        </w:tc>
        <w:tc>
          <w:tcPr>
            <w:tcW w:w="1380" w:type="dxa"/>
            <w:vAlign w:val="bottom"/>
            <w:tcBorders>
              <w:bottom w:val="single" w:sz="8" w:color="8CBE4F"/>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-856615</wp:posOffset>
            </wp:positionV>
            <wp:extent cx="42259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225925" cy="8890"/>
                    </a:xfrm>
                    <a:prstGeom prst="rect">
                      <a:avLst/>
                    </a:prstGeom>
                    <a:noFill/>
                  </pic:spPr>
                </pic:pic>
              </a:graphicData>
            </a:graphic>
          </wp:anchor>
        </w:drawing>
      </w:r>
    </w:p>
    <w:p>
      <w:pPr>
        <w:spacing w:after="0" w:line="31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8.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summarizes our debt balances and the related weighted average effective interest rates, which includes the effect of interest rate swap agreements.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shd w:val="clear" w:color="auto" w:fill="ACACAC"/>
          </w:tcPr>
          <w:p>
            <w:pPr>
              <w:spacing w:after="0"/>
              <w:rPr>
                <w:sz w:val="16"/>
                <w:szCs w:val="16"/>
                <w:color w:val="auto"/>
              </w:rPr>
            </w:pPr>
          </w:p>
        </w:tc>
        <w:tc>
          <w:tcPr>
            <w:tcW w:w="440" w:type="dxa"/>
            <w:vAlign w:val="bottom"/>
            <w:shd w:val="clear" w:color="auto" w:fill="ACACAC"/>
          </w:tcPr>
          <w:p>
            <w:pPr>
              <w:spacing w:after="0"/>
              <w:rPr>
                <w:sz w:val="16"/>
                <w:szCs w:val="16"/>
                <w:color w:val="auto"/>
              </w:rPr>
            </w:pPr>
          </w:p>
        </w:tc>
        <w:tc>
          <w:tcPr>
            <w:tcW w:w="1060" w:type="dxa"/>
            <w:vAlign w:val="bottom"/>
            <w:shd w:val="clear" w:color="auto" w:fill="ACACAC"/>
          </w:tcPr>
          <w:p>
            <w:pPr>
              <w:spacing w:after="0"/>
              <w:rPr>
                <w:sz w:val="16"/>
                <w:szCs w:val="16"/>
                <w:color w:val="auto"/>
              </w:rPr>
            </w:pPr>
          </w:p>
        </w:tc>
        <w:tc>
          <w:tcPr>
            <w:tcW w:w="280" w:type="dxa"/>
            <w:vAlign w:val="bottom"/>
            <w:shd w:val="clear" w:color="auto" w:fill="ACACAC"/>
          </w:tcPr>
          <w:p>
            <w:pPr>
              <w:spacing w:after="0"/>
              <w:rPr>
                <w:sz w:val="16"/>
                <w:szCs w:val="16"/>
                <w:color w:val="auto"/>
              </w:rPr>
            </w:pPr>
          </w:p>
        </w:tc>
        <w:tc>
          <w:tcPr>
            <w:tcW w:w="1260" w:type="dxa"/>
            <w:vAlign w:val="bottom"/>
            <w:tcBorders>
              <w:right w:val="single" w:sz="8" w:color="ACACAC"/>
            </w:tcBorders>
            <w:shd w:val="clear" w:color="auto" w:fill="ACACAC"/>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shd w:val="clear" w:color="auto" w:fill="ACACAC"/>
          </w:tcPr>
          <w:p>
            <w:pPr>
              <w:spacing w:after="0"/>
              <w:rPr>
                <w:sz w:val="16"/>
                <w:szCs w:val="16"/>
                <w:color w:val="auto"/>
              </w:rPr>
            </w:pP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Weighted average</w:t>
            </w:r>
          </w:p>
        </w:tc>
        <w:tc>
          <w:tcPr>
            <w:tcW w:w="20" w:type="dxa"/>
            <w:vAlign w:val="bottom"/>
            <w:shd w:val="clear" w:color="auto" w:fill="ACACAC"/>
          </w:tcPr>
          <w:p>
            <w:pPr>
              <w:spacing w:after="0"/>
              <w:rPr>
                <w:sz w:val="16"/>
                <w:szCs w:val="16"/>
                <w:color w:val="auto"/>
              </w:rPr>
            </w:pPr>
          </w:p>
        </w:tc>
      </w:tr>
      <w:tr>
        <w:trPr>
          <w:trHeight w:val="190"/>
        </w:trPr>
        <w:tc>
          <w:tcPr>
            <w:tcW w:w="4820" w:type="dxa"/>
            <w:vAlign w:val="bottom"/>
            <w:shd w:val="clear" w:color="auto" w:fill="ACACAC"/>
          </w:tcPr>
          <w:p>
            <w:pPr>
              <w:spacing w:after="0"/>
              <w:rPr>
                <w:sz w:val="16"/>
                <w:szCs w:val="16"/>
                <w:color w:val="auto"/>
              </w:rPr>
            </w:pPr>
          </w:p>
        </w:tc>
        <w:tc>
          <w:tcPr>
            <w:tcW w:w="440" w:type="dxa"/>
            <w:vAlign w:val="bottom"/>
            <w:shd w:val="clear" w:color="auto" w:fill="ACACAC"/>
          </w:tcPr>
          <w:p>
            <w:pPr>
              <w:spacing w:after="0"/>
              <w:rPr>
                <w:sz w:val="16"/>
                <w:szCs w:val="16"/>
                <w:color w:val="auto"/>
              </w:rPr>
            </w:pPr>
          </w:p>
        </w:tc>
        <w:tc>
          <w:tcPr>
            <w:tcW w:w="1060" w:type="dxa"/>
            <w:vAlign w:val="bottom"/>
            <w:shd w:val="clear" w:color="auto" w:fill="ACACAC"/>
          </w:tcPr>
          <w:p>
            <w:pPr>
              <w:spacing w:after="0"/>
              <w:rPr>
                <w:sz w:val="16"/>
                <w:szCs w:val="16"/>
                <w:color w:val="auto"/>
              </w:rPr>
            </w:pPr>
          </w:p>
        </w:tc>
        <w:tc>
          <w:tcPr>
            <w:tcW w:w="280" w:type="dxa"/>
            <w:vAlign w:val="bottom"/>
            <w:shd w:val="clear" w:color="auto" w:fill="ACACAC"/>
          </w:tcPr>
          <w:p>
            <w:pPr>
              <w:spacing w:after="0"/>
              <w:rPr>
                <w:sz w:val="16"/>
                <w:szCs w:val="16"/>
                <w:color w:val="auto"/>
              </w:rPr>
            </w:pPr>
          </w:p>
        </w:tc>
        <w:tc>
          <w:tcPr>
            <w:tcW w:w="126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Debt balance at</w:t>
            </w:r>
          </w:p>
        </w:tc>
        <w:tc>
          <w:tcPr>
            <w:tcW w:w="80" w:type="dxa"/>
            <w:vAlign w:val="bottom"/>
          </w:tcPr>
          <w:p>
            <w:pPr>
              <w:spacing w:after="0"/>
              <w:rPr>
                <w:sz w:val="16"/>
                <w:szCs w:val="16"/>
                <w:color w:val="auto"/>
              </w:rPr>
            </w:pPr>
          </w:p>
        </w:tc>
        <w:tc>
          <w:tcPr>
            <w:tcW w:w="1640" w:type="dxa"/>
            <w:vAlign w:val="bottom"/>
            <w:shd w:val="clear" w:color="auto" w:fill="ACACAC"/>
          </w:tcPr>
          <w:p>
            <w:pPr>
              <w:spacing w:after="0"/>
              <w:rPr>
                <w:sz w:val="16"/>
                <w:szCs w:val="16"/>
                <w:color w:val="auto"/>
              </w:rPr>
            </w:pP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effective interest rate at</w:t>
            </w:r>
          </w:p>
        </w:tc>
        <w:tc>
          <w:tcPr>
            <w:tcW w:w="20" w:type="dxa"/>
            <w:vAlign w:val="bottom"/>
            <w:shd w:val="clear" w:color="auto" w:fill="ACACAC"/>
          </w:tcPr>
          <w:p>
            <w:pPr>
              <w:spacing w:after="0"/>
              <w:rPr>
                <w:sz w:val="16"/>
                <w:szCs w:val="16"/>
                <w:color w:val="auto"/>
              </w:rPr>
            </w:pPr>
          </w:p>
        </w:tc>
      </w:tr>
      <w:tr>
        <w:trPr>
          <w:trHeight w:val="201"/>
        </w:trPr>
        <w:tc>
          <w:tcPr>
            <w:tcW w:w="4820" w:type="dxa"/>
            <w:vAlign w:val="bottom"/>
            <w:shd w:val="clear" w:color="auto" w:fill="ACACAC"/>
          </w:tcPr>
          <w:p>
            <w:pPr>
              <w:spacing w:after="0"/>
              <w:rPr>
                <w:sz w:val="17"/>
                <w:szCs w:val="17"/>
                <w:color w:val="auto"/>
              </w:rPr>
            </w:pPr>
          </w:p>
        </w:tc>
        <w:tc>
          <w:tcPr>
            <w:tcW w:w="440" w:type="dxa"/>
            <w:vAlign w:val="bottom"/>
            <w:shd w:val="clear" w:color="auto" w:fill="ACACAC"/>
          </w:tcPr>
          <w:p>
            <w:pPr>
              <w:spacing w:after="0"/>
              <w:rPr>
                <w:sz w:val="17"/>
                <w:szCs w:val="17"/>
                <w:color w:val="auto"/>
              </w:rPr>
            </w:pPr>
          </w:p>
        </w:tc>
        <w:tc>
          <w:tcPr>
            <w:tcW w:w="10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280" w:type="dxa"/>
            <w:vAlign w:val="bottom"/>
            <w:shd w:val="clear" w:color="auto" w:fill="ACACAC"/>
          </w:tcPr>
          <w:p>
            <w:pPr>
              <w:spacing w:after="0"/>
              <w:rPr>
                <w:sz w:val="17"/>
                <w:szCs w:val="17"/>
                <w:color w:val="auto"/>
              </w:rPr>
            </w:pPr>
          </w:p>
        </w:tc>
        <w:tc>
          <w:tcPr>
            <w:tcW w:w="126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80" w:type="dxa"/>
            <w:vAlign w:val="bottom"/>
          </w:tcPr>
          <w:p>
            <w:pPr>
              <w:spacing w:after="0"/>
              <w:rPr>
                <w:sz w:val="17"/>
                <w:szCs w:val="17"/>
                <w:color w:val="auto"/>
              </w:rPr>
            </w:pPr>
          </w:p>
        </w:tc>
        <w:tc>
          <w:tcPr>
            <w:tcW w:w="16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7"/>
                <w:szCs w:val="17"/>
                <w:color w:val="auto"/>
              </w:rPr>
            </w:pPr>
          </w:p>
        </w:tc>
      </w:tr>
      <w:tr>
        <w:trPr>
          <w:trHeight w:val="196"/>
        </w:trPr>
        <w:tc>
          <w:tcPr>
            <w:tcW w:w="482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40" w:type="dxa"/>
            <w:vAlign w:val="bottom"/>
            <w:tcBorders>
              <w:bottom w:val="single" w:sz="8" w:color="ACACAC"/>
            </w:tcBorders>
            <w:shd w:val="clear" w:color="auto" w:fill="ACACAC"/>
          </w:tcPr>
          <w:p>
            <w:pPr>
              <w:spacing w:after="0"/>
              <w:rPr>
                <w:sz w:val="17"/>
                <w:szCs w:val="17"/>
                <w:color w:val="auto"/>
              </w:rPr>
            </w:pPr>
          </w:p>
        </w:tc>
        <w:tc>
          <w:tcPr>
            <w:tcW w:w="10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280" w:type="dxa"/>
            <w:vAlign w:val="bottom"/>
            <w:tcBorders>
              <w:bottom w:val="single" w:sz="8" w:color="ACACAC"/>
            </w:tcBorders>
            <w:shd w:val="clear" w:color="auto" w:fill="ACACAC"/>
          </w:tcPr>
          <w:p>
            <w:pPr>
              <w:spacing w:after="0"/>
              <w:rPr>
                <w:sz w:val="17"/>
                <w:szCs w:val="17"/>
                <w:color w:val="auto"/>
              </w:rPr>
            </w:pPr>
          </w:p>
        </w:tc>
        <w:tc>
          <w:tcPr>
            <w:tcW w:w="1260" w:type="dxa"/>
            <w:vAlign w:val="bottom"/>
            <w:tcBorders>
              <w:bottom w:val="single" w:sz="8" w:color="ACACAC"/>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80" w:type="dxa"/>
            <w:vAlign w:val="bottom"/>
            <w:tcBorders>
              <w:bottom w:val="single" w:sz="8" w:color="F4F4F4"/>
            </w:tcBorders>
          </w:tcPr>
          <w:p>
            <w:pPr>
              <w:spacing w:after="0"/>
              <w:rPr>
                <w:sz w:val="17"/>
                <w:szCs w:val="17"/>
                <w:color w:val="auto"/>
              </w:rPr>
            </w:pPr>
          </w:p>
        </w:tc>
        <w:tc>
          <w:tcPr>
            <w:tcW w:w="16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16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50"/>
        </w:trPr>
        <w:tc>
          <w:tcPr>
            <w:tcW w:w="48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Credit facility:</w:t>
            </w:r>
          </w:p>
        </w:tc>
        <w:tc>
          <w:tcPr>
            <w:tcW w:w="440" w:type="dxa"/>
            <w:vAlign w:val="bottom"/>
            <w:tcBorders>
              <w:bottom w:val="single" w:sz="8" w:color="F4F4F4"/>
            </w:tcBorders>
            <w:shd w:val="clear" w:color="auto" w:fill="F4F4F4"/>
          </w:tcPr>
          <w:p>
            <w:pPr>
              <w:spacing w:after="0"/>
              <w:rPr>
                <w:sz w:val="21"/>
                <w:szCs w:val="21"/>
                <w:color w:val="auto"/>
              </w:rPr>
            </w:pPr>
          </w:p>
        </w:tc>
        <w:tc>
          <w:tcPr>
            <w:tcW w:w="1060" w:type="dxa"/>
            <w:vAlign w:val="bottom"/>
            <w:tcBorders>
              <w:bottom w:val="single" w:sz="8" w:color="F4F4F4"/>
            </w:tcBorders>
            <w:shd w:val="clear" w:color="auto" w:fill="F4F4F4"/>
          </w:tcPr>
          <w:p>
            <w:pPr>
              <w:spacing w:after="0"/>
              <w:rPr>
                <w:sz w:val="21"/>
                <w:szCs w:val="21"/>
                <w:color w:val="auto"/>
              </w:rPr>
            </w:pPr>
          </w:p>
        </w:tc>
        <w:tc>
          <w:tcPr>
            <w:tcW w:w="280" w:type="dxa"/>
            <w:vAlign w:val="bottom"/>
            <w:tcBorders>
              <w:bottom w:val="single" w:sz="8" w:color="F4F4F4"/>
            </w:tcBorders>
            <w:shd w:val="clear" w:color="auto" w:fill="F4F4F4"/>
          </w:tcPr>
          <w:p>
            <w:pPr>
              <w:spacing w:after="0"/>
              <w:rPr>
                <w:sz w:val="21"/>
                <w:szCs w:val="21"/>
                <w:color w:val="auto"/>
              </w:rPr>
            </w:pPr>
          </w:p>
        </w:tc>
        <w:tc>
          <w:tcPr>
            <w:tcW w:w="1260" w:type="dxa"/>
            <w:vAlign w:val="bottom"/>
            <w:tcBorders>
              <w:bottom w:val="single" w:sz="8" w:color="F4F4F4"/>
              <w:right w:val="single" w:sz="8" w:color="F4F4F4"/>
            </w:tcBorders>
            <w:shd w:val="clear" w:color="auto" w:fill="F4F4F4"/>
          </w:tcPr>
          <w:p>
            <w:pPr>
              <w:spacing w:after="0"/>
              <w:rPr>
                <w:sz w:val="21"/>
                <w:szCs w:val="21"/>
                <w:color w:val="auto"/>
              </w:rPr>
            </w:pPr>
          </w:p>
        </w:tc>
        <w:tc>
          <w:tcPr>
            <w:tcW w:w="80" w:type="dxa"/>
            <w:vAlign w:val="bottom"/>
            <w:tcBorders>
              <w:bottom w:val="single" w:sz="8" w:color="F4F4F4"/>
            </w:tcBorders>
            <w:shd w:val="clear" w:color="auto" w:fill="F4F4F4"/>
          </w:tcPr>
          <w:p>
            <w:pPr>
              <w:spacing w:after="0"/>
              <w:rPr>
                <w:sz w:val="21"/>
                <w:szCs w:val="21"/>
                <w:color w:val="auto"/>
              </w:rPr>
            </w:pPr>
          </w:p>
        </w:tc>
        <w:tc>
          <w:tcPr>
            <w:tcW w:w="1640" w:type="dxa"/>
            <w:vAlign w:val="bottom"/>
            <w:tcBorders>
              <w:bottom w:val="single" w:sz="8" w:color="F4F4F4"/>
            </w:tcBorders>
            <w:shd w:val="clear" w:color="auto" w:fill="F4F4F4"/>
          </w:tcPr>
          <w:p>
            <w:pPr>
              <w:spacing w:after="0"/>
              <w:rPr>
                <w:sz w:val="21"/>
                <w:szCs w:val="21"/>
                <w:color w:val="auto"/>
              </w:rPr>
            </w:pPr>
          </w:p>
        </w:tc>
        <w:tc>
          <w:tcPr>
            <w:tcW w:w="166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820" w:type="dxa"/>
            <w:vAlign w:val="bottom"/>
          </w:tcPr>
          <w:p>
            <w:pPr>
              <w:ind w:left="140"/>
              <w:spacing w:after="0"/>
              <w:rPr>
                <w:sz w:val="20"/>
                <w:szCs w:val="20"/>
                <w:color w:val="auto"/>
              </w:rPr>
            </w:pPr>
            <w:r>
              <w:rPr>
                <w:rFonts w:ascii="Arial" w:cs="Arial" w:eastAsia="Arial" w:hAnsi="Arial"/>
                <w:sz w:val="18"/>
                <w:szCs w:val="18"/>
                <w:color w:val="auto"/>
              </w:rPr>
              <w:t>Revolving credit loans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252,400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260,000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4.03 %</w:t>
            </w:r>
          </w:p>
        </w:tc>
        <w:tc>
          <w:tcPr>
            <w:tcW w:w="1660" w:type="dxa"/>
            <w:vAlign w:val="bottom"/>
          </w:tcPr>
          <w:p>
            <w:pPr>
              <w:jc w:val="right"/>
              <w:spacing w:after="0"/>
              <w:rPr>
                <w:sz w:val="20"/>
                <w:szCs w:val="20"/>
                <w:color w:val="auto"/>
              </w:rPr>
            </w:pPr>
            <w:r>
              <w:rPr>
                <w:rFonts w:ascii="Arial" w:cs="Arial" w:eastAsia="Arial" w:hAnsi="Arial"/>
                <w:sz w:val="18"/>
                <w:szCs w:val="18"/>
                <w:color w:val="auto"/>
              </w:rPr>
              <w:t>3.27 %</w:t>
            </w:r>
          </w:p>
        </w:tc>
        <w:tc>
          <w:tcPr>
            <w:tcW w:w="2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82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Term loans</w:t>
            </w:r>
          </w:p>
        </w:tc>
        <w:tc>
          <w:tcPr>
            <w:tcW w:w="440" w:type="dxa"/>
            <w:vAlign w:val="bottom"/>
            <w:tcBorders>
              <w:bottom w:val="single" w:sz="8" w:color="F4F4F4"/>
            </w:tcBorders>
            <w:shd w:val="clear" w:color="auto" w:fill="F4F4F4"/>
          </w:tcPr>
          <w:p>
            <w:pPr>
              <w:spacing w:after="0"/>
              <w:rPr>
                <w:sz w:val="21"/>
                <w:szCs w:val="21"/>
                <w:color w:val="auto"/>
              </w:rPr>
            </w:pP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631,875</w:t>
            </w:r>
          </w:p>
        </w:tc>
        <w:tc>
          <w:tcPr>
            <w:tcW w:w="280" w:type="dxa"/>
            <w:vAlign w:val="bottom"/>
            <w:tcBorders>
              <w:bottom w:val="single" w:sz="8" w:color="F4F4F4"/>
            </w:tcBorders>
            <w:shd w:val="clear" w:color="auto" w:fill="F4F4F4"/>
          </w:tcPr>
          <w:p>
            <w:pPr>
              <w:spacing w:after="0"/>
              <w:rPr>
                <w:sz w:val="21"/>
                <w:szCs w:val="21"/>
                <w:color w:val="auto"/>
              </w:rPr>
            </w:pPr>
          </w:p>
        </w:tc>
        <w:tc>
          <w:tcPr>
            <w:tcW w:w="1260" w:type="dxa"/>
            <w:vAlign w:val="bottom"/>
            <w:tcBorders>
              <w:bottom w:val="single" w:sz="8" w:color="F4F4F4"/>
              <w:right w:val="single" w:sz="8" w:color="F4F4F4"/>
            </w:tcBorders>
            <w:shd w:val="clear" w:color="auto" w:fill="F4F4F4"/>
          </w:tcPr>
          <w:p>
            <w:pPr>
              <w:jc w:val="right"/>
              <w:ind w:right="15"/>
              <w:spacing w:after="0"/>
              <w:rPr>
                <w:sz w:val="20"/>
                <w:szCs w:val="20"/>
                <w:color w:val="auto"/>
              </w:rPr>
            </w:pPr>
            <w:r>
              <w:rPr>
                <w:rFonts w:ascii="Arial" w:cs="Arial" w:eastAsia="Arial" w:hAnsi="Arial"/>
                <w:sz w:val="18"/>
                <w:szCs w:val="18"/>
                <w:color w:val="auto"/>
              </w:rPr>
              <w:t>640,000</w:t>
            </w:r>
          </w:p>
        </w:tc>
        <w:tc>
          <w:tcPr>
            <w:tcW w:w="1720" w:type="dxa"/>
            <w:vAlign w:val="bottom"/>
            <w:tcBorders>
              <w:bottom w:val="single" w:sz="8" w:color="F4F4F4"/>
            </w:tcBorders>
            <w:gridSpan w:val="2"/>
            <w:shd w:val="clear" w:color="auto" w:fill="F4F4F4"/>
          </w:tcPr>
          <w:p>
            <w:pPr>
              <w:jc w:val="right"/>
              <w:spacing w:after="0"/>
              <w:rPr>
                <w:sz w:val="20"/>
                <w:szCs w:val="20"/>
                <w:color w:val="auto"/>
              </w:rPr>
            </w:pPr>
            <w:r>
              <w:rPr>
                <w:rFonts w:ascii="Arial" w:cs="Arial" w:eastAsia="Arial" w:hAnsi="Arial"/>
                <w:sz w:val="18"/>
                <w:szCs w:val="18"/>
                <w:color w:val="auto"/>
              </w:rPr>
              <w:t>3.45 %</w:t>
            </w:r>
          </w:p>
        </w:tc>
        <w:tc>
          <w:tcPr>
            <w:tcW w:w="16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3.02 %</w:t>
            </w:r>
          </w:p>
        </w:tc>
        <w:tc>
          <w:tcPr>
            <w:tcW w:w="20" w:type="dxa"/>
            <w:vAlign w:val="bottom"/>
          </w:tcPr>
          <w:p>
            <w:pPr>
              <w:spacing w:after="0"/>
              <w:rPr>
                <w:sz w:val="21"/>
                <w:szCs w:val="2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Real estate loans</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58,857</w:t>
            </w:r>
          </w:p>
        </w:tc>
        <w:tc>
          <w:tcPr>
            <w:tcW w:w="28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59,480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5.22 %</w:t>
            </w:r>
          </w:p>
        </w:tc>
        <w:tc>
          <w:tcPr>
            <w:tcW w:w="1660" w:type="dxa"/>
            <w:vAlign w:val="bottom"/>
          </w:tcPr>
          <w:p>
            <w:pPr>
              <w:jc w:val="right"/>
              <w:spacing w:after="0"/>
              <w:rPr>
                <w:sz w:val="20"/>
                <w:szCs w:val="20"/>
                <w:color w:val="auto"/>
              </w:rPr>
            </w:pPr>
            <w:r>
              <w:rPr>
                <w:rFonts w:ascii="Arial" w:cs="Arial" w:eastAsia="Arial" w:hAnsi="Arial"/>
                <w:sz w:val="18"/>
                <w:szCs w:val="18"/>
                <w:color w:val="auto"/>
              </w:rPr>
              <w:t>5.22 %</w:t>
            </w:r>
          </w:p>
        </w:tc>
        <w:tc>
          <w:tcPr>
            <w:tcW w:w="2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8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Other debt</w:t>
            </w:r>
          </w:p>
        </w:tc>
        <w:tc>
          <w:tcPr>
            <w:tcW w:w="440" w:type="dxa"/>
            <w:vAlign w:val="bottom"/>
            <w:tcBorders>
              <w:bottom w:val="single" w:sz="8" w:color="F4F4F4"/>
            </w:tcBorders>
            <w:shd w:val="clear" w:color="auto" w:fill="F4F4F4"/>
          </w:tcPr>
          <w:p>
            <w:pPr>
              <w:spacing w:after="0"/>
              <w:rPr>
                <w:sz w:val="23"/>
                <w:szCs w:val="23"/>
                <w:color w:val="auto"/>
              </w:rPr>
            </w:pP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538</w:t>
            </w:r>
          </w:p>
        </w:tc>
        <w:tc>
          <w:tcPr>
            <w:tcW w:w="280" w:type="dxa"/>
            <w:vAlign w:val="bottom"/>
            <w:tcBorders>
              <w:bottom w:val="single" w:sz="8" w:color="F4F4F4"/>
            </w:tcBorders>
            <w:shd w:val="clear" w:color="auto" w:fill="F4F4F4"/>
          </w:tcPr>
          <w:p>
            <w:pPr>
              <w:spacing w:after="0"/>
              <w:rPr>
                <w:sz w:val="23"/>
                <w:szCs w:val="23"/>
                <w:color w:val="auto"/>
              </w:rPr>
            </w:pPr>
          </w:p>
        </w:tc>
        <w:tc>
          <w:tcPr>
            <w:tcW w:w="1260" w:type="dxa"/>
            <w:vAlign w:val="bottom"/>
            <w:tcBorders>
              <w:bottom w:val="single" w:sz="8" w:color="F4F4F4"/>
              <w:right w:val="single" w:sz="8" w:color="F4F4F4"/>
            </w:tcBorders>
            <w:shd w:val="clear" w:color="auto" w:fill="F4F4F4"/>
          </w:tcPr>
          <w:p>
            <w:pPr>
              <w:jc w:val="right"/>
              <w:ind w:right="15"/>
              <w:spacing w:after="0"/>
              <w:rPr>
                <w:sz w:val="20"/>
                <w:szCs w:val="20"/>
                <w:color w:val="auto"/>
              </w:rPr>
            </w:pPr>
            <w:r>
              <w:rPr>
                <w:rFonts w:ascii="Arial" w:cs="Arial" w:eastAsia="Arial" w:hAnsi="Arial"/>
                <w:sz w:val="18"/>
                <w:szCs w:val="18"/>
                <w:color w:val="auto"/>
              </w:rPr>
              <w:t>1,694</w:t>
            </w:r>
          </w:p>
        </w:tc>
        <w:tc>
          <w:tcPr>
            <w:tcW w:w="1720" w:type="dxa"/>
            <w:vAlign w:val="bottom"/>
            <w:tcBorders>
              <w:bottom w:val="single" w:sz="8" w:color="F4F4F4"/>
            </w:tcBorders>
            <w:gridSpan w:val="2"/>
            <w:shd w:val="clear" w:color="auto" w:fill="F4F4F4"/>
          </w:tcPr>
          <w:p>
            <w:pPr>
              <w:jc w:val="right"/>
              <w:spacing w:after="0"/>
              <w:rPr>
                <w:sz w:val="20"/>
                <w:szCs w:val="20"/>
                <w:color w:val="auto"/>
              </w:rPr>
            </w:pPr>
            <w:r>
              <w:rPr>
                <w:rFonts w:ascii="Arial" w:cs="Arial" w:eastAsia="Arial" w:hAnsi="Arial"/>
                <w:sz w:val="18"/>
                <w:szCs w:val="18"/>
                <w:color w:val="auto"/>
              </w:rPr>
              <w:t>5.00 %</w:t>
            </w:r>
          </w:p>
        </w:tc>
        <w:tc>
          <w:tcPr>
            <w:tcW w:w="16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5.00 %</w:t>
            </w:r>
          </w:p>
        </w:tc>
        <w:tc>
          <w:tcPr>
            <w:tcW w:w="20" w:type="dxa"/>
            <w:vAlign w:val="bottom"/>
          </w:tcPr>
          <w:p>
            <w:pPr>
              <w:spacing w:after="0"/>
              <w:rPr>
                <w:sz w:val="23"/>
                <w:szCs w:val="23"/>
                <w:color w:val="auto"/>
              </w:rPr>
            </w:pPr>
          </w:p>
        </w:tc>
      </w:tr>
      <w:tr>
        <w:trPr>
          <w:trHeight w:val="237"/>
        </w:trPr>
        <w:tc>
          <w:tcPr>
            <w:tcW w:w="4820" w:type="dxa"/>
            <w:vAlign w:val="bottom"/>
          </w:tcPr>
          <w:p>
            <w:pPr>
              <w:ind w:left="360"/>
              <w:spacing w:after="0"/>
              <w:rPr>
                <w:sz w:val="20"/>
                <w:szCs w:val="20"/>
                <w:color w:val="auto"/>
              </w:rPr>
            </w:pPr>
            <w:r>
              <w:rPr>
                <w:rFonts w:ascii="Arial" w:cs="Arial" w:eastAsia="Arial" w:hAnsi="Arial"/>
                <w:sz w:val="18"/>
                <w:szCs w:val="18"/>
                <w:color w:val="auto"/>
              </w:rPr>
              <w:t>Total debt</w:t>
            </w:r>
          </w:p>
        </w:tc>
        <w:tc>
          <w:tcPr>
            <w:tcW w:w="4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943,670</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961,174</w:t>
            </w:r>
          </w:p>
        </w:tc>
        <w:tc>
          <w:tcPr>
            <w:tcW w:w="80" w:type="dxa"/>
            <w:vAlign w:val="bottom"/>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3.72 %</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3.23 %</w:t>
            </w:r>
          </w:p>
        </w:tc>
        <w:tc>
          <w:tcPr>
            <w:tcW w:w="2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8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Less: Unamortized discount and debt issuance costs</w:t>
            </w:r>
          </w:p>
        </w:tc>
        <w:tc>
          <w:tcPr>
            <w:tcW w:w="440" w:type="dxa"/>
            <w:vAlign w:val="bottom"/>
            <w:tcBorders>
              <w:bottom w:val="single" w:sz="8" w:color="F4F4F4"/>
            </w:tcBorders>
            <w:shd w:val="clear" w:color="auto" w:fill="F4F4F4"/>
          </w:tcPr>
          <w:p>
            <w:pPr>
              <w:spacing w:after="0"/>
              <w:rPr>
                <w:sz w:val="21"/>
                <w:szCs w:val="21"/>
                <w:color w:val="auto"/>
              </w:rPr>
            </w:pP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3,897</w:t>
            </w:r>
          </w:p>
        </w:tc>
        <w:tc>
          <w:tcPr>
            <w:tcW w:w="280" w:type="dxa"/>
            <w:vAlign w:val="bottom"/>
            <w:tcBorders>
              <w:bottom w:val="single" w:sz="8" w:color="F4F4F4"/>
            </w:tcBorders>
            <w:shd w:val="clear" w:color="auto" w:fill="F4F4F4"/>
          </w:tcPr>
          <w:p>
            <w:pPr>
              <w:spacing w:after="0"/>
              <w:rPr>
                <w:sz w:val="21"/>
                <w:szCs w:val="21"/>
                <w:color w:val="auto"/>
              </w:rPr>
            </w:pPr>
          </w:p>
        </w:tc>
        <w:tc>
          <w:tcPr>
            <w:tcW w:w="1260" w:type="dxa"/>
            <w:vAlign w:val="bottom"/>
            <w:tcBorders>
              <w:bottom w:val="single" w:sz="8" w:color="F4F4F4"/>
              <w:right w:val="single" w:sz="8" w:color="F4F4F4"/>
            </w:tcBorders>
            <w:shd w:val="clear" w:color="auto" w:fill="F4F4F4"/>
          </w:tcPr>
          <w:p>
            <w:pPr>
              <w:jc w:val="right"/>
              <w:ind w:right="15"/>
              <w:spacing w:after="0"/>
              <w:rPr>
                <w:sz w:val="20"/>
                <w:szCs w:val="20"/>
                <w:color w:val="auto"/>
              </w:rPr>
            </w:pPr>
            <w:r>
              <w:rPr>
                <w:rFonts w:ascii="Arial" w:cs="Arial" w:eastAsia="Arial" w:hAnsi="Arial"/>
                <w:sz w:val="18"/>
                <w:szCs w:val="18"/>
                <w:color w:val="auto"/>
              </w:rPr>
              <w:t>4,994</w:t>
            </w:r>
          </w:p>
        </w:tc>
        <w:tc>
          <w:tcPr>
            <w:tcW w:w="80" w:type="dxa"/>
            <w:vAlign w:val="bottom"/>
            <w:tcBorders>
              <w:bottom w:val="single" w:sz="8" w:color="F4F4F4"/>
            </w:tcBorders>
            <w:shd w:val="clear" w:color="auto" w:fill="F4F4F4"/>
          </w:tcPr>
          <w:p>
            <w:pPr>
              <w:spacing w:after="0"/>
              <w:rPr>
                <w:sz w:val="21"/>
                <w:szCs w:val="21"/>
                <w:color w:val="auto"/>
              </w:rPr>
            </w:pPr>
          </w:p>
        </w:tc>
        <w:tc>
          <w:tcPr>
            <w:tcW w:w="1640" w:type="dxa"/>
            <w:vAlign w:val="bottom"/>
            <w:tcBorders>
              <w:bottom w:val="single" w:sz="8" w:color="F4F4F4"/>
            </w:tcBorders>
            <w:shd w:val="clear" w:color="auto" w:fill="F4F4F4"/>
          </w:tcPr>
          <w:p>
            <w:pPr>
              <w:spacing w:after="0"/>
              <w:rPr>
                <w:sz w:val="21"/>
                <w:szCs w:val="21"/>
                <w:color w:val="auto"/>
              </w:rPr>
            </w:pPr>
          </w:p>
        </w:tc>
        <w:tc>
          <w:tcPr>
            <w:tcW w:w="166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Less: Debt, current portion</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18,154</w:t>
            </w:r>
          </w:p>
        </w:tc>
        <w:tc>
          <w:tcPr>
            <w:tcW w:w="28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18,697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4.25 %</w:t>
            </w:r>
          </w:p>
        </w:tc>
        <w:tc>
          <w:tcPr>
            <w:tcW w:w="1660" w:type="dxa"/>
            <w:vAlign w:val="bottom"/>
          </w:tcPr>
          <w:p>
            <w:pPr>
              <w:jc w:val="right"/>
              <w:spacing w:after="0"/>
              <w:rPr>
                <w:sz w:val="20"/>
                <w:szCs w:val="20"/>
                <w:color w:val="auto"/>
              </w:rPr>
            </w:pPr>
            <w:r>
              <w:rPr>
                <w:rFonts w:ascii="Arial" w:cs="Arial" w:eastAsia="Arial" w:hAnsi="Arial"/>
                <w:sz w:val="18"/>
                <w:szCs w:val="18"/>
                <w:color w:val="auto"/>
              </w:rPr>
              <w:t>3.11 %</w:t>
            </w:r>
          </w:p>
        </w:tc>
        <w:tc>
          <w:tcPr>
            <w:tcW w:w="20" w:type="dxa"/>
            <w:vAlign w:val="bottom"/>
          </w:tcPr>
          <w:p>
            <w:pPr>
              <w:spacing w:after="0"/>
              <w:rPr>
                <w:sz w:val="21"/>
                <w:szCs w:val="21"/>
                <w:color w:val="auto"/>
              </w:rPr>
            </w:pPr>
          </w:p>
        </w:tc>
      </w:tr>
      <w:tr>
        <w:trPr>
          <w:trHeight w:val="27"/>
        </w:trPr>
        <w:tc>
          <w:tcPr>
            <w:tcW w:w="4820" w:type="dxa"/>
            <w:vAlign w:val="bottom"/>
            <w:tcBorders>
              <w:bottom w:val="single" w:sz="8" w:color="F4F4F4"/>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F4F4F4"/>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8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Debt, net of current portion</w:t>
            </w:r>
          </w:p>
        </w:tc>
        <w:tc>
          <w:tcPr>
            <w:tcW w:w="440" w:type="dxa"/>
            <w:vAlign w:val="bottom"/>
            <w:tcBorders>
              <w:bottom w:val="single" w:sz="8" w:color="F4F4F4"/>
            </w:tcBorders>
            <w:shd w:val="clear" w:color="auto" w:fill="F4F4F4"/>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921,619</w:t>
            </w:r>
          </w:p>
        </w:tc>
        <w:tc>
          <w:tcPr>
            <w:tcW w:w="280" w:type="dxa"/>
            <w:vAlign w:val="bottom"/>
            <w:tcBorders>
              <w:bottom w:val="single" w:sz="8" w:color="F4F4F4"/>
            </w:tcBorders>
            <w:shd w:val="clear" w:color="auto" w:fill="F4F4F4"/>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F4F4F4"/>
              <w:right w:val="single" w:sz="8" w:color="F4F4F4"/>
            </w:tcBorders>
            <w:shd w:val="clear" w:color="auto" w:fill="F4F4F4"/>
          </w:tcPr>
          <w:p>
            <w:pPr>
              <w:jc w:val="right"/>
              <w:ind w:right="15"/>
              <w:spacing w:after="0"/>
              <w:rPr>
                <w:sz w:val="20"/>
                <w:szCs w:val="20"/>
                <w:color w:val="auto"/>
              </w:rPr>
            </w:pPr>
            <w:r>
              <w:rPr>
                <w:rFonts w:ascii="Arial" w:cs="Arial" w:eastAsia="Arial" w:hAnsi="Arial"/>
                <w:sz w:val="18"/>
                <w:szCs w:val="18"/>
                <w:color w:val="auto"/>
              </w:rPr>
              <w:t>937,483</w:t>
            </w:r>
          </w:p>
        </w:tc>
        <w:tc>
          <w:tcPr>
            <w:tcW w:w="1720" w:type="dxa"/>
            <w:vAlign w:val="bottom"/>
            <w:tcBorders>
              <w:bottom w:val="single" w:sz="8" w:color="F4F4F4"/>
            </w:tcBorders>
            <w:gridSpan w:val="2"/>
            <w:shd w:val="clear" w:color="auto" w:fill="F4F4F4"/>
          </w:tcPr>
          <w:p>
            <w:pPr>
              <w:jc w:val="right"/>
              <w:spacing w:after="0"/>
              <w:rPr>
                <w:sz w:val="20"/>
                <w:szCs w:val="20"/>
                <w:color w:val="auto"/>
              </w:rPr>
            </w:pPr>
            <w:r>
              <w:rPr>
                <w:rFonts w:ascii="Arial" w:cs="Arial" w:eastAsia="Arial" w:hAnsi="Arial"/>
                <w:sz w:val="18"/>
                <w:szCs w:val="18"/>
                <w:color w:val="auto"/>
              </w:rPr>
              <w:t>3.71 %</w:t>
            </w:r>
          </w:p>
        </w:tc>
        <w:tc>
          <w:tcPr>
            <w:tcW w:w="16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3.23 %</w:t>
            </w:r>
          </w:p>
        </w:tc>
        <w:tc>
          <w:tcPr>
            <w:tcW w:w="20" w:type="dxa"/>
            <w:vAlign w:val="bottom"/>
          </w:tcPr>
          <w:p>
            <w:pPr>
              <w:spacing w:after="0"/>
              <w:rPr>
                <w:sz w:val="21"/>
                <w:szCs w:val="21"/>
                <w:color w:val="auto"/>
              </w:rPr>
            </w:pPr>
          </w:p>
        </w:tc>
      </w:tr>
      <w:tr>
        <w:trPr>
          <w:trHeight w:val="20"/>
        </w:trPr>
        <w:tc>
          <w:tcPr>
            <w:tcW w:w="4820" w:type="dxa"/>
            <w:vAlign w:val="bottom"/>
            <w:shd w:val="clear" w:color="auto" w:fill="71BF43"/>
          </w:tcPr>
          <w:p>
            <w:pPr>
              <w:spacing w:after="0" w:line="20" w:lineRule="exact"/>
              <w:rPr>
                <w:sz w:val="1"/>
                <w:szCs w:val="1"/>
                <w:color w:val="auto"/>
              </w:rPr>
            </w:pPr>
          </w:p>
        </w:tc>
        <w:tc>
          <w:tcPr>
            <w:tcW w:w="440" w:type="dxa"/>
            <w:vAlign w:val="bottom"/>
            <w:shd w:val="clear" w:color="auto" w:fill="71BF43"/>
          </w:tcPr>
          <w:p>
            <w:pPr>
              <w:spacing w:after="0" w:line="20" w:lineRule="exact"/>
              <w:rPr>
                <w:sz w:val="1"/>
                <w:szCs w:val="1"/>
                <w:color w:val="auto"/>
              </w:rPr>
            </w:pPr>
          </w:p>
        </w:tc>
        <w:tc>
          <w:tcPr>
            <w:tcW w:w="1060" w:type="dxa"/>
            <w:vAlign w:val="bottom"/>
            <w:shd w:val="clear" w:color="auto" w:fill="71BF43"/>
          </w:tcPr>
          <w:p>
            <w:pPr>
              <w:spacing w:after="0" w:line="20" w:lineRule="exact"/>
              <w:rPr>
                <w:sz w:val="1"/>
                <w:szCs w:val="1"/>
                <w:color w:val="auto"/>
              </w:rPr>
            </w:pPr>
          </w:p>
        </w:tc>
        <w:tc>
          <w:tcPr>
            <w:tcW w:w="280" w:type="dxa"/>
            <w:vAlign w:val="bottom"/>
            <w:shd w:val="clear" w:color="auto" w:fill="71BF43"/>
          </w:tcPr>
          <w:p>
            <w:pPr>
              <w:spacing w:after="0" w:line="20" w:lineRule="exact"/>
              <w:rPr>
                <w:sz w:val="1"/>
                <w:szCs w:val="1"/>
                <w:color w:val="auto"/>
              </w:rPr>
            </w:pPr>
          </w:p>
        </w:tc>
        <w:tc>
          <w:tcPr>
            <w:tcW w:w="1260" w:type="dxa"/>
            <w:vAlign w:val="bottom"/>
            <w:tcBorders>
              <w:right w:val="single" w:sz="8" w:color="71BF43"/>
            </w:tcBorders>
            <w:shd w:val="clear" w:color="auto" w:fill="71BF43"/>
          </w:tcPr>
          <w:p>
            <w:pPr>
              <w:spacing w:after="0" w:line="20" w:lineRule="exact"/>
              <w:rPr>
                <w:sz w:val="1"/>
                <w:szCs w:val="1"/>
                <w:color w:val="auto"/>
              </w:rPr>
            </w:pPr>
          </w:p>
        </w:tc>
        <w:tc>
          <w:tcPr>
            <w:tcW w:w="80" w:type="dxa"/>
            <w:vAlign w:val="bottom"/>
            <w:shd w:val="clear" w:color="auto" w:fill="71BF43"/>
          </w:tcPr>
          <w:p>
            <w:pPr>
              <w:spacing w:after="0" w:line="20" w:lineRule="exact"/>
              <w:rPr>
                <w:sz w:val="1"/>
                <w:szCs w:val="1"/>
                <w:color w:val="auto"/>
              </w:rPr>
            </w:pPr>
          </w:p>
        </w:tc>
        <w:tc>
          <w:tcPr>
            <w:tcW w:w="1640" w:type="dxa"/>
            <w:vAlign w:val="bottom"/>
            <w:shd w:val="clear" w:color="auto" w:fill="71BF43"/>
          </w:tcPr>
          <w:p>
            <w:pPr>
              <w:spacing w:after="0" w:line="20" w:lineRule="exact"/>
              <w:rPr>
                <w:sz w:val="1"/>
                <w:szCs w:val="1"/>
                <w:color w:val="auto"/>
              </w:rPr>
            </w:pPr>
          </w:p>
        </w:tc>
        <w:tc>
          <w:tcPr>
            <w:tcW w:w="166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-1824990</wp:posOffset>
            </wp:positionV>
            <wp:extent cx="40887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088765"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credit facility</w:t>
      </w:r>
    </w:p>
    <w:p>
      <w:pPr>
        <w:spacing w:after="0" w:line="19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October 2020, we entered into a five-year $900.0 million senior credit facility (the "2020 Credit Facility"). At June 30, 2022, we were in compliance with our debt covenants under the 2020 Credit Facility.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incremental term loan</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December 2021, we entered into the First Incremental Term Loan Agreement (the "Incremental Amendment"). The Incremental Amendment amended the 2020 Credit Facility and, among other things, provided for a $250.0 million incremental term loan (the “2021 Incremental Term Loan”).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for EVERFI acquisition</w:t>
      </w:r>
    </w:p>
    <w:p>
      <w:pPr>
        <w:spacing w:after="0" w:line="19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On December 31, 2021, we acquired EVERFI for approximately $441.8 million in cash consideration and 3,810,953 shares of the company's common stock, valued at approximately $301.0 million, for an aggregate purchase price of approximately $742.8 million, net of closing adjustments. We financed the cash consideration and related expenses through cash on hand and new borrowings under the 2020 Credit Facility, including $250.0 million under the 2021 Incremental Term Loan (as defined above).</w:t>
      </w:r>
    </w:p>
    <w:p>
      <w:pPr>
        <w:spacing w:after="0" w:line="310"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14</w:t>
      </w:r>
      <w:r>
        <w:rPr>
          <w:sz w:val="20"/>
          <w:szCs w:val="20"/>
          <w:color w:val="auto"/>
        </w:rPr>
        <w:tab/>
      </w:r>
      <w:r>
        <w:rPr>
          <w:sz w:val="1"/>
          <w:szCs w:val="1"/>
          <w:color w:val="auto"/>
        </w:rPr>
        <w:drawing>
          <wp:inline distT="0" distB="0" distL="0" distR="0">
            <wp:extent cx="651510" cy="17145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amendment to 2020 Credit Facility</w:t>
      </w:r>
    </w:p>
    <w:p>
      <w:pPr>
        <w:spacing w:after="0" w:line="193"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On January 31, 2022, we entered into the First Amendment to Credit Agreement (the “Amendment”). The Amendment amended the 2020 Credit Facility to, among other things, (i) modify the definition of “Applicable Margin”, (ii) modify the net leverage ratio financial covenant to require a net leverage ratio of (A) 4.00:1.00 or less for the fiscal quarter ended December 31, 2021 and for fiscal quarters ending thereafter through December 31, 2023 and (B) 3.75:1.00 or less for the fiscal quarters ending March 31, 2024 and thereafter, (iii) reset the $250.0 million fixed dollar basket with respect to the accordion feature and (iv) modify certain negative covenants to provide additional operational flexibility.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loans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August 2020, we completed the purchase of our global headquarters facility. As part of the purchase price, we assumed the seller’s obligations under two senior secured notes with a then-aggregate outstanding principal amount of $61.1 million (collectively, the “Real Estate Loans”). At June 30, 2022, we were in compliance with our debt covenants under the Real Estate Loans.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debt</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From time to time, we enter into third-party financing agreements for purchases of software and related services for our internal use. Generally, the agreements are non-interest-bearing notes requiring annual payments. Interest associated with the notes is imputed at the rate we would incur for amounts borrowed under our then-existing credit facility at the inception of the notes.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currently effective financing agreements as of June 30, 2022:</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80" w:type="dxa"/>
            <w:vAlign w:val="bottom"/>
            <w:shd w:val="clear" w:color="auto" w:fill="ACACAC"/>
          </w:tcPr>
          <w:p>
            <w:pPr>
              <w:spacing w:after="0"/>
              <w:rPr>
                <w:sz w:val="16"/>
                <w:szCs w:val="16"/>
                <w:color w:val="auto"/>
              </w:rPr>
            </w:pPr>
          </w:p>
        </w:tc>
        <w:tc>
          <w:tcPr>
            <w:tcW w:w="15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Term</w:t>
            </w: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Number of</w:t>
            </w:r>
          </w:p>
        </w:tc>
        <w:tc>
          <w:tcPr>
            <w:tcW w:w="16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First Annual</w:t>
            </w:r>
          </w:p>
        </w:tc>
        <w:tc>
          <w:tcPr>
            <w:tcW w:w="360" w:type="dxa"/>
            <w:vAlign w:val="bottom"/>
            <w:shd w:val="clear" w:color="auto" w:fill="ACACAC"/>
          </w:tcPr>
          <w:p>
            <w:pPr>
              <w:spacing w:after="0"/>
              <w:rPr>
                <w:sz w:val="16"/>
                <w:szCs w:val="16"/>
                <w:color w:val="auto"/>
              </w:rPr>
            </w:pPr>
          </w:p>
        </w:tc>
        <w:tc>
          <w:tcPr>
            <w:tcW w:w="11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Original Loan</w:t>
            </w:r>
          </w:p>
        </w:tc>
        <w:tc>
          <w:tcPr>
            <w:tcW w:w="20" w:type="dxa"/>
            <w:vAlign w:val="bottom"/>
            <w:shd w:val="clear" w:color="auto" w:fill="ACACAC"/>
          </w:tcPr>
          <w:p>
            <w:pPr>
              <w:spacing w:after="0"/>
              <w:rPr>
                <w:sz w:val="16"/>
                <w:szCs w:val="16"/>
                <w:color w:val="auto"/>
              </w:rPr>
            </w:pPr>
          </w:p>
        </w:tc>
      </w:tr>
      <w:tr>
        <w:trPr>
          <w:trHeight w:val="196"/>
        </w:trPr>
        <w:tc>
          <w:tcPr>
            <w:tcW w:w="488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5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in Months</w:t>
            </w:r>
          </w:p>
        </w:tc>
        <w:tc>
          <w:tcPr>
            <w:tcW w:w="16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Annual Payments</w:t>
            </w:r>
          </w:p>
        </w:tc>
        <w:tc>
          <w:tcPr>
            <w:tcW w:w="16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Payment Due</w:t>
            </w:r>
          </w:p>
        </w:tc>
        <w:tc>
          <w:tcPr>
            <w:tcW w:w="360" w:type="dxa"/>
            <w:vAlign w:val="bottom"/>
            <w:tcBorders>
              <w:bottom w:val="single" w:sz="8" w:color="ACACAC"/>
            </w:tcBorders>
            <w:shd w:val="clear" w:color="auto" w:fill="ACACAC"/>
          </w:tcPr>
          <w:p>
            <w:pPr>
              <w:spacing w:after="0"/>
              <w:rPr>
                <w:sz w:val="17"/>
                <w:szCs w:val="17"/>
                <w:color w:val="auto"/>
              </w:rPr>
            </w:pPr>
          </w:p>
        </w:tc>
        <w:tc>
          <w:tcPr>
            <w:tcW w:w="11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Value</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50"/>
        </w:trPr>
        <w:tc>
          <w:tcPr>
            <w:tcW w:w="48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Effective dates of agreements:</w:t>
            </w:r>
          </w:p>
        </w:tc>
        <w:tc>
          <w:tcPr>
            <w:tcW w:w="1520" w:type="dxa"/>
            <w:vAlign w:val="bottom"/>
            <w:tcBorders>
              <w:bottom w:val="single" w:sz="8" w:color="F4F4F4"/>
            </w:tcBorders>
            <w:shd w:val="clear" w:color="auto" w:fill="F4F4F4"/>
          </w:tcPr>
          <w:p>
            <w:pPr>
              <w:spacing w:after="0"/>
              <w:rPr>
                <w:sz w:val="21"/>
                <w:szCs w:val="21"/>
                <w:color w:val="auto"/>
              </w:rPr>
            </w:pPr>
          </w:p>
        </w:tc>
        <w:tc>
          <w:tcPr>
            <w:tcW w:w="1660" w:type="dxa"/>
            <w:vAlign w:val="bottom"/>
            <w:tcBorders>
              <w:bottom w:val="single" w:sz="8" w:color="F4F4F4"/>
            </w:tcBorders>
            <w:shd w:val="clear" w:color="auto" w:fill="F4F4F4"/>
          </w:tcPr>
          <w:p>
            <w:pPr>
              <w:spacing w:after="0"/>
              <w:rPr>
                <w:sz w:val="21"/>
                <w:szCs w:val="21"/>
                <w:color w:val="auto"/>
              </w:rPr>
            </w:pPr>
          </w:p>
        </w:tc>
        <w:tc>
          <w:tcPr>
            <w:tcW w:w="1640" w:type="dxa"/>
            <w:vAlign w:val="bottom"/>
            <w:tcBorders>
              <w:bottom w:val="single" w:sz="8" w:color="F4F4F4"/>
            </w:tcBorders>
            <w:shd w:val="clear" w:color="auto" w:fill="F4F4F4"/>
          </w:tcPr>
          <w:p>
            <w:pPr>
              <w:spacing w:after="0"/>
              <w:rPr>
                <w:sz w:val="21"/>
                <w:szCs w:val="21"/>
                <w:color w:val="auto"/>
              </w:rPr>
            </w:pPr>
          </w:p>
        </w:tc>
        <w:tc>
          <w:tcPr>
            <w:tcW w:w="360" w:type="dxa"/>
            <w:vAlign w:val="bottom"/>
            <w:tcBorders>
              <w:bottom w:val="single" w:sz="8" w:color="F4F4F4"/>
            </w:tcBorders>
            <w:shd w:val="clear" w:color="auto" w:fill="F4F4F4"/>
          </w:tcPr>
          <w:p>
            <w:pPr>
              <w:spacing w:after="0"/>
              <w:rPr>
                <w:sz w:val="21"/>
                <w:szCs w:val="21"/>
                <w:color w:val="auto"/>
              </w:rPr>
            </w:pPr>
          </w:p>
        </w:tc>
        <w:tc>
          <w:tcPr>
            <w:tcW w:w="118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880" w:type="dxa"/>
            <w:vAlign w:val="bottom"/>
          </w:tcPr>
          <w:p>
            <w:pPr>
              <w:ind w:left="140"/>
              <w:spacing w:after="0"/>
              <w:rPr>
                <w:sz w:val="20"/>
                <w:szCs w:val="20"/>
                <w:color w:val="auto"/>
              </w:rPr>
            </w:pPr>
            <w:r>
              <w:rPr>
                <w:rFonts w:ascii="Arial" w:cs="Arial" w:eastAsia="Arial" w:hAnsi="Arial"/>
                <w:sz w:val="18"/>
                <w:szCs w:val="18"/>
                <w:color w:val="auto"/>
              </w:rPr>
              <w:t>December 2019</w:t>
            </w:r>
          </w:p>
        </w:tc>
        <w:tc>
          <w:tcPr>
            <w:tcW w:w="1520" w:type="dxa"/>
            <w:vAlign w:val="bottom"/>
          </w:tcPr>
          <w:p>
            <w:pPr>
              <w:jc w:val="right"/>
              <w:spacing w:after="0"/>
              <w:rPr>
                <w:sz w:val="20"/>
                <w:szCs w:val="20"/>
                <w:color w:val="auto"/>
              </w:rPr>
            </w:pPr>
            <w:r>
              <w:rPr>
                <w:rFonts w:ascii="Arial" w:cs="Arial" w:eastAsia="Arial" w:hAnsi="Arial"/>
                <w:sz w:val="18"/>
                <w:szCs w:val="18"/>
                <w:color w:val="auto"/>
              </w:rPr>
              <w:t>51</w:t>
            </w:r>
          </w:p>
        </w:tc>
        <w:tc>
          <w:tcPr>
            <w:tcW w:w="1660" w:type="dxa"/>
            <w:vAlign w:val="bottom"/>
          </w:tcPr>
          <w:p>
            <w:pPr>
              <w:jc w:val="right"/>
              <w:ind w:right="2"/>
              <w:spacing w:after="0"/>
              <w:rPr>
                <w:sz w:val="20"/>
                <w:szCs w:val="20"/>
                <w:color w:val="auto"/>
              </w:rPr>
            </w:pPr>
            <w:r>
              <w:rPr>
                <w:rFonts w:ascii="Arial" w:cs="Arial" w:eastAsia="Arial" w:hAnsi="Arial"/>
                <w:sz w:val="18"/>
                <w:szCs w:val="18"/>
                <w:color w:val="auto"/>
              </w:rPr>
              <w:t>4</w:t>
            </w:r>
          </w:p>
        </w:tc>
        <w:tc>
          <w:tcPr>
            <w:tcW w:w="1640" w:type="dxa"/>
            <w:vAlign w:val="bottom"/>
          </w:tcPr>
          <w:p>
            <w:pPr>
              <w:jc w:val="right"/>
              <w:spacing w:after="0"/>
              <w:rPr>
                <w:sz w:val="20"/>
                <w:szCs w:val="20"/>
                <w:color w:val="auto"/>
              </w:rPr>
            </w:pPr>
            <w:r>
              <w:rPr>
                <w:rFonts w:ascii="Arial" w:cs="Arial" w:eastAsia="Arial" w:hAnsi="Arial"/>
                <w:sz w:val="18"/>
                <w:szCs w:val="18"/>
                <w:color w:val="auto"/>
              </w:rPr>
              <w:t>January 2020</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2"/>
              <w:spacing w:after="0"/>
              <w:rPr>
                <w:sz w:val="20"/>
                <w:szCs w:val="20"/>
                <w:color w:val="auto"/>
              </w:rPr>
            </w:pPr>
            <w:r>
              <w:rPr>
                <w:rFonts w:ascii="Arial" w:cs="Arial" w:eastAsia="Arial" w:hAnsi="Arial"/>
                <w:sz w:val="18"/>
                <w:szCs w:val="18"/>
                <w:color w:val="auto"/>
              </w:rPr>
              <w:t>2,150</w:t>
            </w:r>
          </w:p>
        </w:tc>
        <w:tc>
          <w:tcPr>
            <w:tcW w:w="20" w:type="dxa"/>
            <w:vAlign w:val="bottom"/>
          </w:tcPr>
          <w:p>
            <w:pPr>
              <w:spacing w:after="0"/>
              <w:rPr>
                <w:sz w:val="21"/>
                <w:szCs w:val="21"/>
                <w:color w:val="auto"/>
              </w:rPr>
            </w:pPr>
          </w:p>
        </w:tc>
      </w:tr>
      <w:tr>
        <w:trPr>
          <w:trHeight w:val="27"/>
        </w:trPr>
        <w:tc>
          <w:tcPr>
            <w:tcW w:w="4880" w:type="dxa"/>
            <w:vAlign w:val="bottom"/>
            <w:tcBorders>
              <w:bottom w:val="single" w:sz="8" w:color="71BF43"/>
            </w:tcBorders>
          </w:tcPr>
          <w:p>
            <w:pPr>
              <w:spacing w:after="0"/>
              <w:rPr>
                <w:sz w:val="2"/>
                <w:szCs w:val="2"/>
                <w:color w:val="auto"/>
              </w:rPr>
            </w:pPr>
          </w:p>
        </w:tc>
        <w:tc>
          <w:tcPr>
            <w:tcW w:w="1520" w:type="dxa"/>
            <w:vAlign w:val="bottom"/>
            <w:tcBorders>
              <w:bottom w:val="single" w:sz="8" w:color="71BF43"/>
            </w:tcBorders>
          </w:tcPr>
          <w:p>
            <w:pPr>
              <w:spacing w:after="0"/>
              <w:rPr>
                <w:sz w:val="2"/>
                <w:szCs w:val="2"/>
                <w:color w:val="auto"/>
              </w:rPr>
            </w:pPr>
          </w:p>
        </w:tc>
        <w:tc>
          <w:tcPr>
            <w:tcW w:w="1660" w:type="dxa"/>
            <w:vAlign w:val="bottom"/>
            <w:tcBorders>
              <w:bottom w:val="single" w:sz="8" w:color="71BF43"/>
            </w:tcBorders>
          </w:tcPr>
          <w:p>
            <w:pPr>
              <w:spacing w:after="0"/>
              <w:rPr>
                <w:sz w:val="2"/>
                <w:szCs w:val="2"/>
                <w:color w:val="auto"/>
              </w:rPr>
            </w:pPr>
          </w:p>
        </w:tc>
        <w:tc>
          <w:tcPr>
            <w:tcW w:w="1640" w:type="dxa"/>
            <w:vAlign w:val="bottom"/>
            <w:tcBorders>
              <w:bottom w:val="single" w:sz="8" w:color="71BF43"/>
            </w:tcBorders>
          </w:tcPr>
          <w:p>
            <w:pPr>
              <w:spacing w:after="0"/>
              <w:rPr>
                <w:sz w:val="2"/>
                <w:szCs w:val="2"/>
                <w:color w:val="auto"/>
              </w:rPr>
            </w:pPr>
          </w:p>
        </w:tc>
        <w:tc>
          <w:tcPr>
            <w:tcW w:w="360" w:type="dxa"/>
            <w:vAlign w:val="bottom"/>
            <w:tcBorders>
              <w:bottom w:val="single" w:sz="8" w:color="71BF43"/>
            </w:tcBorders>
          </w:tcPr>
          <w:p>
            <w:pPr>
              <w:spacing w:after="0"/>
              <w:rPr>
                <w:sz w:val="2"/>
                <w:szCs w:val="2"/>
                <w:color w:val="auto"/>
              </w:rPr>
            </w:pPr>
          </w:p>
        </w:tc>
        <w:tc>
          <w:tcPr>
            <w:tcW w:w="1180" w:type="dxa"/>
            <w:vAlign w:val="bottom"/>
            <w:tcBorders>
              <w:bottom w:val="single" w:sz="8" w:color="71BF4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33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9.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generally use derivative instruments to manage our variable interest rate risk. We have entered into interest rate swap agreements, which effectively convert portions of our variable rate debt under the 2020 Credit Facility to a fixed rate for the term of the swap agreements. We designated each of the interest rate swap agreements as a cash flow hedge at the inception of the contracts.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terms and notional values of our derivative instruments were as follows as of June 30, 2022:</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60" w:type="dxa"/>
            <w:vAlign w:val="bottom"/>
            <w:shd w:val="clear" w:color="auto" w:fill="ACACAC"/>
          </w:tcPr>
          <w:p>
            <w:pPr>
              <w:spacing w:after="0"/>
              <w:rPr>
                <w:sz w:val="16"/>
                <w:szCs w:val="16"/>
                <w:color w:val="auto"/>
              </w:rPr>
            </w:pPr>
          </w:p>
        </w:tc>
        <w:tc>
          <w:tcPr>
            <w:tcW w:w="2080" w:type="dxa"/>
            <w:vAlign w:val="bottom"/>
            <w:shd w:val="clear" w:color="auto" w:fill="ACACAC"/>
          </w:tcPr>
          <w:p>
            <w:pPr>
              <w:spacing w:after="0"/>
              <w:rPr>
                <w:sz w:val="16"/>
                <w:szCs w:val="16"/>
                <w:color w:val="auto"/>
              </w:rPr>
            </w:pPr>
          </w:p>
        </w:tc>
        <w:tc>
          <w:tcPr>
            <w:tcW w:w="1240" w:type="dxa"/>
            <w:vAlign w:val="bottom"/>
            <w:shd w:val="clear" w:color="auto" w:fill="ACACAC"/>
          </w:tcPr>
          <w:p>
            <w:pPr>
              <w:spacing w:after="0"/>
              <w:rPr>
                <w:sz w:val="16"/>
                <w:szCs w:val="16"/>
                <w:color w:val="auto"/>
              </w:rPr>
            </w:pPr>
          </w:p>
        </w:tc>
        <w:tc>
          <w:tcPr>
            <w:tcW w:w="380" w:type="dxa"/>
            <w:vAlign w:val="bottom"/>
            <w:shd w:val="clear" w:color="auto" w:fill="ACACAC"/>
          </w:tcPr>
          <w:p>
            <w:pPr>
              <w:spacing w:after="0"/>
              <w:rPr>
                <w:sz w:val="16"/>
                <w:szCs w:val="16"/>
                <w:color w:val="auto"/>
              </w:rPr>
            </w:pPr>
          </w:p>
        </w:tc>
        <w:tc>
          <w:tcPr>
            <w:tcW w:w="9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Notional</w:t>
            </w:r>
          </w:p>
        </w:tc>
        <w:tc>
          <w:tcPr>
            <w:tcW w:w="20" w:type="dxa"/>
            <w:vAlign w:val="bottom"/>
            <w:shd w:val="clear" w:color="auto" w:fill="ACACAC"/>
          </w:tcPr>
          <w:p>
            <w:pPr>
              <w:spacing w:after="0"/>
              <w:rPr>
                <w:sz w:val="16"/>
                <w:szCs w:val="16"/>
                <w:color w:val="auto"/>
              </w:rPr>
            </w:pPr>
          </w:p>
        </w:tc>
      </w:tr>
      <w:tr>
        <w:trPr>
          <w:trHeight w:val="196"/>
        </w:trPr>
        <w:tc>
          <w:tcPr>
            <w:tcW w:w="656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320" w:type="dxa"/>
            <w:vAlign w:val="bottom"/>
            <w:tcBorders>
              <w:bottom w:val="single" w:sz="8" w:color="ACACAC"/>
            </w:tcBorders>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Term of derivative instrument</w:t>
            </w:r>
          </w:p>
        </w:tc>
        <w:tc>
          <w:tcPr>
            <w:tcW w:w="380" w:type="dxa"/>
            <w:vAlign w:val="bottom"/>
            <w:tcBorders>
              <w:bottom w:val="single" w:sz="8" w:color="ACACAC"/>
            </w:tcBorders>
            <w:shd w:val="clear" w:color="auto" w:fill="ACACAC"/>
          </w:tcPr>
          <w:p>
            <w:pPr>
              <w:spacing w:after="0"/>
              <w:rPr>
                <w:sz w:val="17"/>
                <w:szCs w:val="17"/>
                <w:color w:val="auto"/>
              </w:rPr>
            </w:pPr>
          </w:p>
        </w:tc>
        <w:tc>
          <w:tcPr>
            <w:tcW w:w="9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value</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50"/>
        </w:trPr>
        <w:tc>
          <w:tcPr>
            <w:tcW w:w="656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Derivative instruments designated as hedging instruments:</w:t>
            </w:r>
          </w:p>
        </w:tc>
        <w:tc>
          <w:tcPr>
            <w:tcW w:w="208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spacing w:after="0"/>
              <w:rPr>
                <w:sz w:val="21"/>
                <w:szCs w:val="21"/>
                <w:color w:val="auto"/>
              </w:rPr>
            </w:pPr>
          </w:p>
        </w:tc>
        <w:tc>
          <w:tcPr>
            <w:tcW w:w="380" w:type="dxa"/>
            <w:vAlign w:val="bottom"/>
            <w:tcBorders>
              <w:bottom w:val="single" w:sz="8" w:color="F4F4F4"/>
            </w:tcBorders>
            <w:shd w:val="clear" w:color="auto" w:fill="F4F4F4"/>
          </w:tcPr>
          <w:p>
            <w:pPr>
              <w:spacing w:after="0"/>
              <w:rPr>
                <w:sz w:val="21"/>
                <w:szCs w:val="21"/>
                <w:color w:val="auto"/>
              </w:rPr>
            </w:pPr>
          </w:p>
        </w:tc>
        <w:tc>
          <w:tcPr>
            <w:tcW w:w="98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560" w:type="dxa"/>
            <w:vAlign w:val="bottom"/>
          </w:tcPr>
          <w:p>
            <w:pPr>
              <w:ind w:left="140"/>
              <w:spacing w:after="0"/>
              <w:rPr>
                <w:sz w:val="20"/>
                <w:szCs w:val="20"/>
                <w:color w:val="auto"/>
              </w:rPr>
            </w:pPr>
            <w:r>
              <w:rPr>
                <w:rFonts w:ascii="Arial" w:cs="Arial" w:eastAsia="Arial" w:hAnsi="Arial"/>
                <w:sz w:val="18"/>
                <w:szCs w:val="18"/>
                <w:color w:val="auto"/>
              </w:rPr>
              <w:t>Interest rate swap</w:t>
            </w:r>
          </w:p>
        </w:tc>
        <w:tc>
          <w:tcPr>
            <w:tcW w:w="2080" w:type="dxa"/>
            <w:vAlign w:val="bottom"/>
          </w:tcPr>
          <w:p>
            <w:pPr>
              <w:jc w:val="right"/>
              <w:spacing w:after="0"/>
              <w:rPr>
                <w:sz w:val="20"/>
                <w:szCs w:val="20"/>
                <w:color w:val="auto"/>
              </w:rPr>
            </w:pPr>
            <w:r>
              <w:rPr>
                <w:rFonts w:ascii="Arial" w:cs="Arial" w:eastAsia="Arial" w:hAnsi="Arial"/>
                <w:sz w:val="18"/>
                <w:szCs w:val="18"/>
                <w:color w:val="auto"/>
              </w:rPr>
              <w:t>November 2020</w:t>
            </w:r>
          </w:p>
        </w:tc>
        <w:tc>
          <w:tcPr>
            <w:tcW w:w="1240" w:type="dxa"/>
            <w:vAlign w:val="bottom"/>
          </w:tcPr>
          <w:p>
            <w:pPr>
              <w:jc w:val="right"/>
              <w:spacing w:after="0"/>
              <w:rPr>
                <w:sz w:val="20"/>
                <w:szCs w:val="20"/>
                <w:color w:val="auto"/>
              </w:rPr>
            </w:pPr>
            <w:r>
              <w:rPr>
                <w:rFonts w:ascii="Arial" w:cs="Arial" w:eastAsia="Arial" w:hAnsi="Arial"/>
                <w:sz w:val="18"/>
                <w:szCs w:val="18"/>
                <w:color w:val="auto"/>
              </w:rPr>
              <w:t>- October 2024</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60,000</w:t>
            </w:r>
          </w:p>
        </w:tc>
        <w:tc>
          <w:tcPr>
            <w:tcW w:w="2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56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Interest rate swap</w:t>
            </w:r>
          </w:p>
        </w:tc>
        <w:tc>
          <w:tcPr>
            <w:tcW w:w="2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November 2020</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 October 2024</w:t>
            </w:r>
          </w:p>
        </w:tc>
        <w:tc>
          <w:tcPr>
            <w:tcW w:w="380" w:type="dxa"/>
            <w:vAlign w:val="bottom"/>
            <w:tcBorders>
              <w:bottom w:val="single" w:sz="8" w:color="F4F4F4"/>
            </w:tcBorders>
            <w:shd w:val="clear" w:color="auto" w:fill="F4F4F4"/>
          </w:tcPr>
          <w:p>
            <w:pPr>
              <w:spacing w:after="0"/>
              <w:rPr>
                <w:sz w:val="21"/>
                <w:szCs w:val="21"/>
                <w:color w:val="auto"/>
              </w:rPr>
            </w:pP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60,000</w:t>
            </w:r>
          </w:p>
        </w:tc>
        <w:tc>
          <w:tcPr>
            <w:tcW w:w="20" w:type="dxa"/>
            <w:vAlign w:val="bottom"/>
          </w:tcPr>
          <w:p>
            <w:pPr>
              <w:spacing w:after="0"/>
              <w:rPr>
                <w:sz w:val="21"/>
                <w:szCs w:val="21"/>
                <w:color w:val="auto"/>
              </w:rPr>
            </w:pPr>
          </w:p>
        </w:tc>
      </w:tr>
      <w:tr>
        <w:trPr>
          <w:trHeight w:val="243"/>
        </w:trPr>
        <w:tc>
          <w:tcPr>
            <w:tcW w:w="6560" w:type="dxa"/>
            <w:vAlign w:val="bottom"/>
          </w:tcPr>
          <w:p>
            <w:pPr>
              <w:ind w:left="140"/>
              <w:spacing w:after="0"/>
              <w:rPr>
                <w:sz w:val="20"/>
                <w:szCs w:val="20"/>
                <w:color w:val="auto"/>
              </w:rPr>
            </w:pPr>
            <w:r>
              <w:rPr>
                <w:rFonts w:ascii="Arial" w:cs="Arial" w:eastAsia="Arial" w:hAnsi="Arial"/>
                <w:sz w:val="18"/>
                <w:szCs w:val="18"/>
                <w:color w:val="auto"/>
              </w:rPr>
              <w:t>Interest rate swap</w:t>
            </w:r>
          </w:p>
        </w:tc>
        <w:tc>
          <w:tcPr>
            <w:tcW w:w="2080" w:type="dxa"/>
            <w:vAlign w:val="bottom"/>
          </w:tcPr>
          <w:p>
            <w:pPr>
              <w:jc w:val="right"/>
              <w:spacing w:after="0"/>
              <w:rPr>
                <w:sz w:val="20"/>
                <w:szCs w:val="20"/>
                <w:color w:val="auto"/>
              </w:rPr>
            </w:pPr>
            <w:r>
              <w:rPr>
                <w:rFonts w:ascii="Arial" w:cs="Arial" w:eastAsia="Arial" w:hAnsi="Arial"/>
                <w:sz w:val="18"/>
                <w:szCs w:val="18"/>
                <w:color w:val="auto"/>
              </w:rPr>
              <w:t>June 2021</w:t>
            </w:r>
          </w:p>
        </w:tc>
        <w:tc>
          <w:tcPr>
            <w:tcW w:w="1240" w:type="dxa"/>
            <w:vAlign w:val="bottom"/>
          </w:tcPr>
          <w:p>
            <w:pPr>
              <w:jc w:val="right"/>
              <w:spacing w:after="0"/>
              <w:rPr>
                <w:sz w:val="20"/>
                <w:szCs w:val="20"/>
                <w:color w:val="auto"/>
              </w:rPr>
            </w:pPr>
            <w:r>
              <w:rPr>
                <w:rFonts w:ascii="Arial" w:cs="Arial" w:eastAsia="Arial" w:hAnsi="Arial"/>
                <w:sz w:val="18"/>
                <w:szCs w:val="18"/>
                <w:color w:val="auto"/>
              </w:rPr>
              <w:t>- October 2024</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120,000</w:t>
            </w:r>
          </w:p>
        </w:tc>
        <w:tc>
          <w:tcPr>
            <w:tcW w:w="2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56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Interest rate swap</w:t>
            </w:r>
          </w:p>
        </w:tc>
        <w:tc>
          <w:tcPr>
            <w:tcW w:w="2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July 2021</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 October 2024</w:t>
            </w:r>
          </w:p>
        </w:tc>
        <w:tc>
          <w:tcPr>
            <w:tcW w:w="380" w:type="dxa"/>
            <w:vAlign w:val="bottom"/>
            <w:tcBorders>
              <w:bottom w:val="single" w:sz="8" w:color="F4F4F4"/>
            </w:tcBorders>
            <w:shd w:val="clear" w:color="auto" w:fill="F4F4F4"/>
          </w:tcPr>
          <w:p>
            <w:pPr>
              <w:spacing w:after="0"/>
              <w:rPr>
                <w:sz w:val="21"/>
                <w:szCs w:val="21"/>
                <w:color w:val="auto"/>
              </w:rPr>
            </w:pP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120,000</w:t>
            </w:r>
          </w:p>
        </w:tc>
        <w:tc>
          <w:tcPr>
            <w:tcW w:w="20" w:type="dxa"/>
            <w:vAlign w:val="bottom"/>
          </w:tcPr>
          <w:p>
            <w:pPr>
              <w:spacing w:after="0"/>
              <w:rPr>
                <w:sz w:val="21"/>
                <w:szCs w:val="21"/>
                <w:color w:val="auto"/>
              </w:rPr>
            </w:pPr>
          </w:p>
        </w:tc>
      </w:tr>
      <w:tr>
        <w:trPr>
          <w:trHeight w:val="243"/>
        </w:trPr>
        <w:tc>
          <w:tcPr>
            <w:tcW w:w="6560" w:type="dxa"/>
            <w:vAlign w:val="bottom"/>
          </w:tcPr>
          <w:p>
            <w:pPr>
              <w:ind w:left="140"/>
              <w:spacing w:after="0"/>
              <w:rPr>
                <w:sz w:val="20"/>
                <w:szCs w:val="20"/>
                <w:color w:val="auto"/>
              </w:rPr>
            </w:pPr>
            <w:r>
              <w:rPr>
                <w:rFonts w:ascii="Arial" w:cs="Arial" w:eastAsia="Arial" w:hAnsi="Arial"/>
                <w:sz w:val="18"/>
                <w:szCs w:val="18"/>
                <w:color w:val="auto"/>
              </w:rPr>
              <w:t>Interest rate swap</w:t>
            </w:r>
          </w:p>
        </w:tc>
        <w:tc>
          <w:tcPr>
            <w:tcW w:w="2080" w:type="dxa"/>
            <w:vAlign w:val="bottom"/>
          </w:tcPr>
          <w:p>
            <w:pPr>
              <w:jc w:val="right"/>
              <w:spacing w:after="0"/>
              <w:rPr>
                <w:sz w:val="20"/>
                <w:szCs w:val="20"/>
                <w:color w:val="auto"/>
              </w:rPr>
            </w:pPr>
            <w:r>
              <w:rPr>
                <w:rFonts w:ascii="Arial" w:cs="Arial" w:eastAsia="Arial" w:hAnsi="Arial"/>
                <w:sz w:val="18"/>
                <w:szCs w:val="18"/>
                <w:color w:val="auto"/>
              </w:rPr>
              <w:t>July 2021</w:t>
            </w:r>
          </w:p>
        </w:tc>
        <w:tc>
          <w:tcPr>
            <w:tcW w:w="1240" w:type="dxa"/>
            <w:vAlign w:val="bottom"/>
          </w:tcPr>
          <w:p>
            <w:pPr>
              <w:jc w:val="right"/>
              <w:spacing w:after="0"/>
              <w:rPr>
                <w:sz w:val="20"/>
                <w:szCs w:val="20"/>
                <w:color w:val="auto"/>
              </w:rPr>
            </w:pPr>
            <w:r>
              <w:rPr>
                <w:rFonts w:ascii="Arial" w:cs="Arial" w:eastAsia="Arial" w:hAnsi="Arial"/>
                <w:sz w:val="18"/>
                <w:szCs w:val="18"/>
                <w:color w:val="auto"/>
              </w:rPr>
              <w:t>- October 2024</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75,000</w:t>
            </w:r>
          </w:p>
        </w:tc>
        <w:tc>
          <w:tcPr>
            <w:tcW w:w="20" w:type="dxa"/>
            <w:vAlign w:val="bottom"/>
          </w:tcPr>
          <w:p>
            <w:pPr>
              <w:spacing w:after="0"/>
              <w:rPr>
                <w:sz w:val="21"/>
                <w:szCs w:val="21"/>
                <w:color w:val="auto"/>
              </w:rPr>
            </w:pPr>
          </w:p>
        </w:tc>
      </w:tr>
      <w:tr>
        <w:trPr>
          <w:trHeight w:val="27"/>
        </w:trPr>
        <w:tc>
          <w:tcPr>
            <w:tcW w:w="6560" w:type="dxa"/>
            <w:vAlign w:val="bottom"/>
            <w:tcBorders>
              <w:bottom w:val="single" w:sz="8" w:color="F4F4F4"/>
            </w:tcBorders>
          </w:tcPr>
          <w:p>
            <w:pPr>
              <w:spacing w:after="0"/>
              <w:rPr>
                <w:sz w:val="2"/>
                <w:szCs w:val="2"/>
                <w:color w:val="auto"/>
              </w:rPr>
            </w:pPr>
          </w:p>
        </w:tc>
        <w:tc>
          <w:tcPr>
            <w:tcW w:w="2080" w:type="dxa"/>
            <w:vAlign w:val="bottom"/>
            <w:tcBorders>
              <w:bottom w:val="single" w:sz="8" w:color="F4F4F4"/>
            </w:tcBorders>
          </w:tcPr>
          <w:p>
            <w:pPr>
              <w:spacing w:after="0"/>
              <w:rPr>
                <w:sz w:val="2"/>
                <w:szCs w:val="2"/>
                <w:color w:val="auto"/>
              </w:rPr>
            </w:pPr>
          </w:p>
        </w:tc>
        <w:tc>
          <w:tcPr>
            <w:tcW w:w="1240" w:type="dxa"/>
            <w:vAlign w:val="bottom"/>
            <w:tcBorders>
              <w:bottom w:val="single" w:sz="8" w:color="F4F4F4"/>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6560" w:type="dxa"/>
            <w:vAlign w:val="bottom"/>
            <w:tcBorders>
              <w:bottom w:val="single" w:sz="8" w:color="F4F4F4"/>
            </w:tcBorders>
            <w:shd w:val="clear" w:color="auto" w:fill="F4F4F4"/>
          </w:tcPr>
          <w:p>
            <w:pPr>
              <w:spacing w:after="0"/>
              <w:rPr>
                <w:sz w:val="22"/>
                <w:szCs w:val="22"/>
                <w:color w:val="auto"/>
              </w:rPr>
            </w:pPr>
          </w:p>
        </w:tc>
        <w:tc>
          <w:tcPr>
            <w:tcW w:w="2080" w:type="dxa"/>
            <w:vAlign w:val="bottom"/>
            <w:tcBorders>
              <w:bottom w:val="single" w:sz="8" w:color="F4F4F4"/>
            </w:tcBorders>
            <w:shd w:val="clear" w:color="auto" w:fill="F4F4F4"/>
          </w:tcPr>
          <w:p>
            <w:pPr>
              <w:spacing w:after="0"/>
              <w:rPr>
                <w:sz w:val="22"/>
                <w:szCs w:val="22"/>
                <w:color w:val="auto"/>
              </w:rPr>
            </w:pPr>
          </w:p>
        </w:tc>
        <w:tc>
          <w:tcPr>
            <w:tcW w:w="1240" w:type="dxa"/>
            <w:vAlign w:val="bottom"/>
            <w:tcBorders>
              <w:bottom w:val="single" w:sz="8" w:color="F4F4F4"/>
            </w:tcBorders>
            <w:shd w:val="clear" w:color="auto" w:fill="F4F4F4"/>
          </w:tcPr>
          <w:p>
            <w:pPr>
              <w:spacing w:after="0"/>
              <w:rPr>
                <w:sz w:val="22"/>
                <w:szCs w:val="22"/>
                <w:color w:val="auto"/>
              </w:rPr>
            </w:pPr>
          </w:p>
        </w:tc>
        <w:tc>
          <w:tcPr>
            <w:tcW w:w="380" w:type="dxa"/>
            <w:vAlign w:val="bottom"/>
            <w:tcBorders>
              <w:bottom w:val="single" w:sz="8" w:color="F4F4F4"/>
            </w:tcBorders>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435,000</w:t>
            </w:r>
          </w:p>
        </w:tc>
        <w:tc>
          <w:tcPr>
            <w:tcW w:w="20" w:type="dxa"/>
            <w:vAlign w:val="bottom"/>
          </w:tcPr>
          <w:p>
            <w:pPr>
              <w:spacing w:after="0"/>
              <w:rPr>
                <w:sz w:val="22"/>
                <w:szCs w:val="22"/>
                <w:color w:val="auto"/>
              </w:rPr>
            </w:pPr>
          </w:p>
        </w:tc>
      </w:tr>
      <w:tr>
        <w:trPr>
          <w:trHeight w:val="684"/>
        </w:trPr>
        <w:tc>
          <w:tcPr>
            <w:tcW w:w="6560" w:type="dxa"/>
            <w:vAlign w:val="bottom"/>
            <w:tcBorders>
              <w:top w:val="single" w:sz="8" w:color="71BF43"/>
            </w:tcBorders>
          </w:tcPr>
          <w:p>
            <w:pPr>
              <w:spacing w:after="0"/>
              <w:rPr>
                <w:sz w:val="24"/>
                <w:szCs w:val="24"/>
                <w:color w:val="auto"/>
              </w:rPr>
            </w:pPr>
          </w:p>
        </w:tc>
        <w:tc>
          <w:tcPr>
            <w:tcW w:w="3320" w:type="dxa"/>
            <w:vAlign w:val="bottom"/>
            <w:tcBorders>
              <w:top w:val="single" w:sz="8" w:color="71BF43"/>
            </w:tcBorders>
            <w:gridSpan w:val="2"/>
          </w:tcPr>
          <w:p>
            <w:pPr>
              <w:jc w:val="right"/>
              <w:ind w:right="210"/>
              <w:spacing w:after="0"/>
              <w:rPr>
                <w:sz w:val="20"/>
                <w:szCs w:val="20"/>
                <w:color w:val="auto"/>
              </w:rPr>
            </w:pPr>
            <w:r>
              <w:rPr>
                <w:rFonts w:ascii="Arial" w:cs="Arial" w:eastAsia="Arial" w:hAnsi="Arial"/>
                <w:sz w:val="14"/>
                <w:szCs w:val="14"/>
                <w:color w:val="auto"/>
              </w:rPr>
              <w:t>Second Quarter 2022 Form 10-Q</w:t>
            </w:r>
          </w:p>
        </w:tc>
        <w:tc>
          <w:tcPr>
            <w:tcW w:w="380" w:type="dxa"/>
            <w:vAlign w:val="bottom"/>
            <w:tcBorders>
              <w:top w:val="single" w:sz="8" w:color="71BF43"/>
            </w:tcBorders>
          </w:tcPr>
          <w:p>
            <w:pPr>
              <w:spacing w:after="0"/>
              <w:rPr>
                <w:sz w:val="24"/>
                <w:szCs w:val="24"/>
                <w:color w:val="auto"/>
              </w:rPr>
            </w:pPr>
          </w:p>
        </w:tc>
        <w:tc>
          <w:tcPr>
            <w:tcW w:w="980" w:type="dxa"/>
            <w:vAlign w:val="bottom"/>
            <w:tcBorders>
              <w:top w:val="single" w:sz="8" w:color="71BF43"/>
            </w:tcBorders>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24"/>
                <w:szCs w:val="24"/>
                <w:color w:val="auto"/>
              </w:rPr>
            </w:pPr>
          </w:p>
        </w:tc>
      </w:tr>
      <w:tr>
        <w:trPr>
          <w:trHeight w:val="329"/>
        </w:trPr>
        <w:tc>
          <w:tcPr>
            <w:tcW w:w="65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-376555</wp:posOffset>
            </wp:positionV>
            <wp:extent cx="65976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were as follows as of:</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80" w:type="dxa"/>
            <w:vAlign w:val="bottom"/>
            <w:shd w:val="clear" w:color="auto" w:fill="ACACAC"/>
          </w:tcPr>
          <w:p>
            <w:pPr>
              <w:spacing w:after="0"/>
              <w:rPr>
                <w:sz w:val="18"/>
                <w:szCs w:val="18"/>
                <w:color w:val="auto"/>
              </w:rPr>
            </w:pPr>
          </w:p>
        </w:tc>
        <w:tc>
          <w:tcPr>
            <w:tcW w:w="1860" w:type="dxa"/>
            <w:vAlign w:val="bottom"/>
            <w:shd w:val="clear" w:color="auto" w:fill="ACACAC"/>
          </w:tcPr>
          <w:p>
            <w:pPr>
              <w:spacing w:after="0"/>
              <w:rPr>
                <w:sz w:val="18"/>
                <w:szCs w:val="18"/>
                <w:color w:val="auto"/>
              </w:rPr>
            </w:pPr>
          </w:p>
        </w:tc>
        <w:tc>
          <w:tcPr>
            <w:tcW w:w="420" w:type="dxa"/>
            <w:vAlign w:val="bottom"/>
            <w:shd w:val="clear" w:color="auto" w:fill="ACACAC"/>
          </w:tcPr>
          <w:p>
            <w:pPr>
              <w:spacing w:after="0"/>
              <w:rPr>
                <w:sz w:val="18"/>
                <w:szCs w:val="18"/>
                <w:color w:val="auto"/>
              </w:rPr>
            </w:pPr>
          </w:p>
        </w:tc>
        <w:tc>
          <w:tcPr>
            <w:tcW w:w="2280" w:type="dxa"/>
            <w:vAlign w:val="bottom"/>
            <w:gridSpan w:val="3"/>
            <w:shd w:val="clear" w:color="auto" w:fill="ACACAC"/>
          </w:tcPr>
          <w:p>
            <w:pPr>
              <w:jc w:val="right"/>
              <w:ind w:right="679"/>
              <w:spacing w:after="0"/>
              <w:rPr>
                <w:sz w:val="20"/>
                <w:szCs w:val="20"/>
                <w:color w:val="auto"/>
              </w:rPr>
            </w:pPr>
            <w:r>
              <w:rPr>
                <w:rFonts w:ascii="Arial" w:cs="Arial" w:eastAsia="Arial" w:hAnsi="Arial"/>
                <w:sz w:val="14"/>
                <w:szCs w:val="14"/>
                <w:b w:val="1"/>
                <w:bCs w:val="1"/>
                <w:color w:val="FFFFFF"/>
              </w:rPr>
              <w:t>Asset derivatives</w:t>
            </w:r>
          </w:p>
        </w:tc>
        <w:tc>
          <w:tcPr>
            <w:tcW w:w="20" w:type="dxa"/>
            <w:vAlign w:val="bottom"/>
            <w:shd w:val="clear" w:color="auto" w:fill="ACACAC"/>
          </w:tcPr>
          <w:p>
            <w:pPr>
              <w:spacing w:after="0"/>
              <w:rPr>
                <w:sz w:val="18"/>
                <w:szCs w:val="18"/>
                <w:color w:val="auto"/>
              </w:rPr>
            </w:pPr>
          </w:p>
        </w:tc>
      </w:tr>
      <w:tr>
        <w:trPr>
          <w:trHeight w:val="201"/>
        </w:trPr>
        <w:tc>
          <w:tcPr>
            <w:tcW w:w="6680" w:type="dxa"/>
            <w:vAlign w:val="bottom"/>
            <w:shd w:val="clear" w:color="auto" w:fill="ACACAC"/>
          </w:tcPr>
          <w:p>
            <w:pPr>
              <w:spacing w:after="0"/>
              <w:rPr>
                <w:sz w:val="17"/>
                <w:szCs w:val="17"/>
                <w:color w:val="auto"/>
              </w:rPr>
            </w:pPr>
          </w:p>
        </w:tc>
        <w:tc>
          <w:tcPr>
            <w:tcW w:w="1860" w:type="dxa"/>
            <w:vAlign w:val="bottom"/>
            <w:shd w:val="clear" w:color="auto" w:fill="ACACAC"/>
          </w:tcPr>
          <w:p>
            <w:pPr>
              <w:spacing w:after="0"/>
              <w:rPr>
                <w:sz w:val="17"/>
                <w:szCs w:val="17"/>
                <w:color w:val="auto"/>
              </w:rPr>
            </w:pPr>
          </w:p>
        </w:tc>
        <w:tc>
          <w:tcPr>
            <w:tcW w:w="420" w:type="dxa"/>
            <w:vAlign w:val="bottom"/>
            <w:shd w:val="clear" w:color="auto" w:fill="ACACAC"/>
          </w:tcPr>
          <w:p>
            <w:pPr>
              <w:spacing w:after="0"/>
              <w:rPr>
                <w:sz w:val="17"/>
                <w:szCs w:val="17"/>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260" w:type="dxa"/>
            <w:vAlign w:val="bottom"/>
            <w:shd w:val="clear" w:color="auto" w:fill="ACACAC"/>
          </w:tcPr>
          <w:p>
            <w:pPr>
              <w:spacing w:after="0"/>
              <w:rPr>
                <w:sz w:val="17"/>
                <w:szCs w:val="17"/>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7"/>
                <w:szCs w:val="17"/>
                <w:color w:val="auto"/>
              </w:rPr>
            </w:pPr>
          </w:p>
        </w:tc>
      </w:tr>
      <w:tr>
        <w:trPr>
          <w:trHeight w:val="196"/>
        </w:trPr>
        <w:tc>
          <w:tcPr>
            <w:tcW w:w="668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8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Balance sheet location</w:t>
            </w:r>
          </w:p>
        </w:tc>
        <w:tc>
          <w:tcPr>
            <w:tcW w:w="420" w:type="dxa"/>
            <w:vAlign w:val="bottom"/>
            <w:tcBorders>
              <w:bottom w:val="single" w:sz="8" w:color="ACACAC"/>
            </w:tcBorders>
            <w:shd w:val="clear" w:color="auto" w:fill="ACACAC"/>
          </w:tcPr>
          <w:p>
            <w:pPr>
              <w:spacing w:after="0"/>
              <w:rPr>
                <w:sz w:val="17"/>
                <w:szCs w:val="17"/>
                <w:color w:val="auto"/>
              </w:rPr>
            </w:pPr>
          </w:p>
        </w:tc>
        <w:tc>
          <w:tcPr>
            <w:tcW w:w="9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260" w:type="dxa"/>
            <w:vAlign w:val="bottom"/>
            <w:tcBorders>
              <w:bottom w:val="single" w:sz="8" w:color="ACACAC"/>
            </w:tcBorders>
            <w:shd w:val="clear" w:color="auto" w:fill="ACACAC"/>
          </w:tcPr>
          <w:p>
            <w:pPr>
              <w:spacing w:after="0"/>
              <w:rPr>
                <w:sz w:val="17"/>
                <w:szCs w:val="17"/>
                <w:color w:val="auto"/>
              </w:rPr>
            </w:pPr>
          </w:p>
        </w:tc>
        <w:tc>
          <w:tcPr>
            <w:tcW w:w="11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50"/>
        </w:trPr>
        <w:tc>
          <w:tcPr>
            <w:tcW w:w="66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Derivative instruments designated as hedging instruments:</w:t>
            </w:r>
          </w:p>
        </w:tc>
        <w:tc>
          <w:tcPr>
            <w:tcW w:w="1860" w:type="dxa"/>
            <w:vAlign w:val="bottom"/>
            <w:tcBorders>
              <w:bottom w:val="single" w:sz="8" w:color="F4F4F4"/>
            </w:tcBorders>
            <w:shd w:val="clear" w:color="auto" w:fill="F4F4F4"/>
          </w:tcPr>
          <w:p>
            <w:pPr>
              <w:spacing w:after="0"/>
              <w:rPr>
                <w:sz w:val="21"/>
                <w:szCs w:val="21"/>
                <w:color w:val="auto"/>
              </w:rPr>
            </w:pPr>
          </w:p>
        </w:tc>
        <w:tc>
          <w:tcPr>
            <w:tcW w:w="420" w:type="dxa"/>
            <w:vAlign w:val="bottom"/>
            <w:tcBorders>
              <w:bottom w:val="single" w:sz="8" w:color="F4F4F4"/>
            </w:tcBorders>
            <w:shd w:val="clear" w:color="auto" w:fill="F4F4F4"/>
          </w:tcPr>
          <w:p>
            <w:pPr>
              <w:spacing w:after="0"/>
              <w:rPr>
                <w:sz w:val="21"/>
                <w:szCs w:val="21"/>
                <w:color w:val="auto"/>
              </w:rPr>
            </w:pPr>
          </w:p>
        </w:tc>
        <w:tc>
          <w:tcPr>
            <w:tcW w:w="920" w:type="dxa"/>
            <w:vAlign w:val="bottom"/>
            <w:tcBorders>
              <w:bottom w:val="single" w:sz="8" w:color="F4F4F4"/>
            </w:tcBorders>
            <w:shd w:val="clear" w:color="auto" w:fill="F4F4F4"/>
          </w:tcPr>
          <w:p>
            <w:pPr>
              <w:spacing w:after="0"/>
              <w:rPr>
                <w:sz w:val="21"/>
                <w:szCs w:val="21"/>
                <w:color w:val="auto"/>
              </w:rPr>
            </w:pPr>
          </w:p>
        </w:tc>
        <w:tc>
          <w:tcPr>
            <w:tcW w:w="26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97"/>
        </w:trPr>
        <w:tc>
          <w:tcPr>
            <w:tcW w:w="6680" w:type="dxa"/>
            <w:vAlign w:val="bottom"/>
          </w:tcPr>
          <w:p>
            <w:pPr>
              <w:ind w:left="140"/>
              <w:spacing w:after="0"/>
              <w:rPr>
                <w:sz w:val="20"/>
                <w:szCs w:val="20"/>
                <w:color w:val="auto"/>
              </w:rPr>
            </w:pPr>
            <w:r>
              <w:rPr>
                <w:rFonts w:ascii="Arial" w:cs="Arial" w:eastAsia="Arial" w:hAnsi="Arial"/>
                <w:sz w:val="18"/>
                <w:szCs w:val="18"/>
                <w:color w:val="auto"/>
              </w:rPr>
              <w:t>Interest rate swaps, long-term</w:t>
            </w:r>
          </w:p>
        </w:tc>
        <w:tc>
          <w:tcPr>
            <w:tcW w:w="2280" w:type="dxa"/>
            <w:vAlign w:val="bottom"/>
            <w:gridSpan w:val="2"/>
          </w:tcPr>
          <w:p>
            <w:pPr>
              <w:jc w:val="right"/>
              <w:ind w:right="440"/>
              <w:spacing w:after="0"/>
              <w:rPr>
                <w:sz w:val="20"/>
                <w:szCs w:val="20"/>
                <w:color w:val="auto"/>
              </w:rPr>
            </w:pPr>
            <w:r>
              <w:rPr>
                <w:rFonts w:ascii="Arial" w:cs="Arial" w:eastAsia="Arial" w:hAnsi="Arial"/>
                <w:sz w:val="18"/>
                <w:szCs w:val="18"/>
                <w:color w:val="auto"/>
              </w:rPr>
              <w:t>Other assets</w:t>
            </w:r>
          </w:p>
        </w:tc>
        <w:tc>
          <w:tcPr>
            <w:tcW w:w="920" w:type="dxa"/>
            <w:vAlign w:val="bottom"/>
          </w:tcPr>
          <w:p>
            <w:pPr>
              <w:jc w:val="right"/>
              <w:spacing w:after="0"/>
              <w:rPr>
                <w:sz w:val="20"/>
                <w:szCs w:val="20"/>
                <w:color w:val="auto"/>
              </w:rPr>
            </w:pPr>
            <w:r>
              <w:rPr>
                <w:rFonts w:ascii="Arial" w:cs="Arial" w:eastAsia="Arial" w:hAnsi="Arial"/>
                <w:sz w:val="18"/>
                <w:szCs w:val="18"/>
                <w:color w:val="auto"/>
              </w:rPr>
              <w:t>25,412</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7,160</w:t>
            </w:r>
          </w:p>
        </w:tc>
        <w:tc>
          <w:tcPr>
            <w:tcW w:w="20" w:type="dxa"/>
            <w:vAlign w:val="bottom"/>
          </w:tcPr>
          <w:p>
            <w:pPr>
              <w:spacing w:after="0"/>
              <w:rPr>
                <w:sz w:val="24"/>
                <w:szCs w:val="24"/>
                <w:color w:val="auto"/>
              </w:rPr>
            </w:pPr>
          </w:p>
        </w:tc>
      </w:tr>
      <w:tr>
        <w:trPr>
          <w:trHeight w:val="27"/>
        </w:trPr>
        <w:tc>
          <w:tcPr>
            <w:tcW w:w="6680" w:type="dxa"/>
            <w:vAlign w:val="bottom"/>
            <w:tcBorders>
              <w:bottom w:val="single" w:sz="8" w:color="F4F4F4"/>
            </w:tcBorders>
          </w:tcPr>
          <w:p>
            <w:pPr>
              <w:spacing w:after="0"/>
              <w:rPr>
                <w:sz w:val="2"/>
                <w:szCs w:val="2"/>
                <w:color w:val="auto"/>
              </w:rPr>
            </w:pPr>
          </w:p>
        </w:tc>
        <w:tc>
          <w:tcPr>
            <w:tcW w:w="1860" w:type="dxa"/>
            <w:vAlign w:val="bottom"/>
            <w:tcBorders>
              <w:bottom w:val="single" w:sz="8" w:color="F4F4F4"/>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66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Total derivative instruments designated as hedging instruments</w:t>
            </w:r>
          </w:p>
        </w:tc>
        <w:tc>
          <w:tcPr>
            <w:tcW w:w="2280" w:type="dxa"/>
            <w:vAlign w:val="bottom"/>
            <w:tcBorders>
              <w:bottom w:val="single" w:sz="8" w:color="F4F4F4"/>
            </w:tcBorders>
            <w:gridSpan w:val="2"/>
            <w:shd w:val="clear" w:color="auto" w:fill="F4F4F4"/>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25,412</w:t>
            </w:r>
          </w:p>
        </w:tc>
        <w:tc>
          <w:tcPr>
            <w:tcW w:w="260" w:type="dxa"/>
            <w:vAlign w:val="bottom"/>
            <w:tcBorders>
              <w:bottom w:val="single" w:sz="8" w:color="F4F4F4"/>
            </w:tcBorders>
            <w:shd w:val="clear" w:color="auto" w:fill="F4F4F4"/>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7,160</w:t>
            </w:r>
          </w:p>
        </w:tc>
        <w:tc>
          <w:tcPr>
            <w:tcW w:w="20" w:type="dxa"/>
            <w:vAlign w:val="bottom"/>
          </w:tcPr>
          <w:p>
            <w:pPr>
              <w:spacing w:after="0"/>
              <w:rPr>
                <w:sz w:val="21"/>
                <w:szCs w:val="21"/>
                <w:color w:val="auto"/>
              </w:rPr>
            </w:pPr>
          </w:p>
        </w:tc>
      </w:tr>
      <w:tr>
        <w:trPr>
          <w:trHeight w:val="20"/>
        </w:trPr>
        <w:tc>
          <w:tcPr>
            <w:tcW w:w="6680" w:type="dxa"/>
            <w:vAlign w:val="bottom"/>
            <w:shd w:val="clear" w:color="auto" w:fill="71BF43"/>
          </w:tcPr>
          <w:p>
            <w:pPr>
              <w:spacing w:after="0" w:line="20" w:lineRule="exact"/>
              <w:rPr>
                <w:sz w:val="1"/>
                <w:szCs w:val="1"/>
                <w:color w:val="auto"/>
              </w:rPr>
            </w:pPr>
          </w:p>
        </w:tc>
        <w:tc>
          <w:tcPr>
            <w:tcW w:w="1860" w:type="dxa"/>
            <w:vAlign w:val="bottom"/>
            <w:shd w:val="clear" w:color="auto" w:fill="71BF43"/>
          </w:tcPr>
          <w:p>
            <w:pPr>
              <w:spacing w:after="0" w:line="20" w:lineRule="exact"/>
              <w:rPr>
                <w:sz w:val="1"/>
                <w:szCs w:val="1"/>
                <w:color w:val="auto"/>
              </w:rPr>
            </w:pPr>
          </w:p>
        </w:tc>
        <w:tc>
          <w:tcPr>
            <w:tcW w:w="420" w:type="dxa"/>
            <w:vAlign w:val="bottom"/>
            <w:shd w:val="clear" w:color="auto" w:fill="71BF43"/>
          </w:tcPr>
          <w:p>
            <w:pPr>
              <w:spacing w:after="0" w:line="20" w:lineRule="exact"/>
              <w:rPr>
                <w:sz w:val="1"/>
                <w:szCs w:val="1"/>
                <w:color w:val="auto"/>
              </w:rPr>
            </w:pPr>
          </w:p>
        </w:tc>
        <w:tc>
          <w:tcPr>
            <w:tcW w:w="920" w:type="dxa"/>
            <w:vAlign w:val="bottom"/>
            <w:shd w:val="clear" w:color="auto" w:fill="71BF43"/>
          </w:tcPr>
          <w:p>
            <w:pPr>
              <w:spacing w:after="0" w:line="20" w:lineRule="exact"/>
              <w:rPr>
                <w:sz w:val="1"/>
                <w:szCs w:val="1"/>
                <w:color w:val="auto"/>
              </w:rPr>
            </w:pPr>
          </w:p>
        </w:tc>
        <w:tc>
          <w:tcPr>
            <w:tcW w:w="260" w:type="dxa"/>
            <w:vAlign w:val="bottom"/>
            <w:shd w:val="clear" w:color="auto" w:fill="71BF43"/>
          </w:tcPr>
          <w:p>
            <w:pPr>
              <w:spacing w:after="0" w:line="20" w:lineRule="exact"/>
              <w:rPr>
                <w:sz w:val="1"/>
                <w:szCs w:val="1"/>
                <w:color w:val="auto"/>
              </w:rPr>
            </w:pPr>
          </w:p>
        </w:tc>
        <w:tc>
          <w:tcPr>
            <w:tcW w:w="110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-822325</wp:posOffset>
            </wp:positionV>
            <wp:extent cx="17227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The effects of derivative instruments in cash flow hedging relationships were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shd w:val="clear" w:color="auto" w:fill="ACACAC"/>
          </w:tcPr>
          <w:p>
            <w:pPr>
              <w:spacing w:after="0"/>
              <w:rPr>
                <w:sz w:val="19"/>
                <w:szCs w:val="19"/>
                <w:color w:val="auto"/>
              </w:rPr>
            </w:pPr>
          </w:p>
        </w:tc>
        <w:tc>
          <w:tcPr>
            <w:tcW w:w="340" w:type="dxa"/>
            <w:vAlign w:val="bottom"/>
            <w:shd w:val="clear" w:color="auto" w:fill="ACACAC"/>
          </w:tcPr>
          <w:p>
            <w:pPr>
              <w:spacing w:after="0"/>
              <w:rPr>
                <w:sz w:val="19"/>
                <w:szCs w:val="19"/>
                <w:color w:val="auto"/>
              </w:rPr>
            </w:pPr>
          </w:p>
        </w:tc>
        <w:tc>
          <w:tcPr>
            <w:tcW w:w="170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Gain recognized</w:t>
            </w:r>
          </w:p>
        </w:tc>
        <w:tc>
          <w:tcPr>
            <w:tcW w:w="17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Location</w:t>
            </w:r>
          </w:p>
        </w:tc>
        <w:tc>
          <w:tcPr>
            <w:tcW w:w="500" w:type="dxa"/>
            <w:vAlign w:val="bottom"/>
            <w:shd w:val="clear" w:color="auto" w:fill="ACACAC"/>
          </w:tcPr>
          <w:p>
            <w:pPr>
              <w:spacing w:after="0"/>
              <w:rPr>
                <w:sz w:val="19"/>
                <w:szCs w:val="19"/>
                <w:color w:val="auto"/>
              </w:rPr>
            </w:pPr>
          </w:p>
        </w:tc>
        <w:tc>
          <w:tcPr>
            <w:tcW w:w="1800" w:type="dxa"/>
            <w:vAlign w:val="bottom"/>
            <w:shd w:val="clear" w:color="auto" w:fill="ACACAC"/>
          </w:tcPr>
          <w:p>
            <w:pPr>
              <w:spacing w:after="0"/>
              <w:rPr>
                <w:sz w:val="19"/>
                <w:szCs w:val="19"/>
                <w:color w:val="auto"/>
              </w:rPr>
            </w:pPr>
          </w:p>
        </w:tc>
        <w:tc>
          <w:tcPr>
            <w:tcW w:w="100" w:type="dxa"/>
            <w:vAlign w:val="bottom"/>
            <w:shd w:val="clear" w:color="auto" w:fill="ACACAC"/>
          </w:tcPr>
          <w:p>
            <w:pPr>
              <w:spacing w:after="0"/>
              <w:rPr>
                <w:sz w:val="19"/>
                <w:szCs w:val="19"/>
                <w:color w:val="auto"/>
              </w:rPr>
            </w:pPr>
          </w:p>
        </w:tc>
        <w:tc>
          <w:tcPr>
            <w:tcW w:w="560" w:type="dxa"/>
            <w:vAlign w:val="bottom"/>
            <w:shd w:val="clear" w:color="auto" w:fill="ACACAC"/>
          </w:tcPr>
          <w:p>
            <w:pPr>
              <w:spacing w:after="0"/>
              <w:rPr>
                <w:sz w:val="19"/>
                <w:szCs w:val="19"/>
                <w:color w:val="auto"/>
              </w:rPr>
            </w:pPr>
          </w:p>
        </w:tc>
        <w:tc>
          <w:tcPr>
            <w:tcW w:w="1720"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740" w:type="dxa"/>
            <w:vAlign w:val="bottom"/>
            <w:shd w:val="clear" w:color="auto" w:fill="ACACAC"/>
          </w:tcPr>
          <w:p>
            <w:pPr>
              <w:spacing w:after="0"/>
              <w:rPr>
                <w:sz w:val="8"/>
                <w:szCs w:val="8"/>
                <w:color w:val="auto"/>
              </w:rPr>
            </w:pPr>
          </w:p>
        </w:tc>
        <w:tc>
          <w:tcPr>
            <w:tcW w:w="340" w:type="dxa"/>
            <w:vAlign w:val="bottom"/>
            <w:shd w:val="clear" w:color="auto" w:fill="ACACAC"/>
          </w:tcPr>
          <w:p>
            <w:pPr>
              <w:spacing w:after="0"/>
              <w:rPr>
                <w:sz w:val="8"/>
                <w:szCs w:val="8"/>
                <w:color w:val="auto"/>
              </w:rPr>
            </w:pPr>
          </w:p>
        </w:tc>
        <w:tc>
          <w:tcPr>
            <w:tcW w:w="1700" w:type="dxa"/>
            <w:vAlign w:val="bottom"/>
            <w:vMerge w:val="continue"/>
            <w:shd w:val="clear" w:color="auto" w:fill="ACACAC"/>
          </w:tcPr>
          <w:p>
            <w:pPr>
              <w:spacing w:after="0"/>
              <w:rPr>
                <w:sz w:val="8"/>
                <w:szCs w:val="8"/>
                <w:color w:val="auto"/>
              </w:rPr>
            </w:pPr>
          </w:p>
        </w:tc>
        <w:tc>
          <w:tcPr>
            <w:tcW w:w="17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of gain</w:t>
            </w:r>
          </w:p>
        </w:tc>
        <w:tc>
          <w:tcPr>
            <w:tcW w:w="500" w:type="dxa"/>
            <w:vAlign w:val="bottom"/>
            <w:shd w:val="clear" w:color="auto" w:fill="ACACAC"/>
          </w:tcPr>
          <w:p>
            <w:pPr>
              <w:spacing w:after="0"/>
              <w:rPr>
                <w:sz w:val="8"/>
                <w:szCs w:val="8"/>
                <w:color w:val="auto"/>
              </w:rPr>
            </w:pPr>
          </w:p>
        </w:tc>
        <w:tc>
          <w:tcPr>
            <w:tcW w:w="1800" w:type="dxa"/>
            <w:vAlign w:val="bottom"/>
            <w:shd w:val="clear" w:color="auto" w:fill="ACACAC"/>
          </w:tcPr>
          <w:p>
            <w:pPr>
              <w:spacing w:after="0"/>
              <w:rPr>
                <w:sz w:val="8"/>
                <w:szCs w:val="8"/>
                <w:color w:val="auto"/>
              </w:rPr>
            </w:pPr>
          </w:p>
        </w:tc>
        <w:tc>
          <w:tcPr>
            <w:tcW w:w="100" w:type="dxa"/>
            <w:vAlign w:val="bottom"/>
            <w:shd w:val="clear" w:color="auto" w:fill="ACACAC"/>
          </w:tcPr>
          <w:p>
            <w:pPr>
              <w:spacing w:after="0"/>
              <w:rPr>
                <w:sz w:val="8"/>
                <w:szCs w:val="8"/>
                <w:color w:val="auto"/>
              </w:rPr>
            </w:pPr>
          </w:p>
        </w:tc>
        <w:tc>
          <w:tcPr>
            <w:tcW w:w="560" w:type="dxa"/>
            <w:vAlign w:val="bottom"/>
            <w:shd w:val="clear" w:color="auto" w:fill="ACACAC"/>
          </w:tcPr>
          <w:p>
            <w:pPr>
              <w:spacing w:after="0"/>
              <w:rPr>
                <w:sz w:val="8"/>
                <w:szCs w:val="8"/>
                <w:color w:val="auto"/>
              </w:rPr>
            </w:pPr>
          </w:p>
        </w:tc>
        <w:tc>
          <w:tcPr>
            <w:tcW w:w="1720" w:type="dxa"/>
            <w:vAlign w:val="bottom"/>
            <w:shd w:val="clear" w:color="auto" w:fill="ACACAC"/>
          </w:tcPr>
          <w:p>
            <w:pPr>
              <w:spacing w:after="0"/>
              <w:rPr>
                <w:sz w:val="8"/>
                <w:szCs w:val="8"/>
                <w:color w:val="auto"/>
              </w:rPr>
            </w:pPr>
          </w:p>
        </w:tc>
        <w:tc>
          <w:tcPr>
            <w:tcW w:w="20" w:type="dxa"/>
            <w:vAlign w:val="bottom"/>
            <w:shd w:val="clear" w:color="auto" w:fill="ACACAC"/>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740" w:type="dxa"/>
            <w:vAlign w:val="bottom"/>
            <w:shd w:val="clear" w:color="auto" w:fill="ACACAC"/>
          </w:tcPr>
          <w:p>
            <w:pPr>
              <w:spacing w:after="0"/>
              <w:rPr>
                <w:sz w:val="5"/>
                <w:szCs w:val="5"/>
                <w:color w:val="auto"/>
              </w:rPr>
            </w:pPr>
          </w:p>
        </w:tc>
        <w:tc>
          <w:tcPr>
            <w:tcW w:w="340" w:type="dxa"/>
            <w:vAlign w:val="bottom"/>
            <w:shd w:val="clear" w:color="auto" w:fill="ACACAC"/>
          </w:tcPr>
          <w:p>
            <w:pPr>
              <w:spacing w:after="0"/>
              <w:rPr>
                <w:sz w:val="5"/>
                <w:szCs w:val="5"/>
                <w:color w:val="auto"/>
              </w:rPr>
            </w:pPr>
          </w:p>
        </w:tc>
        <w:tc>
          <w:tcPr>
            <w:tcW w:w="170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in accumulated other</w:t>
            </w:r>
          </w:p>
        </w:tc>
        <w:tc>
          <w:tcPr>
            <w:tcW w:w="1780" w:type="dxa"/>
            <w:vAlign w:val="bottom"/>
            <w:vMerge w:val="continue"/>
            <w:shd w:val="clear" w:color="auto" w:fill="ACACAC"/>
          </w:tcPr>
          <w:p>
            <w:pPr>
              <w:spacing w:after="0"/>
              <w:rPr>
                <w:sz w:val="5"/>
                <w:szCs w:val="5"/>
                <w:color w:val="auto"/>
              </w:rPr>
            </w:pPr>
          </w:p>
        </w:tc>
        <w:tc>
          <w:tcPr>
            <w:tcW w:w="500" w:type="dxa"/>
            <w:vAlign w:val="bottom"/>
            <w:shd w:val="clear" w:color="auto" w:fill="ACACAC"/>
          </w:tcPr>
          <w:p>
            <w:pPr>
              <w:spacing w:after="0"/>
              <w:rPr>
                <w:sz w:val="5"/>
                <w:szCs w:val="5"/>
                <w:color w:val="auto"/>
              </w:rPr>
            </w:pPr>
          </w:p>
        </w:tc>
        <w:tc>
          <w:tcPr>
            <w:tcW w:w="1800" w:type="dxa"/>
            <w:vAlign w:val="bottom"/>
            <w:shd w:val="clear" w:color="auto" w:fill="ACACAC"/>
          </w:tcPr>
          <w:p>
            <w:pPr>
              <w:spacing w:after="0"/>
              <w:rPr>
                <w:sz w:val="5"/>
                <w:szCs w:val="5"/>
                <w:color w:val="auto"/>
              </w:rPr>
            </w:pPr>
          </w:p>
        </w:tc>
        <w:tc>
          <w:tcPr>
            <w:tcW w:w="100" w:type="dxa"/>
            <w:vAlign w:val="bottom"/>
            <w:shd w:val="clear" w:color="auto" w:fill="ACACAC"/>
          </w:tcPr>
          <w:p>
            <w:pPr>
              <w:spacing w:after="0"/>
              <w:rPr>
                <w:sz w:val="5"/>
                <w:szCs w:val="5"/>
                <w:color w:val="auto"/>
              </w:rPr>
            </w:pPr>
          </w:p>
        </w:tc>
        <w:tc>
          <w:tcPr>
            <w:tcW w:w="560" w:type="dxa"/>
            <w:vAlign w:val="bottom"/>
            <w:shd w:val="clear" w:color="auto" w:fill="ACACAC"/>
          </w:tcPr>
          <w:p>
            <w:pPr>
              <w:spacing w:after="0"/>
              <w:rPr>
                <w:sz w:val="5"/>
                <w:szCs w:val="5"/>
                <w:color w:val="auto"/>
              </w:rPr>
            </w:pPr>
          </w:p>
        </w:tc>
        <w:tc>
          <w:tcPr>
            <w:tcW w:w="1720" w:type="dxa"/>
            <w:vAlign w:val="bottom"/>
            <w:shd w:val="clear" w:color="auto" w:fill="ACACAC"/>
          </w:tcPr>
          <w:p>
            <w:pPr>
              <w:spacing w:after="0"/>
              <w:rPr>
                <w:sz w:val="5"/>
                <w:szCs w:val="5"/>
                <w:color w:val="auto"/>
              </w:rPr>
            </w:pPr>
          </w:p>
        </w:tc>
        <w:tc>
          <w:tcPr>
            <w:tcW w:w="20" w:type="dxa"/>
            <w:vAlign w:val="bottom"/>
            <w:shd w:val="clear" w:color="auto" w:fill="ACACAC"/>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740" w:type="dxa"/>
            <w:vAlign w:val="bottom"/>
            <w:shd w:val="clear" w:color="auto" w:fill="ACACAC"/>
          </w:tcPr>
          <w:p>
            <w:pPr>
              <w:spacing w:after="0"/>
              <w:rPr>
                <w:sz w:val="8"/>
                <w:szCs w:val="8"/>
                <w:color w:val="auto"/>
              </w:rPr>
            </w:pPr>
          </w:p>
        </w:tc>
        <w:tc>
          <w:tcPr>
            <w:tcW w:w="340" w:type="dxa"/>
            <w:vAlign w:val="bottom"/>
            <w:shd w:val="clear" w:color="auto" w:fill="ACACAC"/>
          </w:tcPr>
          <w:p>
            <w:pPr>
              <w:spacing w:after="0"/>
              <w:rPr>
                <w:sz w:val="8"/>
                <w:szCs w:val="8"/>
                <w:color w:val="auto"/>
              </w:rPr>
            </w:pPr>
          </w:p>
        </w:tc>
        <w:tc>
          <w:tcPr>
            <w:tcW w:w="1700" w:type="dxa"/>
            <w:vAlign w:val="bottom"/>
            <w:vMerge w:val="continue"/>
            <w:shd w:val="clear" w:color="auto" w:fill="ACACAC"/>
          </w:tcPr>
          <w:p>
            <w:pPr>
              <w:spacing w:after="0"/>
              <w:rPr>
                <w:sz w:val="8"/>
                <w:szCs w:val="8"/>
                <w:color w:val="auto"/>
              </w:rPr>
            </w:pPr>
          </w:p>
        </w:tc>
        <w:tc>
          <w:tcPr>
            <w:tcW w:w="17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reclassified from</w:t>
            </w:r>
          </w:p>
        </w:tc>
        <w:tc>
          <w:tcPr>
            <w:tcW w:w="500" w:type="dxa"/>
            <w:vAlign w:val="bottom"/>
            <w:shd w:val="clear" w:color="auto" w:fill="ACACAC"/>
          </w:tcPr>
          <w:p>
            <w:pPr>
              <w:spacing w:after="0"/>
              <w:rPr>
                <w:sz w:val="8"/>
                <w:szCs w:val="8"/>
                <w:color w:val="auto"/>
              </w:rPr>
            </w:pPr>
          </w:p>
        </w:tc>
        <w:tc>
          <w:tcPr>
            <w:tcW w:w="1800" w:type="dxa"/>
            <w:vAlign w:val="bottom"/>
            <w:shd w:val="clear" w:color="auto" w:fill="ACACAC"/>
          </w:tcPr>
          <w:p>
            <w:pPr>
              <w:spacing w:after="0"/>
              <w:rPr>
                <w:sz w:val="8"/>
                <w:szCs w:val="8"/>
                <w:color w:val="auto"/>
              </w:rPr>
            </w:pPr>
          </w:p>
        </w:tc>
        <w:tc>
          <w:tcPr>
            <w:tcW w:w="100" w:type="dxa"/>
            <w:vAlign w:val="bottom"/>
            <w:shd w:val="clear" w:color="auto" w:fill="ACACAC"/>
          </w:tcPr>
          <w:p>
            <w:pPr>
              <w:spacing w:after="0"/>
              <w:rPr>
                <w:sz w:val="8"/>
                <w:szCs w:val="8"/>
                <w:color w:val="auto"/>
              </w:rPr>
            </w:pPr>
          </w:p>
        </w:tc>
        <w:tc>
          <w:tcPr>
            <w:tcW w:w="560" w:type="dxa"/>
            <w:vAlign w:val="bottom"/>
            <w:shd w:val="clear" w:color="auto" w:fill="ACACAC"/>
          </w:tcPr>
          <w:p>
            <w:pPr>
              <w:spacing w:after="0"/>
              <w:rPr>
                <w:sz w:val="8"/>
                <w:szCs w:val="8"/>
                <w:color w:val="auto"/>
              </w:rPr>
            </w:pPr>
          </w:p>
        </w:tc>
        <w:tc>
          <w:tcPr>
            <w:tcW w:w="1720" w:type="dxa"/>
            <w:vAlign w:val="bottom"/>
            <w:shd w:val="clear" w:color="auto" w:fill="ACACAC"/>
          </w:tcPr>
          <w:p>
            <w:pPr>
              <w:spacing w:after="0"/>
              <w:rPr>
                <w:sz w:val="8"/>
                <w:szCs w:val="8"/>
                <w:color w:val="auto"/>
              </w:rPr>
            </w:pPr>
          </w:p>
        </w:tc>
        <w:tc>
          <w:tcPr>
            <w:tcW w:w="20" w:type="dxa"/>
            <w:vAlign w:val="bottom"/>
            <w:shd w:val="clear" w:color="auto" w:fill="ACACAC"/>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740" w:type="dxa"/>
            <w:vAlign w:val="bottom"/>
            <w:shd w:val="clear" w:color="auto" w:fill="ACACAC"/>
          </w:tcPr>
          <w:p>
            <w:pPr>
              <w:spacing w:after="0"/>
              <w:rPr>
                <w:sz w:val="5"/>
                <w:szCs w:val="5"/>
                <w:color w:val="auto"/>
              </w:rPr>
            </w:pPr>
          </w:p>
        </w:tc>
        <w:tc>
          <w:tcPr>
            <w:tcW w:w="340" w:type="dxa"/>
            <w:vAlign w:val="bottom"/>
            <w:shd w:val="clear" w:color="auto" w:fill="ACACAC"/>
          </w:tcPr>
          <w:p>
            <w:pPr>
              <w:spacing w:after="0"/>
              <w:rPr>
                <w:sz w:val="5"/>
                <w:szCs w:val="5"/>
                <w:color w:val="auto"/>
              </w:rPr>
            </w:pPr>
          </w:p>
        </w:tc>
        <w:tc>
          <w:tcPr>
            <w:tcW w:w="170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comprehensive</w:t>
            </w:r>
          </w:p>
        </w:tc>
        <w:tc>
          <w:tcPr>
            <w:tcW w:w="1780" w:type="dxa"/>
            <w:vAlign w:val="bottom"/>
            <w:vMerge w:val="continue"/>
            <w:shd w:val="clear" w:color="auto" w:fill="ACACAC"/>
          </w:tcPr>
          <w:p>
            <w:pPr>
              <w:spacing w:after="0"/>
              <w:rPr>
                <w:sz w:val="5"/>
                <w:szCs w:val="5"/>
                <w:color w:val="auto"/>
              </w:rPr>
            </w:pPr>
          </w:p>
        </w:tc>
        <w:tc>
          <w:tcPr>
            <w:tcW w:w="500" w:type="dxa"/>
            <w:vAlign w:val="bottom"/>
            <w:shd w:val="clear" w:color="auto" w:fill="ACACAC"/>
          </w:tcPr>
          <w:p>
            <w:pPr>
              <w:spacing w:after="0"/>
              <w:rPr>
                <w:sz w:val="5"/>
                <w:szCs w:val="5"/>
                <w:color w:val="auto"/>
              </w:rPr>
            </w:pPr>
          </w:p>
        </w:tc>
        <w:tc>
          <w:tcPr>
            <w:tcW w:w="4180" w:type="dxa"/>
            <w:vAlign w:val="bottom"/>
            <w:gridSpan w:val="4"/>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Gain (loss) reclassified from accumulated</w:t>
            </w:r>
          </w:p>
        </w:tc>
        <w:tc>
          <w:tcPr>
            <w:tcW w:w="20" w:type="dxa"/>
            <w:vAlign w:val="bottom"/>
            <w:shd w:val="clear" w:color="auto" w:fill="ACACAC"/>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740" w:type="dxa"/>
            <w:vAlign w:val="bottom"/>
            <w:shd w:val="clear" w:color="auto" w:fill="ACACAC"/>
          </w:tcPr>
          <w:p>
            <w:pPr>
              <w:spacing w:after="0"/>
              <w:rPr>
                <w:sz w:val="8"/>
                <w:szCs w:val="8"/>
                <w:color w:val="auto"/>
              </w:rPr>
            </w:pPr>
          </w:p>
        </w:tc>
        <w:tc>
          <w:tcPr>
            <w:tcW w:w="340" w:type="dxa"/>
            <w:vAlign w:val="bottom"/>
            <w:shd w:val="clear" w:color="auto" w:fill="ACACAC"/>
          </w:tcPr>
          <w:p>
            <w:pPr>
              <w:spacing w:after="0"/>
              <w:rPr>
                <w:sz w:val="8"/>
                <w:szCs w:val="8"/>
                <w:color w:val="auto"/>
              </w:rPr>
            </w:pPr>
          </w:p>
        </w:tc>
        <w:tc>
          <w:tcPr>
            <w:tcW w:w="1700" w:type="dxa"/>
            <w:vAlign w:val="bottom"/>
            <w:vMerge w:val="continue"/>
            <w:shd w:val="clear" w:color="auto" w:fill="ACACAC"/>
          </w:tcPr>
          <w:p>
            <w:pPr>
              <w:spacing w:after="0"/>
              <w:rPr>
                <w:sz w:val="8"/>
                <w:szCs w:val="8"/>
                <w:color w:val="auto"/>
              </w:rPr>
            </w:pPr>
          </w:p>
        </w:tc>
        <w:tc>
          <w:tcPr>
            <w:tcW w:w="17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accumulated other</w:t>
            </w:r>
          </w:p>
        </w:tc>
        <w:tc>
          <w:tcPr>
            <w:tcW w:w="500" w:type="dxa"/>
            <w:vAlign w:val="bottom"/>
            <w:shd w:val="clear" w:color="auto" w:fill="ACACAC"/>
          </w:tcPr>
          <w:p>
            <w:pPr>
              <w:spacing w:after="0"/>
              <w:rPr>
                <w:sz w:val="8"/>
                <w:szCs w:val="8"/>
                <w:color w:val="auto"/>
              </w:rPr>
            </w:pPr>
          </w:p>
        </w:tc>
        <w:tc>
          <w:tcPr>
            <w:tcW w:w="4180" w:type="dxa"/>
            <w:vAlign w:val="bottom"/>
            <w:gridSpan w:val="4"/>
            <w:vMerge w:val="continue"/>
            <w:shd w:val="clear" w:color="auto" w:fill="ACACAC"/>
          </w:tcPr>
          <w:p>
            <w:pPr>
              <w:spacing w:after="0"/>
              <w:rPr>
                <w:sz w:val="8"/>
                <w:szCs w:val="8"/>
                <w:color w:val="auto"/>
              </w:rPr>
            </w:pPr>
          </w:p>
        </w:tc>
        <w:tc>
          <w:tcPr>
            <w:tcW w:w="20" w:type="dxa"/>
            <w:vAlign w:val="bottom"/>
            <w:shd w:val="clear" w:color="auto" w:fill="ACACAC"/>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740" w:type="dxa"/>
            <w:vAlign w:val="bottom"/>
            <w:shd w:val="clear" w:color="auto" w:fill="ACACAC"/>
          </w:tcPr>
          <w:p>
            <w:pPr>
              <w:spacing w:after="0"/>
              <w:rPr>
                <w:sz w:val="5"/>
                <w:szCs w:val="5"/>
                <w:color w:val="auto"/>
              </w:rPr>
            </w:pPr>
          </w:p>
        </w:tc>
        <w:tc>
          <w:tcPr>
            <w:tcW w:w="340" w:type="dxa"/>
            <w:vAlign w:val="bottom"/>
            <w:shd w:val="clear" w:color="auto" w:fill="ACACAC"/>
          </w:tcPr>
          <w:p>
            <w:pPr>
              <w:spacing w:after="0"/>
              <w:rPr>
                <w:sz w:val="5"/>
                <w:szCs w:val="5"/>
                <w:color w:val="auto"/>
              </w:rPr>
            </w:pPr>
          </w:p>
        </w:tc>
        <w:tc>
          <w:tcPr>
            <w:tcW w:w="170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income as of</w:t>
            </w:r>
          </w:p>
        </w:tc>
        <w:tc>
          <w:tcPr>
            <w:tcW w:w="1780" w:type="dxa"/>
            <w:vAlign w:val="bottom"/>
            <w:vMerge w:val="continue"/>
            <w:shd w:val="clear" w:color="auto" w:fill="ACACAC"/>
          </w:tcPr>
          <w:p>
            <w:pPr>
              <w:spacing w:after="0"/>
              <w:rPr>
                <w:sz w:val="5"/>
                <w:szCs w:val="5"/>
                <w:color w:val="auto"/>
              </w:rPr>
            </w:pPr>
          </w:p>
        </w:tc>
        <w:tc>
          <w:tcPr>
            <w:tcW w:w="500" w:type="dxa"/>
            <w:vAlign w:val="bottom"/>
            <w:shd w:val="clear" w:color="auto" w:fill="ACACAC"/>
          </w:tcPr>
          <w:p>
            <w:pPr>
              <w:spacing w:after="0"/>
              <w:rPr>
                <w:sz w:val="5"/>
                <w:szCs w:val="5"/>
                <w:color w:val="auto"/>
              </w:rPr>
            </w:pPr>
          </w:p>
        </w:tc>
        <w:tc>
          <w:tcPr>
            <w:tcW w:w="4180" w:type="dxa"/>
            <w:vAlign w:val="bottom"/>
            <w:gridSpan w:val="4"/>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other comprehensive income into (loss) income</w:t>
            </w:r>
          </w:p>
        </w:tc>
        <w:tc>
          <w:tcPr>
            <w:tcW w:w="20" w:type="dxa"/>
            <w:vAlign w:val="bottom"/>
            <w:shd w:val="clear" w:color="auto" w:fill="ACACAC"/>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ACACAC"/>
          </w:tcPr>
          <w:p>
            <w:pPr>
              <w:spacing w:after="0"/>
              <w:rPr>
                <w:sz w:val="11"/>
                <w:szCs w:val="11"/>
                <w:color w:val="auto"/>
              </w:rPr>
            </w:pPr>
          </w:p>
        </w:tc>
        <w:tc>
          <w:tcPr>
            <w:tcW w:w="340" w:type="dxa"/>
            <w:vAlign w:val="bottom"/>
            <w:shd w:val="clear" w:color="auto" w:fill="ACACAC"/>
          </w:tcPr>
          <w:p>
            <w:pPr>
              <w:spacing w:after="0"/>
              <w:rPr>
                <w:sz w:val="11"/>
                <w:szCs w:val="11"/>
                <w:color w:val="auto"/>
              </w:rPr>
            </w:pPr>
          </w:p>
        </w:tc>
        <w:tc>
          <w:tcPr>
            <w:tcW w:w="1700" w:type="dxa"/>
            <w:vAlign w:val="bottom"/>
            <w:vMerge w:val="continue"/>
            <w:shd w:val="clear" w:color="auto" w:fill="ACACAC"/>
          </w:tcPr>
          <w:p>
            <w:pPr>
              <w:spacing w:after="0"/>
              <w:rPr>
                <w:sz w:val="11"/>
                <w:szCs w:val="11"/>
                <w:color w:val="auto"/>
              </w:rPr>
            </w:pPr>
          </w:p>
        </w:tc>
        <w:tc>
          <w:tcPr>
            <w:tcW w:w="17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comprehensive</w:t>
            </w:r>
          </w:p>
        </w:tc>
        <w:tc>
          <w:tcPr>
            <w:tcW w:w="500" w:type="dxa"/>
            <w:vAlign w:val="bottom"/>
            <w:shd w:val="clear" w:color="auto" w:fill="ACACAC"/>
          </w:tcPr>
          <w:p>
            <w:pPr>
              <w:spacing w:after="0"/>
              <w:rPr>
                <w:sz w:val="11"/>
                <w:szCs w:val="11"/>
                <w:color w:val="auto"/>
              </w:rPr>
            </w:pPr>
          </w:p>
        </w:tc>
        <w:tc>
          <w:tcPr>
            <w:tcW w:w="4180" w:type="dxa"/>
            <w:vAlign w:val="bottom"/>
            <w:gridSpan w:val="4"/>
            <w:vMerge w:val="continue"/>
            <w:shd w:val="clear" w:color="auto" w:fill="ACACAC"/>
          </w:tcPr>
          <w:p>
            <w:pPr>
              <w:spacing w:after="0"/>
              <w:rPr>
                <w:sz w:val="11"/>
                <w:szCs w:val="11"/>
                <w:color w:val="auto"/>
              </w:rPr>
            </w:pPr>
          </w:p>
        </w:tc>
        <w:tc>
          <w:tcPr>
            <w:tcW w:w="20" w:type="dxa"/>
            <w:vAlign w:val="bottom"/>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740" w:type="dxa"/>
            <w:vAlign w:val="bottom"/>
            <w:shd w:val="clear" w:color="auto" w:fill="ACACAC"/>
          </w:tcPr>
          <w:p>
            <w:pPr>
              <w:spacing w:after="0"/>
              <w:rPr>
                <w:sz w:val="2"/>
                <w:szCs w:val="2"/>
                <w:color w:val="auto"/>
              </w:rPr>
            </w:pPr>
          </w:p>
        </w:tc>
        <w:tc>
          <w:tcPr>
            <w:tcW w:w="340" w:type="dxa"/>
            <w:vAlign w:val="bottom"/>
            <w:shd w:val="clear" w:color="auto" w:fill="ACACAC"/>
          </w:tcPr>
          <w:p>
            <w:pPr>
              <w:spacing w:after="0"/>
              <w:rPr>
                <w:sz w:val="2"/>
                <w:szCs w:val="2"/>
                <w:color w:val="auto"/>
              </w:rPr>
            </w:pPr>
          </w:p>
        </w:tc>
        <w:tc>
          <w:tcPr>
            <w:tcW w:w="1700" w:type="dxa"/>
            <w:vAlign w:val="bottom"/>
            <w:shd w:val="clear" w:color="auto" w:fill="ACACAC"/>
          </w:tcPr>
          <w:p>
            <w:pPr>
              <w:spacing w:after="0"/>
              <w:rPr>
                <w:sz w:val="2"/>
                <w:szCs w:val="2"/>
                <w:color w:val="auto"/>
              </w:rPr>
            </w:pPr>
          </w:p>
        </w:tc>
        <w:tc>
          <w:tcPr>
            <w:tcW w:w="1780" w:type="dxa"/>
            <w:vAlign w:val="bottom"/>
            <w:vMerge w:val="continue"/>
            <w:shd w:val="clear" w:color="auto" w:fill="ACACAC"/>
          </w:tcPr>
          <w:p>
            <w:pPr>
              <w:spacing w:after="0"/>
              <w:rPr>
                <w:sz w:val="2"/>
                <w:szCs w:val="2"/>
                <w:color w:val="auto"/>
              </w:rPr>
            </w:pPr>
          </w:p>
        </w:tc>
        <w:tc>
          <w:tcPr>
            <w:tcW w:w="500" w:type="dxa"/>
            <w:vAlign w:val="bottom"/>
            <w:shd w:val="clear" w:color="auto" w:fill="ACACAC"/>
          </w:tcPr>
          <w:p>
            <w:pPr>
              <w:spacing w:after="0"/>
              <w:rPr>
                <w:sz w:val="2"/>
                <w:szCs w:val="2"/>
                <w:color w:val="auto"/>
              </w:rPr>
            </w:pPr>
          </w:p>
        </w:tc>
        <w:tc>
          <w:tcPr>
            <w:tcW w:w="1800" w:type="dxa"/>
            <w:vAlign w:val="bottom"/>
            <w:shd w:val="clear" w:color="auto" w:fill="ACACAC"/>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ACACAC"/>
          </w:tcPr>
          <w:p>
            <w:pPr>
              <w:spacing w:after="0"/>
              <w:rPr>
                <w:sz w:val="2"/>
                <w:szCs w:val="2"/>
                <w:color w:val="auto"/>
              </w:rPr>
            </w:pPr>
          </w:p>
        </w:tc>
        <w:tc>
          <w:tcPr>
            <w:tcW w:w="1720" w:type="dxa"/>
            <w:vAlign w:val="bottom"/>
            <w:shd w:val="clear" w:color="auto" w:fill="ACACAC"/>
          </w:tcPr>
          <w:p>
            <w:pPr>
              <w:spacing w:after="0"/>
              <w:rPr>
                <w:sz w:val="2"/>
                <w:szCs w:val="2"/>
                <w:color w:val="auto"/>
              </w:rPr>
            </w:pPr>
          </w:p>
        </w:tc>
        <w:tc>
          <w:tcPr>
            <w:tcW w:w="20" w:type="dxa"/>
            <w:vAlign w:val="bottom"/>
            <w:shd w:val="clear" w:color="auto" w:fill="ACACA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740" w:type="dxa"/>
            <w:vAlign w:val="bottom"/>
            <w:shd w:val="clear" w:color="auto" w:fill="ACACAC"/>
          </w:tcPr>
          <w:p>
            <w:pPr>
              <w:spacing w:after="0"/>
              <w:rPr>
                <w:sz w:val="14"/>
                <w:szCs w:val="14"/>
                <w:color w:val="auto"/>
              </w:rPr>
            </w:pPr>
          </w:p>
        </w:tc>
        <w:tc>
          <w:tcPr>
            <w:tcW w:w="340" w:type="dxa"/>
            <w:vAlign w:val="bottom"/>
            <w:shd w:val="clear" w:color="auto" w:fill="ACACAC"/>
          </w:tcPr>
          <w:p>
            <w:pPr>
              <w:spacing w:after="0"/>
              <w:rPr>
                <w:sz w:val="14"/>
                <w:szCs w:val="14"/>
                <w:color w:val="auto"/>
              </w:rPr>
            </w:pPr>
          </w:p>
        </w:tc>
        <w:tc>
          <w:tcPr>
            <w:tcW w:w="17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17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income into</w:t>
            </w:r>
          </w:p>
        </w:tc>
        <w:tc>
          <w:tcPr>
            <w:tcW w:w="500" w:type="dxa"/>
            <w:vAlign w:val="bottom"/>
            <w:shd w:val="clear" w:color="auto" w:fill="ACACAC"/>
          </w:tcPr>
          <w:p>
            <w:pPr>
              <w:spacing w:after="0"/>
              <w:rPr>
                <w:sz w:val="14"/>
                <w:szCs w:val="14"/>
                <w:color w:val="auto"/>
              </w:rPr>
            </w:pPr>
          </w:p>
        </w:tc>
        <w:tc>
          <w:tcPr>
            <w:tcW w:w="18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4"/>
                <w:szCs w:val="14"/>
                <w:color w:val="auto"/>
              </w:rPr>
            </w:pPr>
          </w:p>
        </w:tc>
        <w:tc>
          <w:tcPr>
            <w:tcW w:w="560" w:type="dxa"/>
            <w:vAlign w:val="bottom"/>
            <w:shd w:val="clear" w:color="auto" w:fill="ACACAC"/>
          </w:tcPr>
          <w:p>
            <w:pPr>
              <w:spacing w:after="0"/>
              <w:rPr>
                <w:sz w:val="14"/>
                <w:szCs w:val="14"/>
                <w:color w:val="auto"/>
              </w:rPr>
            </w:pPr>
          </w:p>
        </w:tc>
        <w:tc>
          <w:tcPr>
            <w:tcW w:w="17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Six months ended</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40" w:type="dxa"/>
            <w:vAlign w:val="bottom"/>
            <w:tcBorders>
              <w:bottom w:val="single" w:sz="8" w:color="ACACAC"/>
            </w:tcBorders>
            <w:shd w:val="clear" w:color="auto" w:fill="ACACAC"/>
          </w:tcPr>
          <w:p>
            <w:pPr>
              <w:jc w:val="right"/>
              <w:ind w:right="1116"/>
              <w:spacing w:after="0"/>
              <w:rPr>
                <w:sz w:val="20"/>
                <w:szCs w:val="20"/>
                <w:color w:val="auto"/>
              </w:rPr>
            </w:pPr>
            <w:r>
              <w:rPr>
                <w:rFonts w:ascii="Arial" w:cs="Arial" w:eastAsia="Arial" w:hAnsi="Arial"/>
                <w:sz w:val="14"/>
                <w:szCs w:val="14"/>
                <w:b w:val="1"/>
                <w:bCs w:val="1"/>
                <w:color w:val="FFFFFF"/>
              </w:rPr>
              <w:t>(dollars in thousands)</w:t>
            </w:r>
          </w:p>
        </w:tc>
        <w:tc>
          <w:tcPr>
            <w:tcW w:w="340" w:type="dxa"/>
            <w:vAlign w:val="bottom"/>
            <w:tcBorders>
              <w:bottom w:val="single" w:sz="8" w:color="ACACAC"/>
            </w:tcBorders>
            <w:shd w:val="clear" w:color="auto" w:fill="ACACAC"/>
          </w:tcPr>
          <w:p>
            <w:pPr>
              <w:spacing w:after="0"/>
              <w:rPr>
                <w:sz w:val="17"/>
                <w:szCs w:val="17"/>
                <w:color w:val="auto"/>
              </w:rPr>
            </w:pPr>
          </w:p>
        </w:tc>
        <w:tc>
          <w:tcPr>
            <w:tcW w:w="17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17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(loss) income</w:t>
            </w:r>
          </w:p>
        </w:tc>
        <w:tc>
          <w:tcPr>
            <w:tcW w:w="500" w:type="dxa"/>
            <w:vAlign w:val="bottom"/>
            <w:tcBorders>
              <w:bottom w:val="single" w:sz="8" w:color="ACACAC"/>
            </w:tcBorders>
            <w:shd w:val="clear" w:color="auto" w:fill="ACACAC"/>
          </w:tcPr>
          <w:p>
            <w:pPr>
              <w:spacing w:after="0"/>
              <w:rPr>
                <w:sz w:val="17"/>
                <w:szCs w:val="17"/>
                <w:color w:val="auto"/>
              </w:rPr>
            </w:pPr>
          </w:p>
        </w:tc>
        <w:tc>
          <w:tcPr>
            <w:tcW w:w="18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June 30, 2022</w:t>
            </w:r>
          </w:p>
        </w:tc>
        <w:tc>
          <w:tcPr>
            <w:tcW w:w="100" w:type="dxa"/>
            <w:vAlign w:val="bottom"/>
            <w:tcBorders>
              <w:bottom w:val="single" w:sz="8" w:color="F4F4F4"/>
            </w:tcBorders>
          </w:tcPr>
          <w:p>
            <w:pPr>
              <w:spacing w:after="0"/>
              <w:rPr>
                <w:sz w:val="17"/>
                <w:szCs w:val="17"/>
                <w:color w:val="auto"/>
              </w:rPr>
            </w:pPr>
          </w:p>
        </w:tc>
        <w:tc>
          <w:tcPr>
            <w:tcW w:w="560" w:type="dxa"/>
            <w:vAlign w:val="bottom"/>
            <w:tcBorders>
              <w:bottom w:val="single" w:sz="8" w:color="F4F4F4"/>
            </w:tcBorders>
            <w:shd w:val="clear" w:color="auto" w:fill="ACACAC"/>
          </w:tcPr>
          <w:p>
            <w:pPr>
              <w:spacing w:after="0"/>
              <w:rPr>
                <w:sz w:val="17"/>
                <w:szCs w:val="17"/>
                <w:color w:val="auto"/>
              </w:rPr>
            </w:pPr>
          </w:p>
        </w:tc>
        <w:tc>
          <w:tcPr>
            <w:tcW w:w="17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June 30, 2022</w:t>
            </w:r>
          </w:p>
        </w:tc>
        <w:tc>
          <w:tcPr>
            <w:tcW w:w="20" w:type="dxa"/>
            <w:vAlign w:val="bottom"/>
            <w:tcBorders>
              <w:bottom w:val="single" w:sz="8" w:color="ACACAC"/>
            </w:tcBorders>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F4F4F4"/>
            </w:tcBorders>
            <w:shd w:val="clear" w:color="auto" w:fill="F4F4F4"/>
          </w:tcPr>
          <w:p>
            <w:pPr>
              <w:jc w:val="right"/>
              <w:ind w:right="1116"/>
              <w:spacing w:after="0"/>
              <w:rPr>
                <w:sz w:val="20"/>
                <w:szCs w:val="20"/>
                <w:color w:val="auto"/>
              </w:rPr>
            </w:pPr>
            <w:r>
              <w:rPr>
                <w:rFonts w:ascii="Arial" w:cs="Arial" w:eastAsia="Arial" w:hAnsi="Arial"/>
                <w:sz w:val="18"/>
                <w:szCs w:val="18"/>
                <w:color w:val="auto"/>
                <w:w w:val="99"/>
              </w:rPr>
              <w:t>Interest rate swaps</w:t>
            </w:r>
          </w:p>
        </w:tc>
        <w:tc>
          <w:tcPr>
            <w:tcW w:w="34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F4F4F4"/>
            </w:tcBorders>
            <w:shd w:val="clear" w:color="auto" w:fill="F4F4F4"/>
          </w:tcPr>
          <w:p>
            <w:pPr>
              <w:jc w:val="right"/>
              <w:ind w:right="4"/>
              <w:spacing w:after="0"/>
              <w:rPr>
                <w:sz w:val="20"/>
                <w:szCs w:val="20"/>
                <w:color w:val="auto"/>
              </w:rPr>
            </w:pPr>
            <w:r>
              <w:rPr>
                <w:rFonts w:ascii="Arial" w:cs="Arial" w:eastAsia="Arial" w:hAnsi="Arial"/>
                <w:sz w:val="18"/>
                <w:szCs w:val="18"/>
                <w:color w:val="auto"/>
              </w:rPr>
              <w:t>25,412</w:t>
            </w:r>
          </w:p>
        </w:tc>
        <w:tc>
          <w:tcPr>
            <w:tcW w:w="1780" w:type="dxa"/>
            <w:vAlign w:val="bottom"/>
            <w:tcBorders>
              <w:bottom w:val="single" w:sz="8" w:color="F4F4F4"/>
            </w:tcBorders>
            <w:shd w:val="clear" w:color="auto" w:fill="F4F4F4"/>
          </w:tcPr>
          <w:p>
            <w:pPr>
              <w:jc w:val="right"/>
              <w:ind w:right="264"/>
              <w:spacing w:after="0"/>
              <w:rPr>
                <w:sz w:val="20"/>
                <w:szCs w:val="20"/>
                <w:color w:val="auto"/>
              </w:rPr>
            </w:pPr>
            <w:r>
              <w:rPr>
                <w:rFonts w:ascii="Arial" w:cs="Arial" w:eastAsia="Arial" w:hAnsi="Arial"/>
                <w:sz w:val="18"/>
                <w:szCs w:val="18"/>
                <w:color w:val="auto"/>
              </w:rPr>
              <w:t>Interest expense</w:t>
            </w:r>
          </w:p>
        </w:tc>
        <w:tc>
          <w:tcPr>
            <w:tcW w:w="500" w:type="dxa"/>
            <w:vAlign w:val="bottom"/>
            <w:tcBorders>
              <w:bottom w:val="single" w:sz="8" w:color="F4F4F4"/>
            </w:tcBorders>
            <w:shd w:val="clear" w:color="auto" w:fill="F4F4F4"/>
          </w:tcPr>
          <w:p>
            <w:pPr>
              <w:jc w:val="right"/>
              <w:ind w:right="29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F4F4F4"/>
            </w:tcBorders>
            <w:shd w:val="clear" w:color="auto" w:fill="F4F4F4"/>
          </w:tcPr>
          <w:p>
            <w:pPr>
              <w:jc w:val="right"/>
              <w:ind w:right="4"/>
              <w:spacing w:after="0"/>
              <w:rPr>
                <w:sz w:val="20"/>
                <w:szCs w:val="20"/>
                <w:color w:val="auto"/>
              </w:rPr>
            </w:pPr>
            <w:r>
              <w:rPr>
                <w:rFonts w:ascii="Arial" w:cs="Arial" w:eastAsia="Arial" w:hAnsi="Arial"/>
                <w:sz w:val="18"/>
                <w:szCs w:val="18"/>
                <w:color w:val="auto"/>
              </w:rPr>
              <w:t>323</w:t>
            </w:r>
          </w:p>
        </w:tc>
        <w:tc>
          <w:tcPr>
            <w:tcW w:w="660" w:type="dxa"/>
            <w:vAlign w:val="bottom"/>
            <w:tcBorders>
              <w:bottom w:val="single" w:sz="8" w:color="F4F4F4"/>
            </w:tcBorders>
            <w:gridSpan w:val="2"/>
            <w:shd w:val="clear" w:color="auto" w:fill="F4F4F4"/>
          </w:tcPr>
          <w:p>
            <w:pPr>
              <w:jc w:val="right"/>
              <w:ind w:right="44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17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1780" w:type="dxa"/>
            <w:vAlign w:val="bottom"/>
          </w:tcPr>
          <w:p>
            <w:pPr>
              <w:spacing w:after="0"/>
              <w:rPr>
                <w:sz w:val="16"/>
                <w:szCs w:val="16"/>
                <w:color w:val="auto"/>
              </w:rPr>
            </w:pPr>
          </w:p>
        </w:tc>
        <w:tc>
          <w:tcPr>
            <w:tcW w:w="500" w:type="dxa"/>
            <w:vAlign w:val="bottom"/>
            <w:shd w:val="clear" w:color="auto" w:fill="ACACAC"/>
          </w:tcPr>
          <w:p>
            <w:pPr>
              <w:spacing w:after="0"/>
              <w:rPr>
                <w:sz w:val="16"/>
                <w:szCs w:val="16"/>
                <w:color w:val="auto"/>
              </w:rPr>
            </w:pPr>
          </w:p>
        </w:tc>
        <w:tc>
          <w:tcPr>
            <w:tcW w:w="18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6"/>
                <w:szCs w:val="16"/>
                <w:color w:val="auto"/>
              </w:rPr>
            </w:pPr>
          </w:p>
        </w:tc>
        <w:tc>
          <w:tcPr>
            <w:tcW w:w="560" w:type="dxa"/>
            <w:vAlign w:val="bottom"/>
            <w:shd w:val="clear" w:color="auto" w:fill="ACACAC"/>
          </w:tcPr>
          <w:p>
            <w:pPr>
              <w:spacing w:after="0"/>
              <w:rPr>
                <w:sz w:val="16"/>
                <w:szCs w:val="16"/>
                <w:color w:val="auto"/>
              </w:rPr>
            </w:pPr>
          </w:p>
        </w:tc>
        <w:tc>
          <w:tcPr>
            <w:tcW w:w="17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Six months ended</w:t>
            </w:r>
          </w:p>
        </w:tc>
        <w:tc>
          <w:tcPr>
            <w:tcW w:w="2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40" w:type="dxa"/>
            <w:vAlign w:val="bottom"/>
            <w:tcBorders>
              <w:bottom w:val="single" w:sz="8" w:color="F4F4F4"/>
            </w:tcBorders>
          </w:tcPr>
          <w:p>
            <w:pPr>
              <w:spacing w:after="0"/>
              <w:rPr>
                <w:sz w:val="17"/>
                <w:szCs w:val="17"/>
                <w:color w:val="auto"/>
              </w:rPr>
            </w:pPr>
          </w:p>
        </w:tc>
        <w:tc>
          <w:tcPr>
            <w:tcW w:w="340" w:type="dxa"/>
            <w:vAlign w:val="bottom"/>
            <w:tcBorders>
              <w:bottom w:val="single" w:sz="8" w:color="ACACAC"/>
            </w:tcBorders>
            <w:shd w:val="clear" w:color="auto" w:fill="ACACAC"/>
          </w:tcPr>
          <w:p>
            <w:pPr>
              <w:spacing w:after="0"/>
              <w:rPr>
                <w:sz w:val="17"/>
                <w:szCs w:val="17"/>
                <w:color w:val="auto"/>
              </w:rPr>
            </w:pPr>
          </w:p>
        </w:tc>
        <w:tc>
          <w:tcPr>
            <w:tcW w:w="17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780" w:type="dxa"/>
            <w:vAlign w:val="bottom"/>
            <w:tcBorders>
              <w:bottom w:val="single" w:sz="8" w:color="F4F4F4"/>
            </w:tcBorders>
          </w:tcPr>
          <w:p>
            <w:pPr>
              <w:spacing w:after="0"/>
              <w:rPr>
                <w:sz w:val="17"/>
                <w:szCs w:val="17"/>
                <w:color w:val="auto"/>
              </w:rPr>
            </w:pPr>
          </w:p>
        </w:tc>
        <w:tc>
          <w:tcPr>
            <w:tcW w:w="500" w:type="dxa"/>
            <w:vAlign w:val="bottom"/>
            <w:tcBorders>
              <w:bottom w:val="single" w:sz="8" w:color="ACACAC"/>
            </w:tcBorders>
            <w:shd w:val="clear" w:color="auto" w:fill="ACACAC"/>
          </w:tcPr>
          <w:p>
            <w:pPr>
              <w:spacing w:after="0"/>
              <w:rPr>
                <w:sz w:val="17"/>
                <w:szCs w:val="17"/>
                <w:color w:val="auto"/>
              </w:rPr>
            </w:pPr>
          </w:p>
        </w:tc>
        <w:tc>
          <w:tcPr>
            <w:tcW w:w="18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June 30, 2021</w:t>
            </w:r>
          </w:p>
        </w:tc>
        <w:tc>
          <w:tcPr>
            <w:tcW w:w="100" w:type="dxa"/>
            <w:vAlign w:val="bottom"/>
            <w:tcBorders>
              <w:bottom w:val="single" w:sz="8" w:color="F4F4F4"/>
            </w:tcBorders>
          </w:tcPr>
          <w:p>
            <w:pPr>
              <w:spacing w:after="0"/>
              <w:rPr>
                <w:sz w:val="17"/>
                <w:szCs w:val="17"/>
                <w:color w:val="auto"/>
              </w:rPr>
            </w:pPr>
          </w:p>
        </w:tc>
        <w:tc>
          <w:tcPr>
            <w:tcW w:w="560" w:type="dxa"/>
            <w:vAlign w:val="bottom"/>
            <w:tcBorders>
              <w:bottom w:val="single" w:sz="8" w:color="ACACAC"/>
            </w:tcBorders>
            <w:shd w:val="clear" w:color="auto" w:fill="ACACAC"/>
          </w:tcPr>
          <w:p>
            <w:pPr>
              <w:spacing w:after="0"/>
              <w:rPr>
                <w:sz w:val="17"/>
                <w:szCs w:val="17"/>
                <w:color w:val="auto"/>
              </w:rPr>
            </w:pPr>
          </w:p>
        </w:tc>
        <w:tc>
          <w:tcPr>
            <w:tcW w:w="17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June 30, 2021</w:t>
            </w:r>
          </w:p>
        </w:tc>
        <w:tc>
          <w:tcPr>
            <w:tcW w:w="20" w:type="dxa"/>
            <w:vAlign w:val="bottom"/>
            <w:tcBorders>
              <w:bottom w:val="single" w:sz="8" w:color="ACACAC"/>
            </w:tcBorders>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F4F4F4"/>
            </w:tcBorders>
            <w:shd w:val="clear" w:color="auto" w:fill="F4F4F4"/>
          </w:tcPr>
          <w:p>
            <w:pPr>
              <w:jc w:val="right"/>
              <w:ind w:right="1116"/>
              <w:spacing w:after="0"/>
              <w:rPr>
                <w:sz w:val="20"/>
                <w:szCs w:val="20"/>
                <w:color w:val="auto"/>
              </w:rPr>
            </w:pPr>
            <w:r>
              <w:rPr>
                <w:rFonts w:ascii="Arial" w:cs="Arial" w:eastAsia="Arial" w:hAnsi="Arial"/>
                <w:sz w:val="18"/>
                <w:szCs w:val="18"/>
                <w:color w:val="auto"/>
                <w:w w:val="99"/>
              </w:rPr>
              <w:t>Interest rate swaps</w:t>
            </w:r>
          </w:p>
        </w:tc>
        <w:tc>
          <w:tcPr>
            <w:tcW w:w="34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F4F4F4"/>
            </w:tcBorders>
            <w:shd w:val="clear" w:color="auto" w:fill="F4F4F4"/>
          </w:tcPr>
          <w:p>
            <w:pPr>
              <w:jc w:val="right"/>
              <w:ind w:right="4"/>
              <w:spacing w:after="0"/>
              <w:rPr>
                <w:sz w:val="20"/>
                <w:szCs w:val="20"/>
                <w:color w:val="auto"/>
              </w:rPr>
            </w:pPr>
            <w:r>
              <w:rPr>
                <w:rFonts w:ascii="Arial" w:cs="Arial" w:eastAsia="Arial" w:hAnsi="Arial"/>
                <w:sz w:val="18"/>
                <w:szCs w:val="18"/>
                <w:color w:val="auto"/>
              </w:rPr>
              <w:t>1,923</w:t>
            </w:r>
          </w:p>
        </w:tc>
        <w:tc>
          <w:tcPr>
            <w:tcW w:w="1780" w:type="dxa"/>
            <w:vAlign w:val="bottom"/>
            <w:tcBorders>
              <w:bottom w:val="single" w:sz="8" w:color="F4F4F4"/>
            </w:tcBorders>
            <w:shd w:val="clear" w:color="auto" w:fill="F4F4F4"/>
          </w:tcPr>
          <w:p>
            <w:pPr>
              <w:jc w:val="right"/>
              <w:ind w:right="264"/>
              <w:spacing w:after="0"/>
              <w:rPr>
                <w:sz w:val="20"/>
                <w:szCs w:val="20"/>
                <w:color w:val="auto"/>
              </w:rPr>
            </w:pPr>
            <w:r>
              <w:rPr>
                <w:rFonts w:ascii="Arial" w:cs="Arial" w:eastAsia="Arial" w:hAnsi="Arial"/>
                <w:sz w:val="18"/>
                <w:szCs w:val="18"/>
                <w:color w:val="auto"/>
              </w:rPr>
              <w:t>Interest expense</w:t>
            </w:r>
          </w:p>
        </w:tc>
        <w:tc>
          <w:tcPr>
            <w:tcW w:w="500" w:type="dxa"/>
            <w:vAlign w:val="bottom"/>
            <w:tcBorders>
              <w:bottom w:val="single" w:sz="8" w:color="F4F4F4"/>
            </w:tcBorders>
            <w:shd w:val="clear" w:color="auto" w:fill="F4F4F4"/>
          </w:tcPr>
          <w:p>
            <w:pPr>
              <w:jc w:val="right"/>
              <w:ind w:right="29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(1,408)</w:t>
            </w:r>
          </w:p>
        </w:tc>
        <w:tc>
          <w:tcPr>
            <w:tcW w:w="660" w:type="dxa"/>
            <w:vAlign w:val="bottom"/>
            <w:tcBorders>
              <w:bottom w:val="single" w:sz="8" w:color="F4F4F4"/>
            </w:tcBorders>
            <w:gridSpan w:val="2"/>
            <w:shd w:val="clear" w:color="auto" w:fill="F4F4F4"/>
          </w:tcPr>
          <w:p>
            <w:pPr>
              <w:jc w:val="right"/>
              <w:ind w:right="44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(2,784)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40" w:type="dxa"/>
            <w:vAlign w:val="bottom"/>
            <w:shd w:val="clear" w:color="auto" w:fill="71BF43"/>
          </w:tcPr>
          <w:p>
            <w:pPr>
              <w:spacing w:after="0" w:line="20" w:lineRule="exact"/>
              <w:rPr>
                <w:sz w:val="1"/>
                <w:szCs w:val="1"/>
                <w:color w:val="auto"/>
              </w:rPr>
            </w:pPr>
          </w:p>
        </w:tc>
        <w:tc>
          <w:tcPr>
            <w:tcW w:w="340" w:type="dxa"/>
            <w:vAlign w:val="bottom"/>
            <w:shd w:val="clear" w:color="auto" w:fill="71BF43"/>
          </w:tcPr>
          <w:p>
            <w:pPr>
              <w:spacing w:after="0" w:line="20" w:lineRule="exact"/>
              <w:rPr>
                <w:sz w:val="1"/>
                <w:szCs w:val="1"/>
                <w:color w:val="auto"/>
              </w:rPr>
            </w:pPr>
          </w:p>
        </w:tc>
        <w:tc>
          <w:tcPr>
            <w:tcW w:w="1700" w:type="dxa"/>
            <w:vAlign w:val="bottom"/>
            <w:shd w:val="clear" w:color="auto" w:fill="71BF43"/>
          </w:tcPr>
          <w:p>
            <w:pPr>
              <w:spacing w:after="0" w:line="20" w:lineRule="exact"/>
              <w:rPr>
                <w:sz w:val="1"/>
                <w:szCs w:val="1"/>
                <w:color w:val="auto"/>
              </w:rPr>
            </w:pPr>
          </w:p>
        </w:tc>
        <w:tc>
          <w:tcPr>
            <w:tcW w:w="1780" w:type="dxa"/>
            <w:vAlign w:val="bottom"/>
            <w:shd w:val="clear" w:color="auto" w:fill="71BF43"/>
          </w:tcPr>
          <w:p>
            <w:pPr>
              <w:spacing w:after="0" w:line="20" w:lineRule="exact"/>
              <w:rPr>
                <w:sz w:val="1"/>
                <w:szCs w:val="1"/>
                <w:color w:val="auto"/>
              </w:rPr>
            </w:pPr>
          </w:p>
        </w:tc>
        <w:tc>
          <w:tcPr>
            <w:tcW w:w="500" w:type="dxa"/>
            <w:vAlign w:val="bottom"/>
            <w:shd w:val="clear" w:color="auto" w:fill="71BF43"/>
          </w:tcPr>
          <w:p>
            <w:pPr>
              <w:spacing w:after="0" w:line="20" w:lineRule="exact"/>
              <w:rPr>
                <w:sz w:val="1"/>
                <w:szCs w:val="1"/>
                <w:color w:val="auto"/>
              </w:rPr>
            </w:pPr>
          </w:p>
        </w:tc>
        <w:tc>
          <w:tcPr>
            <w:tcW w:w="1800" w:type="dxa"/>
            <w:vAlign w:val="bottom"/>
            <w:shd w:val="clear" w:color="auto" w:fill="71BF43"/>
          </w:tcPr>
          <w:p>
            <w:pPr>
              <w:spacing w:after="0" w:line="20" w:lineRule="exact"/>
              <w:rPr>
                <w:sz w:val="1"/>
                <w:szCs w:val="1"/>
                <w:color w:val="auto"/>
              </w:rPr>
            </w:pPr>
          </w:p>
        </w:tc>
        <w:tc>
          <w:tcPr>
            <w:tcW w:w="100" w:type="dxa"/>
            <w:vAlign w:val="bottom"/>
            <w:shd w:val="clear" w:color="auto" w:fill="71BF43"/>
          </w:tcPr>
          <w:p>
            <w:pPr>
              <w:spacing w:after="0" w:line="20" w:lineRule="exact"/>
              <w:rPr>
                <w:sz w:val="1"/>
                <w:szCs w:val="1"/>
                <w:color w:val="auto"/>
              </w:rPr>
            </w:pPr>
          </w:p>
        </w:tc>
        <w:tc>
          <w:tcPr>
            <w:tcW w:w="560" w:type="dxa"/>
            <w:vAlign w:val="bottom"/>
            <w:shd w:val="clear" w:color="auto" w:fill="71BF43"/>
          </w:tcPr>
          <w:p>
            <w:pPr>
              <w:spacing w:after="0" w:line="20" w:lineRule="exact"/>
              <w:rPr>
                <w:sz w:val="1"/>
                <w:szCs w:val="1"/>
                <w:color w:val="auto"/>
              </w:rPr>
            </w:pPr>
          </w:p>
        </w:tc>
        <w:tc>
          <w:tcPr>
            <w:tcW w:w="172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-436245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-899795</wp:posOffset>
            </wp:positionV>
            <wp:extent cx="54006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00675" cy="8890"/>
                    </a:xfrm>
                    <a:prstGeom prst="rect">
                      <a:avLst/>
                    </a:prstGeom>
                    <a:noFill/>
                  </pic:spPr>
                </pic:pic>
              </a:graphicData>
            </a:graphic>
          </wp:anchor>
        </w:drawing>
      </w:r>
    </w:p>
    <w:p>
      <w:pPr>
        <w:spacing w:after="0" w:line="222"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Our policy requires that derivatives used for hedging purposes be designated and effective as a hedge of the identified risk exposure at the inception of the contract. Accumulated other comprehensive income (loss) includes unrealized gains or losses from the change in fair value measurement of our derivative instruments each reporting period and the related income tax expense or benefit. Changes in the fair value measurements of the derivative instruments and the related income tax expense or benefit are reflected as adjustments to accumulated other comprehensive income (loss) until the actual hedged expense is incurred or until the hedge is terminated at which point the unrealized gain (loss) is reclassified from accumulated other comprehensive income (loss) to current earnings. The estimated accumulated other comprehensive income as of June 30, 2022 that is expected to be reclassified into earnings within the next twelve months is $11.3 million. There were no ineffective portions of our interest rate swap derivatives during the six months ended June 30, 2022 and 2021. See Note 12 for a summary of the changes in accumulated other comprehensive income (loss) by component.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10.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93"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We have operating leases for corporate offices, subleased offices and certain equipment and furniture. As of June 30, 2022, we did not have any operating leases that had not yet commenced.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our lease expense: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80" w:type="dxa"/>
            <w:vAlign w:val="bottom"/>
            <w:shd w:val="clear" w:color="auto" w:fill="ACACAC"/>
          </w:tcPr>
          <w:p>
            <w:pPr>
              <w:spacing w:after="0"/>
              <w:rPr>
                <w:sz w:val="16"/>
                <w:szCs w:val="16"/>
                <w:color w:val="auto"/>
              </w:rPr>
            </w:pPr>
          </w:p>
        </w:tc>
        <w:tc>
          <w:tcPr>
            <w:tcW w:w="720" w:type="dxa"/>
            <w:vAlign w:val="bottom"/>
            <w:shd w:val="clear" w:color="auto" w:fill="ACACAC"/>
          </w:tcPr>
          <w:p>
            <w:pPr>
              <w:spacing w:after="0"/>
              <w:rPr>
                <w:sz w:val="16"/>
                <w:szCs w:val="16"/>
                <w:color w:val="auto"/>
              </w:rPr>
            </w:pPr>
          </w:p>
        </w:tc>
        <w:tc>
          <w:tcPr>
            <w:tcW w:w="1140" w:type="dxa"/>
            <w:vAlign w:val="bottom"/>
            <w:shd w:val="clear" w:color="auto" w:fill="ACACAC"/>
          </w:tcPr>
          <w:p>
            <w:pPr>
              <w:spacing w:after="0"/>
              <w:rPr>
                <w:sz w:val="16"/>
                <w:szCs w:val="16"/>
                <w:color w:val="auto"/>
              </w:rPr>
            </w:pPr>
          </w:p>
        </w:tc>
        <w:tc>
          <w:tcPr>
            <w:tcW w:w="220" w:type="dxa"/>
            <w:vAlign w:val="bottom"/>
            <w:shd w:val="clear" w:color="auto" w:fill="ACACAC"/>
          </w:tcPr>
          <w:p>
            <w:pPr>
              <w:spacing w:after="0"/>
              <w:rPr>
                <w:sz w:val="16"/>
                <w:szCs w:val="16"/>
                <w:color w:val="auto"/>
              </w:rPr>
            </w:pPr>
          </w:p>
        </w:tc>
        <w:tc>
          <w:tcPr>
            <w:tcW w:w="156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80" w:type="dxa"/>
            <w:vAlign w:val="bottom"/>
          </w:tcPr>
          <w:p>
            <w:pPr>
              <w:spacing w:after="0"/>
              <w:rPr>
                <w:sz w:val="16"/>
                <w:szCs w:val="16"/>
                <w:color w:val="auto"/>
              </w:rPr>
            </w:pPr>
          </w:p>
        </w:tc>
        <w:tc>
          <w:tcPr>
            <w:tcW w:w="700" w:type="dxa"/>
            <w:vAlign w:val="bottom"/>
            <w:shd w:val="clear" w:color="auto" w:fill="ACACAC"/>
          </w:tcPr>
          <w:p>
            <w:pPr>
              <w:spacing w:after="0"/>
              <w:rPr>
                <w:sz w:val="16"/>
                <w:szCs w:val="16"/>
                <w:color w:val="auto"/>
              </w:rPr>
            </w:pPr>
          </w:p>
        </w:tc>
        <w:tc>
          <w:tcPr>
            <w:tcW w:w="1180" w:type="dxa"/>
            <w:vAlign w:val="bottom"/>
            <w:shd w:val="clear" w:color="auto" w:fill="ACACAC"/>
          </w:tcPr>
          <w:p>
            <w:pPr>
              <w:spacing w:after="0"/>
              <w:rPr>
                <w:sz w:val="16"/>
                <w:szCs w:val="16"/>
                <w:color w:val="auto"/>
              </w:rPr>
            </w:pPr>
          </w:p>
        </w:tc>
        <w:tc>
          <w:tcPr>
            <w:tcW w:w="300" w:type="dxa"/>
            <w:vAlign w:val="bottom"/>
            <w:shd w:val="clear" w:color="auto" w:fill="ACACAC"/>
          </w:tcPr>
          <w:p>
            <w:pPr>
              <w:spacing w:after="0"/>
              <w:rPr>
                <w:sz w:val="16"/>
                <w:szCs w:val="16"/>
                <w:color w:val="auto"/>
              </w:rPr>
            </w:pPr>
          </w:p>
        </w:tc>
        <w:tc>
          <w:tcPr>
            <w:tcW w:w="14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Six months ended</w:t>
            </w:r>
          </w:p>
        </w:tc>
        <w:tc>
          <w:tcPr>
            <w:tcW w:w="20" w:type="dxa"/>
            <w:vAlign w:val="bottom"/>
            <w:shd w:val="clear" w:color="auto" w:fill="ACACAC"/>
          </w:tcPr>
          <w:p>
            <w:pPr>
              <w:spacing w:after="0"/>
              <w:rPr>
                <w:sz w:val="16"/>
                <w:szCs w:val="16"/>
                <w:color w:val="auto"/>
              </w:rPr>
            </w:pPr>
          </w:p>
        </w:tc>
      </w:tr>
      <w:tr>
        <w:trPr>
          <w:trHeight w:val="190"/>
        </w:trPr>
        <w:tc>
          <w:tcPr>
            <w:tcW w:w="3880" w:type="dxa"/>
            <w:vAlign w:val="bottom"/>
            <w:shd w:val="clear" w:color="auto" w:fill="ACACAC"/>
          </w:tcPr>
          <w:p>
            <w:pPr>
              <w:spacing w:after="0"/>
              <w:rPr>
                <w:sz w:val="16"/>
                <w:szCs w:val="16"/>
                <w:color w:val="auto"/>
              </w:rPr>
            </w:pPr>
          </w:p>
        </w:tc>
        <w:tc>
          <w:tcPr>
            <w:tcW w:w="720" w:type="dxa"/>
            <w:vAlign w:val="bottom"/>
            <w:shd w:val="clear" w:color="auto" w:fill="ACACAC"/>
          </w:tcPr>
          <w:p>
            <w:pPr>
              <w:spacing w:after="0"/>
              <w:rPr>
                <w:sz w:val="16"/>
                <w:szCs w:val="16"/>
                <w:color w:val="auto"/>
              </w:rPr>
            </w:pPr>
          </w:p>
        </w:tc>
        <w:tc>
          <w:tcPr>
            <w:tcW w:w="1140" w:type="dxa"/>
            <w:vAlign w:val="bottom"/>
            <w:shd w:val="clear" w:color="auto" w:fill="ACACAC"/>
          </w:tcPr>
          <w:p>
            <w:pPr>
              <w:spacing w:after="0"/>
              <w:rPr>
                <w:sz w:val="16"/>
                <w:szCs w:val="16"/>
                <w:color w:val="auto"/>
              </w:rPr>
            </w:pPr>
          </w:p>
        </w:tc>
        <w:tc>
          <w:tcPr>
            <w:tcW w:w="220" w:type="dxa"/>
            <w:vAlign w:val="bottom"/>
            <w:shd w:val="clear" w:color="auto" w:fill="ACACAC"/>
          </w:tcPr>
          <w:p>
            <w:pPr>
              <w:spacing w:after="0"/>
              <w:rPr>
                <w:sz w:val="16"/>
                <w:szCs w:val="16"/>
                <w:color w:val="auto"/>
              </w:rPr>
            </w:pPr>
          </w:p>
        </w:tc>
        <w:tc>
          <w:tcPr>
            <w:tcW w:w="156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80" w:type="dxa"/>
            <w:vAlign w:val="bottom"/>
          </w:tcPr>
          <w:p>
            <w:pPr>
              <w:spacing w:after="0"/>
              <w:rPr>
                <w:sz w:val="16"/>
                <w:szCs w:val="16"/>
                <w:color w:val="auto"/>
              </w:rPr>
            </w:pPr>
          </w:p>
        </w:tc>
        <w:tc>
          <w:tcPr>
            <w:tcW w:w="700" w:type="dxa"/>
            <w:vAlign w:val="bottom"/>
            <w:shd w:val="clear" w:color="auto" w:fill="ACACAC"/>
          </w:tcPr>
          <w:p>
            <w:pPr>
              <w:spacing w:after="0"/>
              <w:rPr>
                <w:sz w:val="16"/>
                <w:szCs w:val="16"/>
                <w:color w:val="auto"/>
              </w:rPr>
            </w:pPr>
          </w:p>
        </w:tc>
        <w:tc>
          <w:tcPr>
            <w:tcW w:w="1180" w:type="dxa"/>
            <w:vAlign w:val="bottom"/>
            <w:shd w:val="clear" w:color="auto" w:fill="ACACAC"/>
          </w:tcPr>
          <w:p>
            <w:pPr>
              <w:spacing w:after="0"/>
              <w:rPr>
                <w:sz w:val="16"/>
                <w:szCs w:val="16"/>
                <w:color w:val="auto"/>
              </w:rPr>
            </w:pPr>
          </w:p>
        </w:tc>
        <w:tc>
          <w:tcPr>
            <w:tcW w:w="300" w:type="dxa"/>
            <w:vAlign w:val="bottom"/>
            <w:shd w:val="clear" w:color="auto" w:fill="ACACAC"/>
          </w:tcPr>
          <w:p>
            <w:pPr>
              <w:spacing w:after="0"/>
              <w:rPr>
                <w:sz w:val="16"/>
                <w:szCs w:val="16"/>
                <w:color w:val="auto"/>
              </w:rPr>
            </w:pPr>
          </w:p>
        </w:tc>
        <w:tc>
          <w:tcPr>
            <w:tcW w:w="1460" w:type="dxa"/>
            <w:vAlign w:val="bottom"/>
            <w:shd w:val="clear" w:color="auto" w:fill="ACACAC"/>
          </w:tcPr>
          <w:p>
            <w:pPr>
              <w:jc w:val="center"/>
              <w:ind w:left="758"/>
              <w:spacing w:after="0"/>
              <w:rPr>
                <w:sz w:val="20"/>
                <w:szCs w:val="20"/>
                <w:color w:val="auto"/>
              </w:rPr>
            </w:pPr>
            <w:r>
              <w:rPr>
                <w:rFonts w:ascii="Arial" w:cs="Arial" w:eastAsia="Arial" w:hAnsi="Arial"/>
                <w:sz w:val="14"/>
                <w:szCs w:val="14"/>
                <w:b w:val="1"/>
                <w:bCs w:val="1"/>
                <w:color w:val="FFFFFF"/>
              </w:rPr>
              <w:t>June 30,</w:t>
            </w:r>
          </w:p>
        </w:tc>
        <w:tc>
          <w:tcPr>
            <w:tcW w:w="20" w:type="dxa"/>
            <w:vAlign w:val="bottom"/>
            <w:shd w:val="clear" w:color="auto" w:fill="ACACAC"/>
          </w:tcPr>
          <w:p>
            <w:pPr>
              <w:spacing w:after="0"/>
              <w:rPr>
                <w:sz w:val="16"/>
                <w:szCs w:val="16"/>
                <w:color w:val="auto"/>
              </w:rPr>
            </w:pPr>
          </w:p>
        </w:tc>
      </w:tr>
      <w:tr>
        <w:trPr>
          <w:trHeight w:val="235"/>
        </w:trPr>
        <w:tc>
          <w:tcPr>
            <w:tcW w:w="388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720" w:type="dxa"/>
            <w:vAlign w:val="bottom"/>
            <w:tcBorders>
              <w:bottom w:val="single" w:sz="8" w:color="ACACAC"/>
            </w:tcBorders>
            <w:shd w:val="clear" w:color="auto" w:fill="ACACAC"/>
          </w:tcPr>
          <w:p>
            <w:pPr>
              <w:spacing w:after="0"/>
              <w:rPr>
                <w:sz w:val="20"/>
                <w:szCs w:val="20"/>
                <w:color w:val="auto"/>
              </w:rPr>
            </w:pPr>
          </w:p>
        </w:tc>
        <w:tc>
          <w:tcPr>
            <w:tcW w:w="11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220" w:type="dxa"/>
            <w:vAlign w:val="bottom"/>
            <w:tcBorders>
              <w:bottom w:val="single" w:sz="8" w:color="ACACAC"/>
            </w:tcBorders>
            <w:shd w:val="clear" w:color="auto" w:fill="ACACAC"/>
          </w:tcPr>
          <w:p>
            <w:pPr>
              <w:spacing w:after="0"/>
              <w:rPr>
                <w:sz w:val="20"/>
                <w:szCs w:val="20"/>
                <w:color w:val="auto"/>
              </w:rPr>
            </w:pPr>
          </w:p>
        </w:tc>
        <w:tc>
          <w:tcPr>
            <w:tcW w:w="1560" w:type="dxa"/>
            <w:vAlign w:val="bottom"/>
            <w:tcBorders>
              <w:bottom w:val="single" w:sz="8" w:color="ACACAC"/>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80" w:type="dxa"/>
            <w:vAlign w:val="bottom"/>
          </w:tcPr>
          <w:p>
            <w:pPr>
              <w:spacing w:after="0"/>
              <w:rPr>
                <w:sz w:val="20"/>
                <w:szCs w:val="20"/>
                <w:color w:val="auto"/>
              </w:rPr>
            </w:pPr>
          </w:p>
        </w:tc>
        <w:tc>
          <w:tcPr>
            <w:tcW w:w="700" w:type="dxa"/>
            <w:vAlign w:val="bottom"/>
            <w:tcBorders>
              <w:bottom w:val="single" w:sz="8" w:color="ACACAC"/>
            </w:tcBorders>
            <w:shd w:val="clear" w:color="auto" w:fill="ACACAC"/>
          </w:tcPr>
          <w:p>
            <w:pPr>
              <w:spacing w:after="0"/>
              <w:rPr>
                <w:sz w:val="20"/>
                <w:szCs w:val="20"/>
                <w:color w:val="auto"/>
              </w:rPr>
            </w:pPr>
          </w:p>
        </w:tc>
        <w:tc>
          <w:tcPr>
            <w:tcW w:w="11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300" w:type="dxa"/>
            <w:vAlign w:val="bottom"/>
            <w:tcBorders>
              <w:bottom w:val="single" w:sz="8" w:color="ACACAC"/>
            </w:tcBorders>
            <w:shd w:val="clear" w:color="auto" w:fill="ACACAC"/>
          </w:tcPr>
          <w:p>
            <w:pPr>
              <w:spacing w:after="0"/>
              <w:rPr>
                <w:sz w:val="20"/>
                <w:szCs w:val="20"/>
                <w:color w:val="auto"/>
              </w:rPr>
            </w:pPr>
          </w:p>
        </w:tc>
        <w:tc>
          <w:tcPr>
            <w:tcW w:w="14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ACACAC"/>
            </w:tcBorders>
            <w:shd w:val="clear" w:color="auto" w:fill="ACACAC"/>
          </w:tcPr>
          <w:p>
            <w:pPr>
              <w:spacing w:after="0"/>
              <w:rPr>
                <w:sz w:val="20"/>
                <w:szCs w:val="20"/>
                <w:color w:val="auto"/>
              </w:rPr>
            </w:pPr>
          </w:p>
        </w:tc>
      </w:tr>
      <w:tr>
        <w:trPr>
          <w:trHeight w:val="324"/>
        </w:trPr>
        <w:tc>
          <w:tcPr>
            <w:tcW w:w="3880" w:type="dxa"/>
            <w:vAlign w:val="bottom"/>
          </w:tcPr>
          <w:p>
            <w:pPr>
              <w:ind w:left="20"/>
              <w:spacing w:after="0"/>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2,445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8"/>
              <w:spacing w:after="0"/>
              <w:rPr>
                <w:sz w:val="20"/>
                <w:szCs w:val="20"/>
                <w:color w:val="auto"/>
              </w:rPr>
            </w:pPr>
            <w:r>
              <w:rPr>
                <w:rFonts w:ascii="Arial" w:cs="Arial" w:eastAsia="Arial" w:hAnsi="Arial"/>
                <w:sz w:val="18"/>
                <w:szCs w:val="18"/>
                <w:color w:val="auto"/>
              </w:rPr>
              <w:t>2,372</w:t>
            </w:r>
          </w:p>
        </w:tc>
        <w:tc>
          <w:tcPr>
            <w:tcW w:w="7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4,976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center"/>
              <w:ind w:left="778"/>
              <w:spacing w:after="0"/>
              <w:rPr>
                <w:sz w:val="20"/>
                <w:szCs w:val="20"/>
                <w:color w:val="auto"/>
              </w:rPr>
            </w:pPr>
            <w:r>
              <w:rPr>
                <w:rFonts w:ascii="Arial" w:cs="Arial" w:eastAsia="Arial" w:hAnsi="Arial"/>
                <w:sz w:val="18"/>
                <w:szCs w:val="18"/>
                <w:color w:val="auto"/>
                <w:w w:val="97"/>
              </w:rPr>
              <w:t>5,213</w:t>
            </w:r>
          </w:p>
        </w:tc>
        <w:tc>
          <w:tcPr>
            <w:tcW w:w="20" w:type="dxa"/>
            <w:vAlign w:val="bottom"/>
          </w:tcPr>
          <w:p>
            <w:pPr>
              <w:spacing w:after="0"/>
              <w:rPr>
                <w:sz w:val="24"/>
                <w:szCs w:val="24"/>
                <w:color w:val="auto"/>
              </w:rPr>
            </w:pPr>
          </w:p>
        </w:tc>
      </w:tr>
      <w:tr>
        <w:trPr>
          <w:trHeight w:val="250"/>
        </w:trPr>
        <w:tc>
          <w:tcPr>
            <w:tcW w:w="38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Variable lease cost</w:t>
            </w:r>
          </w:p>
        </w:tc>
        <w:tc>
          <w:tcPr>
            <w:tcW w:w="720" w:type="dxa"/>
            <w:vAlign w:val="bottom"/>
            <w:tcBorders>
              <w:bottom w:val="single" w:sz="8" w:color="F4F4F4"/>
            </w:tcBorders>
            <w:shd w:val="clear" w:color="auto" w:fill="F4F4F4"/>
          </w:tcPr>
          <w:p>
            <w:pPr>
              <w:spacing w:after="0"/>
              <w:rPr>
                <w:sz w:val="21"/>
                <w:szCs w:val="21"/>
                <w:color w:val="auto"/>
              </w:rPr>
            </w:pP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413</w:t>
            </w:r>
          </w:p>
        </w:tc>
        <w:tc>
          <w:tcPr>
            <w:tcW w:w="220" w:type="dxa"/>
            <w:vAlign w:val="bottom"/>
            <w:tcBorders>
              <w:bottom w:val="single" w:sz="8" w:color="F4F4F4"/>
            </w:tcBorders>
            <w:shd w:val="clear" w:color="auto" w:fill="F4F4F4"/>
          </w:tcPr>
          <w:p>
            <w:pPr>
              <w:spacing w:after="0"/>
              <w:rPr>
                <w:sz w:val="21"/>
                <w:szCs w:val="21"/>
                <w:color w:val="auto"/>
              </w:rPr>
            </w:pPr>
          </w:p>
        </w:tc>
        <w:tc>
          <w:tcPr>
            <w:tcW w:w="1560" w:type="dxa"/>
            <w:vAlign w:val="bottom"/>
            <w:tcBorders>
              <w:bottom w:val="single" w:sz="8" w:color="F4F4F4"/>
              <w:right w:val="single" w:sz="8" w:color="F4F4F4"/>
            </w:tcBorders>
            <w:shd w:val="clear" w:color="auto" w:fill="F4F4F4"/>
          </w:tcPr>
          <w:p>
            <w:pPr>
              <w:jc w:val="right"/>
              <w:ind w:right="18"/>
              <w:spacing w:after="0"/>
              <w:rPr>
                <w:sz w:val="20"/>
                <w:szCs w:val="20"/>
                <w:color w:val="auto"/>
              </w:rPr>
            </w:pPr>
            <w:r>
              <w:rPr>
                <w:rFonts w:ascii="Arial" w:cs="Arial" w:eastAsia="Arial" w:hAnsi="Arial"/>
                <w:sz w:val="18"/>
                <w:szCs w:val="18"/>
                <w:color w:val="auto"/>
              </w:rPr>
              <w:t>699</w:t>
            </w:r>
          </w:p>
        </w:tc>
        <w:tc>
          <w:tcPr>
            <w:tcW w:w="80" w:type="dxa"/>
            <w:vAlign w:val="bottom"/>
            <w:tcBorders>
              <w:bottom w:val="single" w:sz="8" w:color="F4F4F4"/>
            </w:tcBorders>
            <w:shd w:val="clear" w:color="auto" w:fill="F4F4F4"/>
          </w:tcPr>
          <w:p>
            <w:pPr>
              <w:spacing w:after="0"/>
              <w:rPr>
                <w:sz w:val="21"/>
                <w:szCs w:val="21"/>
                <w:color w:val="auto"/>
              </w:rPr>
            </w:pPr>
          </w:p>
        </w:tc>
        <w:tc>
          <w:tcPr>
            <w:tcW w:w="700" w:type="dxa"/>
            <w:vAlign w:val="bottom"/>
            <w:tcBorders>
              <w:bottom w:val="single" w:sz="8" w:color="F4F4F4"/>
            </w:tcBorders>
            <w:shd w:val="clear" w:color="auto" w:fill="F4F4F4"/>
          </w:tcPr>
          <w:p>
            <w:pPr>
              <w:spacing w:after="0"/>
              <w:rPr>
                <w:sz w:val="21"/>
                <w:szCs w:val="21"/>
                <w:color w:val="auto"/>
              </w:rPr>
            </w:pPr>
          </w:p>
        </w:tc>
        <w:tc>
          <w:tcPr>
            <w:tcW w:w="11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850</w:t>
            </w:r>
          </w:p>
        </w:tc>
        <w:tc>
          <w:tcPr>
            <w:tcW w:w="300" w:type="dxa"/>
            <w:vAlign w:val="bottom"/>
            <w:tcBorders>
              <w:bottom w:val="single" w:sz="8" w:color="F4F4F4"/>
            </w:tcBorders>
            <w:shd w:val="clear" w:color="auto" w:fill="F4F4F4"/>
          </w:tcPr>
          <w:p>
            <w:pPr>
              <w:spacing w:after="0"/>
              <w:rPr>
                <w:sz w:val="21"/>
                <w:szCs w:val="21"/>
                <w:color w:val="auto"/>
              </w:rPr>
            </w:pPr>
          </w:p>
        </w:tc>
        <w:tc>
          <w:tcPr>
            <w:tcW w:w="1460" w:type="dxa"/>
            <w:vAlign w:val="bottom"/>
            <w:tcBorders>
              <w:bottom w:val="single" w:sz="8" w:color="F4F4F4"/>
            </w:tcBorders>
            <w:shd w:val="clear" w:color="auto" w:fill="F4F4F4"/>
          </w:tcPr>
          <w:p>
            <w:pPr>
              <w:jc w:val="center"/>
              <w:ind w:left="778"/>
              <w:spacing w:after="0"/>
              <w:rPr>
                <w:sz w:val="20"/>
                <w:szCs w:val="20"/>
                <w:color w:val="auto"/>
              </w:rPr>
            </w:pPr>
            <w:r>
              <w:rPr>
                <w:rFonts w:ascii="Arial" w:cs="Arial" w:eastAsia="Arial" w:hAnsi="Arial"/>
                <w:sz w:val="18"/>
                <w:szCs w:val="18"/>
                <w:color w:val="auto"/>
                <w:w w:val="97"/>
              </w:rPr>
              <w:t>1,398</w:t>
            </w:r>
          </w:p>
        </w:tc>
        <w:tc>
          <w:tcPr>
            <w:tcW w:w="20" w:type="dxa"/>
            <w:vAlign w:val="bottom"/>
          </w:tcPr>
          <w:p>
            <w:pPr>
              <w:spacing w:after="0"/>
              <w:rPr>
                <w:sz w:val="21"/>
                <w:szCs w:val="2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7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(766)</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(1,197)</w:t>
            </w: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(826)</w:t>
            </w:r>
          </w:p>
        </w:tc>
        <w:tc>
          <w:tcPr>
            <w:tcW w:w="20" w:type="dxa"/>
            <w:vAlign w:val="bottom"/>
          </w:tcPr>
          <w:p>
            <w:pPr>
              <w:spacing w:after="0"/>
              <w:rPr>
                <w:sz w:val="21"/>
                <w:szCs w:val="21"/>
                <w:color w:val="auto"/>
              </w:rPr>
            </w:pPr>
          </w:p>
        </w:tc>
      </w:tr>
      <w:tr>
        <w:trPr>
          <w:trHeight w:val="27"/>
        </w:trPr>
        <w:tc>
          <w:tcPr>
            <w:tcW w:w="3880" w:type="dxa"/>
            <w:vAlign w:val="bottom"/>
            <w:tcBorders>
              <w:bottom w:val="single" w:sz="8" w:color="F4F4F4"/>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388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Net lease cost</w:t>
            </w:r>
          </w:p>
        </w:tc>
        <w:tc>
          <w:tcPr>
            <w:tcW w:w="720" w:type="dxa"/>
            <w:vAlign w:val="bottom"/>
            <w:tcBorders>
              <w:bottom w:val="single" w:sz="8" w:color="F4F4F4"/>
            </w:tcBorders>
            <w:shd w:val="clear" w:color="auto" w:fill="F4F4F4"/>
          </w:tcPr>
          <w:p>
            <w:pPr>
              <w:jc w:val="right"/>
              <w:ind w:right="5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2,092</w:t>
            </w:r>
          </w:p>
        </w:tc>
        <w:tc>
          <w:tcPr>
            <w:tcW w:w="220" w:type="dxa"/>
            <w:vAlign w:val="bottom"/>
            <w:tcBorders>
              <w:bottom w:val="single" w:sz="8" w:color="F4F4F4"/>
            </w:tcBorders>
            <w:shd w:val="clear" w:color="auto" w:fill="F4F4F4"/>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F4F4F4"/>
              <w:right w:val="single" w:sz="8" w:color="F4F4F4"/>
            </w:tcBorders>
            <w:shd w:val="clear" w:color="auto" w:fill="F4F4F4"/>
          </w:tcPr>
          <w:p>
            <w:pPr>
              <w:jc w:val="right"/>
              <w:ind w:right="18"/>
              <w:spacing w:after="0"/>
              <w:rPr>
                <w:sz w:val="20"/>
                <w:szCs w:val="20"/>
                <w:color w:val="auto"/>
              </w:rPr>
            </w:pPr>
            <w:r>
              <w:rPr>
                <w:rFonts w:ascii="Arial" w:cs="Arial" w:eastAsia="Arial" w:hAnsi="Arial"/>
                <w:sz w:val="18"/>
                <w:szCs w:val="18"/>
                <w:color w:val="auto"/>
              </w:rPr>
              <w:t>2,705</w:t>
            </w:r>
          </w:p>
        </w:tc>
        <w:tc>
          <w:tcPr>
            <w:tcW w:w="780" w:type="dxa"/>
            <w:vAlign w:val="bottom"/>
            <w:tcBorders>
              <w:bottom w:val="single" w:sz="8" w:color="F4F4F4"/>
            </w:tcBorders>
            <w:gridSpan w:val="2"/>
            <w:shd w:val="clear" w:color="auto" w:fill="F4F4F4"/>
          </w:tcPr>
          <w:p>
            <w:pPr>
              <w:jc w:val="right"/>
              <w:ind w:right="5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4,629</w:t>
            </w:r>
          </w:p>
        </w:tc>
        <w:tc>
          <w:tcPr>
            <w:tcW w:w="300" w:type="dxa"/>
            <w:vAlign w:val="bottom"/>
            <w:tcBorders>
              <w:bottom w:val="single" w:sz="8" w:color="F4F4F4"/>
            </w:tcBorders>
            <w:shd w:val="clear" w:color="auto" w:fill="F4F4F4"/>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F4F4F4"/>
            </w:tcBorders>
            <w:shd w:val="clear" w:color="auto" w:fill="F4F4F4"/>
          </w:tcPr>
          <w:p>
            <w:pPr>
              <w:jc w:val="center"/>
              <w:ind w:left="778"/>
              <w:spacing w:after="0"/>
              <w:rPr>
                <w:sz w:val="20"/>
                <w:szCs w:val="20"/>
                <w:color w:val="auto"/>
              </w:rPr>
            </w:pPr>
            <w:r>
              <w:rPr>
                <w:rFonts w:ascii="Arial" w:cs="Arial" w:eastAsia="Arial" w:hAnsi="Arial"/>
                <w:sz w:val="18"/>
                <w:szCs w:val="18"/>
                <w:color w:val="auto"/>
                <w:w w:val="97"/>
              </w:rPr>
              <w:t>5,785</w:t>
            </w:r>
          </w:p>
        </w:tc>
        <w:tc>
          <w:tcPr>
            <w:tcW w:w="20" w:type="dxa"/>
            <w:vAlign w:val="bottom"/>
          </w:tcPr>
          <w:p>
            <w:pPr>
              <w:spacing w:after="0"/>
              <w:rPr>
                <w:sz w:val="21"/>
                <w:szCs w:val="21"/>
                <w:color w:val="auto"/>
              </w:rPr>
            </w:pPr>
          </w:p>
        </w:tc>
      </w:tr>
      <w:tr>
        <w:trPr>
          <w:trHeight w:val="20"/>
        </w:trPr>
        <w:tc>
          <w:tcPr>
            <w:tcW w:w="3880" w:type="dxa"/>
            <w:vAlign w:val="bottom"/>
            <w:shd w:val="clear" w:color="auto" w:fill="71BF43"/>
          </w:tcPr>
          <w:p>
            <w:pPr>
              <w:spacing w:after="0" w:line="20" w:lineRule="exact"/>
              <w:rPr>
                <w:sz w:val="1"/>
                <w:szCs w:val="1"/>
                <w:color w:val="auto"/>
              </w:rPr>
            </w:pPr>
          </w:p>
        </w:tc>
        <w:tc>
          <w:tcPr>
            <w:tcW w:w="720" w:type="dxa"/>
            <w:vAlign w:val="bottom"/>
            <w:shd w:val="clear" w:color="auto" w:fill="71BF43"/>
          </w:tcPr>
          <w:p>
            <w:pPr>
              <w:spacing w:after="0" w:line="20" w:lineRule="exact"/>
              <w:rPr>
                <w:sz w:val="1"/>
                <w:szCs w:val="1"/>
                <w:color w:val="auto"/>
              </w:rPr>
            </w:pPr>
          </w:p>
        </w:tc>
        <w:tc>
          <w:tcPr>
            <w:tcW w:w="1140" w:type="dxa"/>
            <w:vAlign w:val="bottom"/>
            <w:shd w:val="clear" w:color="auto" w:fill="71BF43"/>
          </w:tcPr>
          <w:p>
            <w:pPr>
              <w:spacing w:after="0" w:line="20" w:lineRule="exact"/>
              <w:rPr>
                <w:sz w:val="1"/>
                <w:szCs w:val="1"/>
                <w:color w:val="auto"/>
              </w:rPr>
            </w:pPr>
          </w:p>
        </w:tc>
        <w:tc>
          <w:tcPr>
            <w:tcW w:w="220" w:type="dxa"/>
            <w:vAlign w:val="bottom"/>
            <w:shd w:val="clear" w:color="auto" w:fill="71BF43"/>
          </w:tcPr>
          <w:p>
            <w:pPr>
              <w:spacing w:after="0" w:line="20" w:lineRule="exact"/>
              <w:rPr>
                <w:sz w:val="1"/>
                <w:szCs w:val="1"/>
                <w:color w:val="auto"/>
              </w:rPr>
            </w:pPr>
          </w:p>
        </w:tc>
        <w:tc>
          <w:tcPr>
            <w:tcW w:w="1560" w:type="dxa"/>
            <w:vAlign w:val="bottom"/>
            <w:tcBorders>
              <w:right w:val="single" w:sz="8" w:color="71BF43"/>
            </w:tcBorders>
            <w:shd w:val="clear" w:color="auto" w:fill="71BF43"/>
          </w:tcPr>
          <w:p>
            <w:pPr>
              <w:spacing w:after="0" w:line="20" w:lineRule="exact"/>
              <w:rPr>
                <w:sz w:val="1"/>
                <w:szCs w:val="1"/>
                <w:color w:val="auto"/>
              </w:rPr>
            </w:pPr>
          </w:p>
        </w:tc>
        <w:tc>
          <w:tcPr>
            <w:tcW w:w="80" w:type="dxa"/>
            <w:vAlign w:val="bottom"/>
            <w:shd w:val="clear" w:color="auto" w:fill="71BF43"/>
          </w:tcPr>
          <w:p>
            <w:pPr>
              <w:spacing w:after="0" w:line="20" w:lineRule="exact"/>
              <w:rPr>
                <w:sz w:val="1"/>
                <w:szCs w:val="1"/>
                <w:color w:val="auto"/>
              </w:rPr>
            </w:pPr>
          </w:p>
        </w:tc>
        <w:tc>
          <w:tcPr>
            <w:tcW w:w="700" w:type="dxa"/>
            <w:vAlign w:val="bottom"/>
            <w:shd w:val="clear" w:color="auto" w:fill="71BF43"/>
          </w:tcPr>
          <w:p>
            <w:pPr>
              <w:spacing w:after="0" w:line="20" w:lineRule="exact"/>
              <w:rPr>
                <w:sz w:val="1"/>
                <w:szCs w:val="1"/>
                <w:color w:val="auto"/>
              </w:rPr>
            </w:pPr>
          </w:p>
        </w:tc>
        <w:tc>
          <w:tcPr>
            <w:tcW w:w="1180" w:type="dxa"/>
            <w:vAlign w:val="bottom"/>
            <w:shd w:val="clear" w:color="auto" w:fill="71BF43"/>
          </w:tcPr>
          <w:p>
            <w:pPr>
              <w:spacing w:after="0" w:line="20" w:lineRule="exact"/>
              <w:rPr>
                <w:sz w:val="1"/>
                <w:szCs w:val="1"/>
                <w:color w:val="auto"/>
              </w:rPr>
            </w:pPr>
          </w:p>
        </w:tc>
        <w:tc>
          <w:tcPr>
            <w:tcW w:w="300" w:type="dxa"/>
            <w:vAlign w:val="bottom"/>
            <w:shd w:val="clear" w:color="auto" w:fill="71BF43"/>
          </w:tcPr>
          <w:p>
            <w:pPr>
              <w:spacing w:after="0" w:line="20" w:lineRule="exact"/>
              <w:rPr>
                <w:sz w:val="1"/>
                <w:szCs w:val="1"/>
                <w:color w:val="auto"/>
              </w:rPr>
            </w:pPr>
          </w:p>
        </w:tc>
        <w:tc>
          <w:tcPr>
            <w:tcW w:w="146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-890905</wp:posOffset>
            </wp:positionV>
            <wp:extent cx="468058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680585" cy="8255"/>
                    </a:xfrm>
                    <a:prstGeom prst="rect">
                      <a:avLst/>
                    </a:prstGeom>
                    <a:noFill/>
                  </pic:spPr>
                </pic:pic>
              </a:graphicData>
            </a:graphic>
          </wp:anchor>
        </w:drawing>
      </w:r>
    </w:p>
    <w:p>
      <w:pPr>
        <w:spacing w:after="0" w:line="79"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short-term lease costs, which were immaterial.</w:t>
      </w:r>
    </w:p>
    <w:p>
      <w:pPr>
        <w:spacing w:after="0" w:line="318"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16</w:t>
      </w:r>
      <w:r>
        <w:rPr>
          <w:sz w:val="20"/>
          <w:szCs w:val="20"/>
          <w:color w:val="auto"/>
        </w:rPr>
        <w:tab/>
      </w:r>
      <w:r>
        <w:rPr>
          <w:sz w:val="1"/>
          <w:szCs w:val="1"/>
          <w:color w:val="auto"/>
        </w:rPr>
        <w:drawing>
          <wp:inline distT="0" distB="0" distL="0" distR="0">
            <wp:extent cx="651510" cy="17145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term loans under the 2020 Credit Facility require periodic principal payments. The balance of the term loans and any amounts drawn on the revolving credit loans are due upon maturity of the 2020 Credit Facility in October 2025. The Real Estate Loans also require periodic principal payments and the balance of the Real Estate Loans are due upon maturity in April 2038.</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contractual obligations for third-party technology used in our solutions and for other services we purchase as part of our normal operations. In certain cases, these arrangements require a minimum annual purchase commitment by us. As of June 30, 2022, the remaining aggregate minimum purchase commitment under these arrangements was approximately $241.3 million through 2027.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Solution and service indemnifications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ordinary course of business, we provide certain indemnifications of varying scope to customers against claims of intellectual property infringement made by third parties arising from the use of our solutions or services. If we determine that it is probable that a loss has been incurred related to solution or service indemnifications, any such loss that could be reasonably estimated would be recognized. We have not identified any losses and, accordingly, we have not recorded a liability related to these indemnifications.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subject to legal proceedings and claims that arise in the ordinary course of business, as well as certain other non-ordinary course proceedings, claims and inquiries, as described below. We make a provision for a loss contingency when it is both probable that a material liability has been incurred and the amount of the loss can be reasonably estimated. If only a range of estimated losses can be determined, we accrue an amount within the range that, in our judgment, reflects the most likely outcome; if none of the estimates within that range is a better estimate than any other amount, we accrue the low end of the range. For proceedings in which an unfavorable outcome is reasonably possible but not probable and an estimate of the loss or range of losses arising from the proceeding can be made, we disclose such an estimate, if material. If such a loss or range of losses is not reasonably estimable, we disclose that fact. We review any such loss contingency provisions at least quarterly and adjust them to reflect the impacts of negotiations, settlements, rulings, advice of legal counsel and other information and events pertaining to a particular case. We recognize insurance recoveries, if any, when they are probable of receipt. All associated costs due to third-party service providers and consultants, including legal fees, are expensed as incurred.</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Legal proceedings are inherently unpredictable. However, we believe that we have valid defenses with respect to the legal matters pending or threatened against us and intend to defend ourselves vigorously against all claims asserted. It is possible that our consolidated financial position, results of operations or cash flows could be materially negatively affected in any particular period by an unfavorable resolution of one or more of such legal proceedings.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Security incident</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previously disclosed, we are subject to risks and uncertainties as a result of a ransomware attack against us in May 2020 in which a cybercriminal removed a copy of a subset of data from our self-hosted environment (the "Security Incident"). Based on the nature of the Security Incident, our research and third party (including law enforcement) investigation, we have no reason to believe that any data went beyond the cybercriminal, was or will be misused, or will be disseminated or otherwise made available publicly. Our investigation into the Security Incident by our cybersecurity team and third-party forensic advisors remains ongoing.</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result of the Security Incident, we are currently subject to certain legal proceedings, claims, inquiries and investigations, as discussed below, and could be the subject of additional legal proceedings, claims, inquires and investigations in the future that might result in adverse judgments, settlements, fines, penalties, or other resolution. To limit our exposure to losses related to claims against us, including data breaches such as the Security Incident, we maintain $50 million of insurance above a $250 thousand deductible payable by us. As noted below, this coverage has reduced our financial exposure related to the Security Incident, and we will continue to seek recoveries under these insurance policies for claims we have submitted but have not yet been reimbursed.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218440</wp:posOffset>
            </wp:positionV>
            <wp:extent cx="659765"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480"/>
              <w:spacing w:after="0"/>
              <w:rPr>
                <w:sz w:val="20"/>
                <w:szCs w:val="20"/>
                <w:color w:val="auto"/>
              </w:rPr>
            </w:pPr>
            <w:r>
              <w:rPr>
                <w:rFonts w:ascii="Arial" w:cs="Arial" w:eastAsia="Arial" w:hAnsi="Arial"/>
                <w:sz w:val="14"/>
                <w:szCs w:val="14"/>
                <w:color w:val="auto"/>
              </w:rPr>
              <w:t>Second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We recorded expenses and offsetting probable insurance recoveries related to the Security Incident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60" w:type="dxa"/>
            <w:vAlign w:val="bottom"/>
            <w:shd w:val="clear" w:color="auto" w:fill="ACACAC"/>
          </w:tcPr>
          <w:p>
            <w:pPr>
              <w:spacing w:after="0"/>
              <w:rPr>
                <w:sz w:val="16"/>
                <w:szCs w:val="16"/>
                <w:color w:val="auto"/>
              </w:rPr>
            </w:pPr>
          </w:p>
        </w:tc>
        <w:tc>
          <w:tcPr>
            <w:tcW w:w="520" w:type="dxa"/>
            <w:vAlign w:val="bottom"/>
            <w:shd w:val="clear" w:color="auto" w:fill="ACACAC"/>
          </w:tcPr>
          <w:p>
            <w:pPr>
              <w:spacing w:after="0"/>
              <w:rPr>
                <w:sz w:val="16"/>
                <w:szCs w:val="16"/>
                <w:color w:val="auto"/>
              </w:rPr>
            </w:pPr>
          </w:p>
        </w:tc>
        <w:tc>
          <w:tcPr>
            <w:tcW w:w="920" w:type="dxa"/>
            <w:vAlign w:val="bottom"/>
            <w:shd w:val="clear" w:color="auto" w:fill="ACACAC"/>
          </w:tcPr>
          <w:p>
            <w:pPr>
              <w:spacing w:after="0"/>
              <w:rPr>
                <w:sz w:val="16"/>
                <w:szCs w:val="16"/>
                <w:color w:val="auto"/>
              </w:rPr>
            </w:pPr>
          </w:p>
        </w:tc>
        <w:tc>
          <w:tcPr>
            <w:tcW w:w="1460" w:type="dxa"/>
            <w:vAlign w:val="bottom"/>
            <w:tcBorders>
              <w:right w:val="single" w:sz="8" w:color="ACACAC"/>
            </w:tcBorders>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980" w:type="dxa"/>
            <w:vAlign w:val="bottom"/>
            <w:shd w:val="clear" w:color="auto" w:fill="ACACAC"/>
          </w:tcPr>
          <w:p>
            <w:pPr>
              <w:spacing w:after="0"/>
              <w:rPr>
                <w:sz w:val="16"/>
                <w:szCs w:val="16"/>
                <w:color w:val="auto"/>
              </w:rPr>
            </w:pPr>
          </w:p>
        </w:tc>
        <w:tc>
          <w:tcPr>
            <w:tcW w:w="140" w:type="dxa"/>
            <w:vAlign w:val="bottom"/>
            <w:shd w:val="clear" w:color="auto" w:fill="ACACAC"/>
          </w:tcPr>
          <w:p>
            <w:pPr>
              <w:spacing w:after="0"/>
              <w:rPr>
                <w:sz w:val="16"/>
                <w:szCs w:val="16"/>
                <w:color w:val="auto"/>
              </w:rPr>
            </w:pPr>
          </w:p>
        </w:tc>
        <w:tc>
          <w:tcPr>
            <w:tcW w:w="13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Six months ended</w:t>
            </w:r>
          </w:p>
        </w:tc>
        <w:tc>
          <w:tcPr>
            <w:tcW w:w="20" w:type="dxa"/>
            <w:vAlign w:val="bottom"/>
            <w:shd w:val="clear" w:color="auto" w:fill="ACACAC"/>
          </w:tcPr>
          <w:p>
            <w:pPr>
              <w:spacing w:after="0"/>
              <w:rPr>
                <w:sz w:val="16"/>
                <w:szCs w:val="16"/>
                <w:color w:val="auto"/>
              </w:rPr>
            </w:pPr>
          </w:p>
        </w:tc>
      </w:tr>
      <w:tr>
        <w:trPr>
          <w:trHeight w:val="190"/>
        </w:trPr>
        <w:tc>
          <w:tcPr>
            <w:tcW w:w="5360" w:type="dxa"/>
            <w:vAlign w:val="bottom"/>
            <w:shd w:val="clear" w:color="auto" w:fill="ACACAC"/>
          </w:tcPr>
          <w:p>
            <w:pPr>
              <w:spacing w:after="0"/>
              <w:rPr>
                <w:sz w:val="16"/>
                <w:szCs w:val="16"/>
                <w:color w:val="auto"/>
              </w:rPr>
            </w:pPr>
          </w:p>
        </w:tc>
        <w:tc>
          <w:tcPr>
            <w:tcW w:w="520" w:type="dxa"/>
            <w:vAlign w:val="bottom"/>
            <w:shd w:val="clear" w:color="auto" w:fill="ACACAC"/>
          </w:tcPr>
          <w:p>
            <w:pPr>
              <w:spacing w:after="0"/>
              <w:rPr>
                <w:sz w:val="16"/>
                <w:szCs w:val="16"/>
                <w:color w:val="auto"/>
              </w:rPr>
            </w:pPr>
          </w:p>
        </w:tc>
        <w:tc>
          <w:tcPr>
            <w:tcW w:w="920" w:type="dxa"/>
            <w:vAlign w:val="bottom"/>
            <w:shd w:val="clear" w:color="auto" w:fill="ACACAC"/>
          </w:tcPr>
          <w:p>
            <w:pPr>
              <w:spacing w:after="0"/>
              <w:rPr>
                <w:sz w:val="16"/>
                <w:szCs w:val="16"/>
                <w:color w:val="auto"/>
              </w:rPr>
            </w:pPr>
          </w:p>
        </w:tc>
        <w:tc>
          <w:tcPr>
            <w:tcW w:w="440" w:type="dxa"/>
            <w:vAlign w:val="bottom"/>
            <w:shd w:val="clear" w:color="auto" w:fill="ACACAC"/>
          </w:tcPr>
          <w:p>
            <w:pPr>
              <w:spacing w:after="0"/>
              <w:rPr>
                <w:sz w:val="16"/>
                <w:szCs w:val="16"/>
                <w:color w:val="auto"/>
              </w:rPr>
            </w:pPr>
          </w:p>
        </w:tc>
        <w:tc>
          <w:tcPr>
            <w:tcW w:w="102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100" w:type="dxa"/>
            <w:vAlign w:val="bottom"/>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980" w:type="dxa"/>
            <w:vAlign w:val="bottom"/>
            <w:shd w:val="clear" w:color="auto" w:fill="ACACAC"/>
          </w:tcPr>
          <w:p>
            <w:pPr>
              <w:spacing w:after="0"/>
              <w:rPr>
                <w:sz w:val="16"/>
                <w:szCs w:val="16"/>
                <w:color w:val="auto"/>
              </w:rPr>
            </w:pPr>
          </w:p>
        </w:tc>
        <w:tc>
          <w:tcPr>
            <w:tcW w:w="140" w:type="dxa"/>
            <w:vAlign w:val="bottom"/>
            <w:shd w:val="clear" w:color="auto" w:fill="ACACAC"/>
          </w:tcPr>
          <w:p>
            <w:pPr>
              <w:spacing w:after="0"/>
              <w:rPr>
                <w:sz w:val="16"/>
                <w:szCs w:val="16"/>
                <w:color w:val="auto"/>
              </w:rPr>
            </w:pPr>
          </w:p>
        </w:tc>
        <w:tc>
          <w:tcPr>
            <w:tcW w:w="13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20" w:type="dxa"/>
            <w:vAlign w:val="bottom"/>
            <w:shd w:val="clear" w:color="auto" w:fill="ACACAC"/>
          </w:tcPr>
          <w:p>
            <w:pPr>
              <w:spacing w:after="0"/>
              <w:rPr>
                <w:sz w:val="16"/>
                <w:szCs w:val="16"/>
                <w:color w:val="auto"/>
              </w:rPr>
            </w:pPr>
          </w:p>
        </w:tc>
      </w:tr>
      <w:tr>
        <w:trPr>
          <w:trHeight w:val="242"/>
        </w:trPr>
        <w:tc>
          <w:tcPr>
            <w:tcW w:w="5360" w:type="dxa"/>
            <w:vAlign w:val="bottom"/>
            <w:tcBorders>
              <w:bottom w:val="single" w:sz="8" w:color="F4F4F4"/>
            </w:tcBorders>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520" w:type="dxa"/>
            <w:vAlign w:val="bottom"/>
            <w:tcBorders>
              <w:bottom w:val="single" w:sz="8" w:color="ACACAC"/>
            </w:tcBorders>
            <w:shd w:val="clear" w:color="auto" w:fill="ACACAC"/>
          </w:tcPr>
          <w:p>
            <w:pPr>
              <w:spacing w:after="0"/>
              <w:rPr>
                <w:sz w:val="21"/>
                <w:szCs w:val="21"/>
                <w:color w:val="auto"/>
              </w:rPr>
            </w:pPr>
          </w:p>
        </w:tc>
        <w:tc>
          <w:tcPr>
            <w:tcW w:w="9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440" w:type="dxa"/>
            <w:vAlign w:val="bottom"/>
            <w:tcBorders>
              <w:bottom w:val="single" w:sz="8" w:color="ACACAC"/>
            </w:tcBorders>
            <w:shd w:val="clear" w:color="auto" w:fill="ACACAC"/>
          </w:tcPr>
          <w:p>
            <w:pPr>
              <w:spacing w:after="0"/>
              <w:rPr>
                <w:sz w:val="21"/>
                <w:szCs w:val="21"/>
                <w:color w:val="auto"/>
              </w:rPr>
            </w:pPr>
          </w:p>
        </w:tc>
        <w:tc>
          <w:tcPr>
            <w:tcW w:w="1020" w:type="dxa"/>
            <w:vAlign w:val="bottom"/>
            <w:tcBorders>
              <w:bottom w:val="single" w:sz="8" w:color="ACACAC"/>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00" w:type="dxa"/>
            <w:vAlign w:val="bottom"/>
            <w:tcBorders>
              <w:bottom w:val="single" w:sz="8" w:color="F4F4F4"/>
            </w:tcBorders>
          </w:tcPr>
          <w:p>
            <w:pPr>
              <w:spacing w:after="0"/>
              <w:rPr>
                <w:sz w:val="21"/>
                <w:szCs w:val="21"/>
                <w:color w:val="auto"/>
              </w:rPr>
            </w:pPr>
          </w:p>
        </w:tc>
        <w:tc>
          <w:tcPr>
            <w:tcW w:w="460" w:type="dxa"/>
            <w:vAlign w:val="bottom"/>
            <w:tcBorders>
              <w:bottom w:val="single" w:sz="8" w:color="ACACAC"/>
            </w:tcBorders>
            <w:shd w:val="clear" w:color="auto" w:fill="ACACAC"/>
          </w:tcPr>
          <w:p>
            <w:pPr>
              <w:spacing w:after="0"/>
              <w:rPr>
                <w:sz w:val="21"/>
                <w:szCs w:val="21"/>
                <w:color w:val="auto"/>
              </w:rPr>
            </w:pPr>
          </w:p>
        </w:tc>
        <w:tc>
          <w:tcPr>
            <w:tcW w:w="9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140" w:type="dxa"/>
            <w:vAlign w:val="bottom"/>
            <w:tcBorders>
              <w:bottom w:val="single" w:sz="8" w:color="ACACAC"/>
            </w:tcBorders>
            <w:shd w:val="clear" w:color="auto" w:fill="ACACAC"/>
          </w:tcPr>
          <w:p>
            <w:pPr>
              <w:spacing w:after="0"/>
              <w:rPr>
                <w:sz w:val="21"/>
                <w:szCs w:val="21"/>
                <w:color w:val="auto"/>
              </w:rPr>
            </w:pPr>
          </w:p>
        </w:tc>
        <w:tc>
          <w:tcPr>
            <w:tcW w:w="13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ACACAC"/>
            </w:tcBorders>
            <w:shd w:val="clear" w:color="auto" w:fill="ACACAC"/>
          </w:tcPr>
          <w:p>
            <w:pPr>
              <w:spacing w:after="0"/>
              <w:rPr>
                <w:sz w:val="21"/>
                <w:szCs w:val="21"/>
                <w:color w:val="auto"/>
              </w:rPr>
            </w:pPr>
          </w:p>
        </w:tc>
      </w:tr>
      <w:tr>
        <w:trPr>
          <w:trHeight w:val="244"/>
        </w:trPr>
        <w:tc>
          <w:tcPr>
            <w:tcW w:w="536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Gross expense</w:t>
            </w:r>
          </w:p>
        </w:tc>
        <w:tc>
          <w:tcPr>
            <w:tcW w:w="520" w:type="dxa"/>
            <w:vAlign w:val="bottom"/>
            <w:tcBorders>
              <w:bottom w:val="single" w:sz="8" w:color="F4F4F4"/>
            </w:tcBorders>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8,435</w:t>
            </w:r>
          </w:p>
        </w:tc>
        <w:tc>
          <w:tcPr>
            <w:tcW w:w="440" w:type="dxa"/>
            <w:vAlign w:val="bottom"/>
            <w:tcBorders>
              <w:bottom w:val="single" w:sz="8" w:color="F4F4F4"/>
            </w:tcBorders>
            <w:shd w:val="clear" w:color="auto" w:fill="F4F4F4"/>
          </w:tcPr>
          <w:p>
            <w:pPr>
              <w:jc w:val="right"/>
              <w:ind w:right="23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F4F4F4"/>
              <w:right w:val="single" w:sz="8" w:color="F4F4F4"/>
            </w:tcBorders>
            <w:shd w:val="clear" w:color="auto" w:fill="F4F4F4"/>
          </w:tcPr>
          <w:p>
            <w:pPr>
              <w:jc w:val="right"/>
              <w:ind w:right="17"/>
              <w:spacing w:after="0"/>
              <w:rPr>
                <w:sz w:val="20"/>
                <w:szCs w:val="20"/>
                <w:color w:val="auto"/>
              </w:rPr>
            </w:pPr>
            <w:r>
              <w:rPr>
                <w:rFonts w:ascii="Arial" w:cs="Arial" w:eastAsia="Arial" w:hAnsi="Arial"/>
                <w:sz w:val="18"/>
                <w:szCs w:val="18"/>
                <w:color w:val="auto"/>
              </w:rPr>
              <w:t>11,654</w:t>
            </w:r>
          </w:p>
        </w:tc>
        <w:tc>
          <w:tcPr>
            <w:tcW w:w="560" w:type="dxa"/>
            <w:vAlign w:val="bottom"/>
            <w:tcBorders>
              <w:bottom w:val="single" w:sz="8" w:color="F4F4F4"/>
            </w:tcBorders>
            <w:gridSpan w:val="2"/>
            <w:shd w:val="clear" w:color="auto" w:fill="F4F4F4"/>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17,440</w:t>
            </w:r>
          </w:p>
        </w:tc>
        <w:tc>
          <w:tcPr>
            <w:tcW w:w="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24,468</w:t>
            </w:r>
          </w:p>
        </w:tc>
        <w:tc>
          <w:tcPr>
            <w:tcW w:w="20" w:type="dxa"/>
            <w:vAlign w:val="bottom"/>
          </w:tcPr>
          <w:p>
            <w:pPr>
              <w:spacing w:after="0"/>
              <w:rPr>
                <w:sz w:val="21"/>
                <w:szCs w:val="2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Offsetting probable insurance recoveries</w:t>
            </w: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w:t>
            </w: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(11,184)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(1,891)</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(23,997)</w:t>
            </w:r>
          </w:p>
        </w:tc>
        <w:tc>
          <w:tcPr>
            <w:tcW w:w="20" w:type="dxa"/>
            <w:vAlign w:val="bottom"/>
          </w:tcPr>
          <w:p>
            <w:pPr>
              <w:spacing w:after="0"/>
              <w:rPr>
                <w:sz w:val="21"/>
                <w:szCs w:val="21"/>
                <w:color w:val="auto"/>
              </w:rPr>
            </w:pPr>
          </w:p>
        </w:tc>
      </w:tr>
      <w:tr>
        <w:trPr>
          <w:trHeight w:val="27"/>
        </w:trPr>
        <w:tc>
          <w:tcPr>
            <w:tcW w:w="5360" w:type="dxa"/>
            <w:vAlign w:val="bottom"/>
            <w:tcBorders>
              <w:bottom w:val="single" w:sz="8" w:color="F4F4F4"/>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536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Net expense</w:t>
            </w:r>
          </w:p>
        </w:tc>
        <w:tc>
          <w:tcPr>
            <w:tcW w:w="520" w:type="dxa"/>
            <w:vAlign w:val="bottom"/>
            <w:tcBorders>
              <w:bottom w:val="single" w:sz="8" w:color="F4F4F4"/>
            </w:tcBorders>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8,348</w:t>
            </w:r>
          </w:p>
        </w:tc>
        <w:tc>
          <w:tcPr>
            <w:tcW w:w="440" w:type="dxa"/>
            <w:vAlign w:val="bottom"/>
            <w:tcBorders>
              <w:bottom w:val="single" w:sz="8" w:color="F4F4F4"/>
            </w:tcBorders>
            <w:shd w:val="clear" w:color="auto" w:fill="F4F4F4"/>
          </w:tcPr>
          <w:p>
            <w:pPr>
              <w:jc w:val="right"/>
              <w:ind w:right="23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F4F4F4"/>
              <w:right w:val="single" w:sz="8" w:color="F4F4F4"/>
            </w:tcBorders>
            <w:shd w:val="clear" w:color="auto" w:fill="F4F4F4"/>
          </w:tcPr>
          <w:p>
            <w:pPr>
              <w:jc w:val="right"/>
              <w:ind w:right="17"/>
              <w:spacing w:after="0"/>
              <w:rPr>
                <w:sz w:val="20"/>
                <w:szCs w:val="20"/>
                <w:color w:val="auto"/>
              </w:rPr>
            </w:pPr>
            <w:r>
              <w:rPr>
                <w:rFonts w:ascii="Arial" w:cs="Arial" w:eastAsia="Arial" w:hAnsi="Arial"/>
                <w:sz w:val="18"/>
                <w:szCs w:val="18"/>
                <w:color w:val="auto"/>
              </w:rPr>
              <w:t>470</w:t>
            </w:r>
          </w:p>
        </w:tc>
        <w:tc>
          <w:tcPr>
            <w:tcW w:w="560" w:type="dxa"/>
            <w:vAlign w:val="bottom"/>
            <w:tcBorders>
              <w:bottom w:val="single" w:sz="8" w:color="F4F4F4"/>
            </w:tcBorders>
            <w:gridSpan w:val="2"/>
            <w:shd w:val="clear" w:color="auto" w:fill="F4F4F4"/>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15,549</w:t>
            </w:r>
          </w:p>
        </w:tc>
        <w:tc>
          <w:tcPr>
            <w:tcW w:w="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471</w:t>
            </w:r>
          </w:p>
        </w:tc>
        <w:tc>
          <w:tcPr>
            <w:tcW w:w="20" w:type="dxa"/>
            <w:vAlign w:val="bottom"/>
          </w:tcPr>
          <w:p>
            <w:pPr>
              <w:spacing w:after="0"/>
              <w:rPr>
                <w:sz w:val="21"/>
                <w:szCs w:val="21"/>
                <w:color w:val="auto"/>
              </w:rPr>
            </w:pPr>
          </w:p>
        </w:tc>
      </w:tr>
      <w:tr>
        <w:trPr>
          <w:trHeight w:val="20"/>
        </w:trPr>
        <w:tc>
          <w:tcPr>
            <w:tcW w:w="5360" w:type="dxa"/>
            <w:vAlign w:val="bottom"/>
            <w:shd w:val="clear" w:color="auto" w:fill="8CBE4F"/>
          </w:tcPr>
          <w:p>
            <w:pPr>
              <w:spacing w:after="0" w:line="20" w:lineRule="exact"/>
              <w:rPr>
                <w:sz w:val="1"/>
                <w:szCs w:val="1"/>
                <w:color w:val="auto"/>
              </w:rPr>
            </w:pPr>
          </w:p>
        </w:tc>
        <w:tc>
          <w:tcPr>
            <w:tcW w:w="520" w:type="dxa"/>
            <w:vAlign w:val="bottom"/>
            <w:shd w:val="clear" w:color="auto" w:fill="8CBE4F"/>
          </w:tcPr>
          <w:p>
            <w:pPr>
              <w:spacing w:after="0" w:line="20" w:lineRule="exact"/>
              <w:rPr>
                <w:sz w:val="1"/>
                <w:szCs w:val="1"/>
                <w:color w:val="auto"/>
              </w:rPr>
            </w:pPr>
          </w:p>
        </w:tc>
        <w:tc>
          <w:tcPr>
            <w:tcW w:w="920" w:type="dxa"/>
            <w:vAlign w:val="bottom"/>
            <w:shd w:val="clear" w:color="auto" w:fill="8CBE4F"/>
          </w:tcPr>
          <w:p>
            <w:pPr>
              <w:spacing w:after="0" w:line="20" w:lineRule="exact"/>
              <w:rPr>
                <w:sz w:val="1"/>
                <w:szCs w:val="1"/>
                <w:color w:val="auto"/>
              </w:rPr>
            </w:pPr>
          </w:p>
        </w:tc>
        <w:tc>
          <w:tcPr>
            <w:tcW w:w="440" w:type="dxa"/>
            <w:vAlign w:val="bottom"/>
            <w:shd w:val="clear" w:color="auto" w:fill="8CBE4F"/>
          </w:tcPr>
          <w:p>
            <w:pPr>
              <w:spacing w:after="0" w:line="20" w:lineRule="exact"/>
              <w:rPr>
                <w:sz w:val="1"/>
                <w:szCs w:val="1"/>
                <w:color w:val="auto"/>
              </w:rPr>
            </w:pPr>
          </w:p>
        </w:tc>
        <w:tc>
          <w:tcPr>
            <w:tcW w:w="1020" w:type="dxa"/>
            <w:vAlign w:val="bottom"/>
            <w:tcBorders>
              <w:right w:val="single" w:sz="8" w:color="8CBE4F"/>
            </w:tcBorders>
            <w:shd w:val="clear" w:color="auto" w:fill="8CBE4F"/>
          </w:tcPr>
          <w:p>
            <w:pPr>
              <w:spacing w:after="0" w:line="20" w:lineRule="exact"/>
              <w:rPr>
                <w:sz w:val="1"/>
                <w:szCs w:val="1"/>
                <w:color w:val="auto"/>
              </w:rPr>
            </w:pPr>
          </w:p>
        </w:tc>
        <w:tc>
          <w:tcPr>
            <w:tcW w:w="100" w:type="dxa"/>
            <w:vAlign w:val="bottom"/>
            <w:shd w:val="clear" w:color="auto" w:fill="8CBE4F"/>
          </w:tcPr>
          <w:p>
            <w:pPr>
              <w:spacing w:after="0" w:line="20" w:lineRule="exact"/>
              <w:rPr>
                <w:sz w:val="1"/>
                <w:szCs w:val="1"/>
                <w:color w:val="auto"/>
              </w:rPr>
            </w:pPr>
          </w:p>
        </w:tc>
        <w:tc>
          <w:tcPr>
            <w:tcW w:w="460" w:type="dxa"/>
            <w:vAlign w:val="bottom"/>
            <w:shd w:val="clear" w:color="auto" w:fill="8CBE4F"/>
          </w:tcPr>
          <w:p>
            <w:pPr>
              <w:spacing w:after="0" w:line="20" w:lineRule="exact"/>
              <w:rPr>
                <w:sz w:val="1"/>
                <w:szCs w:val="1"/>
                <w:color w:val="auto"/>
              </w:rPr>
            </w:pPr>
          </w:p>
        </w:tc>
        <w:tc>
          <w:tcPr>
            <w:tcW w:w="980" w:type="dxa"/>
            <w:vAlign w:val="bottom"/>
            <w:shd w:val="clear" w:color="auto" w:fill="8CBE4F"/>
          </w:tcPr>
          <w:p>
            <w:pPr>
              <w:spacing w:after="0" w:line="20" w:lineRule="exact"/>
              <w:rPr>
                <w:sz w:val="1"/>
                <w:szCs w:val="1"/>
                <w:color w:val="auto"/>
              </w:rPr>
            </w:pPr>
          </w:p>
        </w:tc>
        <w:tc>
          <w:tcPr>
            <w:tcW w:w="140" w:type="dxa"/>
            <w:vAlign w:val="bottom"/>
            <w:shd w:val="clear" w:color="auto" w:fill="8CBE4F"/>
          </w:tcPr>
          <w:p>
            <w:pPr>
              <w:spacing w:after="0" w:line="20" w:lineRule="exact"/>
              <w:rPr>
                <w:sz w:val="1"/>
                <w:szCs w:val="1"/>
                <w:color w:val="auto"/>
              </w:rPr>
            </w:pPr>
          </w:p>
        </w:tc>
        <w:tc>
          <w:tcPr>
            <w:tcW w:w="1300" w:type="dxa"/>
            <w:vAlign w:val="bottom"/>
            <w:shd w:val="clear" w:color="auto" w:fill="8CBE4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-685165</wp:posOffset>
            </wp:positionV>
            <wp:extent cx="373761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cumulative expenses, probable insurance recoveries and insurance recoveries paid as of:</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60" w:type="dxa"/>
            <w:vAlign w:val="bottom"/>
            <w:shd w:val="clear" w:color="auto" w:fill="ACACAC"/>
          </w:tcPr>
          <w:p>
            <w:pPr>
              <w:spacing w:after="0"/>
              <w:rPr>
                <w:sz w:val="15"/>
                <w:szCs w:val="15"/>
                <w:color w:val="auto"/>
              </w:rPr>
            </w:pPr>
          </w:p>
        </w:tc>
        <w:tc>
          <w:tcPr>
            <w:tcW w:w="420" w:type="dxa"/>
            <w:vAlign w:val="bottom"/>
            <w:shd w:val="clear" w:color="auto" w:fill="ACACAC"/>
          </w:tcPr>
          <w:p>
            <w:pPr>
              <w:spacing w:after="0"/>
              <w:rPr>
                <w:sz w:val="15"/>
                <w:szCs w:val="15"/>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300" w:type="dxa"/>
            <w:vAlign w:val="bottom"/>
            <w:shd w:val="clear" w:color="auto" w:fill="ACACAC"/>
          </w:tcPr>
          <w:p>
            <w:pPr>
              <w:spacing w:after="0"/>
              <w:rPr>
                <w:sz w:val="15"/>
                <w:szCs w:val="15"/>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202"/>
        </w:trPr>
        <w:tc>
          <w:tcPr>
            <w:tcW w:w="836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420" w:type="dxa"/>
            <w:vAlign w:val="bottom"/>
            <w:shd w:val="clear" w:color="auto" w:fill="ACACAC"/>
          </w:tcPr>
          <w:p>
            <w:pPr>
              <w:spacing w:after="0"/>
              <w:rPr>
                <w:sz w:val="17"/>
                <w:szCs w:val="17"/>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300" w:type="dxa"/>
            <w:vAlign w:val="bottom"/>
            <w:shd w:val="clear" w:color="auto" w:fill="ACACAC"/>
          </w:tcPr>
          <w:p>
            <w:pPr>
              <w:spacing w:after="0"/>
              <w:rPr>
                <w:sz w:val="17"/>
                <w:szCs w:val="17"/>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r>
      <w:tr>
        <w:trPr>
          <w:trHeight w:val="250"/>
        </w:trPr>
        <w:tc>
          <w:tcPr>
            <w:tcW w:w="836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Cumulative gross expense</w:t>
            </w:r>
          </w:p>
        </w:tc>
        <w:tc>
          <w:tcPr>
            <w:tcW w:w="420" w:type="dxa"/>
            <w:vAlign w:val="bottom"/>
            <w:tcBorders>
              <w:bottom w:val="single" w:sz="8" w:color="F4F4F4"/>
            </w:tcBorders>
            <w:shd w:val="clear" w:color="auto" w:fill="F4F4F4"/>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F4F4F4"/>
            </w:tcBorders>
            <w:shd w:val="clear" w:color="auto" w:fill="F4F4F4"/>
          </w:tcPr>
          <w:p>
            <w:pPr>
              <w:jc w:val="center"/>
              <w:ind w:left="216"/>
              <w:spacing w:after="0"/>
              <w:rPr>
                <w:sz w:val="20"/>
                <w:szCs w:val="20"/>
                <w:color w:val="auto"/>
              </w:rPr>
            </w:pPr>
            <w:r>
              <w:rPr>
                <w:rFonts w:ascii="Arial" w:cs="Arial" w:eastAsia="Arial" w:hAnsi="Arial"/>
                <w:sz w:val="18"/>
                <w:szCs w:val="18"/>
                <w:color w:val="auto"/>
              </w:rPr>
              <w:t>67,831</w:t>
            </w:r>
          </w:p>
        </w:tc>
        <w:tc>
          <w:tcPr>
            <w:tcW w:w="300" w:type="dxa"/>
            <w:vAlign w:val="bottom"/>
            <w:tcBorders>
              <w:bottom w:val="single" w:sz="8" w:color="F4F4F4"/>
            </w:tcBorders>
            <w:shd w:val="clear" w:color="auto" w:fill="F4F4F4"/>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50,391</w:t>
            </w:r>
          </w:p>
        </w:tc>
      </w:tr>
      <w:tr>
        <w:trPr>
          <w:trHeight w:val="243"/>
        </w:trPr>
        <w:tc>
          <w:tcPr>
            <w:tcW w:w="8360" w:type="dxa"/>
            <w:vAlign w:val="bottom"/>
          </w:tcPr>
          <w:p>
            <w:pPr>
              <w:ind w:left="20"/>
              <w:spacing w:after="0"/>
              <w:rPr>
                <w:sz w:val="20"/>
                <w:szCs w:val="20"/>
                <w:color w:val="auto"/>
              </w:rPr>
            </w:pPr>
            <w:r>
              <w:rPr>
                <w:rFonts w:ascii="Arial" w:cs="Arial" w:eastAsia="Arial" w:hAnsi="Arial"/>
                <w:sz w:val="18"/>
                <w:szCs w:val="18"/>
                <w:color w:val="auto"/>
              </w:rPr>
              <w:t>Cumulative offsetting insurance recoveries</w:t>
            </w:r>
          </w:p>
        </w:tc>
        <w:tc>
          <w:tcPr>
            <w:tcW w:w="420" w:type="dxa"/>
            <w:vAlign w:val="bottom"/>
          </w:tcPr>
          <w:p>
            <w:pPr>
              <w:spacing w:after="0"/>
              <w:rPr>
                <w:sz w:val="21"/>
                <w:szCs w:val="21"/>
                <w:color w:val="auto"/>
              </w:rPr>
            </w:pPr>
          </w:p>
        </w:tc>
        <w:tc>
          <w:tcPr>
            <w:tcW w:w="1020" w:type="dxa"/>
            <w:vAlign w:val="bottom"/>
          </w:tcPr>
          <w:p>
            <w:pPr>
              <w:jc w:val="center"/>
              <w:ind w:left="196"/>
              <w:spacing w:after="0"/>
              <w:rPr>
                <w:sz w:val="20"/>
                <w:szCs w:val="20"/>
                <w:color w:val="auto"/>
              </w:rPr>
            </w:pPr>
            <w:r>
              <w:rPr>
                <w:rFonts w:ascii="Arial" w:cs="Arial" w:eastAsia="Arial" w:hAnsi="Arial"/>
                <w:sz w:val="18"/>
                <w:szCs w:val="18"/>
                <w:color w:val="auto"/>
                <w:w w:val="98"/>
              </w:rPr>
              <w:t>(50,000)</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(48,109)</w:t>
            </w:r>
          </w:p>
        </w:tc>
      </w:tr>
      <w:tr>
        <w:trPr>
          <w:trHeight w:val="27"/>
        </w:trPr>
        <w:tc>
          <w:tcPr>
            <w:tcW w:w="8360" w:type="dxa"/>
            <w:vAlign w:val="bottom"/>
            <w:tcBorders>
              <w:bottom w:val="single" w:sz="8" w:color="F4F4F4"/>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836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Cumulative net expense</w:t>
            </w:r>
          </w:p>
        </w:tc>
        <w:tc>
          <w:tcPr>
            <w:tcW w:w="420" w:type="dxa"/>
            <w:vAlign w:val="bottom"/>
            <w:tcBorders>
              <w:bottom w:val="single" w:sz="8" w:color="F4F4F4"/>
            </w:tcBorders>
            <w:shd w:val="clear" w:color="auto" w:fill="F4F4F4"/>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F4F4F4"/>
            </w:tcBorders>
            <w:shd w:val="clear" w:color="auto" w:fill="F4F4F4"/>
          </w:tcPr>
          <w:p>
            <w:pPr>
              <w:jc w:val="center"/>
              <w:ind w:left="216"/>
              <w:spacing w:after="0"/>
              <w:rPr>
                <w:sz w:val="20"/>
                <w:szCs w:val="20"/>
                <w:color w:val="auto"/>
              </w:rPr>
            </w:pPr>
            <w:r>
              <w:rPr>
                <w:rFonts w:ascii="Arial" w:cs="Arial" w:eastAsia="Arial" w:hAnsi="Arial"/>
                <w:sz w:val="18"/>
                <w:szCs w:val="18"/>
                <w:color w:val="auto"/>
              </w:rPr>
              <w:t>17,831</w:t>
            </w:r>
          </w:p>
        </w:tc>
        <w:tc>
          <w:tcPr>
            <w:tcW w:w="300" w:type="dxa"/>
            <w:vAlign w:val="bottom"/>
            <w:tcBorders>
              <w:bottom w:val="single" w:sz="8" w:color="F4F4F4"/>
            </w:tcBorders>
            <w:shd w:val="clear" w:color="auto" w:fill="F4F4F4"/>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2,282</w:t>
            </w:r>
          </w:p>
        </w:tc>
      </w:tr>
      <w:tr>
        <w:trPr>
          <w:trHeight w:val="250"/>
        </w:trPr>
        <w:tc>
          <w:tcPr>
            <w:tcW w:w="836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r>
      <w:tr>
        <w:trPr>
          <w:trHeight w:val="250"/>
        </w:trPr>
        <w:tc>
          <w:tcPr>
            <w:tcW w:w="836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Cumulative offsetting insurance recoveries paid</w:t>
            </w:r>
          </w:p>
        </w:tc>
        <w:tc>
          <w:tcPr>
            <w:tcW w:w="420" w:type="dxa"/>
            <w:vAlign w:val="bottom"/>
            <w:tcBorders>
              <w:bottom w:val="single" w:sz="8" w:color="F4F4F4"/>
            </w:tcBorders>
            <w:shd w:val="clear" w:color="auto" w:fill="F4F4F4"/>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F4F4F4"/>
            </w:tcBorders>
            <w:shd w:val="clear" w:color="auto" w:fill="F4F4F4"/>
          </w:tcPr>
          <w:p>
            <w:pPr>
              <w:jc w:val="center"/>
              <w:ind w:left="196"/>
              <w:spacing w:after="0"/>
              <w:rPr>
                <w:sz w:val="20"/>
                <w:szCs w:val="20"/>
                <w:color w:val="auto"/>
              </w:rPr>
            </w:pPr>
            <w:r>
              <w:rPr>
                <w:rFonts w:ascii="Arial" w:cs="Arial" w:eastAsia="Arial" w:hAnsi="Arial"/>
                <w:sz w:val="18"/>
                <w:szCs w:val="18"/>
                <w:color w:val="auto"/>
                <w:w w:val="98"/>
              </w:rPr>
              <w:t>(40,000)</w:t>
            </w:r>
          </w:p>
        </w:tc>
        <w:tc>
          <w:tcPr>
            <w:tcW w:w="300" w:type="dxa"/>
            <w:vAlign w:val="bottom"/>
            <w:tcBorders>
              <w:bottom w:val="single" w:sz="8" w:color="F4F4F4"/>
            </w:tcBorders>
            <w:shd w:val="clear" w:color="auto" w:fill="F4F4F4"/>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(29,968)</w:t>
            </w:r>
          </w:p>
        </w:tc>
      </w:tr>
      <w:tr>
        <w:trPr>
          <w:trHeight w:val="20"/>
        </w:trPr>
        <w:tc>
          <w:tcPr>
            <w:tcW w:w="8360" w:type="dxa"/>
            <w:vAlign w:val="bottom"/>
            <w:shd w:val="clear" w:color="auto" w:fill="71BF43"/>
          </w:tcPr>
          <w:p>
            <w:pPr>
              <w:spacing w:after="0" w:line="20" w:lineRule="exact"/>
              <w:rPr>
                <w:sz w:val="1"/>
                <w:szCs w:val="1"/>
                <w:color w:val="auto"/>
              </w:rPr>
            </w:pPr>
          </w:p>
        </w:tc>
        <w:tc>
          <w:tcPr>
            <w:tcW w:w="420" w:type="dxa"/>
            <w:vAlign w:val="bottom"/>
            <w:shd w:val="clear" w:color="auto" w:fill="71BF43"/>
          </w:tcPr>
          <w:p>
            <w:pPr>
              <w:spacing w:after="0" w:line="20" w:lineRule="exact"/>
              <w:rPr>
                <w:sz w:val="1"/>
                <w:szCs w:val="1"/>
                <w:color w:val="auto"/>
              </w:rPr>
            </w:pPr>
          </w:p>
        </w:tc>
        <w:tc>
          <w:tcPr>
            <w:tcW w:w="1020" w:type="dxa"/>
            <w:vAlign w:val="bottom"/>
            <w:shd w:val="clear" w:color="auto" w:fill="71BF43"/>
          </w:tcPr>
          <w:p>
            <w:pPr>
              <w:spacing w:after="0" w:line="20" w:lineRule="exact"/>
              <w:rPr>
                <w:sz w:val="1"/>
                <w:szCs w:val="1"/>
                <w:color w:val="auto"/>
              </w:rPr>
            </w:pPr>
          </w:p>
        </w:tc>
        <w:tc>
          <w:tcPr>
            <w:tcW w:w="300" w:type="dxa"/>
            <w:vAlign w:val="bottom"/>
            <w:shd w:val="clear" w:color="auto" w:fill="71BF43"/>
          </w:tcPr>
          <w:p>
            <w:pPr>
              <w:spacing w:after="0" w:line="20" w:lineRule="exact"/>
              <w:rPr>
                <w:sz w:val="1"/>
                <w:szCs w:val="1"/>
                <w:color w:val="auto"/>
              </w:rPr>
            </w:pPr>
          </w:p>
        </w:tc>
        <w:tc>
          <w:tcPr>
            <w:tcW w:w="1140" w:type="dxa"/>
            <w:vAlign w:val="bottom"/>
            <w:shd w:val="clear" w:color="auto" w:fill="71BF43"/>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Due to the time required to submit and process such insurance claims, we have not yet received all of the accrued insurance recoveries. Recorded expenses have consisted primarily of payments for legal fees related to: governmental inquiries and investigations; and customer constituent class actions. We present expenses and insurance recoveries related to the Security Incident in general and administrative expense on our consolidated statements of comprehensive (loss) income and as operating activities on our consolidated statements of cash flows. Total costs related to the Security Incident that we expect will be recoverable has exceeded the limit of our insurance coverage. We expect to continue to experience significant expenses related to our response to the Security Incident, resolution of legal proceedings, claims, inquiries and investigations discussed below, and our efforts to further enhance our security measures. For full year 2022, we currently expect net pre-tax expense of approximately $ 30.0 million to $35.0 million for ongoing legal fees related to the Security Incident. In line with our policy as discussed above, legal fees are expensed as incurred. For full year 2022, we currently expect net cash outlays of approximately $15.0 million to $25.0 million for ongoing legal fees related to the Security Incident.</w:t>
      </w:r>
    </w:p>
    <w:p>
      <w:pPr>
        <w:spacing w:after="0" w:line="157"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Based on our analysis of the factors described above, we have not recorded a liability for a loss contingency related to the Security Incident as of June 30, 2022 because we are unable at this time to reasonably estimate the possible loss or range of loss.</w:t>
      </w:r>
    </w:p>
    <w:p>
      <w:pPr>
        <w:spacing w:after="0" w:line="126"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i w:val="1"/>
          <w:iCs w:val="1"/>
          <w:color w:val="auto"/>
        </w:rPr>
        <w:t xml:space="preserve">Customer claims. </w:t>
      </w:r>
      <w:r>
        <w:rPr>
          <w:rFonts w:ascii="Arial" w:cs="Arial" w:eastAsia="Arial" w:hAnsi="Arial"/>
          <w:sz w:val="18"/>
          <w:szCs w:val="18"/>
          <w:color w:val="auto"/>
        </w:rPr>
        <w:t>To date, we have received approximately 260 specific requests for reimbursement of expenses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Reimbursement Requests") and approximately 400 reservations of the right to seek expense recovery in the future from customers or their attorneys in the U.S., U.K. and Canada related to the Security Incident (none of which have as yet been filed in court). Of the Customer Reimbursement Requests received to date, approximately 190 have been fully resolved and closed. In June 2022, we also received notice of a proposed claim on behalf of a number of U.K. data subjects, which we are reviewing. In addition, insurance companies representing various customers’ interests through subrogation claims have contacted us. One insurance company has filed a subrogation claim in court. Customer and insurer subrogation claims generally seek reimbursement of their costs and expenses associated with notifying their own customers of the Security Incident and taking steps to assure that personal information has not been compromised as a result of the Security Incident. Our review of customer and subrogation claims includes analyzing individual customer contracts into which we have entered, the specific claims made and applicable law.</w:t>
      </w:r>
    </w:p>
    <w:p>
      <w:pPr>
        <w:spacing w:after="0" w:line="131"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i w:val="1"/>
          <w:iCs w:val="1"/>
          <w:color w:val="auto"/>
        </w:rPr>
        <w:t xml:space="preserve">Customer constituent class actions. </w:t>
      </w:r>
      <w:r>
        <w:rPr>
          <w:rFonts w:ascii="Arial" w:cs="Arial" w:eastAsia="Arial" w:hAnsi="Arial"/>
          <w:sz w:val="18"/>
          <w:szCs w:val="18"/>
          <w:color w:val="auto"/>
        </w:rPr>
        <w:t>Presently, we are a defendant in 19 putative consumer class action cases [17 in U.S. federal courts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have been consolidated under multi district litigation to a single federal court) and 2 in Canadian courts] alleging harm from the Security Incident. The plaintiffs in these cases, who purport to represent various classes of individual constituents of our customers, generally claim to have been harmed by alleged actions and/or omissions by us in connection with the Security Incident and assert a variety of common law and statutory claims seeking monetary damages, injunctive relief, costs and attorneys’ fees, and other related relief.</w:t>
      </w:r>
    </w:p>
    <w:p>
      <w:pPr>
        <w:spacing w:after="0" w:line="321"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18</w:t>
      </w:r>
      <w:r>
        <w:rPr>
          <w:sz w:val="20"/>
          <w:szCs w:val="20"/>
          <w:color w:val="auto"/>
        </w:rPr>
        <w:tab/>
      </w:r>
      <w:r>
        <w:rPr>
          <w:sz w:val="1"/>
          <w:szCs w:val="1"/>
          <w:color w:val="auto"/>
        </w:rPr>
        <w:drawing>
          <wp:inline distT="0" distB="0" distL="0" distR="0">
            <wp:extent cx="651510" cy="17145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Lawsuits that are putative class actions require a plaintiff to satisfy a number of procedural requirements before proceeding to trial. These requirements include, among others, demonstration to a court that the law proscribes in some manner our activities, the making of factual allegations sufficient to suggest that our activities exceeded the limits of the law and a determination by the court—known as class certification—that the law permits a group of individuals to pursue the case together as a class. If these procedural requirements are not met, the lawsuit cannot proceed as a class action and the plaintiff may lose the financial incentive to proceed with the case. Frequently, a court’s determination as to these procedural requirements is subject to appeal to a higher court. As a result of these uncertainties, we may be unable to determine the probability of loss until, or after, a court has finally determined that a plaintiff has satisfied the applicable class action procedural requirements.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Furthermore, for putative class actions, it is often not possible to estimate the possible loss or a range of loss amounts, even where we have determined that a loss is reasonably possible. Generally, class actions involve a large number of people and raise complex legal and factual issues that result in uncertainty as to their outcome and, ultimately, making it difficult for us to estimate the amount of damages that a plaintiff might successfully prove. This analysis is further complicated by the fact that the plaintiffs lack contractual privity with us.</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Governmental inquiries and investigations. </w:t>
      </w:r>
      <w:r>
        <w:rPr>
          <w:rFonts w:ascii="Arial" w:cs="Arial" w:eastAsia="Arial" w:hAnsi="Arial"/>
          <w:sz w:val="18"/>
          <w:szCs w:val="18"/>
          <w:color w:val="auto"/>
        </w:rPr>
        <w:t>To date, we have received a consolidated, multi-state Civil Investigative Demand issued on behalf</w:t>
      </w:r>
      <w:r>
        <w:rPr>
          <w:rFonts w:ascii="Arial" w:cs="Arial" w:eastAsia="Arial" w:hAnsi="Arial"/>
          <w:sz w:val="18"/>
          <w:szCs w:val="18"/>
          <w:i w:val="1"/>
          <w:iCs w:val="1"/>
          <w:color w:val="auto"/>
        </w:rPr>
        <w:t xml:space="preserve"> </w:t>
      </w:r>
      <w:r>
        <w:rPr>
          <w:rFonts w:ascii="Arial" w:cs="Arial" w:eastAsia="Arial" w:hAnsi="Arial"/>
          <w:sz w:val="18"/>
          <w:szCs w:val="18"/>
          <w:color w:val="auto"/>
        </w:rPr>
        <w:t>of 49 state Attorneys General and the District of Columbia and a separate Civil Investigative Demand from the office of the California Attorney General relating to the Security Incident. We also are subject to the following pending governmental actions:</w:t>
      </w:r>
    </w:p>
    <w:p>
      <w:pPr>
        <w:spacing w:after="0" w:line="86" w:lineRule="exact"/>
        <w:rPr>
          <w:sz w:val="20"/>
          <w:szCs w:val="20"/>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investigation by the U.S. Federal Trade Commission;</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formal investigation by the SEC;</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investigation by the U.S. Department of Health and Human Services;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investigation by the Office of the Australian Information Commissioner; and</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investigation by the Office of the Privacy Commissioner of Canada.</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September 28, 2021, the Information Commissioner's Office in the United Kingdom under the U.K Data Protection Act 2018 (the "ICO") notified us that it has closed its investigation of the Security Incident. Based on its investigation and having considered our actions before, during and after the Security Incident, the ICO issued our European subsidiary a reprimand in accordance with Article 58(2)(b) of the U.K. General Data Protection Regulation ("U.K. GDPR") due to our non-compliance, in the ICO's view, with the requirements set out in Article 32 of the U.K. GDPR regarding the processing of personal data. The ICO did not impose a penalty related to the Security Incident, nor did it impose any requirements for further action by us.</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September 24, 2021, we received notice from the Spanish Data Protection Authority that it has concluded its investigation of the Security Incident, pursuant to which our European subsidiary paid a penalty of €60,000 in relation to the alleged late notification of two Spanish data controllers regarding the Security Incident.</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January 15, 2021, we were notified by the Data Protection Commission of Ireland that it has concluded its investigation of the Security Incident without taking any action against us.</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continue to cooperate with all ongoing inquiries and investigations, which include various requests for documents, policies, narratives and communications, as well as requests to interview or depose various Company-related personnel. As noted above, each of these separate governmental inquiries and investigations could result in adverse judgements, settlements, fines, penalties, or other resolution, the amount, scope and timing of which we are currently unable to predict, but could have a material adverse impact on our results of operations, cash flows,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216535</wp:posOffset>
            </wp:positionV>
            <wp:extent cx="659765"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480"/>
              <w:spacing w:after="0"/>
              <w:rPr>
                <w:sz w:val="20"/>
                <w:szCs w:val="20"/>
                <w:color w:val="auto"/>
              </w:rPr>
            </w:pPr>
            <w:r>
              <w:rPr>
                <w:rFonts w:ascii="Arial" w:cs="Arial" w:eastAsia="Arial" w:hAnsi="Arial"/>
                <w:sz w:val="14"/>
                <w:szCs w:val="14"/>
                <w:color w:val="auto"/>
              </w:rPr>
              <w:t>Second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11.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Our income tax (benefit) provision and effective income tax rates, including the effects of period-specific events, were: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shd w:val="clear" w:color="auto" w:fill="ACACAC"/>
          </w:tcPr>
          <w:p>
            <w:pPr>
              <w:spacing w:after="0"/>
              <w:rPr>
                <w:sz w:val="16"/>
                <w:szCs w:val="16"/>
                <w:color w:val="auto"/>
              </w:rPr>
            </w:pPr>
          </w:p>
        </w:tc>
        <w:tc>
          <w:tcPr>
            <w:tcW w:w="440" w:type="dxa"/>
            <w:vAlign w:val="bottom"/>
            <w:shd w:val="clear" w:color="auto" w:fill="ACACAC"/>
          </w:tcPr>
          <w:p>
            <w:pPr>
              <w:spacing w:after="0"/>
              <w:rPr>
                <w:sz w:val="16"/>
                <w:szCs w:val="16"/>
                <w:color w:val="auto"/>
              </w:rPr>
            </w:pPr>
          </w:p>
        </w:tc>
        <w:tc>
          <w:tcPr>
            <w:tcW w:w="1080" w:type="dxa"/>
            <w:vAlign w:val="bottom"/>
            <w:shd w:val="clear" w:color="auto" w:fill="ACACAC"/>
          </w:tcPr>
          <w:p>
            <w:pPr>
              <w:spacing w:after="0"/>
              <w:rPr>
                <w:sz w:val="16"/>
                <w:szCs w:val="16"/>
                <w:color w:val="auto"/>
              </w:rPr>
            </w:pPr>
          </w:p>
        </w:tc>
        <w:tc>
          <w:tcPr>
            <w:tcW w:w="1520" w:type="dxa"/>
            <w:vAlign w:val="bottom"/>
            <w:tcBorders>
              <w:right w:val="single" w:sz="8" w:color="ACACAC"/>
            </w:tcBorders>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6"/>
                <w:szCs w:val="16"/>
                <w:color w:val="auto"/>
              </w:rPr>
            </w:pPr>
          </w:p>
        </w:tc>
        <w:tc>
          <w:tcPr>
            <w:tcW w:w="440" w:type="dxa"/>
            <w:vAlign w:val="bottom"/>
            <w:shd w:val="clear" w:color="auto" w:fill="ACACAC"/>
          </w:tcPr>
          <w:p>
            <w:pPr>
              <w:spacing w:after="0"/>
              <w:rPr>
                <w:sz w:val="16"/>
                <w:szCs w:val="16"/>
                <w:color w:val="auto"/>
              </w:rPr>
            </w:pPr>
          </w:p>
        </w:tc>
        <w:tc>
          <w:tcPr>
            <w:tcW w:w="1060" w:type="dxa"/>
            <w:vAlign w:val="bottom"/>
            <w:shd w:val="clear" w:color="auto" w:fill="ACACAC"/>
          </w:tcPr>
          <w:p>
            <w:pPr>
              <w:spacing w:after="0"/>
              <w:rPr>
                <w:sz w:val="16"/>
                <w:szCs w:val="16"/>
                <w:color w:val="auto"/>
              </w:rPr>
            </w:pPr>
          </w:p>
        </w:tc>
        <w:tc>
          <w:tcPr>
            <w:tcW w:w="200" w:type="dxa"/>
            <w:vAlign w:val="bottom"/>
            <w:shd w:val="clear" w:color="auto" w:fill="ACACAC"/>
          </w:tcPr>
          <w:p>
            <w:pPr>
              <w:spacing w:after="0"/>
              <w:rPr>
                <w:sz w:val="16"/>
                <w:szCs w:val="16"/>
                <w:color w:val="auto"/>
              </w:rPr>
            </w:pPr>
          </w:p>
        </w:tc>
        <w:tc>
          <w:tcPr>
            <w:tcW w:w="13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Six months ended</w:t>
            </w:r>
          </w:p>
        </w:tc>
        <w:tc>
          <w:tcPr>
            <w:tcW w:w="20" w:type="dxa"/>
            <w:vAlign w:val="bottom"/>
            <w:shd w:val="clear" w:color="auto" w:fill="ACACAC"/>
          </w:tcPr>
          <w:p>
            <w:pPr>
              <w:spacing w:after="0"/>
              <w:rPr>
                <w:sz w:val="16"/>
                <w:szCs w:val="16"/>
                <w:color w:val="auto"/>
              </w:rPr>
            </w:pPr>
          </w:p>
        </w:tc>
      </w:tr>
      <w:tr>
        <w:trPr>
          <w:trHeight w:val="190"/>
        </w:trPr>
        <w:tc>
          <w:tcPr>
            <w:tcW w:w="5080" w:type="dxa"/>
            <w:vAlign w:val="bottom"/>
            <w:shd w:val="clear" w:color="auto" w:fill="ACACAC"/>
          </w:tcPr>
          <w:p>
            <w:pPr>
              <w:spacing w:after="0"/>
              <w:rPr>
                <w:sz w:val="16"/>
                <w:szCs w:val="16"/>
                <w:color w:val="auto"/>
              </w:rPr>
            </w:pPr>
          </w:p>
        </w:tc>
        <w:tc>
          <w:tcPr>
            <w:tcW w:w="440" w:type="dxa"/>
            <w:vAlign w:val="bottom"/>
            <w:shd w:val="clear" w:color="auto" w:fill="ACACAC"/>
          </w:tcPr>
          <w:p>
            <w:pPr>
              <w:spacing w:after="0"/>
              <w:rPr>
                <w:sz w:val="16"/>
                <w:szCs w:val="16"/>
                <w:color w:val="auto"/>
              </w:rPr>
            </w:pPr>
          </w:p>
        </w:tc>
        <w:tc>
          <w:tcPr>
            <w:tcW w:w="1080" w:type="dxa"/>
            <w:vAlign w:val="bottom"/>
            <w:shd w:val="clear" w:color="auto" w:fill="ACACAC"/>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106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100" w:type="dxa"/>
            <w:vAlign w:val="bottom"/>
          </w:tcPr>
          <w:p>
            <w:pPr>
              <w:spacing w:after="0"/>
              <w:rPr>
                <w:sz w:val="16"/>
                <w:szCs w:val="16"/>
                <w:color w:val="auto"/>
              </w:rPr>
            </w:pPr>
          </w:p>
        </w:tc>
        <w:tc>
          <w:tcPr>
            <w:tcW w:w="440" w:type="dxa"/>
            <w:vAlign w:val="bottom"/>
            <w:shd w:val="clear" w:color="auto" w:fill="ACACAC"/>
          </w:tcPr>
          <w:p>
            <w:pPr>
              <w:spacing w:after="0"/>
              <w:rPr>
                <w:sz w:val="16"/>
                <w:szCs w:val="16"/>
                <w:color w:val="auto"/>
              </w:rPr>
            </w:pPr>
          </w:p>
        </w:tc>
        <w:tc>
          <w:tcPr>
            <w:tcW w:w="1060" w:type="dxa"/>
            <w:vAlign w:val="bottom"/>
            <w:shd w:val="clear" w:color="auto" w:fill="ACACAC"/>
          </w:tcPr>
          <w:p>
            <w:pPr>
              <w:spacing w:after="0"/>
              <w:rPr>
                <w:sz w:val="16"/>
                <w:szCs w:val="16"/>
                <w:color w:val="auto"/>
              </w:rPr>
            </w:pPr>
          </w:p>
        </w:tc>
        <w:tc>
          <w:tcPr>
            <w:tcW w:w="200" w:type="dxa"/>
            <w:vAlign w:val="bottom"/>
            <w:shd w:val="clear" w:color="auto" w:fill="ACACAC"/>
          </w:tcPr>
          <w:p>
            <w:pPr>
              <w:spacing w:after="0"/>
              <w:rPr>
                <w:sz w:val="16"/>
                <w:szCs w:val="16"/>
                <w:color w:val="auto"/>
              </w:rPr>
            </w:pPr>
          </w:p>
        </w:tc>
        <w:tc>
          <w:tcPr>
            <w:tcW w:w="13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20" w:type="dxa"/>
            <w:vAlign w:val="bottom"/>
            <w:shd w:val="clear" w:color="auto" w:fill="ACACAC"/>
          </w:tcPr>
          <w:p>
            <w:pPr>
              <w:spacing w:after="0"/>
              <w:rPr>
                <w:sz w:val="16"/>
                <w:szCs w:val="16"/>
                <w:color w:val="auto"/>
              </w:rPr>
            </w:pPr>
          </w:p>
        </w:tc>
      </w:tr>
      <w:tr>
        <w:trPr>
          <w:trHeight w:val="236"/>
        </w:trPr>
        <w:tc>
          <w:tcPr>
            <w:tcW w:w="508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40" w:type="dxa"/>
            <w:vAlign w:val="bottom"/>
            <w:tcBorders>
              <w:bottom w:val="single" w:sz="8" w:color="ACACAC"/>
            </w:tcBorders>
            <w:shd w:val="clear" w:color="auto" w:fill="ACACAC"/>
          </w:tcPr>
          <w:p>
            <w:pPr>
              <w:spacing w:after="0"/>
              <w:rPr>
                <w:sz w:val="20"/>
                <w:szCs w:val="20"/>
                <w:color w:val="auto"/>
              </w:rPr>
            </w:pPr>
          </w:p>
        </w:tc>
        <w:tc>
          <w:tcPr>
            <w:tcW w:w="10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460" w:type="dxa"/>
            <w:vAlign w:val="bottom"/>
            <w:tcBorders>
              <w:bottom w:val="single" w:sz="8" w:color="ACACAC"/>
            </w:tcBorders>
            <w:shd w:val="clear" w:color="auto" w:fill="ACACAC"/>
          </w:tcPr>
          <w:p>
            <w:pPr>
              <w:spacing w:after="0"/>
              <w:rPr>
                <w:sz w:val="20"/>
                <w:szCs w:val="20"/>
                <w:color w:val="auto"/>
              </w:rPr>
            </w:pPr>
          </w:p>
        </w:tc>
        <w:tc>
          <w:tcPr>
            <w:tcW w:w="1060" w:type="dxa"/>
            <w:vAlign w:val="bottom"/>
            <w:tcBorders>
              <w:bottom w:val="single" w:sz="8" w:color="ACACAC"/>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00" w:type="dxa"/>
            <w:vAlign w:val="bottom"/>
            <w:tcBorders>
              <w:bottom w:val="single" w:sz="8" w:color="F4F4F4"/>
            </w:tcBorders>
          </w:tcPr>
          <w:p>
            <w:pPr>
              <w:spacing w:after="0"/>
              <w:rPr>
                <w:sz w:val="20"/>
                <w:szCs w:val="20"/>
                <w:color w:val="auto"/>
              </w:rPr>
            </w:pPr>
          </w:p>
        </w:tc>
        <w:tc>
          <w:tcPr>
            <w:tcW w:w="440" w:type="dxa"/>
            <w:vAlign w:val="bottom"/>
            <w:tcBorders>
              <w:bottom w:val="single" w:sz="8" w:color="ACACAC"/>
            </w:tcBorders>
            <w:shd w:val="clear" w:color="auto" w:fill="ACACAC"/>
          </w:tcPr>
          <w:p>
            <w:pPr>
              <w:spacing w:after="0"/>
              <w:rPr>
                <w:sz w:val="20"/>
                <w:szCs w:val="20"/>
                <w:color w:val="auto"/>
              </w:rPr>
            </w:pPr>
          </w:p>
        </w:tc>
        <w:tc>
          <w:tcPr>
            <w:tcW w:w="10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200" w:type="dxa"/>
            <w:vAlign w:val="bottom"/>
            <w:tcBorders>
              <w:bottom w:val="single" w:sz="8" w:color="ACACAC"/>
            </w:tcBorders>
            <w:shd w:val="clear" w:color="auto" w:fill="ACACAC"/>
          </w:tcPr>
          <w:p>
            <w:pPr>
              <w:spacing w:after="0"/>
              <w:rPr>
                <w:sz w:val="20"/>
                <w:szCs w:val="20"/>
                <w:color w:val="auto"/>
              </w:rPr>
            </w:pPr>
          </w:p>
        </w:tc>
        <w:tc>
          <w:tcPr>
            <w:tcW w:w="13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49"/>
        </w:trPr>
        <w:tc>
          <w:tcPr>
            <w:tcW w:w="50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Income tax (benefit) provision</w:t>
            </w:r>
          </w:p>
        </w:tc>
        <w:tc>
          <w:tcPr>
            <w:tcW w:w="440" w:type="dxa"/>
            <w:vAlign w:val="bottom"/>
            <w:tcBorders>
              <w:bottom w:val="single" w:sz="8" w:color="F4F4F4"/>
            </w:tcBorders>
            <w:shd w:val="clear" w:color="auto" w:fill="F4F4F4"/>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F4F4F4"/>
            </w:tcBorders>
            <w:shd w:val="clear" w:color="auto" w:fill="F4F4F4"/>
          </w:tcPr>
          <w:p>
            <w:pPr>
              <w:jc w:val="right"/>
              <w:ind w:right="116"/>
              <w:spacing w:after="0"/>
              <w:rPr>
                <w:sz w:val="20"/>
                <w:szCs w:val="20"/>
                <w:color w:val="auto"/>
              </w:rPr>
            </w:pPr>
            <w:r>
              <w:rPr>
                <w:rFonts w:ascii="Arial" w:cs="Arial" w:eastAsia="Arial" w:hAnsi="Arial"/>
                <w:sz w:val="18"/>
                <w:szCs w:val="18"/>
                <w:color w:val="auto"/>
              </w:rPr>
              <w:t>(2,367)</w:t>
            </w:r>
          </w:p>
        </w:tc>
        <w:tc>
          <w:tcPr>
            <w:tcW w:w="460" w:type="dxa"/>
            <w:vAlign w:val="bottom"/>
            <w:tcBorders>
              <w:bottom w:val="single" w:sz="8" w:color="F4F4F4"/>
            </w:tcBorders>
            <w:shd w:val="clear" w:color="auto" w:fill="F4F4F4"/>
          </w:tcPr>
          <w:p>
            <w:pPr>
              <w:jc w:val="right"/>
              <w:ind w:right="259"/>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F4F4F4"/>
              <w:right w:val="single" w:sz="8" w:color="F4F4F4"/>
            </w:tcBorders>
            <w:shd w:val="clear" w:color="auto" w:fill="F4F4F4"/>
          </w:tcPr>
          <w:p>
            <w:pPr>
              <w:jc w:val="right"/>
              <w:ind w:right="179"/>
              <w:spacing w:after="0"/>
              <w:rPr>
                <w:sz w:val="20"/>
                <w:szCs w:val="20"/>
                <w:color w:val="auto"/>
              </w:rPr>
            </w:pPr>
            <w:r>
              <w:rPr>
                <w:rFonts w:ascii="Arial" w:cs="Arial" w:eastAsia="Arial" w:hAnsi="Arial"/>
                <w:sz w:val="18"/>
                <w:szCs w:val="18"/>
                <w:color w:val="auto"/>
              </w:rPr>
              <w:t>1,745</w:t>
            </w:r>
          </w:p>
        </w:tc>
        <w:tc>
          <w:tcPr>
            <w:tcW w:w="540" w:type="dxa"/>
            <w:vAlign w:val="bottom"/>
            <w:tcBorders>
              <w:bottom w:val="single" w:sz="8" w:color="F4F4F4"/>
            </w:tcBorders>
            <w:gridSpan w:val="2"/>
            <w:shd w:val="clear" w:color="auto" w:fill="F4F4F4"/>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F4F4F4"/>
            </w:tcBorders>
            <w:shd w:val="clear" w:color="auto" w:fill="F4F4F4"/>
          </w:tcPr>
          <w:p>
            <w:pPr>
              <w:jc w:val="right"/>
              <w:ind w:right="96"/>
              <w:spacing w:after="0"/>
              <w:rPr>
                <w:sz w:val="20"/>
                <w:szCs w:val="20"/>
                <w:color w:val="auto"/>
              </w:rPr>
            </w:pPr>
            <w:r>
              <w:rPr>
                <w:rFonts w:ascii="Arial" w:cs="Arial" w:eastAsia="Arial" w:hAnsi="Arial"/>
                <w:sz w:val="18"/>
                <w:szCs w:val="18"/>
                <w:color w:val="auto"/>
              </w:rPr>
              <w:t>(4,417)</w:t>
            </w:r>
          </w:p>
        </w:tc>
        <w:tc>
          <w:tcPr>
            <w:tcW w:w="2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F4F4F4"/>
            </w:tcBorders>
            <w:shd w:val="clear" w:color="auto" w:fill="F4F4F4"/>
          </w:tcPr>
          <w:p>
            <w:pPr>
              <w:jc w:val="right"/>
              <w:ind w:right="161"/>
              <w:spacing w:after="0"/>
              <w:rPr>
                <w:sz w:val="20"/>
                <w:szCs w:val="20"/>
                <w:color w:val="auto"/>
              </w:rPr>
            </w:pPr>
            <w:r>
              <w:rPr>
                <w:rFonts w:ascii="Arial" w:cs="Arial" w:eastAsia="Arial" w:hAnsi="Arial"/>
                <w:sz w:val="18"/>
                <w:szCs w:val="18"/>
                <w:color w:val="auto"/>
              </w:rPr>
              <w:t>2,429</w:t>
            </w:r>
          </w:p>
        </w:tc>
        <w:tc>
          <w:tcPr>
            <w:tcW w:w="20" w:type="dxa"/>
            <w:vAlign w:val="bottom"/>
          </w:tcPr>
          <w:p>
            <w:pPr>
              <w:spacing w:after="0"/>
              <w:rPr>
                <w:sz w:val="21"/>
                <w:szCs w:val="2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40.9 %</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24.2 %</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27.0 %</w:t>
            </w:r>
          </w:p>
        </w:tc>
        <w:tc>
          <w:tcPr>
            <w:tcW w:w="20" w:type="dxa"/>
            <w:vAlign w:val="bottom"/>
          </w:tcPr>
          <w:p>
            <w:pPr>
              <w:spacing w:after="0"/>
              <w:rPr>
                <w:sz w:val="21"/>
                <w:szCs w:val="21"/>
                <w:color w:val="auto"/>
              </w:rPr>
            </w:pPr>
          </w:p>
        </w:tc>
      </w:tr>
      <w:tr>
        <w:trPr>
          <w:trHeight w:val="27"/>
        </w:trPr>
        <w:tc>
          <w:tcPr>
            <w:tcW w:w="5080" w:type="dxa"/>
            <w:vAlign w:val="bottom"/>
            <w:tcBorders>
              <w:bottom w:val="single" w:sz="8" w:color="71BF43"/>
            </w:tcBorders>
          </w:tcPr>
          <w:p>
            <w:pPr>
              <w:spacing w:after="0"/>
              <w:rPr>
                <w:sz w:val="2"/>
                <w:szCs w:val="2"/>
                <w:color w:val="auto"/>
              </w:rPr>
            </w:pPr>
          </w:p>
        </w:tc>
        <w:tc>
          <w:tcPr>
            <w:tcW w:w="440" w:type="dxa"/>
            <w:vAlign w:val="bottom"/>
            <w:tcBorders>
              <w:bottom w:val="single" w:sz="8" w:color="71BF43"/>
            </w:tcBorders>
          </w:tcPr>
          <w:p>
            <w:pPr>
              <w:spacing w:after="0"/>
              <w:rPr>
                <w:sz w:val="2"/>
                <w:szCs w:val="2"/>
                <w:color w:val="auto"/>
              </w:rPr>
            </w:pPr>
          </w:p>
        </w:tc>
        <w:tc>
          <w:tcPr>
            <w:tcW w:w="1080" w:type="dxa"/>
            <w:vAlign w:val="bottom"/>
            <w:tcBorders>
              <w:bottom w:val="single" w:sz="8" w:color="71BF43"/>
            </w:tcBorders>
          </w:tcPr>
          <w:p>
            <w:pPr>
              <w:spacing w:after="0"/>
              <w:rPr>
                <w:sz w:val="2"/>
                <w:szCs w:val="2"/>
                <w:color w:val="auto"/>
              </w:rPr>
            </w:pPr>
          </w:p>
        </w:tc>
        <w:tc>
          <w:tcPr>
            <w:tcW w:w="460" w:type="dxa"/>
            <w:vAlign w:val="bottom"/>
            <w:tcBorders>
              <w:bottom w:val="single" w:sz="8" w:color="71BF43"/>
            </w:tcBorders>
          </w:tcPr>
          <w:p>
            <w:pPr>
              <w:spacing w:after="0"/>
              <w:rPr>
                <w:sz w:val="2"/>
                <w:szCs w:val="2"/>
                <w:color w:val="auto"/>
              </w:rPr>
            </w:pPr>
          </w:p>
        </w:tc>
        <w:tc>
          <w:tcPr>
            <w:tcW w:w="1060" w:type="dxa"/>
            <w:vAlign w:val="bottom"/>
            <w:tcBorders>
              <w:bottom w:val="single" w:sz="8" w:color="71BF43"/>
            </w:tcBorders>
          </w:tcPr>
          <w:p>
            <w:pPr>
              <w:spacing w:after="0"/>
              <w:rPr>
                <w:sz w:val="2"/>
                <w:szCs w:val="2"/>
                <w:color w:val="auto"/>
              </w:rPr>
            </w:pPr>
          </w:p>
        </w:tc>
        <w:tc>
          <w:tcPr>
            <w:tcW w:w="100" w:type="dxa"/>
            <w:vAlign w:val="bottom"/>
            <w:tcBorders>
              <w:bottom w:val="single" w:sz="8" w:color="71BF43"/>
            </w:tcBorders>
          </w:tcPr>
          <w:p>
            <w:pPr>
              <w:spacing w:after="0"/>
              <w:rPr>
                <w:sz w:val="2"/>
                <w:szCs w:val="2"/>
                <w:color w:val="auto"/>
              </w:rPr>
            </w:pPr>
          </w:p>
        </w:tc>
        <w:tc>
          <w:tcPr>
            <w:tcW w:w="440" w:type="dxa"/>
            <w:vAlign w:val="bottom"/>
            <w:tcBorders>
              <w:bottom w:val="single" w:sz="8" w:color="71BF43"/>
            </w:tcBorders>
          </w:tcPr>
          <w:p>
            <w:pPr>
              <w:spacing w:after="0"/>
              <w:rPr>
                <w:sz w:val="2"/>
                <w:szCs w:val="2"/>
                <w:color w:val="auto"/>
              </w:rPr>
            </w:pPr>
          </w:p>
        </w:tc>
        <w:tc>
          <w:tcPr>
            <w:tcW w:w="1060" w:type="dxa"/>
            <w:vAlign w:val="bottom"/>
            <w:tcBorders>
              <w:bottom w:val="single" w:sz="8" w:color="71BF43"/>
            </w:tcBorders>
          </w:tcPr>
          <w:p>
            <w:pPr>
              <w:spacing w:after="0"/>
              <w:rPr>
                <w:sz w:val="2"/>
                <w:szCs w:val="2"/>
                <w:color w:val="auto"/>
              </w:rPr>
            </w:pPr>
          </w:p>
        </w:tc>
        <w:tc>
          <w:tcPr>
            <w:tcW w:w="200" w:type="dxa"/>
            <w:vAlign w:val="bottom"/>
            <w:tcBorders>
              <w:bottom w:val="single" w:sz="8" w:color="71BF43"/>
            </w:tcBorders>
          </w:tcPr>
          <w:p>
            <w:pPr>
              <w:spacing w:after="0"/>
              <w:rPr>
                <w:sz w:val="2"/>
                <w:szCs w:val="2"/>
                <w:color w:val="auto"/>
              </w:rPr>
            </w:pPr>
          </w:p>
        </w:tc>
        <w:tc>
          <w:tcPr>
            <w:tcW w:w="1320" w:type="dxa"/>
            <w:vAlign w:val="bottom"/>
            <w:tcBorders>
              <w:bottom w:val="single" w:sz="8" w:color="71BF4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-505460</wp:posOffset>
            </wp:positionV>
            <wp:extent cx="39173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917315" cy="8890"/>
                    </a:xfrm>
                    <a:prstGeom prst="rect">
                      <a:avLst/>
                    </a:prstGeom>
                    <a:noFill/>
                  </pic:spPr>
                </pic:pic>
              </a:graphicData>
            </a:graphic>
          </wp:anchor>
        </w:drawing>
      </w:r>
    </w:p>
    <w:p>
      <w:pPr>
        <w:spacing w:after="0" w:line="222"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 xml:space="preserve">For the three and six months ended June 30, 2022, we have utilized the discrete effective tax rate method, as allowed by ASC 740-270-30-18, </w:t>
      </w:r>
      <w:r>
        <w:rPr>
          <w:rFonts w:ascii="Arial" w:cs="Arial" w:eastAsia="Arial" w:hAnsi="Arial"/>
          <w:sz w:val="18"/>
          <w:szCs w:val="18"/>
          <w:i w:val="1"/>
          <w:iCs w:val="1"/>
          <w:color w:val="auto"/>
        </w:rPr>
        <w:t>Income Taxes—Interim Reporting</w:t>
      </w:r>
      <w:r>
        <w:rPr>
          <w:rFonts w:ascii="Arial" w:cs="Arial" w:eastAsia="Arial" w:hAnsi="Arial"/>
          <w:sz w:val="18"/>
          <w:szCs w:val="18"/>
          <w:color w:val="auto"/>
        </w:rPr>
        <w:t>, to calculate our interim income tax provision. The discrete method is applied when the application of the estimated annual effective tax rate is impractical because it is not possible to reliably estimate the annual effective tax rate. The discrete method treats the year-to-date period as if it was the annual period and determines the income tax expense or benefit on that basis. We believe that, at this time, the use of this discrete method is more appropriate than the annual effective tax rate method as our full-year forecasted pre-tax income, relative to our forecasted permanent differences, has the potential to distort our estimated annual effective tax rate.</w:t>
      </w:r>
    </w:p>
    <w:p>
      <w:pPr>
        <w:spacing w:after="0" w:line="15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increase in our effective income tax rate for the three months ended June 30, 2022 when compared to the same period in 2021 was primarily due to 2022 tax benefit attributable to foreign-derived intangible income ("FDII") deduction not generated in the prior year. Furthermore, the 2021 effective tax rate was positively impacted by benefit attributable to stock based compensation partially offset against expense attributable to an income tax rate increase enacted during the period.</w:t>
      </w:r>
    </w:p>
    <w:p>
      <w:pPr>
        <w:spacing w:after="0" w:line="15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decrease in our effective income tax rate for the six months ended June 30, 2022 when compared to the same period in 2021 was primarily attributable to 2022 tax benefit attributable to FDII deduction not generated in the prior year. Furthermore, the 2022 effective tax rate was negatively impacted by tax expense attributable to stock-based compensation against pre-tax loss for the period. The 2021 effective tax rate was positively impacted by benefit attributable to stock-based compensation, partially offset against expense attributable to an income tax rate increase enacted during the period.</w:t>
      </w:r>
    </w:p>
    <w:p>
      <w:pPr>
        <w:spacing w:after="0" w:line="325"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20</w:t>
      </w:r>
      <w:r>
        <w:rPr>
          <w:sz w:val="20"/>
          <w:szCs w:val="20"/>
          <w:color w:val="auto"/>
        </w:rPr>
        <w:tab/>
      </w:r>
      <w:r>
        <w:rPr>
          <w:sz w:val="1"/>
          <w:szCs w:val="1"/>
          <w:color w:val="auto"/>
        </w:rPr>
        <w:drawing>
          <wp:inline distT="0" distB="0" distL="0" distR="0">
            <wp:extent cx="651510" cy="17145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12.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accumulated other comprehensive income (loss) by component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accumulated other comprehensive income (loss) by component, consisted of the following: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40" w:type="dxa"/>
            <w:vAlign w:val="bottom"/>
            <w:shd w:val="clear" w:color="auto" w:fill="ACACAC"/>
          </w:tcPr>
          <w:p>
            <w:pPr>
              <w:spacing w:after="0"/>
              <w:rPr>
                <w:sz w:val="16"/>
                <w:szCs w:val="16"/>
                <w:color w:val="auto"/>
              </w:rPr>
            </w:pPr>
          </w:p>
        </w:tc>
        <w:tc>
          <w:tcPr>
            <w:tcW w:w="280" w:type="dxa"/>
            <w:vAlign w:val="bottom"/>
            <w:shd w:val="clear" w:color="auto" w:fill="ACACAC"/>
          </w:tcPr>
          <w:p>
            <w:pPr>
              <w:spacing w:after="0"/>
              <w:rPr>
                <w:sz w:val="16"/>
                <w:szCs w:val="16"/>
                <w:color w:val="auto"/>
              </w:rPr>
            </w:pPr>
          </w:p>
        </w:tc>
        <w:tc>
          <w:tcPr>
            <w:tcW w:w="2040" w:type="dxa"/>
            <w:vAlign w:val="bottom"/>
            <w:tcBorders>
              <w:right w:val="single" w:sz="8" w:color="ACACAC"/>
            </w:tcBorders>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80" w:type="dxa"/>
            <w:vAlign w:val="bottom"/>
          </w:tcPr>
          <w:p>
            <w:pPr>
              <w:spacing w:after="0"/>
              <w:rPr>
                <w:sz w:val="16"/>
                <w:szCs w:val="16"/>
                <w:color w:val="auto"/>
              </w:rPr>
            </w:pPr>
          </w:p>
        </w:tc>
        <w:tc>
          <w:tcPr>
            <w:tcW w:w="280" w:type="dxa"/>
            <w:vAlign w:val="bottom"/>
            <w:shd w:val="clear" w:color="auto" w:fill="ACACAC"/>
          </w:tcPr>
          <w:p>
            <w:pPr>
              <w:spacing w:after="0"/>
              <w:rPr>
                <w:sz w:val="16"/>
                <w:szCs w:val="16"/>
                <w:color w:val="auto"/>
              </w:rPr>
            </w:pPr>
          </w:p>
        </w:tc>
        <w:tc>
          <w:tcPr>
            <w:tcW w:w="202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Six months ended</w:t>
            </w:r>
          </w:p>
        </w:tc>
        <w:tc>
          <w:tcPr>
            <w:tcW w:w="20" w:type="dxa"/>
            <w:vAlign w:val="bottom"/>
            <w:shd w:val="clear" w:color="auto" w:fill="ACACAC"/>
          </w:tcPr>
          <w:p>
            <w:pPr>
              <w:spacing w:after="0"/>
              <w:rPr>
                <w:sz w:val="16"/>
                <w:szCs w:val="16"/>
                <w:color w:val="auto"/>
              </w:rPr>
            </w:pPr>
          </w:p>
        </w:tc>
      </w:tr>
      <w:tr>
        <w:trPr>
          <w:trHeight w:val="190"/>
        </w:trPr>
        <w:tc>
          <w:tcPr>
            <w:tcW w:w="6540" w:type="dxa"/>
            <w:vAlign w:val="bottom"/>
            <w:shd w:val="clear" w:color="auto" w:fill="ACACAC"/>
          </w:tcPr>
          <w:p>
            <w:pPr>
              <w:spacing w:after="0"/>
              <w:rPr>
                <w:sz w:val="16"/>
                <w:szCs w:val="16"/>
                <w:color w:val="auto"/>
              </w:rPr>
            </w:pPr>
          </w:p>
        </w:tc>
        <w:tc>
          <w:tcPr>
            <w:tcW w:w="280" w:type="dxa"/>
            <w:vAlign w:val="bottom"/>
            <w:shd w:val="clear" w:color="auto" w:fill="ACACAC"/>
          </w:tcPr>
          <w:p>
            <w:pPr>
              <w:spacing w:after="0"/>
              <w:rPr>
                <w:sz w:val="16"/>
                <w:szCs w:val="16"/>
                <w:color w:val="auto"/>
              </w:rPr>
            </w:pPr>
          </w:p>
        </w:tc>
        <w:tc>
          <w:tcPr>
            <w:tcW w:w="86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84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80" w:type="dxa"/>
            <w:vAlign w:val="bottom"/>
          </w:tcPr>
          <w:p>
            <w:pPr>
              <w:spacing w:after="0"/>
              <w:rPr>
                <w:sz w:val="16"/>
                <w:szCs w:val="16"/>
                <w:color w:val="auto"/>
              </w:rPr>
            </w:pPr>
          </w:p>
        </w:tc>
        <w:tc>
          <w:tcPr>
            <w:tcW w:w="280" w:type="dxa"/>
            <w:vAlign w:val="bottom"/>
            <w:shd w:val="clear" w:color="auto" w:fill="ACACAC"/>
          </w:tcPr>
          <w:p>
            <w:pPr>
              <w:spacing w:after="0"/>
              <w:rPr>
                <w:sz w:val="16"/>
                <w:szCs w:val="16"/>
                <w:color w:val="auto"/>
              </w:rPr>
            </w:pPr>
          </w:p>
        </w:tc>
        <w:tc>
          <w:tcPr>
            <w:tcW w:w="880" w:type="dxa"/>
            <w:vAlign w:val="bottom"/>
            <w:shd w:val="clear" w:color="auto" w:fill="ACACAC"/>
          </w:tcPr>
          <w:p>
            <w:pPr>
              <w:spacing w:after="0"/>
              <w:rPr>
                <w:sz w:val="16"/>
                <w:szCs w:val="16"/>
                <w:color w:val="auto"/>
              </w:rPr>
            </w:pPr>
          </w:p>
        </w:tc>
        <w:tc>
          <w:tcPr>
            <w:tcW w:w="320" w:type="dxa"/>
            <w:vAlign w:val="bottom"/>
            <w:shd w:val="clear" w:color="auto" w:fill="ACACAC"/>
          </w:tcPr>
          <w:p>
            <w:pPr>
              <w:spacing w:after="0"/>
              <w:rPr>
                <w:sz w:val="16"/>
                <w:szCs w:val="16"/>
                <w:color w:val="auto"/>
              </w:rPr>
            </w:pPr>
          </w:p>
        </w:tc>
        <w:tc>
          <w:tcPr>
            <w:tcW w:w="8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20" w:type="dxa"/>
            <w:vAlign w:val="bottom"/>
            <w:shd w:val="clear" w:color="auto" w:fill="ACACAC"/>
          </w:tcPr>
          <w:p>
            <w:pPr>
              <w:spacing w:after="0"/>
              <w:rPr>
                <w:sz w:val="16"/>
                <w:szCs w:val="16"/>
                <w:color w:val="auto"/>
              </w:rPr>
            </w:pPr>
          </w:p>
        </w:tc>
      </w:tr>
      <w:tr>
        <w:trPr>
          <w:trHeight w:val="235"/>
        </w:trPr>
        <w:tc>
          <w:tcPr>
            <w:tcW w:w="654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280" w:type="dxa"/>
            <w:vAlign w:val="bottom"/>
            <w:tcBorders>
              <w:bottom w:val="single" w:sz="8" w:color="ACACAC"/>
            </w:tcBorders>
            <w:shd w:val="clear" w:color="auto" w:fill="ACACAC"/>
          </w:tcPr>
          <w:p>
            <w:pPr>
              <w:spacing w:after="0"/>
              <w:rPr>
                <w:sz w:val="20"/>
                <w:szCs w:val="20"/>
                <w:color w:val="auto"/>
              </w:rPr>
            </w:pPr>
          </w:p>
        </w:tc>
        <w:tc>
          <w:tcPr>
            <w:tcW w:w="8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340" w:type="dxa"/>
            <w:vAlign w:val="bottom"/>
            <w:tcBorders>
              <w:bottom w:val="single" w:sz="8" w:color="ACACAC"/>
            </w:tcBorders>
            <w:shd w:val="clear" w:color="auto" w:fill="ACACAC"/>
          </w:tcPr>
          <w:p>
            <w:pPr>
              <w:spacing w:after="0"/>
              <w:rPr>
                <w:sz w:val="20"/>
                <w:szCs w:val="20"/>
                <w:color w:val="auto"/>
              </w:rPr>
            </w:pPr>
          </w:p>
        </w:tc>
        <w:tc>
          <w:tcPr>
            <w:tcW w:w="840" w:type="dxa"/>
            <w:vAlign w:val="bottom"/>
            <w:tcBorders>
              <w:bottom w:val="single" w:sz="8" w:color="ACACAC"/>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80" w:type="dxa"/>
            <w:vAlign w:val="bottom"/>
            <w:tcBorders>
              <w:bottom w:val="single" w:sz="8" w:color="F4F4F4"/>
            </w:tcBorders>
          </w:tcPr>
          <w:p>
            <w:pPr>
              <w:spacing w:after="0"/>
              <w:rPr>
                <w:sz w:val="20"/>
                <w:szCs w:val="20"/>
                <w:color w:val="auto"/>
              </w:rPr>
            </w:pPr>
          </w:p>
        </w:tc>
        <w:tc>
          <w:tcPr>
            <w:tcW w:w="280" w:type="dxa"/>
            <w:vAlign w:val="bottom"/>
            <w:tcBorders>
              <w:bottom w:val="single" w:sz="8" w:color="ACACAC"/>
            </w:tcBorders>
            <w:shd w:val="clear" w:color="auto" w:fill="ACACAC"/>
          </w:tcPr>
          <w:p>
            <w:pPr>
              <w:spacing w:after="0"/>
              <w:rPr>
                <w:sz w:val="20"/>
                <w:szCs w:val="20"/>
                <w:color w:val="auto"/>
              </w:rPr>
            </w:pPr>
          </w:p>
        </w:tc>
        <w:tc>
          <w:tcPr>
            <w:tcW w:w="8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320" w:type="dxa"/>
            <w:vAlign w:val="bottom"/>
            <w:tcBorders>
              <w:bottom w:val="single" w:sz="8" w:color="ACACAC"/>
            </w:tcBorders>
            <w:shd w:val="clear" w:color="auto" w:fill="ACACAC"/>
          </w:tcPr>
          <w:p>
            <w:pPr>
              <w:spacing w:after="0"/>
              <w:rPr>
                <w:sz w:val="20"/>
                <w:szCs w:val="20"/>
                <w:color w:val="auto"/>
              </w:rPr>
            </w:pPr>
          </w:p>
        </w:tc>
        <w:tc>
          <w:tcPr>
            <w:tcW w:w="8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50"/>
        </w:trPr>
        <w:tc>
          <w:tcPr>
            <w:tcW w:w="65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Accumulated other comprehensive income (loss), beginning of period</w:t>
            </w:r>
          </w:p>
        </w:tc>
        <w:tc>
          <w:tcPr>
            <w:tcW w:w="280" w:type="dxa"/>
            <w:vAlign w:val="bottom"/>
            <w:tcBorders>
              <w:bottom w:val="single" w:sz="8" w:color="F4F4F4"/>
            </w:tcBorders>
            <w:shd w:val="clear" w:color="auto" w:fill="F4F4F4"/>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15,295</w:t>
            </w:r>
          </w:p>
        </w:tc>
        <w:tc>
          <w:tcPr>
            <w:tcW w:w="34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F4F4F4"/>
              <w:right w:val="single" w:sz="8" w:color="F4F4F4"/>
            </w:tcBorders>
            <w:shd w:val="clear" w:color="auto" w:fill="F4F4F4"/>
          </w:tcPr>
          <w:p>
            <w:pPr>
              <w:jc w:val="right"/>
              <w:ind w:right="13"/>
              <w:spacing w:after="0"/>
              <w:rPr>
                <w:sz w:val="20"/>
                <w:szCs w:val="20"/>
                <w:color w:val="auto"/>
              </w:rPr>
            </w:pPr>
            <w:r>
              <w:rPr>
                <w:rFonts w:ascii="Arial" w:cs="Arial" w:eastAsia="Arial" w:hAnsi="Arial"/>
                <w:sz w:val="18"/>
                <w:szCs w:val="18"/>
                <w:color w:val="auto"/>
              </w:rPr>
              <w:t>4,163</w:t>
            </w:r>
          </w:p>
        </w:tc>
        <w:tc>
          <w:tcPr>
            <w:tcW w:w="360" w:type="dxa"/>
            <w:vAlign w:val="bottom"/>
            <w:tcBorders>
              <w:bottom w:val="single" w:sz="8" w:color="F4F4F4"/>
            </w:tcBorders>
            <w:gridSpan w:val="2"/>
            <w:shd w:val="clear" w:color="auto" w:fill="F4F4F4"/>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6,522</w:t>
            </w:r>
          </w:p>
        </w:tc>
        <w:tc>
          <w:tcPr>
            <w:tcW w:w="320" w:type="dxa"/>
            <w:vAlign w:val="bottom"/>
            <w:tcBorders>
              <w:bottom w:val="single" w:sz="8" w:color="F4F4F4"/>
            </w:tcBorders>
            <w:shd w:val="clear" w:color="auto" w:fill="F4F4F4"/>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(2,497)</w:t>
            </w:r>
          </w:p>
        </w:tc>
        <w:tc>
          <w:tcPr>
            <w:tcW w:w="20" w:type="dxa"/>
            <w:vAlign w:val="bottom"/>
          </w:tcPr>
          <w:p>
            <w:pPr>
              <w:spacing w:after="0"/>
              <w:rPr>
                <w:sz w:val="21"/>
                <w:szCs w:val="21"/>
                <w:color w:val="auto"/>
              </w:rPr>
            </w:pP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b w:val="1"/>
                <w:bCs w:val="1"/>
                <w:color w:val="auto"/>
              </w:rPr>
              <w:t>By component:</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54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b w:val="1"/>
                <w:bCs w:val="1"/>
                <w:color w:val="auto"/>
              </w:rPr>
              <w:t>Gains and losses on cash flow hedges:</w:t>
            </w:r>
          </w:p>
        </w:tc>
        <w:tc>
          <w:tcPr>
            <w:tcW w:w="280" w:type="dxa"/>
            <w:vAlign w:val="bottom"/>
            <w:tcBorders>
              <w:bottom w:val="single" w:sz="8" w:color="F4F4F4"/>
            </w:tcBorders>
            <w:shd w:val="clear" w:color="auto" w:fill="F4F4F4"/>
          </w:tcPr>
          <w:p>
            <w:pPr>
              <w:spacing w:after="0"/>
              <w:rPr>
                <w:sz w:val="21"/>
                <w:szCs w:val="21"/>
                <w:color w:val="auto"/>
              </w:rPr>
            </w:pPr>
          </w:p>
        </w:tc>
        <w:tc>
          <w:tcPr>
            <w:tcW w:w="860" w:type="dxa"/>
            <w:vAlign w:val="bottom"/>
            <w:tcBorders>
              <w:bottom w:val="single" w:sz="8" w:color="F4F4F4"/>
            </w:tcBorders>
            <w:shd w:val="clear" w:color="auto" w:fill="F4F4F4"/>
          </w:tcPr>
          <w:p>
            <w:pPr>
              <w:spacing w:after="0"/>
              <w:rPr>
                <w:sz w:val="21"/>
                <w:szCs w:val="21"/>
                <w:color w:val="auto"/>
              </w:rPr>
            </w:pPr>
          </w:p>
        </w:tc>
        <w:tc>
          <w:tcPr>
            <w:tcW w:w="340" w:type="dxa"/>
            <w:vAlign w:val="bottom"/>
            <w:tcBorders>
              <w:bottom w:val="single" w:sz="8" w:color="F4F4F4"/>
            </w:tcBorders>
            <w:shd w:val="clear" w:color="auto" w:fill="F4F4F4"/>
          </w:tcPr>
          <w:p>
            <w:pPr>
              <w:spacing w:after="0"/>
              <w:rPr>
                <w:sz w:val="21"/>
                <w:szCs w:val="21"/>
                <w:color w:val="auto"/>
              </w:rPr>
            </w:pPr>
          </w:p>
        </w:tc>
        <w:tc>
          <w:tcPr>
            <w:tcW w:w="840" w:type="dxa"/>
            <w:vAlign w:val="bottom"/>
            <w:tcBorders>
              <w:bottom w:val="single" w:sz="8" w:color="F4F4F4"/>
              <w:right w:val="single" w:sz="8" w:color="F4F4F4"/>
            </w:tcBorders>
            <w:shd w:val="clear" w:color="auto" w:fill="F4F4F4"/>
          </w:tcPr>
          <w:p>
            <w:pPr>
              <w:spacing w:after="0"/>
              <w:rPr>
                <w:sz w:val="21"/>
                <w:szCs w:val="21"/>
                <w:color w:val="auto"/>
              </w:rPr>
            </w:pPr>
          </w:p>
        </w:tc>
        <w:tc>
          <w:tcPr>
            <w:tcW w:w="80" w:type="dxa"/>
            <w:vAlign w:val="bottom"/>
            <w:tcBorders>
              <w:bottom w:val="single" w:sz="8" w:color="F4F4F4"/>
            </w:tcBorders>
            <w:shd w:val="clear" w:color="auto" w:fill="F4F4F4"/>
          </w:tcPr>
          <w:p>
            <w:pPr>
              <w:spacing w:after="0"/>
              <w:rPr>
                <w:sz w:val="21"/>
                <w:szCs w:val="21"/>
                <w:color w:val="auto"/>
              </w:rPr>
            </w:pPr>
          </w:p>
        </w:tc>
        <w:tc>
          <w:tcPr>
            <w:tcW w:w="280" w:type="dxa"/>
            <w:vAlign w:val="bottom"/>
            <w:tcBorders>
              <w:bottom w:val="single" w:sz="8" w:color="F4F4F4"/>
            </w:tcBorders>
            <w:shd w:val="clear" w:color="auto" w:fill="F4F4F4"/>
          </w:tcPr>
          <w:p>
            <w:pPr>
              <w:spacing w:after="0"/>
              <w:rPr>
                <w:sz w:val="21"/>
                <w:szCs w:val="21"/>
                <w:color w:val="auto"/>
              </w:rPr>
            </w:pPr>
          </w:p>
        </w:tc>
        <w:tc>
          <w:tcPr>
            <w:tcW w:w="880" w:type="dxa"/>
            <w:vAlign w:val="bottom"/>
            <w:tcBorders>
              <w:bottom w:val="single" w:sz="8" w:color="F4F4F4"/>
            </w:tcBorders>
            <w:shd w:val="clear" w:color="auto" w:fill="F4F4F4"/>
          </w:tcPr>
          <w:p>
            <w:pPr>
              <w:spacing w:after="0"/>
              <w:rPr>
                <w:sz w:val="21"/>
                <w:szCs w:val="21"/>
                <w:color w:val="auto"/>
              </w:rPr>
            </w:pPr>
          </w:p>
        </w:tc>
        <w:tc>
          <w:tcPr>
            <w:tcW w:w="320" w:type="dxa"/>
            <w:vAlign w:val="bottom"/>
            <w:tcBorders>
              <w:bottom w:val="single" w:sz="8" w:color="F4F4F4"/>
            </w:tcBorders>
            <w:shd w:val="clear" w:color="auto" w:fill="F4F4F4"/>
          </w:tcPr>
          <w:p>
            <w:pPr>
              <w:spacing w:after="0"/>
              <w:rPr>
                <w:sz w:val="21"/>
                <w:szCs w:val="21"/>
                <w:color w:val="auto"/>
              </w:rPr>
            </w:pPr>
          </w:p>
        </w:tc>
        <w:tc>
          <w:tcPr>
            <w:tcW w:w="82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540" w:type="dxa"/>
            <w:vAlign w:val="bottom"/>
          </w:tcPr>
          <w:p>
            <w:pPr>
              <w:ind w:left="240"/>
              <w:spacing w:after="0"/>
              <w:rPr>
                <w:sz w:val="20"/>
                <w:szCs w:val="20"/>
                <w:color w:val="auto"/>
              </w:rPr>
            </w:pPr>
            <w:r>
              <w:rPr>
                <w:rFonts w:ascii="Arial" w:cs="Arial" w:eastAsia="Arial" w:hAnsi="Arial"/>
                <w:sz w:val="18"/>
                <w:szCs w:val="18"/>
                <w:color w:val="auto"/>
              </w:rPr>
              <w:t>Accumulated other comprehensive income (loss) balance, beginning of period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16,162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1,048</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5,257</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(3,101)</w:t>
            </w:r>
          </w:p>
        </w:tc>
        <w:tc>
          <w:tcPr>
            <w:tcW w:w="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96"/>
        </w:trPr>
        <w:tc>
          <w:tcPr>
            <w:tcW w:w="6540" w:type="dxa"/>
            <w:vAlign w:val="bottom"/>
            <w:shd w:val="clear" w:color="auto" w:fill="F4F4F4"/>
          </w:tcPr>
          <w:p>
            <w:pPr>
              <w:ind w:left="360"/>
              <w:spacing w:after="0"/>
              <w:rPr>
                <w:sz w:val="20"/>
                <w:szCs w:val="20"/>
                <w:color w:val="auto"/>
              </w:rPr>
            </w:pPr>
            <w:r>
              <w:rPr>
                <w:rFonts w:ascii="Arial" w:cs="Arial" w:eastAsia="Arial" w:hAnsi="Arial"/>
                <w:sz w:val="18"/>
                <w:szCs w:val="18"/>
                <w:color w:val="auto"/>
              </w:rPr>
              <w:t>Other comprehensive income (loss) before reclassifications, net of tax effects</w:t>
            </w:r>
          </w:p>
        </w:tc>
        <w:tc>
          <w:tcPr>
            <w:tcW w:w="280" w:type="dxa"/>
            <w:vAlign w:val="bottom"/>
            <w:shd w:val="clear" w:color="auto" w:fill="F4F4F4"/>
          </w:tcPr>
          <w:p>
            <w:pPr>
              <w:spacing w:after="0"/>
              <w:rPr>
                <w:sz w:val="24"/>
                <w:szCs w:val="24"/>
                <w:color w:val="auto"/>
              </w:rPr>
            </w:pPr>
          </w:p>
        </w:tc>
        <w:tc>
          <w:tcPr>
            <w:tcW w:w="860" w:type="dxa"/>
            <w:vAlign w:val="bottom"/>
            <w:shd w:val="clear" w:color="auto" w:fill="F4F4F4"/>
          </w:tcPr>
          <w:p>
            <w:pPr>
              <w:spacing w:after="0"/>
              <w:rPr>
                <w:sz w:val="24"/>
                <w:szCs w:val="24"/>
                <w:color w:val="auto"/>
              </w:rPr>
            </w:pPr>
          </w:p>
        </w:tc>
        <w:tc>
          <w:tcPr>
            <w:tcW w:w="340" w:type="dxa"/>
            <w:vAlign w:val="bottom"/>
            <w:shd w:val="clear" w:color="auto" w:fill="F4F4F4"/>
          </w:tcPr>
          <w:p>
            <w:pPr>
              <w:spacing w:after="0"/>
              <w:rPr>
                <w:sz w:val="24"/>
                <w:szCs w:val="24"/>
                <w:color w:val="auto"/>
              </w:rPr>
            </w:pPr>
          </w:p>
        </w:tc>
        <w:tc>
          <w:tcPr>
            <w:tcW w:w="840" w:type="dxa"/>
            <w:vAlign w:val="bottom"/>
            <w:tcBorders>
              <w:right w:val="single" w:sz="8" w:color="F4F4F4"/>
            </w:tcBorders>
            <w:shd w:val="clear" w:color="auto" w:fill="F4F4F4"/>
          </w:tcPr>
          <w:p>
            <w:pPr>
              <w:spacing w:after="0"/>
              <w:rPr>
                <w:sz w:val="24"/>
                <w:szCs w:val="24"/>
                <w:color w:val="auto"/>
              </w:rPr>
            </w:pPr>
          </w:p>
        </w:tc>
        <w:tc>
          <w:tcPr>
            <w:tcW w:w="80" w:type="dxa"/>
            <w:vAlign w:val="bottom"/>
            <w:shd w:val="clear" w:color="auto" w:fill="F4F4F4"/>
          </w:tcPr>
          <w:p>
            <w:pPr>
              <w:spacing w:after="0"/>
              <w:rPr>
                <w:sz w:val="24"/>
                <w:szCs w:val="24"/>
                <w:color w:val="auto"/>
              </w:rPr>
            </w:pPr>
          </w:p>
        </w:tc>
        <w:tc>
          <w:tcPr>
            <w:tcW w:w="280" w:type="dxa"/>
            <w:vAlign w:val="bottom"/>
            <w:shd w:val="clear" w:color="auto" w:fill="F4F4F4"/>
          </w:tcPr>
          <w:p>
            <w:pPr>
              <w:spacing w:after="0"/>
              <w:rPr>
                <w:sz w:val="24"/>
                <w:szCs w:val="24"/>
                <w:color w:val="auto"/>
              </w:rPr>
            </w:pPr>
          </w:p>
        </w:tc>
        <w:tc>
          <w:tcPr>
            <w:tcW w:w="880" w:type="dxa"/>
            <w:vAlign w:val="bottom"/>
            <w:shd w:val="clear" w:color="auto" w:fill="F4F4F4"/>
          </w:tcPr>
          <w:p>
            <w:pPr>
              <w:spacing w:after="0"/>
              <w:rPr>
                <w:sz w:val="24"/>
                <w:szCs w:val="24"/>
                <w:color w:val="auto"/>
              </w:rPr>
            </w:pPr>
          </w:p>
        </w:tc>
        <w:tc>
          <w:tcPr>
            <w:tcW w:w="320" w:type="dxa"/>
            <w:vAlign w:val="bottom"/>
            <w:shd w:val="clear" w:color="auto" w:fill="F4F4F4"/>
          </w:tcPr>
          <w:p>
            <w:pPr>
              <w:spacing w:after="0"/>
              <w:rPr>
                <w:sz w:val="24"/>
                <w:szCs w:val="24"/>
                <w:color w:val="auto"/>
              </w:rPr>
            </w:pPr>
          </w:p>
        </w:tc>
        <w:tc>
          <w:tcPr>
            <w:tcW w:w="820" w:type="dxa"/>
            <w:vAlign w:val="bottom"/>
            <w:shd w:val="clear" w:color="auto" w:fill="F4F4F4"/>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6540" w:type="dxa"/>
            <w:vAlign w:val="bottom"/>
            <w:tcBorders>
              <w:bottom w:val="single" w:sz="8" w:color="F4F4F4"/>
            </w:tcBorders>
            <w:shd w:val="clear" w:color="auto" w:fill="F4F4F4"/>
          </w:tcPr>
          <w:p>
            <w:pPr>
              <w:ind w:left="360"/>
              <w:spacing w:after="0"/>
              <w:rPr>
                <w:sz w:val="20"/>
                <w:szCs w:val="20"/>
                <w:color w:val="auto"/>
              </w:rPr>
            </w:pPr>
            <w:r>
              <w:rPr>
                <w:rFonts w:ascii="Arial" w:cs="Arial" w:eastAsia="Arial" w:hAnsi="Arial"/>
                <w:sz w:val="18"/>
                <w:szCs w:val="18"/>
                <w:color w:val="auto"/>
              </w:rPr>
              <w:t>of (993), $244, $(4,782) and $(856)</w:t>
            </w:r>
          </w:p>
        </w:tc>
        <w:tc>
          <w:tcPr>
            <w:tcW w:w="280" w:type="dxa"/>
            <w:vAlign w:val="bottom"/>
            <w:tcBorders>
              <w:bottom w:val="single" w:sz="8" w:color="F4F4F4"/>
            </w:tcBorders>
            <w:shd w:val="clear" w:color="auto" w:fill="F4F4F4"/>
          </w:tcPr>
          <w:p>
            <w:pPr>
              <w:spacing w:after="0"/>
              <w:rPr>
                <w:sz w:val="19"/>
                <w:szCs w:val="19"/>
                <w:color w:val="auto"/>
              </w:rPr>
            </w:pP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2,796</w:t>
            </w:r>
          </w:p>
        </w:tc>
        <w:tc>
          <w:tcPr>
            <w:tcW w:w="340" w:type="dxa"/>
            <w:vAlign w:val="bottom"/>
            <w:tcBorders>
              <w:bottom w:val="single" w:sz="8" w:color="F4F4F4"/>
            </w:tcBorders>
            <w:shd w:val="clear" w:color="auto" w:fill="F4F4F4"/>
          </w:tcPr>
          <w:p>
            <w:pPr>
              <w:spacing w:after="0"/>
              <w:rPr>
                <w:sz w:val="19"/>
                <w:szCs w:val="19"/>
                <w:color w:val="auto"/>
              </w:rPr>
            </w:pPr>
          </w:p>
        </w:tc>
        <w:tc>
          <w:tcPr>
            <w:tcW w:w="840" w:type="dxa"/>
            <w:vAlign w:val="bottom"/>
            <w:tcBorders>
              <w:bottom w:val="single" w:sz="8" w:color="F4F4F4"/>
              <w:right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(692)</w:t>
            </w:r>
          </w:p>
        </w:tc>
        <w:tc>
          <w:tcPr>
            <w:tcW w:w="80" w:type="dxa"/>
            <w:vAlign w:val="bottom"/>
            <w:tcBorders>
              <w:bottom w:val="single" w:sz="8" w:color="F4F4F4"/>
            </w:tcBorders>
            <w:shd w:val="clear" w:color="auto" w:fill="F4F4F4"/>
          </w:tcPr>
          <w:p>
            <w:pPr>
              <w:spacing w:after="0"/>
              <w:rPr>
                <w:sz w:val="19"/>
                <w:szCs w:val="19"/>
                <w:color w:val="auto"/>
              </w:rPr>
            </w:pPr>
          </w:p>
        </w:tc>
        <w:tc>
          <w:tcPr>
            <w:tcW w:w="280" w:type="dxa"/>
            <w:vAlign w:val="bottom"/>
            <w:tcBorders>
              <w:bottom w:val="single" w:sz="8" w:color="F4F4F4"/>
            </w:tcBorders>
            <w:shd w:val="clear" w:color="auto" w:fill="F4F4F4"/>
          </w:tcPr>
          <w:p>
            <w:pPr>
              <w:spacing w:after="0"/>
              <w:rPr>
                <w:sz w:val="19"/>
                <w:szCs w:val="19"/>
                <w:color w:val="auto"/>
              </w:rPr>
            </w:pPr>
          </w:p>
        </w:tc>
        <w:tc>
          <w:tcPr>
            <w:tcW w:w="8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13,437</w:t>
            </w:r>
          </w:p>
        </w:tc>
        <w:tc>
          <w:tcPr>
            <w:tcW w:w="320" w:type="dxa"/>
            <w:vAlign w:val="bottom"/>
            <w:tcBorders>
              <w:bottom w:val="single" w:sz="8" w:color="F4F4F4"/>
            </w:tcBorders>
            <w:shd w:val="clear" w:color="auto" w:fill="F4F4F4"/>
          </w:tcPr>
          <w:p>
            <w:pPr>
              <w:spacing w:after="0"/>
              <w:rPr>
                <w:sz w:val="19"/>
                <w:szCs w:val="19"/>
                <w:color w:val="auto"/>
              </w:rPr>
            </w:pPr>
          </w:p>
        </w:tc>
        <w:tc>
          <w:tcPr>
            <w:tcW w:w="8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2,438</w:t>
            </w:r>
          </w:p>
        </w:tc>
        <w:tc>
          <w:tcPr>
            <w:tcW w:w="20" w:type="dxa"/>
            <w:vAlign w:val="bottom"/>
          </w:tcPr>
          <w:p>
            <w:pPr>
              <w:spacing w:after="0"/>
              <w:rPr>
                <w:sz w:val="19"/>
                <w:szCs w:val="19"/>
                <w:color w:val="auto"/>
              </w:rPr>
            </w:pPr>
          </w:p>
        </w:tc>
      </w:tr>
      <w:tr>
        <w:trPr>
          <w:trHeight w:val="242"/>
        </w:trPr>
        <w:tc>
          <w:tcPr>
            <w:tcW w:w="6540" w:type="dxa"/>
            <w:vAlign w:val="bottom"/>
          </w:tcPr>
          <w:p>
            <w:pPr>
              <w:ind w:left="46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8"/>
                <w:szCs w:val="18"/>
                <w:color w:val="auto"/>
              </w:rPr>
              <w:t>to interest expense</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(323)</w:t>
            </w:r>
          </w:p>
        </w:tc>
        <w:tc>
          <w:tcPr>
            <w:tcW w:w="340" w:type="dxa"/>
            <w:vAlign w:val="bottom"/>
          </w:tcPr>
          <w:p>
            <w:pPr>
              <w:spacing w:after="0"/>
              <w:rPr>
                <w:sz w:val="18"/>
                <w:szCs w:val="18"/>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1,408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2,784</w:t>
            </w:r>
          </w:p>
        </w:tc>
        <w:tc>
          <w:tcPr>
            <w:tcW w:w="20" w:type="dxa"/>
            <w:vAlign w:val="bottom"/>
          </w:tcPr>
          <w:p>
            <w:pPr>
              <w:spacing w:after="0"/>
              <w:rPr>
                <w:sz w:val="18"/>
                <w:szCs w:val="18"/>
                <w:color w:val="auto"/>
              </w:rPr>
            </w:pP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540" w:type="dxa"/>
            <w:vAlign w:val="bottom"/>
            <w:tcBorders>
              <w:bottom w:val="single" w:sz="8" w:color="F4F4F4"/>
            </w:tcBorders>
            <w:shd w:val="clear" w:color="auto" w:fill="F4F4F4"/>
          </w:tcPr>
          <w:p>
            <w:pPr>
              <w:ind w:left="460"/>
              <w:spacing w:after="0"/>
              <w:rPr>
                <w:sz w:val="20"/>
                <w:szCs w:val="20"/>
                <w:color w:val="auto"/>
              </w:rPr>
            </w:pPr>
            <w:r>
              <w:rPr>
                <w:rFonts w:ascii="Arial" w:cs="Arial" w:eastAsia="Arial" w:hAnsi="Arial"/>
                <w:sz w:val="18"/>
                <w:szCs w:val="18"/>
                <w:color w:val="auto"/>
              </w:rPr>
              <w:t>Tax expense (benefit) included in provision for income taxes</w:t>
            </w:r>
          </w:p>
        </w:tc>
        <w:tc>
          <w:tcPr>
            <w:tcW w:w="280" w:type="dxa"/>
            <w:vAlign w:val="bottom"/>
            <w:tcBorders>
              <w:bottom w:val="single" w:sz="8" w:color="F4F4F4"/>
            </w:tcBorders>
            <w:shd w:val="clear" w:color="auto" w:fill="F4F4F4"/>
          </w:tcPr>
          <w:p>
            <w:pPr>
              <w:spacing w:after="0"/>
              <w:rPr>
                <w:sz w:val="23"/>
                <w:szCs w:val="23"/>
                <w:color w:val="auto"/>
              </w:rPr>
            </w:pP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85</w:t>
            </w:r>
          </w:p>
        </w:tc>
        <w:tc>
          <w:tcPr>
            <w:tcW w:w="340" w:type="dxa"/>
            <w:vAlign w:val="bottom"/>
            <w:tcBorders>
              <w:bottom w:val="single" w:sz="8" w:color="F4F4F4"/>
            </w:tcBorders>
            <w:shd w:val="clear" w:color="auto" w:fill="F4F4F4"/>
          </w:tcPr>
          <w:p>
            <w:pPr>
              <w:spacing w:after="0"/>
              <w:rPr>
                <w:sz w:val="23"/>
                <w:szCs w:val="23"/>
                <w:color w:val="auto"/>
              </w:rPr>
            </w:pPr>
          </w:p>
        </w:tc>
        <w:tc>
          <w:tcPr>
            <w:tcW w:w="840" w:type="dxa"/>
            <w:vAlign w:val="bottom"/>
            <w:tcBorders>
              <w:bottom w:val="single" w:sz="8" w:color="F4F4F4"/>
              <w:right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(371)</w:t>
            </w:r>
          </w:p>
        </w:tc>
        <w:tc>
          <w:tcPr>
            <w:tcW w:w="80" w:type="dxa"/>
            <w:vAlign w:val="bottom"/>
            <w:tcBorders>
              <w:bottom w:val="single" w:sz="8" w:color="F4F4F4"/>
            </w:tcBorders>
            <w:shd w:val="clear" w:color="auto" w:fill="F4F4F4"/>
          </w:tcPr>
          <w:p>
            <w:pPr>
              <w:spacing w:after="0"/>
              <w:rPr>
                <w:sz w:val="23"/>
                <w:szCs w:val="23"/>
                <w:color w:val="auto"/>
              </w:rPr>
            </w:pPr>
          </w:p>
        </w:tc>
        <w:tc>
          <w:tcPr>
            <w:tcW w:w="280" w:type="dxa"/>
            <w:vAlign w:val="bottom"/>
            <w:tcBorders>
              <w:bottom w:val="single" w:sz="8" w:color="F4F4F4"/>
            </w:tcBorders>
            <w:shd w:val="clear" w:color="auto" w:fill="F4F4F4"/>
          </w:tcPr>
          <w:p>
            <w:pPr>
              <w:spacing w:after="0"/>
              <w:rPr>
                <w:sz w:val="23"/>
                <w:szCs w:val="23"/>
                <w:color w:val="auto"/>
              </w:rPr>
            </w:pPr>
          </w:p>
        </w:tc>
        <w:tc>
          <w:tcPr>
            <w:tcW w:w="8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w:t>
            </w:r>
          </w:p>
        </w:tc>
        <w:tc>
          <w:tcPr>
            <w:tcW w:w="320" w:type="dxa"/>
            <w:vAlign w:val="bottom"/>
            <w:tcBorders>
              <w:bottom w:val="single" w:sz="8" w:color="F4F4F4"/>
            </w:tcBorders>
            <w:shd w:val="clear" w:color="auto" w:fill="F4F4F4"/>
          </w:tcPr>
          <w:p>
            <w:pPr>
              <w:spacing w:after="0"/>
              <w:rPr>
                <w:sz w:val="23"/>
                <w:szCs w:val="23"/>
                <w:color w:val="auto"/>
              </w:rPr>
            </w:pPr>
          </w:p>
        </w:tc>
        <w:tc>
          <w:tcPr>
            <w:tcW w:w="8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(728)</w:t>
            </w:r>
          </w:p>
        </w:tc>
        <w:tc>
          <w:tcPr>
            <w:tcW w:w="20" w:type="dxa"/>
            <w:vAlign w:val="bottom"/>
          </w:tcPr>
          <w:p>
            <w:pPr>
              <w:spacing w:after="0"/>
              <w:rPr>
                <w:sz w:val="23"/>
                <w:szCs w:val="23"/>
                <w:color w:val="auto"/>
              </w:rPr>
            </w:pPr>
          </w:p>
        </w:tc>
      </w:tr>
      <w:tr>
        <w:trPr>
          <w:trHeight w:val="222"/>
        </w:trPr>
        <w:tc>
          <w:tcPr>
            <w:tcW w:w="6540" w:type="dxa"/>
            <w:vAlign w:val="bottom"/>
          </w:tcPr>
          <w:p>
            <w:pPr>
              <w:ind w:left="360"/>
              <w:spacing w:after="0"/>
              <w:rPr>
                <w:sz w:val="20"/>
                <w:szCs w:val="20"/>
                <w:color w:val="auto"/>
              </w:rPr>
            </w:pPr>
            <w:r>
              <w:rPr>
                <w:rFonts w:ascii="Arial" w:cs="Arial" w:eastAsia="Arial" w:hAnsi="Arial"/>
                <w:sz w:val="18"/>
                <w:szCs w:val="18"/>
                <w:color w:val="auto"/>
              </w:rPr>
              <w:t>Total amounts reclassified from accumulated other comprehensive income</w:t>
            </w: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7"/>
        </w:trPr>
        <w:tc>
          <w:tcPr>
            <w:tcW w:w="6540" w:type="dxa"/>
            <w:vAlign w:val="bottom"/>
          </w:tcPr>
          <w:p>
            <w:pPr>
              <w:ind w:left="360"/>
              <w:spacing w:after="0"/>
              <w:rPr>
                <w:sz w:val="20"/>
                <w:szCs w:val="20"/>
                <w:color w:val="auto"/>
              </w:rPr>
            </w:pPr>
            <w:r>
              <w:rPr>
                <w:rFonts w:ascii="Arial" w:cs="Arial" w:eastAsia="Arial" w:hAnsi="Arial"/>
                <w:sz w:val="18"/>
                <w:szCs w:val="18"/>
                <w:color w:val="auto"/>
              </w:rPr>
              <w:t>(loss)</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(238)</w:t>
            </w:r>
          </w:p>
        </w:tc>
        <w:tc>
          <w:tcPr>
            <w:tcW w:w="340" w:type="dxa"/>
            <w:vAlign w:val="bottom"/>
          </w:tcPr>
          <w:p>
            <w:pPr>
              <w:spacing w:after="0"/>
              <w:rPr>
                <w:sz w:val="18"/>
                <w:szCs w:val="18"/>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1,037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2,056</w:t>
            </w:r>
          </w:p>
        </w:tc>
        <w:tc>
          <w:tcPr>
            <w:tcW w:w="20" w:type="dxa"/>
            <w:vAlign w:val="bottom"/>
          </w:tcPr>
          <w:p>
            <w:pPr>
              <w:spacing w:after="0"/>
              <w:rPr>
                <w:sz w:val="18"/>
                <w:szCs w:val="18"/>
                <w:color w:val="auto"/>
              </w:rPr>
            </w:pPr>
          </w:p>
        </w:tc>
      </w:tr>
      <w:tr>
        <w:trPr>
          <w:trHeight w:val="27"/>
        </w:trPr>
        <w:tc>
          <w:tcPr>
            <w:tcW w:w="6540" w:type="dxa"/>
            <w:vAlign w:val="bottom"/>
            <w:tcBorders>
              <w:bottom w:val="single" w:sz="8" w:color="F4F4F4"/>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F4F4F4"/>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6540" w:type="dxa"/>
            <w:vAlign w:val="bottom"/>
            <w:tcBorders>
              <w:bottom w:val="single" w:sz="8" w:color="F4F4F4"/>
            </w:tcBorders>
            <w:shd w:val="clear" w:color="auto" w:fill="F4F4F4"/>
          </w:tcPr>
          <w:p>
            <w:pPr>
              <w:ind w:left="240"/>
              <w:spacing w:after="0"/>
              <w:rPr>
                <w:sz w:val="20"/>
                <w:szCs w:val="20"/>
                <w:color w:val="auto"/>
              </w:rPr>
            </w:pPr>
            <w:r>
              <w:rPr>
                <w:rFonts w:ascii="Arial" w:cs="Arial" w:eastAsia="Arial" w:hAnsi="Arial"/>
                <w:sz w:val="18"/>
                <w:szCs w:val="18"/>
                <w:color w:val="auto"/>
              </w:rPr>
              <w:t>Net current-period other comprehensive income</w:t>
            </w:r>
          </w:p>
        </w:tc>
        <w:tc>
          <w:tcPr>
            <w:tcW w:w="280" w:type="dxa"/>
            <w:vAlign w:val="bottom"/>
            <w:tcBorders>
              <w:bottom w:val="single" w:sz="8" w:color="F4F4F4"/>
            </w:tcBorders>
            <w:shd w:val="clear" w:color="auto" w:fill="F4F4F4"/>
          </w:tcPr>
          <w:p>
            <w:pPr>
              <w:spacing w:after="0"/>
              <w:rPr>
                <w:sz w:val="22"/>
                <w:szCs w:val="22"/>
                <w:color w:val="auto"/>
              </w:rPr>
            </w:pP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2,558</w:t>
            </w:r>
          </w:p>
        </w:tc>
        <w:tc>
          <w:tcPr>
            <w:tcW w:w="340" w:type="dxa"/>
            <w:vAlign w:val="bottom"/>
            <w:tcBorders>
              <w:bottom w:val="single" w:sz="8" w:color="F4F4F4"/>
            </w:tcBorders>
            <w:shd w:val="clear" w:color="auto" w:fill="F4F4F4"/>
          </w:tcPr>
          <w:p>
            <w:pPr>
              <w:spacing w:after="0"/>
              <w:rPr>
                <w:sz w:val="22"/>
                <w:szCs w:val="22"/>
                <w:color w:val="auto"/>
              </w:rPr>
            </w:pPr>
          </w:p>
        </w:tc>
        <w:tc>
          <w:tcPr>
            <w:tcW w:w="840" w:type="dxa"/>
            <w:vAlign w:val="bottom"/>
            <w:tcBorders>
              <w:bottom w:val="single" w:sz="8" w:color="F4F4F4"/>
              <w:right w:val="single" w:sz="8" w:color="F4F4F4"/>
            </w:tcBorders>
            <w:shd w:val="clear" w:color="auto" w:fill="F4F4F4"/>
          </w:tcPr>
          <w:p>
            <w:pPr>
              <w:jc w:val="right"/>
              <w:ind w:right="13"/>
              <w:spacing w:after="0"/>
              <w:rPr>
                <w:sz w:val="20"/>
                <w:szCs w:val="20"/>
                <w:color w:val="auto"/>
              </w:rPr>
            </w:pPr>
            <w:r>
              <w:rPr>
                <w:rFonts w:ascii="Arial" w:cs="Arial" w:eastAsia="Arial" w:hAnsi="Arial"/>
                <w:sz w:val="18"/>
                <w:szCs w:val="18"/>
                <w:color w:val="auto"/>
              </w:rPr>
              <w:t>345</w:t>
            </w:r>
          </w:p>
        </w:tc>
        <w:tc>
          <w:tcPr>
            <w:tcW w:w="80" w:type="dxa"/>
            <w:vAlign w:val="bottom"/>
            <w:tcBorders>
              <w:bottom w:val="single" w:sz="8" w:color="F4F4F4"/>
            </w:tcBorders>
            <w:shd w:val="clear" w:color="auto" w:fill="F4F4F4"/>
          </w:tcPr>
          <w:p>
            <w:pPr>
              <w:spacing w:after="0"/>
              <w:rPr>
                <w:sz w:val="22"/>
                <w:szCs w:val="22"/>
                <w:color w:val="auto"/>
              </w:rPr>
            </w:pPr>
          </w:p>
        </w:tc>
        <w:tc>
          <w:tcPr>
            <w:tcW w:w="280" w:type="dxa"/>
            <w:vAlign w:val="bottom"/>
            <w:tcBorders>
              <w:bottom w:val="single" w:sz="8" w:color="F4F4F4"/>
            </w:tcBorders>
            <w:shd w:val="clear" w:color="auto" w:fill="F4F4F4"/>
          </w:tcPr>
          <w:p>
            <w:pPr>
              <w:spacing w:after="0"/>
              <w:rPr>
                <w:sz w:val="22"/>
                <w:szCs w:val="22"/>
                <w:color w:val="auto"/>
              </w:rPr>
            </w:pPr>
          </w:p>
        </w:tc>
        <w:tc>
          <w:tcPr>
            <w:tcW w:w="8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13,463</w:t>
            </w:r>
          </w:p>
        </w:tc>
        <w:tc>
          <w:tcPr>
            <w:tcW w:w="320" w:type="dxa"/>
            <w:vAlign w:val="bottom"/>
            <w:tcBorders>
              <w:bottom w:val="single" w:sz="8" w:color="F4F4F4"/>
            </w:tcBorders>
            <w:shd w:val="clear" w:color="auto" w:fill="F4F4F4"/>
          </w:tcPr>
          <w:p>
            <w:pPr>
              <w:spacing w:after="0"/>
              <w:rPr>
                <w:sz w:val="22"/>
                <w:szCs w:val="22"/>
                <w:color w:val="auto"/>
              </w:rPr>
            </w:pPr>
          </w:p>
        </w:tc>
        <w:tc>
          <w:tcPr>
            <w:tcW w:w="8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4,494</w:t>
            </w:r>
          </w:p>
        </w:tc>
        <w:tc>
          <w:tcPr>
            <w:tcW w:w="20" w:type="dxa"/>
            <w:vAlign w:val="bottom"/>
          </w:tcPr>
          <w:p>
            <w:pPr>
              <w:spacing w:after="0"/>
              <w:rPr>
                <w:sz w:val="22"/>
                <w:szCs w:val="22"/>
                <w:color w:val="auto"/>
              </w:rPr>
            </w:pPr>
          </w:p>
        </w:tc>
      </w:tr>
      <w:tr>
        <w:trPr>
          <w:trHeight w:val="237"/>
        </w:trPr>
        <w:tc>
          <w:tcPr>
            <w:tcW w:w="6540" w:type="dxa"/>
            <w:vAlign w:val="bottom"/>
          </w:tcPr>
          <w:p>
            <w:pPr>
              <w:ind w:left="240"/>
              <w:spacing w:after="0"/>
              <w:rPr>
                <w:sz w:val="20"/>
                <w:szCs w:val="20"/>
                <w:color w:val="auto"/>
              </w:rPr>
            </w:pPr>
            <w:r>
              <w:rPr>
                <w:rFonts w:ascii="Arial" w:cs="Arial" w:eastAsia="Arial" w:hAnsi="Arial"/>
                <w:sz w:val="18"/>
                <w:szCs w:val="18"/>
                <w:color w:val="auto"/>
              </w:rPr>
              <w:t>Accumulated other comprehensive income balance, end of period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18,720</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1,393</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18,720</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20" w:type="dxa"/>
            <w:vAlign w:val="bottom"/>
          </w:tcPr>
          <w:p>
            <w:pPr>
              <w:spacing w:after="0"/>
              <w:rPr>
                <w:sz w:val="20"/>
                <w:szCs w:val="20"/>
                <w:color w:val="auto"/>
              </w:rPr>
            </w:pPr>
          </w:p>
        </w:tc>
      </w:tr>
      <w:tr>
        <w:trPr>
          <w:trHeight w:val="27"/>
        </w:trPr>
        <w:tc>
          <w:tcPr>
            <w:tcW w:w="6540" w:type="dxa"/>
            <w:vAlign w:val="bottom"/>
            <w:tcBorders>
              <w:bottom w:val="single" w:sz="8" w:color="F4F4F4"/>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F4F4F4"/>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654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b w:val="1"/>
                <w:bCs w:val="1"/>
                <w:color w:val="auto"/>
              </w:rPr>
              <w:t>Foreign currency translation adjustment:</w:t>
            </w:r>
          </w:p>
        </w:tc>
        <w:tc>
          <w:tcPr>
            <w:tcW w:w="280" w:type="dxa"/>
            <w:vAlign w:val="bottom"/>
            <w:tcBorders>
              <w:bottom w:val="single" w:sz="8" w:color="F4F4F4"/>
            </w:tcBorders>
            <w:shd w:val="clear" w:color="auto" w:fill="F4F4F4"/>
          </w:tcPr>
          <w:p>
            <w:pPr>
              <w:spacing w:after="0"/>
              <w:rPr>
                <w:sz w:val="20"/>
                <w:szCs w:val="20"/>
                <w:color w:val="auto"/>
              </w:rPr>
            </w:pPr>
          </w:p>
        </w:tc>
        <w:tc>
          <w:tcPr>
            <w:tcW w:w="860" w:type="dxa"/>
            <w:vAlign w:val="bottom"/>
            <w:tcBorders>
              <w:bottom w:val="single" w:sz="8" w:color="F4F4F4"/>
            </w:tcBorders>
            <w:shd w:val="clear" w:color="auto" w:fill="F4F4F4"/>
          </w:tcPr>
          <w:p>
            <w:pPr>
              <w:spacing w:after="0"/>
              <w:rPr>
                <w:sz w:val="20"/>
                <w:szCs w:val="20"/>
                <w:color w:val="auto"/>
              </w:rPr>
            </w:pPr>
          </w:p>
        </w:tc>
        <w:tc>
          <w:tcPr>
            <w:tcW w:w="340" w:type="dxa"/>
            <w:vAlign w:val="bottom"/>
            <w:tcBorders>
              <w:bottom w:val="single" w:sz="8" w:color="F4F4F4"/>
            </w:tcBorders>
            <w:shd w:val="clear" w:color="auto" w:fill="F4F4F4"/>
          </w:tcPr>
          <w:p>
            <w:pPr>
              <w:spacing w:after="0"/>
              <w:rPr>
                <w:sz w:val="20"/>
                <w:szCs w:val="20"/>
                <w:color w:val="auto"/>
              </w:rPr>
            </w:pPr>
          </w:p>
        </w:tc>
        <w:tc>
          <w:tcPr>
            <w:tcW w:w="840" w:type="dxa"/>
            <w:vAlign w:val="bottom"/>
            <w:tcBorders>
              <w:bottom w:val="single" w:sz="8" w:color="F4F4F4"/>
              <w:right w:val="single" w:sz="8" w:color="F4F4F4"/>
            </w:tcBorders>
            <w:shd w:val="clear" w:color="auto" w:fill="F4F4F4"/>
          </w:tcPr>
          <w:p>
            <w:pPr>
              <w:spacing w:after="0"/>
              <w:rPr>
                <w:sz w:val="20"/>
                <w:szCs w:val="20"/>
                <w:color w:val="auto"/>
              </w:rPr>
            </w:pPr>
          </w:p>
        </w:tc>
        <w:tc>
          <w:tcPr>
            <w:tcW w:w="80" w:type="dxa"/>
            <w:vAlign w:val="bottom"/>
            <w:tcBorders>
              <w:bottom w:val="single" w:sz="8" w:color="F4F4F4"/>
            </w:tcBorders>
            <w:shd w:val="clear" w:color="auto" w:fill="F4F4F4"/>
          </w:tcPr>
          <w:p>
            <w:pPr>
              <w:spacing w:after="0"/>
              <w:rPr>
                <w:sz w:val="20"/>
                <w:szCs w:val="20"/>
                <w:color w:val="auto"/>
              </w:rPr>
            </w:pPr>
          </w:p>
        </w:tc>
        <w:tc>
          <w:tcPr>
            <w:tcW w:w="280" w:type="dxa"/>
            <w:vAlign w:val="bottom"/>
            <w:tcBorders>
              <w:bottom w:val="single" w:sz="8" w:color="F4F4F4"/>
            </w:tcBorders>
            <w:shd w:val="clear" w:color="auto" w:fill="F4F4F4"/>
          </w:tcPr>
          <w:p>
            <w:pPr>
              <w:spacing w:after="0"/>
              <w:rPr>
                <w:sz w:val="20"/>
                <w:szCs w:val="20"/>
                <w:color w:val="auto"/>
              </w:rPr>
            </w:pPr>
          </w:p>
        </w:tc>
        <w:tc>
          <w:tcPr>
            <w:tcW w:w="880" w:type="dxa"/>
            <w:vAlign w:val="bottom"/>
            <w:tcBorders>
              <w:bottom w:val="single" w:sz="8" w:color="F4F4F4"/>
            </w:tcBorders>
            <w:shd w:val="clear" w:color="auto" w:fill="F4F4F4"/>
          </w:tcPr>
          <w:p>
            <w:pPr>
              <w:spacing w:after="0"/>
              <w:rPr>
                <w:sz w:val="20"/>
                <w:szCs w:val="20"/>
                <w:color w:val="auto"/>
              </w:rPr>
            </w:pPr>
          </w:p>
        </w:tc>
        <w:tc>
          <w:tcPr>
            <w:tcW w:w="320" w:type="dxa"/>
            <w:vAlign w:val="bottom"/>
            <w:tcBorders>
              <w:bottom w:val="single" w:sz="8" w:color="F4F4F4"/>
            </w:tcBorders>
            <w:shd w:val="clear" w:color="auto" w:fill="F4F4F4"/>
          </w:tcPr>
          <w:p>
            <w:pPr>
              <w:spacing w:after="0"/>
              <w:rPr>
                <w:sz w:val="20"/>
                <w:szCs w:val="20"/>
                <w:color w:val="auto"/>
              </w:rPr>
            </w:pPr>
          </w:p>
        </w:tc>
        <w:tc>
          <w:tcPr>
            <w:tcW w:w="820" w:type="dxa"/>
            <w:vAlign w:val="bottom"/>
            <w:tcBorders>
              <w:bottom w:val="single" w:sz="8" w:color="F4F4F4"/>
            </w:tcBorders>
            <w:shd w:val="clear" w:color="auto" w:fill="F4F4F4"/>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6540" w:type="dxa"/>
            <w:vAlign w:val="bottom"/>
          </w:tcPr>
          <w:p>
            <w:pPr>
              <w:ind w:left="240"/>
              <w:spacing w:after="0"/>
              <w:rPr>
                <w:sz w:val="20"/>
                <w:szCs w:val="20"/>
                <w:color w:val="auto"/>
              </w:rPr>
            </w:pPr>
            <w:r>
              <w:rPr>
                <w:rFonts w:ascii="Arial" w:cs="Arial" w:eastAsia="Arial" w:hAnsi="Arial"/>
                <w:sz w:val="18"/>
                <w:szCs w:val="18"/>
                <w:color w:val="auto"/>
              </w:rPr>
              <w:t>Accumulated other comprehensive (loss) income balance, beginning of period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(867)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3,115</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1,265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540" w:type="dxa"/>
            <w:vAlign w:val="bottom"/>
            <w:tcBorders>
              <w:bottom w:val="single" w:sz="8" w:color="F4F4F4"/>
            </w:tcBorders>
            <w:shd w:val="clear" w:color="auto" w:fill="F4F4F4"/>
          </w:tcPr>
          <w:p>
            <w:pPr>
              <w:ind w:left="220"/>
              <w:spacing w:after="0"/>
              <w:rPr>
                <w:sz w:val="20"/>
                <w:szCs w:val="20"/>
                <w:color w:val="auto"/>
              </w:rPr>
            </w:pPr>
            <w:r>
              <w:rPr>
                <w:rFonts w:ascii="Arial" w:cs="Arial" w:eastAsia="Arial" w:hAnsi="Arial"/>
                <w:sz w:val="18"/>
                <w:szCs w:val="18"/>
                <w:color w:val="auto"/>
              </w:rPr>
              <w:t>Translation adjustments</w:t>
            </w:r>
          </w:p>
        </w:tc>
        <w:tc>
          <w:tcPr>
            <w:tcW w:w="280" w:type="dxa"/>
            <w:vAlign w:val="bottom"/>
            <w:tcBorders>
              <w:bottom w:val="single" w:sz="8" w:color="F4F4F4"/>
            </w:tcBorders>
            <w:shd w:val="clear" w:color="auto" w:fill="F4F4F4"/>
          </w:tcPr>
          <w:p>
            <w:pPr>
              <w:spacing w:after="0"/>
              <w:rPr>
                <w:sz w:val="23"/>
                <w:szCs w:val="23"/>
                <w:color w:val="auto"/>
              </w:rPr>
            </w:pP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(10,398)</w:t>
            </w:r>
          </w:p>
        </w:tc>
        <w:tc>
          <w:tcPr>
            <w:tcW w:w="340" w:type="dxa"/>
            <w:vAlign w:val="bottom"/>
            <w:tcBorders>
              <w:bottom w:val="single" w:sz="8" w:color="F4F4F4"/>
            </w:tcBorders>
            <w:shd w:val="clear" w:color="auto" w:fill="F4F4F4"/>
          </w:tcPr>
          <w:p>
            <w:pPr>
              <w:spacing w:after="0"/>
              <w:rPr>
                <w:sz w:val="23"/>
                <w:szCs w:val="23"/>
                <w:color w:val="auto"/>
              </w:rPr>
            </w:pPr>
          </w:p>
        </w:tc>
        <w:tc>
          <w:tcPr>
            <w:tcW w:w="840" w:type="dxa"/>
            <w:vAlign w:val="bottom"/>
            <w:tcBorders>
              <w:bottom w:val="single" w:sz="8" w:color="F4F4F4"/>
              <w:right w:val="single" w:sz="8" w:color="F4F4F4"/>
            </w:tcBorders>
            <w:shd w:val="clear" w:color="auto" w:fill="F4F4F4"/>
          </w:tcPr>
          <w:p>
            <w:pPr>
              <w:jc w:val="right"/>
              <w:ind w:right="13"/>
              <w:spacing w:after="0"/>
              <w:rPr>
                <w:sz w:val="20"/>
                <w:szCs w:val="20"/>
                <w:color w:val="auto"/>
              </w:rPr>
            </w:pPr>
            <w:r>
              <w:rPr>
                <w:rFonts w:ascii="Arial" w:cs="Arial" w:eastAsia="Arial" w:hAnsi="Arial"/>
                <w:sz w:val="18"/>
                <w:szCs w:val="18"/>
                <w:color w:val="auto"/>
              </w:rPr>
              <w:t>1,783</w:t>
            </w:r>
          </w:p>
        </w:tc>
        <w:tc>
          <w:tcPr>
            <w:tcW w:w="80" w:type="dxa"/>
            <w:vAlign w:val="bottom"/>
            <w:tcBorders>
              <w:bottom w:val="single" w:sz="8" w:color="F4F4F4"/>
            </w:tcBorders>
            <w:shd w:val="clear" w:color="auto" w:fill="F4F4F4"/>
          </w:tcPr>
          <w:p>
            <w:pPr>
              <w:spacing w:after="0"/>
              <w:rPr>
                <w:sz w:val="23"/>
                <w:szCs w:val="23"/>
                <w:color w:val="auto"/>
              </w:rPr>
            </w:pPr>
          </w:p>
        </w:tc>
        <w:tc>
          <w:tcPr>
            <w:tcW w:w="280" w:type="dxa"/>
            <w:vAlign w:val="bottom"/>
            <w:tcBorders>
              <w:bottom w:val="single" w:sz="8" w:color="F4F4F4"/>
            </w:tcBorders>
            <w:shd w:val="clear" w:color="auto" w:fill="F4F4F4"/>
          </w:tcPr>
          <w:p>
            <w:pPr>
              <w:spacing w:after="0"/>
              <w:rPr>
                <w:sz w:val="23"/>
                <w:szCs w:val="23"/>
                <w:color w:val="auto"/>
              </w:rPr>
            </w:pPr>
          </w:p>
        </w:tc>
        <w:tc>
          <w:tcPr>
            <w:tcW w:w="8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(12,530)</w:t>
            </w:r>
          </w:p>
        </w:tc>
        <w:tc>
          <w:tcPr>
            <w:tcW w:w="320" w:type="dxa"/>
            <w:vAlign w:val="bottom"/>
            <w:tcBorders>
              <w:bottom w:val="single" w:sz="8" w:color="F4F4F4"/>
            </w:tcBorders>
            <w:shd w:val="clear" w:color="auto" w:fill="F4F4F4"/>
          </w:tcPr>
          <w:p>
            <w:pPr>
              <w:spacing w:after="0"/>
              <w:rPr>
                <w:sz w:val="23"/>
                <w:szCs w:val="23"/>
                <w:color w:val="auto"/>
              </w:rPr>
            </w:pPr>
          </w:p>
        </w:tc>
        <w:tc>
          <w:tcPr>
            <w:tcW w:w="8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4,294</w:t>
            </w:r>
          </w:p>
        </w:tc>
        <w:tc>
          <w:tcPr>
            <w:tcW w:w="20" w:type="dxa"/>
            <w:vAlign w:val="bottom"/>
          </w:tcPr>
          <w:p>
            <w:pPr>
              <w:spacing w:after="0"/>
              <w:rPr>
                <w:sz w:val="23"/>
                <w:szCs w:val="23"/>
                <w:color w:val="auto"/>
              </w:rPr>
            </w:pPr>
          </w:p>
        </w:tc>
      </w:tr>
      <w:tr>
        <w:trPr>
          <w:trHeight w:val="237"/>
        </w:trPr>
        <w:tc>
          <w:tcPr>
            <w:tcW w:w="6540" w:type="dxa"/>
            <w:vAlign w:val="bottom"/>
          </w:tcPr>
          <w:p>
            <w:pPr>
              <w:ind w:left="240"/>
              <w:spacing w:after="0"/>
              <w:rPr>
                <w:sz w:val="20"/>
                <w:szCs w:val="20"/>
                <w:color w:val="auto"/>
              </w:rPr>
            </w:pPr>
            <w:r>
              <w:rPr>
                <w:rFonts w:ascii="Arial" w:cs="Arial" w:eastAsia="Arial" w:hAnsi="Arial"/>
                <w:sz w:val="18"/>
                <w:szCs w:val="18"/>
                <w:color w:val="auto"/>
              </w:rPr>
              <w:t>Accumulated other comprehensive (loss) income balance, end of period</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(11,265)</w:t>
            </w: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4,898</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(11,265)</w:t>
            </w: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20" w:type="dxa"/>
            <w:vAlign w:val="bottom"/>
          </w:tcPr>
          <w:p>
            <w:pPr>
              <w:spacing w:after="0"/>
              <w:rPr>
                <w:sz w:val="20"/>
                <w:szCs w:val="20"/>
                <w:color w:val="auto"/>
              </w:rPr>
            </w:pPr>
          </w:p>
        </w:tc>
      </w:tr>
      <w:tr>
        <w:trPr>
          <w:trHeight w:val="27"/>
        </w:trPr>
        <w:tc>
          <w:tcPr>
            <w:tcW w:w="6540" w:type="dxa"/>
            <w:vAlign w:val="bottom"/>
            <w:tcBorders>
              <w:bottom w:val="single" w:sz="8" w:color="F4F4F4"/>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F4F4F4"/>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65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Accumulated other comprehensive income, end of period</w:t>
            </w:r>
          </w:p>
        </w:tc>
        <w:tc>
          <w:tcPr>
            <w:tcW w:w="280" w:type="dxa"/>
            <w:vAlign w:val="bottom"/>
            <w:tcBorders>
              <w:bottom w:val="single" w:sz="8" w:color="F4F4F4"/>
            </w:tcBorders>
            <w:shd w:val="clear" w:color="auto" w:fill="F4F4F4"/>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7,455</w:t>
            </w:r>
          </w:p>
        </w:tc>
        <w:tc>
          <w:tcPr>
            <w:tcW w:w="34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F4F4F4"/>
              <w:right w:val="single" w:sz="8" w:color="F4F4F4"/>
            </w:tcBorders>
            <w:shd w:val="clear" w:color="auto" w:fill="F4F4F4"/>
          </w:tcPr>
          <w:p>
            <w:pPr>
              <w:jc w:val="right"/>
              <w:ind w:right="13"/>
              <w:spacing w:after="0"/>
              <w:rPr>
                <w:sz w:val="20"/>
                <w:szCs w:val="20"/>
                <w:color w:val="auto"/>
              </w:rPr>
            </w:pPr>
            <w:r>
              <w:rPr>
                <w:rFonts w:ascii="Arial" w:cs="Arial" w:eastAsia="Arial" w:hAnsi="Arial"/>
                <w:sz w:val="18"/>
                <w:szCs w:val="18"/>
                <w:color w:val="auto"/>
              </w:rPr>
              <w:t>6,291</w:t>
            </w:r>
          </w:p>
        </w:tc>
        <w:tc>
          <w:tcPr>
            <w:tcW w:w="360" w:type="dxa"/>
            <w:vAlign w:val="bottom"/>
            <w:tcBorders>
              <w:bottom w:val="single" w:sz="8" w:color="F4F4F4"/>
            </w:tcBorders>
            <w:gridSpan w:val="2"/>
            <w:shd w:val="clear" w:color="auto" w:fill="F4F4F4"/>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7,455</w:t>
            </w:r>
          </w:p>
        </w:tc>
        <w:tc>
          <w:tcPr>
            <w:tcW w:w="320" w:type="dxa"/>
            <w:vAlign w:val="bottom"/>
            <w:tcBorders>
              <w:bottom w:val="single" w:sz="8" w:color="F4F4F4"/>
            </w:tcBorders>
            <w:shd w:val="clear" w:color="auto" w:fill="F4F4F4"/>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6,291</w:t>
            </w:r>
          </w:p>
        </w:tc>
        <w:tc>
          <w:tcPr>
            <w:tcW w:w="20" w:type="dxa"/>
            <w:vAlign w:val="bottom"/>
          </w:tcPr>
          <w:p>
            <w:pPr>
              <w:spacing w:after="0"/>
              <w:rPr>
                <w:sz w:val="21"/>
                <w:szCs w:val="21"/>
                <w:color w:val="auto"/>
              </w:rPr>
            </w:pPr>
          </w:p>
        </w:tc>
      </w:tr>
      <w:tr>
        <w:trPr>
          <w:trHeight w:val="20"/>
        </w:trPr>
        <w:tc>
          <w:tcPr>
            <w:tcW w:w="6540" w:type="dxa"/>
            <w:vAlign w:val="bottom"/>
            <w:shd w:val="clear" w:color="auto" w:fill="71BF43"/>
          </w:tcPr>
          <w:p>
            <w:pPr>
              <w:spacing w:after="0" w:line="20" w:lineRule="exact"/>
              <w:rPr>
                <w:sz w:val="1"/>
                <w:szCs w:val="1"/>
                <w:color w:val="auto"/>
              </w:rPr>
            </w:pPr>
          </w:p>
        </w:tc>
        <w:tc>
          <w:tcPr>
            <w:tcW w:w="280" w:type="dxa"/>
            <w:vAlign w:val="bottom"/>
            <w:shd w:val="clear" w:color="auto" w:fill="71BF43"/>
          </w:tcPr>
          <w:p>
            <w:pPr>
              <w:spacing w:after="0" w:line="20" w:lineRule="exact"/>
              <w:rPr>
                <w:sz w:val="1"/>
                <w:szCs w:val="1"/>
                <w:color w:val="auto"/>
              </w:rPr>
            </w:pPr>
          </w:p>
        </w:tc>
        <w:tc>
          <w:tcPr>
            <w:tcW w:w="860" w:type="dxa"/>
            <w:vAlign w:val="bottom"/>
            <w:shd w:val="clear" w:color="auto" w:fill="71BF43"/>
          </w:tcPr>
          <w:p>
            <w:pPr>
              <w:spacing w:after="0" w:line="20" w:lineRule="exact"/>
              <w:rPr>
                <w:sz w:val="1"/>
                <w:szCs w:val="1"/>
                <w:color w:val="auto"/>
              </w:rPr>
            </w:pPr>
          </w:p>
        </w:tc>
        <w:tc>
          <w:tcPr>
            <w:tcW w:w="340" w:type="dxa"/>
            <w:vAlign w:val="bottom"/>
            <w:shd w:val="clear" w:color="auto" w:fill="71BF43"/>
          </w:tcPr>
          <w:p>
            <w:pPr>
              <w:spacing w:after="0" w:line="20" w:lineRule="exact"/>
              <w:rPr>
                <w:sz w:val="1"/>
                <w:szCs w:val="1"/>
                <w:color w:val="auto"/>
              </w:rPr>
            </w:pPr>
          </w:p>
        </w:tc>
        <w:tc>
          <w:tcPr>
            <w:tcW w:w="840" w:type="dxa"/>
            <w:vAlign w:val="bottom"/>
            <w:tcBorders>
              <w:right w:val="single" w:sz="8" w:color="71BF43"/>
            </w:tcBorders>
            <w:shd w:val="clear" w:color="auto" w:fill="71BF43"/>
          </w:tcPr>
          <w:p>
            <w:pPr>
              <w:spacing w:after="0" w:line="20" w:lineRule="exact"/>
              <w:rPr>
                <w:sz w:val="1"/>
                <w:szCs w:val="1"/>
                <w:color w:val="auto"/>
              </w:rPr>
            </w:pPr>
          </w:p>
        </w:tc>
        <w:tc>
          <w:tcPr>
            <w:tcW w:w="80" w:type="dxa"/>
            <w:vAlign w:val="bottom"/>
            <w:shd w:val="clear" w:color="auto" w:fill="71BF43"/>
          </w:tcPr>
          <w:p>
            <w:pPr>
              <w:spacing w:after="0" w:line="20" w:lineRule="exact"/>
              <w:rPr>
                <w:sz w:val="1"/>
                <w:szCs w:val="1"/>
                <w:color w:val="auto"/>
              </w:rPr>
            </w:pPr>
          </w:p>
        </w:tc>
        <w:tc>
          <w:tcPr>
            <w:tcW w:w="280" w:type="dxa"/>
            <w:vAlign w:val="bottom"/>
            <w:shd w:val="clear" w:color="auto" w:fill="71BF43"/>
          </w:tcPr>
          <w:p>
            <w:pPr>
              <w:spacing w:after="0" w:line="20" w:lineRule="exact"/>
              <w:rPr>
                <w:sz w:val="1"/>
                <w:szCs w:val="1"/>
                <w:color w:val="auto"/>
              </w:rPr>
            </w:pPr>
          </w:p>
        </w:tc>
        <w:tc>
          <w:tcPr>
            <w:tcW w:w="880" w:type="dxa"/>
            <w:vAlign w:val="bottom"/>
            <w:shd w:val="clear" w:color="auto" w:fill="71BF43"/>
          </w:tcPr>
          <w:p>
            <w:pPr>
              <w:spacing w:after="0" w:line="20" w:lineRule="exact"/>
              <w:rPr>
                <w:sz w:val="1"/>
                <w:szCs w:val="1"/>
                <w:color w:val="auto"/>
              </w:rPr>
            </w:pPr>
          </w:p>
        </w:tc>
        <w:tc>
          <w:tcPr>
            <w:tcW w:w="320" w:type="dxa"/>
            <w:vAlign w:val="bottom"/>
            <w:shd w:val="clear" w:color="auto" w:fill="71BF43"/>
          </w:tcPr>
          <w:p>
            <w:pPr>
              <w:spacing w:after="0" w:line="20" w:lineRule="exact"/>
              <w:rPr>
                <w:sz w:val="1"/>
                <w:szCs w:val="1"/>
                <w:color w:val="auto"/>
              </w:rPr>
            </w:pPr>
          </w:p>
        </w:tc>
        <w:tc>
          <w:tcPr>
            <w:tcW w:w="82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-3214370</wp:posOffset>
            </wp:positionV>
            <wp:extent cx="299148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31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13.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the remaining performance obligations</w:t>
      </w:r>
    </w:p>
    <w:p>
      <w:pPr>
        <w:spacing w:after="0" w:line="193"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As of June 30, 2022, approximately $1.0 billion of revenue is expected to be recognized from remaining performance obligations. We expect to recognize revenue on approximately 60% of these remaining performance obligations over the next 12 months, with the remainder recognized thereafter.</w:t>
      </w:r>
    </w:p>
    <w:p>
      <w:pPr>
        <w:spacing w:after="0" w:line="14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applied the practical expedient in ASC 606-10-50-14 and have excluded the value of unsatisfied performance obligations for (i) contracts with an original expected length of one year or less (one-time services); and (ii) contracts for which we recognize revenue at the amount to which we have the right to invoice for services performed (transactional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213995</wp:posOffset>
            </wp:positionV>
            <wp:extent cx="659765"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480"/>
              <w:spacing w:after="0"/>
              <w:rPr>
                <w:sz w:val="20"/>
                <w:szCs w:val="20"/>
                <w:color w:val="auto"/>
              </w:rPr>
            </w:pPr>
            <w:r>
              <w:rPr>
                <w:rFonts w:ascii="Arial" w:cs="Arial" w:eastAsia="Arial" w:hAnsi="Arial"/>
                <w:sz w:val="14"/>
                <w:szCs w:val="14"/>
                <w:color w:val="auto"/>
              </w:rPr>
              <w:t>Second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9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contract assets as of June 30, 2022 and December 31, 2021 were insignificant. Our opening and closing balances of deferred revenue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shd w:val="clear" w:color="auto" w:fill="ACACAC"/>
          </w:tcPr>
          <w:p>
            <w:pPr>
              <w:spacing w:after="0"/>
              <w:rPr>
                <w:sz w:val="16"/>
                <w:szCs w:val="16"/>
                <w:color w:val="auto"/>
              </w:rPr>
            </w:pPr>
          </w:p>
        </w:tc>
        <w:tc>
          <w:tcPr>
            <w:tcW w:w="520" w:type="dxa"/>
            <w:vAlign w:val="bottom"/>
            <w:shd w:val="clear" w:color="auto" w:fill="ACACAC"/>
          </w:tcPr>
          <w:p>
            <w:pPr>
              <w:spacing w:after="0"/>
              <w:rPr>
                <w:sz w:val="16"/>
                <w:szCs w:val="16"/>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400" w:type="dxa"/>
            <w:vAlign w:val="bottom"/>
            <w:shd w:val="clear" w:color="auto" w:fill="ACACAC"/>
          </w:tcPr>
          <w:p>
            <w:pPr>
              <w:spacing w:after="0"/>
              <w:rPr>
                <w:sz w:val="16"/>
                <w:szCs w:val="16"/>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6"/>
                <w:szCs w:val="16"/>
                <w:color w:val="auto"/>
              </w:rPr>
            </w:pPr>
          </w:p>
        </w:tc>
      </w:tr>
      <w:tr>
        <w:trPr>
          <w:trHeight w:val="196"/>
        </w:trPr>
        <w:tc>
          <w:tcPr>
            <w:tcW w:w="794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(in thousands)</w:t>
            </w:r>
          </w:p>
        </w:tc>
        <w:tc>
          <w:tcPr>
            <w:tcW w:w="520" w:type="dxa"/>
            <w:vAlign w:val="bottom"/>
            <w:tcBorders>
              <w:bottom w:val="single" w:sz="8" w:color="ACACAC"/>
            </w:tcBorders>
            <w:shd w:val="clear" w:color="auto" w:fill="ACACAC"/>
          </w:tcPr>
          <w:p>
            <w:pPr>
              <w:spacing w:after="0"/>
              <w:rPr>
                <w:sz w:val="17"/>
                <w:szCs w:val="17"/>
                <w:color w:val="auto"/>
              </w:rPr>
            </w:pPr>
          </w:p>
        </w:tc>
        <w:tc>
          <w:tcPr>
            <w:tcW w:w="11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400" w:type="dxa"/>
            <w:vAlign w:val="bottom"/>
            <w:tcBorders>
              <w:bottom w:val="single" w:sz="8" w:color="ACACAC"/>
            </w:tcBorders>
            <w:shd w:val="clear" w:color="auto" w:fill="ACACAC"/>
          </w:tcPr>
          <w:p>
            <w:pPr>
              <w:spacing w:after="0"/>
              <w:rPr>
                <w:sz w:val="17"/>
                <w:szCs w:val="17"/>
                <w:color w:val="auto"/>
              </w:rPr>
            </w:pPr>
          </w:p>
        </w:tc>
        <w:tc>
          <w:tcPr>
            <w:tcW w:w="12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Total deferred revenue</w:t>
            </w:r>
          </w:p>
        </w:tc>
        <w:tc>
          <w:tcPr>
            <w:tcW w:w="520" w:type="dxa"/>
            <w:vAlign w:val="bottom"/>
            <w:tcBorders>
              <w:bottom w:val="single" w:sz="8" w:color="F4F4F4"/>
            </w:tcBorders>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F4F4F4"/>
            </w:tcBorders>
            <w:shd w:val="clear" w:color="auto" w:fill="F4F4F4"/>
          </w:tcPr>
          <w:p>
            <w:pPr>
              <w:jc w:val="right"/>
              <w:ind w:right="2"/>
              <w:spacing w:after="0"/>
              <w:rPr>
                <w:sz w:val="20"/>
                <w:szCs w:val="20"/>
                <w:color w:val="auto"/>
              </w:rPr>
            </w:pPr>
            <w:r>
              <w:rPr>
                <w:rFonts w:ascii="Arial" w:cs="Arial" w:eastAsia="Arial" w:hAnsi="Arial"/>
                <w:sz w:val="18"/>
                <w:szCs w:val="18"/>
                <w:color w:val="auto"/>
              </w:rPr>
              <w:t>416,259</w:t>
            </w:r>
          </w:p>
        </w:tc>
        <w:tc>
          <w:tcPr>
            <w:tcW w:w="40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ind w:right="2"/>
              <w:spacing w:after="0"/>
              <w:rPr>
                <w:sz w:val="20"/>
                <w:szCs w:val="20"/>
                <w:color w:val="auto"/>
              </w:rPr>
            </w:pPr>
            <w:r>
              <w:rPr>
                <w:rFonts w:ascii="Arial" w:cs="Arial" w:eastAsia="Arial" w:hAnsi="Arial"/>
                <w:sz w:val="18"/>
                <w:szCs w:val="18"/>
                <w:color w:val="auto"/>
              </w:rPr>
              <w:t>378,746</w:t>
            </w:r>
          </w:p>
        </w:tc>
        <w:tc>
          <w:tcPr>
            <w:tcW w:w="20" w:type="dxa"/>
            <w:vAlign w:val="bottom"/>
          </w:tcPr>
          <w:p>
            <w:pPr>
              <w:spacing w:after="0"/>
              <w:rPr>
                <w:sz w:val="21"/>
                <w:szCs w:val="21"/>
                <w:color w:val="auto"/>
              </w:rPr>
            </w:pPr>
          </w:p>
        </w:tc>
      </w:tr>
      <w:tr>
        <w:trPr>
          <w:trHeight w:val="20"/>
        </w:trPr>
        <w:tc>
          <w:tcPr>
            <w:tcW w:w="7940" w:type="dxa"/>
            <w:vAlign w:val="bottom"/>
            <w:shd w:val="clear" w:color="auto" w:fill="71BF43"/>
          </w:tcPr>
          <w:p>
            <w:pPr>
              <w:spacing w:after="0" w:line="20" w:lineRule="exact"/>
              <w:rPr>
                <w:sz w:val="1"/>
                <w:szCs w:val="1"/>
                <w:color w:val="auto"/>
              </w:rPr>
            </w:pPr>
          </w:p>
        </w:tc>
        <w:tc>
          <w:tcPr>
            <w:tcW w:w="520" w:type="dxa"/>
            <w:vAlign w:val="bottom"/>
            <w:shd w:val="clear" w:color="auto" w:fill="71BF43"/>
          </w:tcPr>
          <w:p>
            <w:pPr>
              <w:spacing w:after="0" w:line="20" w:lineRule="exact"/>
              <w:rPr>
                <w:sz w:val="1"/>
                <w:szCs w:val="1"/>
                <w:color w:val="auto"/>
              </w:rPr>
            </w:pPr>
          </w:p>
        </w:tc>
        <w:tc>
          <w:tcPr>
            <w:tcW w:w="1140" w:type="dxa"/>
            <w:vAlign w:val="bottom"/>
            <w:shd w:val="clear" w:color="auto" w:fill="71BF43"/>
          </w:tcPr>
          <w:p>
            <w:pPr>
              <w:spacing w:after="0" w:line="20" w:lineRule="exact"/>
              <w:rPr>
                <w:sz w:val="1"/>
                <w:szCs w:val="1"/>
                <w:color w:val="auto"/>
              </w:rPr>
            </w:pPr>
          </w:p>
        </w:tc>
        <w:tc>
          <w:tcPr>
            <w:tcW w:w="400" w:type="dxa"/>
            <w:vAlign w:val="bottom"/>
            <w:shd w:val="clear" w:color="auto" w:fill="71BF43"/>
          </w:tcPr>
          <w:p>
            <w:pPr>
              <w:spacing w:after="0" w:line="20" w:lineRule="exact"/>
              <w:rPr>
                <w:sz w:val="1"/>
                <w:szCs w:val="1"/>
                <w:color w:val="auto"/>
              </w:rPr>
            </w:pPr>
          </w:p>
        </w:tc>
        <w:tc>
          <w:tcPr>
            <w:tcW w:w="124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The increase in deferred revenue during the six months ended June 30, 2022 was primarily due to a seasonal increase in customer contract renewals. Historically, due to the timing of customer budget cycles, we have an increase in customer contract renewals at or near the beginning of our third quarter. Generally, our lowest balance of deferred revenue during the year is at the end of our first quarter. The amount of revenue recognized during the six months ended June 30, 2022 that was included in the deferred revenue balance at the beginning of the period was approximately $273 million. The amount of revenue recognized during the six months ended June 30, 2022 from performance obligations satisfied in prior periods was insignificant.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sell our cloud solutions and related services in three primary geographical markets: to customers in the United States, to customers in the United Kingdom and to customers located in other countries. The following table presents our revenue by geographic area based on the address of our customers: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228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960" w:type="dxa"/>
            <w:vAlign w:val="bottom"/>
            <w:shd w:val="clear" w:color="auto" w:fill="ACACAC"/>
          </w:tcPr>
          <w:p>
            <w:pPr>
              <w:spacing w:after="0"/>
              <w:rPr>
                <w:sz w:val="16"/>
                <w:szCs w:val="16"/>
                <w:color w:val="auto"/>
              </w:rPr>
            </w:pPr>
          </w:p>
        </w:tc>
        <w:tc>
          <w:tcPr>
            <w:tcW w:w="130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Six months ended</w:t>
            </w:r>
          </w:p>
        </w:tc>
        <w:tc>
          <w:tcPr>
            <w:tcW w:w="20" w:type="dxa"/>
            <w:vAlign w:val="bottom"/>
            <w:shd w:val="clear" w:color="auto" w:fill="ACACAC"/>
          </w:tcPr>
          <w:p>
            <w:pPr>
              <w:spacing w:after="0"/>
              <w:rPr>
                <w:sz w:val="16"/>
                <w:szCs w:val="16"/>
                <w:color w:val="auto"/>
              </w:rPr>
            </w:pPr>
          </w:p>
        </w:tc>
      </w:tr>
      <w:tr>
        <w:trPr>
          <w:trHeight w:val="190"/>
        </w:trPr>
        <w:tc>
          <w:tcPr>
            <w:tcW w:w="590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960" w:type="dxa"/>
            <w:vAlign w:val="bottom"/>
            <w:shd w:val="clear" w:color="auto" w:fill="ACACAC"/>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100" w:type="dxa"/>
            <w:vAlign w:val="bottom"/>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96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20" w:type="dxa"/>
            <w:vAlign w:val="bottom"/>
            <w:shd w:val="clear" w:color="auto" w:fill="ACACAC"/>
          </w:tcPr>
          <w:p>
            <w:pPr>
              <w:spacing w:after="0"/>
              <w:rPr>
                <w:sz w:val="16"/>
                <w:szCs w:val="16"/>
                <w:color w:val="auto"/>
              </w:rPr>
            </w:pPr>
          </w:p>
        </w:tc>
      </w:tr>
      <w:tr>
        <w:trPr>
          <w:trHeight w:val="235"/>
        </w:trPr>
        <w:tc>
          <w:tcPr>
            <w:tcW w:w="590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40" w:type="dxa"/>
            <w:vAlign w:val="bottom"/>
            <w:tcBorders>
              <w:bottom w:val="single" w:sz="8" w:color="ACACAC"/>
            </w:tcBorders>
            <w:shd w:val="clear" w:color="auto" w:fill="ACACAC"/>
          </w:tcPr>
          <w:p>
            <w:pPr>
              <w:spacing w:after="0"/>
              <w:rPr>
                <w:sz w:val="20"/>
                <w:szCs w:val="20"/>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360" w:type="dxa"/>
            <w:vAlign w:val="bottom"/>
            <w:tcBorders>
              <w:bottom w:val="single" w:sz="8" w:color="ACACAC"/>
            </w:tcBorders>
            <w:shd w:val="clear" w:color="auto" w:fill="ACACAC"/>
          </w:tcPr>
          <w:p>
            <w:pPr>
              <w:spacing w:after="0"/>
              <w:rPr>
                <w:sz w:val="20"/>
                <w:szCs w:val="20"/>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00" w:type="dxa"/>
            <w:vAlign w:val="bottom"/>
            <w:tcBorders>
              <w:bottom w:val="single" w:sz="8" w:color="F4F4F4"/>
            </w:tcBorders>
          </w:tcPr>
          <w:p>
            <w:pPr>
              <w:spacing w:after="0"/>
              <w:rPr>
                <w:sz w:val="20"/>
                <w:szCs w:val="20"/>
                <w:color w:val="auto"/>
              </w:rPr>
            </w:pPr>
          </w:p>
        </w:tc>
        <w:tc>
          <w:tcPr>
            <w:tcW w:w="360" w:type="dxa"/>
            <w:vAlign w:val="bottom"/>
            <w:tcBorders>
              <w:bottom w:val="single" w:sz="8" w:color="ACACAC"/>
            </w:tcBorders>
            <w:shd w:val="clear" w:color="auto" w:fill="ACACAC"/>
          </w:tcPr>
          <w:p>
            <w:pPr>
              <w:spacing w:after="0"/>
              <w:rPr>
                <w:sz w:val="20"/>
                <w:szCs w:val="20"/>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340" w:type="dxa"/>
            <w:vAlign w:val="bottom"/>
            <w:tcBorders>
              <w:bottom w:val="single" w:sz="8" w:color="ACACAC"/>
            </w:tcBorders>
            <w:shd w:val="clear" w:color="auto" w:fill="ACACAC"/>
          </w:tcPr>
          <w:p>
            <w:pPr>
              <w:spacing w:after="0"/>
              <w:rPr>
                <w:sz w:val="20"/>
                <w:szCs w:val="20"/>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49"/>
        </w:trPr>
        <w:tc>
          <w:tcPr>
            <w:tcW w:w="59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223,128</w:t>
            </w:r>
          </w:p>
        </w:tc>
        <w:tc>
          <w:tcPr>
            <w:tcW w:w="360" w:type="dxa"/>
            <w:vAlign w:val="bottom"/>
            <w:tcBorders>
              <w:bottom w:val="single" w:sz="8" w:color="F4F4F4"/>
            </w:tcBorders>
            <w:shd w:val="clear" w:color="auto" w:fill="F4F4F4"/>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192,000</w:t>
            </w:r>
          </w:p>
        </w:tc>
        <w:tc>
          <w:tcPr>
            <w:tcW w:w="460" w:type="dxa"/>
            <w:vAlign w:val="bottom"/>
            <w:tcBorders>
              <w:bottom w:val="single" w:sz="8" w:color="F4F4F4"/>
            </w:tcBorders>
            <w:gridSpan w:val="2"/>
            <w:shd w:val="clear" w:color="auto" w:fill="F4F4F4"/>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437,522</w:t>
            </w:r>
          </w:p>
        </w:tc>
        <w:tc>
          <w:tcPr>
            <w:tcW w:w="340" w:type="dxa"/>
            <w:vAlign w:val="bottom"/>
            <w:tcBorders>
              <w:bottom w:val="single" w:sz="8" w:color="F4F4F4"/>
            </w:tcBorders>
            <w:shd w:val="clear" w:color="auto" w:fill="F4F4F4"/>
          </w:tcPr>
          <w:p>
            <w:pPr>
              <w:jc w:val="right"/>
              <w:ind w:right="15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377,327</w:t>
            </w:r>
          </w:p>
        </w:tc>
        <w:tc>
          <w:tcPr>
            <w:tcW w:w="20" w:type="dxa"/>
            <w:vAlign w:val="bottom"/>
          </w:tcPr>
          <w:p>
            <w:pPr>
              <w:spacing w:after="0"/>
              <w:rPr>
                <w:sz w:val="21"/>
                <w:szCs w:val="21"/>
                <w:color w:val="auto"/>
              </w:rPr>
            </w:pP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26,831</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24,505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54,491</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46,810</w:t>
            </w:r>
          </w:p>
        </w:tc>
        <w:tc>
          <w:tcPr>
            <w:tcW w:w="2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9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Other countries</w:t>
            </w:r>
          </w:p>
        </w:tc>
        <w:tc>
          <w:tcPr>
            <w:tcW w:w="340" w:type="dxa"/>
            <w:vAlign w:val="bottom"/>
            <w:tcBorders>
              <w:bottom w:val="single" w:sz="8" w:color="F4F4F4"/>
            </w:tcBorders>
            <w:shd w:val="clear" w:color="auto" w:fill="F4F4F4"/>
          </w:tcPr>
          <w:p>
            <w:pPr>
              <w:spacing w:after="0"/>
              <w:rPr>
                <w:sz w:val="23"/>
                <w:szCs w:val="23"/>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14,968</w:t>
            </w:r>
          </w:p>
        </w:tc>
        <w:tc>
          <w:tcPr>
            <w:tcW w:w="360" w:type="dxa"/>
            <w:vAlign w:val="bottom"/>
            <w:tcBorders>
              <w:bottom w:val="single" w:sz="8" w:color="F4F4F4"/>
            </w:tcBorders>
            <w:shd w:val="clear" w:color="auto" w:fill="F4F4F4"/>
          </w:tcPr>
          <w:p>
            <w:pPr>
              <w:spacing w:after="0"/>
              <w:rPr>
                <w:sz w:val="23"/>
                <w:szCs w:val="23"/>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12,935</w:t>
            </w:r>
          </w:p>
        </w:tc>
        <w:tc>
          <w:tcPr>
            <w:tcW w:w="100" w:type="dxa"/>
            <w:vAlign w:val="bottom"/>
            <w:tcBorders>
              <w:bottom w:val="single" w:sz="8" w:color="F4F4F4"/>
            </w:tcBorders>
            <w:shd w:val="clear" w:color="auto" w:fill="F4F4F4"/>
          </w:tcPr>
          <w:p>
            <w:pPr>
              <w:spacing w:after="0"/>
              <w:rPr>
                <w:sz w:val="23"/>
                <w:szCs w:val="23"/>
                <w:color w:val="auto"/>
              </w:rPr>
            </w:pPr>
          </w:p>
        </w:tc>
        <w:tc>
          <w:tcPr>
            <w:tcW w:w="360" w:type="dxa"/>
            <w:vAlign w:val="bottom"/>
            <w:tcBorders>
              <w:bottom w:val="single" w:sz="8" w:color="F4F4F4"/>
            </w:tcBorders>
            <w:shd w:val="clear" w:color="auto" w:fill="F4F4F4"/>
          </w:tcPr>
          <w:p>
            <w:pPr>
              <w:spacing w:after="0"/>
              <w:rPr>
                <w:sz w:val="23"/>
                <w:szCs w:val="23"/>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30,038</w:t>
            </w:r>
          </w:p>
        </w:tc>
        <w:tc>
          <w:tcPr>
            <w:tcW w:w="340" w:type="dxa"/>
            <w:vAlign w:val="bottom"/>
            <w:tcBorders>
              <w:bottom w:val="single" w:sz="8" w:color="F4F4F4"/>
            </w:tcBorders>
            <w:shd w:val="clear" w:color="auto" w:fill="F4F4F4"/>
          </w:tcPr>
          <w:p>
            <w:pPr>
              <w:spacing w:after="0"/>
              <w:rPr>
                <w:sz w:val="23"/>
                <w:szCs w:val="23"/>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24,494</w:t>
            </w:r>
          </w:p>
        </w:tc>
        <w:tc>
          <w:tcPr>
            <w:tcW w:w="20" w:type="dxa"/>
            <w:vAlign w:val="bottom"/>
          </w:tcPr>
          <w:p>
            <w:pPr>
              <w:spacing w:after="0"/>
              <w:rPr>
                <w:sz w:val="23"/>
                <w:szCs w:val="23"/>
                <w:color w:val="auto"/>
              </w:rPr>
            </w:pPr>
          </w:p>
        </w:tc>
      </w:tr>
      <w:tr>
        <w:trPr>
          <w:trHeight w:val="237"/>
        </w:trPr>
        <w:tc>
          <w:tcPr>
            <w:tcW w:w="5900" w:type="dxa"/>
            <w:vAlign w:val="bottom"/>
          </w:tcPr>
          <w:p>
            <w:pPr>
              <w:ind w:left="14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264,927</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229,440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522,051</w:t>
            </w:r>
          </w:p>
        </w:tc>
        <w:tc>
          <w:tcPr>
            <w:tcW w:w="34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448,631</w:t>
            </w:r>
          </w:p>
        </w:tc>
        <w:tc>
          <w:tcPr>
            <w:tcW w:w="20" w:type="dxa"/>
            <w:vAlign w:val="bottom"/>
          </w:tcPr>
          <w:p>
            <w:pPr>
              <w:spacing w:after="0"/>
              <w:rPr>
                <w:sz w:val="20"/>
                <w:szCs w:val="20"/>
                <w:color w:val="auto"/>
              </w:rPr>
            </w:pPr>
          </w:p>
        </w:tc>
      </w:tr>
      <w:tr>
        <w:trPr>
          <w:trHeight w:val="27"/>
        </w:trPr>
        <w:tc>
          <w:tcPr>
            <w:tcW w:w="5900" w:type="dxa"/>
            <w:vAlign w:val="bottom"/>
            <w:tcBorders>
              <w:bottom w:val="single" w:sz="8" w:color="71BF43"/>
            </w:tcBorders>
          </w:tcPr>
          <w:p>
            <w:pPr>
              <w:spacing w:after="0"/>
              <w:rPr>
                <w:sz w:val="2"/>
                <w:szCs w:val="2"/>
                <w:color w:val="auto"/>
              </w:rPr>
            </w:pPr>
          </w:p>
        </w:tc>
        <w:tc>
          <w:tcPr>
            <w:tcW w:w="340" w:type="dxa"/>
            <w:vAlign w:val="bottom"/>
            <w:tcBorders>
              <w:bottom w:val="single" w:sz="8" w:color="71BF43"/>
            </w:tcBorders>
          </w:tcPr>
          <w:p>
            <w:pPr>
              <w:spacing w:after="0"/>
              <w:rPr>
                <w:sz w:val="2"/>
                <w:szCs w:val="2"/>
                <w:color w:val="auto"/>
              </w:rPr>
            </w:pPr>
          </w:p>
        </w:tc>
        <w:tc>
          <w:tcPr>
            <w:tcW w:w="960" w:type="dxa"/>
            <w:vAlign w:val="bottom"/>
            <w:tcBorders>
              <w:bottom w:val="single" w:sz="8" w:color="71BF43"/>
            </w:tcBorders>
          </w:tcPr>
          <w:p>
            <w:pPr>
              <w:spacing w:after="0"/>
              <w:rPr>
                <w:sz w:val="2"/>
                <w:szCs w:val="2"/>
                <w:color w:val="auto"/>
              </w:rPr>
            </w:pPr>
          </w:p>
        </w:tc>
        <w:tc>
          <w:tcPr>
            <w:tcW w:w="360" w:type="dxa"/>
            <w:vAlign w:val="bottom"/>
            <w:tcBorders>
              <w:bottom w:val="single" w:sz="8" w:color="71BF43"/>
            </w:tcBorders>
          </w:tcPr>
          <w:p>
            <w:pPr>
              <w:spacing w:after="0"/>
              <w:rPr>
                <w:sz w:val="2"/>
                <w:szCs w:val="2"/>
                <w:color w:val="auto"/>
              </w:rPr>
            </w:pPr>
          </w:p>
        </w:tc>
        <w:tc>
          <w:tcPr>
            <w:tcW w:w="960" w:type="dxa"/>
            <w:vAlign w:val="bottom"/>
            <w:tcBorders>
              <w:bottom w:val="single" w:sz="8" w:color="71BF43"/>
            </w:tcBorders>
          </w:tcPr>
          <w:p>
            <w:pPr>
              <w:spacing w:after="0"/>
              <w:rPr>
                <w:sz w:val="2"/>
                <w:szCs w:val="2"/>
                <w:color w:val="auto"/>
              </w:rPr>
            </w:pPr>
          </w:p>
        </w:tc>
        <w:tc>
          <w:tcPr>
            <w:tcW w:w="100" w:type="dxa"/>
            <w:vAlign w:val="bottom"/>
            <w:tcBorders>
              <w:bottom w:val="single" w:sz="8" w:color="71BF43"/>
            </w:tcBorders>
          </w:tcPr>
          <w:p>
            <w:pPr>
              <w:spacing w:after="0"/>
              <w:rPr>
                <w:sz w:val="2"/>
                <w:szCs w:val="2"/>
                <w:color w:val="auto"/>
              </w:rPr>
            </w:pPr>
          </w:p>
        </w:tc>
        <w:tc>
          <w:tcPr>
            <w:tcW w:w="360" w:type="dxa"/>
            <w:vAlign w:val="bottom"/>
            <w:tcBorders>
              <w:bottom w:val="single" w:sz="8" w:color="71BF43"/>
            </w:tcBorders>
          </w:tcPr>
          <w:p>
            <w:pPr>
              <w:spacing w:after="0"/>
              <w:rPr>
                <w:sz w:val="2"/>
                <w:szCs w:val="2"/>
                <w:color w:val="auto"/>
              </w:rPr>
            </w:pPr>
          </w:p>
        </w:tc>
        <w:tc>
          <w:tcPr>
            <w:tcW w:w="960" w:type="dxa"/>
            <w:vAlign w:val="bottom"/>
            <w:tcBorders>
              <w:bottom w:val="single" w:sz="8" w:color="71BF43"/>
            </w:tcBorders>
          </w:tcPr>
          <w:p>
            <w:pPr>
              <w:spacing w:after="0"/>
              <w:rPr>
                <w:sz w:val="2"/>
                <w:szCs w:val="2"/>
                <w:color w:val="auto"/>
              </w:rPr>
            </w:pPr>
          </w:p>
        </w:tc>
        <w:tc>
          <w:tcPr>
            <w:tcW w:w="340" w:type="dxa"/>
            <w:vAlign w:val="bottom"/>
            <w:tcBorders>
              <w:bottom w:val="single" w:sz="8" w:color="71BF43"/>
            </w:tcBorders>
          </w:tcPr>
          <w:p>
            <w:pPr>
              <w:spacing w:after="0"/>
              <w:rPr>
                <w:sz w:val="2"/>
                <w:szCs w:val="2"/>
                <w:color w:val="auto"/>
              </w:rPr>
            </w:pPr>
          </w:p>
        </w:tc>
        <w:tc>
          <w:tcPr>
            <w:tcW w:w="960" w:type="dxa"/>
            <w:vAlign w:val="bottom"/>
            <w:tcBorders>
              <w:bottom w:val="single" w:sz="8" w:color="71BF4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-856615</wp:posOffset>
            </wp:positionV>
            <wp:extent cx="34029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22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UMG, IMG and EVERFI comprised our go-to-market organizations as of June 30, 2022. The following is a description of each market group as of that date:</w:t>
      </w:r>
    </w:p>
    <w:p>
      <w:pPr>
        <w:spacing w:after="0" w:line="144" w:lineRule="exact"/>
        <w:rPr>
          <w:sz w:val="20"/>
          <w:szCs w:val="20"/>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UMG focuses on sales primarily to all prospects and customers inside of the U.S.; and</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IMG focuses on sales primarily to all prospects and customers outside of the U.S, as well as corporations.</w:t>
      </w:r>
    </w:p>
    <w:p>
      <w:pPr>
        <w:spacing w:after="0" w:line="171" w:lineRule="exact"/>
        <w:rPr>
          <w:rFonts w:ascii="Arial" w:cs="Arial" w:eastAsia="Arial" w:hAnsi="Arial"/>
          <w:sz w:val="18"/>
          <w:szCs w:val="18"/>
          <w:color w:val="auto"/>
        </w:rPr>
      </w:pPr>
    </w:p>
    <w:p>
      <w:pPr>
        <w:ind w:left="660" w:right="40" w:hanging="328"/>
        <w:spacing w:after="0" w:line="261" w:lineRule="auto"/>
        <w:tabs>
          <w:tab w:leader="none" w:pos="6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acquired EVERFI as of December 31, 2021 as discussed in Note 3 to these condensed consolidated financial statements. As we are working to integrate EVERFI into our business, it had not yet been included in one of our market groups as of June 30, 2022.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 by market group:</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228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960" w:type="dxa"/>
            <w:vAlign w:val="bottom"/>
            <w:shd w:val="clear" w:color="auto" w:fill="ACACAC"/>
          </w:tcPr>
          <w:p>
            <w:pPr>
              <w:spacing w:after="0"/>
              <w:rPr>
                <w:sz w:val="16"/>
                <w:szCs w:val="16"/>
                <w:color w:val="auto"/>
              </w:rPr>
            </w:pPr>
          </w:p>
        </w:tc>
        <w:tc>
          <w:tcPr>
            <w:tcW w:w="130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Six months ended</w:t>
            </w:r>
          </w:p>
        </w:tc>
        <w:tc>
          <w:tcPr>
            <w:tcW w:w="20" w:type="dxa"/>
            <w:vAlign w:val="bottom"/>
            <w:shd w:val="clear" w:color="auto" w:fill="ACACAC"/>
          </w:tcPr>
          <w:p>
            <w:pPr>
              <w:spacing w:after="0"/>
              <w:rPr>
                <w:sz w:val="16"/>
                <w:szCs w:val="16"/>
                <w:color w:val="auto"/>
              </w:rPr>
            </w:pPr>
          </w:p>
        </w:tc>
      </w:tr>
      <w:tr>
        <w:trPr>
          <w:trHeight w:val="190"/>
        </w:trPr>
        <w:tc>
          <w:tcPr>
            <w:tcW w:w="590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960" w:type="dxa"/>
            <w:vAlign w:val="bottom"/>
            <w:shd w:val="clear" w:color="auto" w:fill="ACACAC"/>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100" w:type="dxa"/>
            <w:vAlign w:val="bottom"/>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96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20" w:type="dxa"/>
            <w:vAlign w:val="bottom"/>
            <w:shd w:val="clear" w:color="auto" w:fill="ACACAC"/>
          </w:tcPr>
          <w:p>
            <w:pPr>
              <w:spacing w:after="0"/>
              <w:rPr>
                <w:sz w:val="16"/>
                <w:szCs w:val="16"/>
                <w:color w:val="auto"/>
              </w:rPr>
            </w:pPr>
          </w:p>
        </w:tc>
      </w:tr>
      <w:tr>
        <w:trPr>
          <w:trHeight w:val="235"/>
        </w:trPr>
        <w:tc>
          <w:tcPr>
            <w:tcW w:w="590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40" w:type="dxa"/>
            <w:vAlign w:val="bottom"/>
            <w:tcBorders>
              <w:bottom w:val="single" w:sz="8" w:color="ACACAC"/>
            </w:tcBorders>
            <w:shd w:val="clear" w:color="auto" w:fill="ACACAC"/>
          </w:tcPr>
          <w:p>
            <w:pPr>
              <w:spacing w:after="0"/>
              <w:rPr>
                <w:sz w:val="20"/>
                <w:szCs w:val="20"/>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360" w:type="dxa"/>
            <w:vAlign w:val="bottom"/>
            <w:tcBorders>
              <w:bottom w:val="single" w:sz="8" w:color="ACACAC"/>
            </w:tcBorders>
            <w:shd w:val="clear" w:color="auto" w:fill="ACACAC"/>
          </w:tcPr>
          <w:p>
            <w:pPr>
              <w:spacing w:after="0"/>
              <w:rPr>
                <w:sz w:val="20"/>
                <w:szCs w:val="20"/>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00" w:type="dxa"/>
            <w:vAlign w:val="bottom"/>
            <w:tcBorders>
              <w:bottom w:val="single" w:sz="8" w:color="F4F4F4"/>
            </w:tcBorders>
          </w:tcPr>
          <w:p>
            <w:pPr>
              <w:spacing w:after="0"/>
              <w:rPr>
                <w:sz w:val="20"/>
                <w:szCs w:val="20"/>
                <w:color w:val="auto"/>
              </w:rPr>
            </w:pPr>
          </w:p>
        </w:tc>
        <w:tc>
          <w:tcPr>
            <w:tcW w:w="360" w:type="dxa"/>
            <w:vAlign w:val="bottom"/>
            <w:tcBorders>
              <w:bottom w:val="single" w:sz="8" w:color="ACACAC"/>
            </w:tcBorders>
            <w:shd w:val="clear" w:color="auto" w:fill="ACACAC"/>
          </w:tcPr>
          <w:p>
            <w:pPr>
              <w:spacing w:after="0"/>
              <w:rPr>
                <w:sz w:val="20"/>
                <w:szCs w:val="20"/>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340" w:type="dxa"/>
            <w:vAlign w:val="bottom"/>
            <w:tcBorders>
              <w:bottom w:val="single" w:sz="8" w:color="ACACAC"/>
            </w:tcBorders>
            <w:shd w:val="clear" w:color="auto" w:fill="ACACAC"/>
          </w:tcPr>
          <w:p>
            <w:pPr>
              <w:spacing w:after="0"/>
              <w:rPr>
                <w:sz w:val="20"/>
                <w:szCs w:val="20"/>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50"/>
        </w:trPr>
        <w:tc>
          <w:tcPr>
            <w:tcW w:w="59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UMG</w:t>
            </w:r>
          </w:p>
        </w:tc>
        <w:tc>
          <w:tcPr>
            <w:tcW w:w="34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184,761</w:t>
            </w:r>
          </w:p>
        </w:tc>
        <w:tc>
          <w:tcPr>
            <w:tcW w:w="360" w:type="dxa"/>
            <w:vAlign w:val="bottom"/>
            <w:tcBorders>
              <w:bottom w:val="single" w:sz="8" w:color="F4F4F4"/>
            </w:tcBorders>
            <w:shd w:val="clear" w:color="auto" w:fill="F4F4F4"/>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179,436</w:t>
            </w:r>
          </w:p>
        </w:tc>
        <w:tc>
          <w:tcPr>
            <w:tcW w:w="460" w:type="dxa"/>
            <w:vAlign w:val="bottom"/>
            <w:tcBorders>
              <w:bottom w:val="single" w:sz="8" w:color="F4F4F4"/>
            </w:tcBorders>
            <w:gridSpan w:val="2"/>
            <w:shd w:val="clear" w:color="auto" w:fill="F4F4F4"/>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367,250</w:t>
            </w:r>
          </w:p>
        </w:tc>
        <w:tc>
          <w:tcPr>
            <w:tcW w:w="340" w:type="dxa"/>
            <w:vAlign w:val="bottom"/>
            <w:tcBorders>
              <w:bottom w:val="single" w:sz="8" w:color="F4F4F4"/>
            </w:tcBorders>
            <w:shd w:val="clear" w:color="auto" w:fill="F4F4F4"/>
          </w:tcPr>
          <w:p>
            <w:pPr>
              <w:jc w:val="right"/>
              <w:ind w:right="15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352,903</w:t>
            </w:r>
          </w:p>
        </w:tc>
        <w:tc>
          <w:tcPr>
            <w:tcW w:w="20" w:type="dxa"/>
            <w:vAlign w:val="bottom"/>
          </w:tcPr>
          <w:p>
            <w:pPr>
              <w:spacing w:after="0"/>
              <w:rPr>
                <w:sz w:val="21"/>
                <w:szCs w:val="21"/>
                <w:color w:val="auto"/>
              </w:rPr>
            </w:pPr>
          </w:p>
        </w:tc>
      </w:tr>
      <w:tr>
        <w:trPr>
          <w:trHeight w:val="297"/>
        </w:trPr>
        <w:tc>
          <w:tcPr>
            <w:tcW w:w="5900" w:type="dxa"/>
            <w:vAlign w:val="bottom"/>
          </w:tcPr>
          <w:p>
            <w:pPr>
              <w:ind w:left="20"/>
              <w:spacing w:after="0"/>
              <w:rPr>
                <w:sz w:val="20"/>
                <w:szCs w:val="20"/>
                <w:color w:val="auto"/>
              </w:rPr>
            </w:pPr>
            <w:r>
              <w:rPr>
                <w:rFonts w:ascii="Arial" w:cs="Arial" w:eastAsia="Arial" w:hAnsi="Arial"/>
                <w:sz w:val="18"/>
                <w:szCs w:val="18"/>
                <w:color w:val="auto"/>
              </w:rPr>
              <w:t>IMG</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53,567</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50,028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101,621</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95,797</w:t>
            </w:r>
          </w:p>
        </w:tc>
        <w:tc>
          <w:tcPr>
            <w:tcW w:w="20" w:type="dxa"/>
            <w:vAlign w:val="bottom"/>
          </w:tcPr>
          <w:p>
            <w:pPr>
              <w:spacing w:after="0"/>
              <w:rPr>
                <w:sz w:val="24"/>
                <w:szCs w:val="24"/>
                <w:color w:val="auto"/>
              </w:rPr>
            </w:pPr>
          </w:p>
        </w:tc>
      </w:tr>
      <w:tr>
        <w:trPr>
          <w:trHeight w:val="27"/>
        </w:trPr>
        <w:tc>
          <w:tcPr>
            <w:tcW w:w="5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59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EVERFI</w:t>
            </w:r>
          </w:p>
        </w:tc>
        <w:tc>
          <w:tcPr>
            <w:tcW w:w="340" w:type="dxa"/>
            <w:vAlign w:val="bottom"/>
            <w:tcBorders>
              <w:bottom w:val="single" w:sz="8" w:color="F4F4F4"/>
            </w:tcBorders>
            <w:shd w:val="clear" w:color="auto" w:fill="F4F4F4"/>
          </w:tcPr>
          <w:p>
            <w:pPr>
              <w:spacing w:after="0"/>
              <w:rPr>
                <w:sz w:val="24"/>
                <w:szCs w:val="24"/>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26,827</w:t>
            </w:r>
          </w:p>
        </w:tc>
        <w:tc>
          <w:tcPr>
            <w:tcW w:w="360" w:type="dxa"/>
            <w:vAlign w:val="bottom"/>
            <w:tcBorders>
              <w:bottom w:val="single" w:sz="8" w:color="F4F4F4"/>
            </w:tcBorders>
            <w:shd w:val="clear" w:color="auto" w:fill="F4F4F4"/>
          </w:tcPr>
          <w:p>
            <w:pPr>
              <w:spacing w:after="0"/>
              <w:rPr>
                <w:sz w:val="24"/>
                <w:szCs w:val="24"/>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4F4F4"/>
            </w:tcBorders>
            <w:shd w:val="clear" w:color="auto" w:fill="F4F4F4"/>
          </w:tcPr>
          <w:p>
            <w:pPr>
              <w:spacing w:after="0"/>
              <w:rPr>
                <w:sz w:val="24"/>
                <w:szCs w:val="24"/>
                <w:color w:val="auto"/>
              </w:rPr>
            </w:pPr>
          </w:p>
        </w:tc>
        <w:tc>
          <w:tcPr>
            <w:tcW w:w="360" w:type="dxa"/>
            <w:vAlign w:val="bottom"/>
            <w:tcBorders>
              <w:bottom w:val="single" w:sz="8" w:color="F4F4F4"/>
            </w:tcBorders>
            <w:shd w:val="clear" w:color="auto" w:fill="F4F4F4"/>
          </w:tcPr>
          <w:p>
            <w:pPr>
              <w:spacing w:after="0"/>
              <w:rPr>
                <w:sz w:val="24"/>
                <w:szCs w:val="24"/>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53,802</w:t>
            </w:r>
          </w:p>
        </w:tc>
        <w:tc>
          <w:tcPr>
            <w:tcW w:w="340" w:type="dxa"/>
            <w:vAlign w:val="bottom"/>
            <w:tcBorders>
              <w:bottom w:val="single" w:sz="8" w:color="F4F4F4"/>
            </w:tcBorders>
            <w:shd w:val="clear" w:color="auto" w:fill="F4F4F4"/>
          </w:tcPr>
          <w:p>
            <w:pPr>
              <w:spacing w:after="0"/>
              <w:rPr>
                <w:sz w:val="24"/>
                <w:szCs w:val="24"/>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(622)</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1"/>
                <w:szCs w:val="21"/>
                <w:color w:val="auto"/>
              </w:rPr>
            </w:pPr>
          </w:p>
        </w:tc>
      </w:tr>
      <w:tr>
        <w:trPr>
          <w:trHeight w:val="27"/>
        </w:trPr>
        <w:tc>
          <w:tcPr>
            <w:tcW w:w="5900" w:type="dxa"/>
            <w:vAlign w:val="bottom"/>
            <w:tcBorders>
              <w:bottom w:val="single" w:sz="8" w:color="F4F4F4"/>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590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264,927</w:t>
            </w:r>
          </w:p>
        </w:tc>
        <w:tc>
          <w:tcPr>
            <w:tcW w:w="360" w:type="dxa"/>
            <w:vAlign w:val="bottom"/>
            <w:tcBorders>
              <w:bottom w:val="single" w:sz="8" w:color="F4F4F4"/>
            </w:tcBorders>
            <w:shd w:val="clear" w:color="auto" w:fill="F4F4F4"/>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229,440</w:t>
            </w:r>
          </w:p>
        </w:tc>
        <w:tc>
          <w:tcPr>
            <w:tcW w:w="460" w:type="dxa"/>
            <w:vAlign w:val="bottom"/>
            <w:tcBorders>
              <w:bottom w:val="single" w:sz="8" w:color="F4F4F4"/>
            </w:tcBorders>
            <w:gridSpan w:val="2"/>
            <w:shd w:val="clear" w:color="auto" w:fill="F4F4F4"/>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522,051</w:t>
            </w:r>
          </w:p>
        </w:tc>
        <w:tc>
          <w:tcPr>
            <w:tcW w:w="340" w:type="dxa"/>
            <w:vAlign w:val="bottom"/>
            <w:tcBorders>
              <w:bottom w:val="single" w:sz="8" w:color="F4F4F4"/>
            </w:tcBorders>
            <w:shd w:val="clear" w:color="auto" w:fill="F4F4F4"/>
          </w:tcPr>
          <w:p>
            <w:pPr>
              <w:jc w:val="right"/>
              <w:ind w:right="15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448,631</w:t>
            </w:r>
          </w:p>
        </w:tc>
        <w:tc>
          <w:tcPr>
            <w:tcW w:w="20" w:type="dxa"/>
            <w:vAlign w:val="bottom"/>
          </w:tcPr>
          <w:p>
            <w:pPr>
              <w:spacing w:after="0"/>
              <w:rPr>
                <w:sz w:val="21"/>
                <w:szCs w:val="21"/>
                <w:color w:val="auto"/>
              </w:rPr>
            </w:pPr>
          </w:p>
        </w:tc>
      </w:tr>
      <w:tr>
        <w:trPr>
          <w:trHeight w:val="20"/>
        </w:trPr>
        <w:tc>
          <w:tcPr>
            <w:tcW w:w="5900" w:type="dxa"/>
            <w:vAlign w:val="bottom"/>
            <w:shd w:val="clear" w:color="auto" w:fill="71BF43"/>
          </w:tcPr>
          <w:p>
            <w:pPr>
              <w:spacing w:after="0" w:line="20" w:lineRule="exact"/>
              <w:rPr>
                <w:sz w:val="1"/>
                <w:szCs w:val="1"/>
                <w:color w:val="auto"/>
              </w:rPr>
            </w:pPr>
          </w:p>
        </w:tc>
        <w:tc>
          <w:tcPr>
            <w:tcW w:w="340" w:type="dxa"/>
            <w:vAlign w:val="bottom"/>
            <w:shd w:val="clear" w:color="auto" w:fill="71BF43"/>
          </w:tcPr>
          <w:p>
            <w:pPr>
              <w:spacing w:after="0" w:line="20" w:lineRule="exact"/>
              <w:rPr>
                <w:sz w:val="1"/>
                <w:szCs w:val="1"/>
                <w:color w:val="auto"/>
              </w:rPr>
            </w:pPr>
          </w:p>
        </w:tc>
        <w:tc>
          <w:tcPr>
            <w:tcW w:w="960" w:type="dxa"/>
            <w:vAlign w:val="bottom"/>
            <w:shd w:val="clear" w:color="auto" w:fill="71BF43"/>
          </w:tcPr>
          <w:p>
            <w:pPr>
              <w:spacing w:after="0" w:line="20" w:lineRule="exact"/>
              <w:rPr>
                <w:sz w:val="1"/>
                <w:szCs w:val="1"/>
                <w:color w:val="auto"/>
              </w:rPr>
            </w:pPr>
          </w:p>
        </w:tc>
        <w:tc>
          <w:tcPr>
            <w:tcW w:w="360" w:type="dxa"/>
            <w:vAlign w:val="bottom"/>
            <w:shd w:val="clear" w:color="auto" w:fill="71BF43"/>
          </w:tcPr>
          <w:p>
            <w:pPr>
              <w:spacing w:after="0" w:line="20" w:lineRule="exact"/>
              <w:rPr>
                <w:sz w:val="1"/>
                <w:szCs w:val="1"/>
                <w:color w:val="auto"/>
              </w:rPr>
            </w:pPr>
          </w:p>
        </w:tc>
        <w:tc>
          <w:tcPr>
            <w:tcW w:w="960" w:type="dxa"/>
            <w:vAlign w:val="bottom"/>
            <w:shd w:val="clear" w:color="auto" w:fill="71BF43"/>
          </w:tcPr>
          <w:p>
            <w:pPr>
              <w:spacing w:after="0" w:line="20" w:lineRule="exact"/>
              <w:rPr>
                <w:sz w:val="1"/>
                <w:szCs w:val="1"/>
                <w:color w:val="auto"/>
              </w:rPr>
            </w:pPr>
          </w:p>
        </w:tc>
        <w:tc>
          <w:tcPr>
            <w:tcW w:w="100" w:type="dxa"/>
            <w:vAlign w:val="bottom"/>
            <w:shd w:val="clear" w:color="auto" w:fill="71BF43"/>
          </w:tcPr>
          <w:p>
            <w:pPr>
              <w:spacing w:after="0" w:line="20" w:lineRule="exact"/>
              <w:rPr>
                <w:sz w:val="1"/>
                <w:szCs w:val="1"/>
                <w:color w:val="auto"/>
              </w:rPr>
            </w:pPr>
          </w:p>
        </w:tc>
        <w:tc>
          <w:tcPr>
            <w:tcW w:w="360" w:type="dxa"/>
            <w:vAlign w:val="bottom"/>
            <w:shd w:val="clear" w:color="auto" w:fill="71BF43"/>
          </w:tcPr>
          <w:p>
            <w:pPr>
              <w:spacing w:after="0" w:line="20" w:lineRule="exact"/>
              <w:rPr>
                <w:sz w:val="1"/>
                <w:szCs w:val="1"/>
                <w:color w:val="auto"/>
              </w:rPr>
            </w:pPr>
          </w:p>
        </w:tc>
        <w:tc>
          <w:tcPr>
            <w:tcW w:w="960" w:type="dxa"/>
            <w:vAlign w:val="bottom"/>
            <w:shd w:val="clear" w:color="auto" w:fill="71BF43"/>
          </w:tcPr>
          <w:p>
            <w:pPr>
              <w:spacing w:after="0" w:line="20" w:lineRule="exact"/>
              <w:rPr>
                <w:sz w:val="1"/>
                <w:szCs w:val="1"/>
                <w:color w:val="auto"/>
              </w:rPr>
            </w:pPr>
          </w:p>
        </w:tc>
        <w:tc>
          <w:tcPr>
            <w:tcW w:w="340" w:type="dxa"/>
            <w:vAlign w:val="bottom"/>
            <w:shd w:val="clear" w:color="auto" w:fill="71BF43"/>
          </w:tcPr>
          <w:p>
            <w:pPr>
              <w:spacing w:after="0" w:line="20" w:lineRule="exact"/>
              <w:rPr>
                <w:sz w:val="1"/>
                <w:szCs w:val="1"/>
                <w:color w:val="auto"/>
              </w:rPr>
            </w:pPr>
          </w:p>
        </w:tc>
        <w:tc>
          <w:tcPr>
            <w:tcW w:w="96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-1096645</wp:posOffset>
            </wp:positionV>
            <wp:extent cx="34029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22</w:t>
      </w:r>
      <w:r>
        <w:rPr>
          <w:sz w:val="20"/>
          <w:szCs w:val="20"/>
          <w:color w:val="auto"/>
        </w:rPr>
        <w:tab/>
      </w:r>
      <w:r>
        <w:rPr>
          <w:sz w:val="1"/>
          <w:szCs w:val="1"/>
          <w:color w:val="auto"/>
        </w:rPr>
        <w:drawing>
          <wp:inline distT="0" distB="0" distL="0" distR="0">
            <wp:extent cx="651510" cy="17145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recurring revenue by type: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228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960" w:type="dxa"/>
            <w:vAlign w:val="bottom"/>
            <w:shd w:val="clear" w:color="auto" w:fill="ACACAC"/>
          </w:tcPr>
          <w:p>
            <w:pPr>
              <w:spacing w:after="0"/>
              <w:rPr>
                <w:sz w:val="16"/>
                <w:szCs w:val="16"/>
                <w:color w:val="auto"/>
              </w:rPr>
            </w:pPr>
          </w:p>
        </w:tc>
        <w:tc>
          <w:tcPr>
            <w:tcW w:w="130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Six months ended</w:t>
            </w:r>
          </w:p>
        </w:tc>
        <w:tc>
          <w:tcPr>
            <w:tcW w:w="20" w:type="dxa"/>
            <w:vAlign w:val="bottom"/>
            <w:shd w:val="clear" w:color="auto" w:fill="ACACAC"/>
          </w:tcPr>
          <w:p>
            <w:pPr>
              <w:spacing w:after="0"/>
              <w:rPr>
                <w:sz w:val="16"/>
                <w:szCs w:val="16"/>
                <w:color w:val="auto"/>
              </w:rPr>
            </w:pPr>
          </w:p>
        </w:tc>
      </w:tr>
      <w:tr>
        <w:trPr>
          <w:trHeight w:val="190"/>
        </w:trPr>
        <w:tc>
          <w:tcPr>
            <w:tcW w:w="590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960" w:type="dxa"/>
            <w:vAlign w:val="bottom"/>
            <w:shd w:val="clear" w:color="auto" w:fill="ACACAC"/>
          </w:tcPr>
          <w:p>
            <w:pPr>
              <w:spacing w:after="0"/>
              <w:rPr>
                <w:sz w:val="16"/>
                <w:szCs w:val="16"/>
                <w:color w:val="auto"/>
              </w:rPr>
            </w:pPr>
          </w:p>
        </w:tc>
        <w:tc>
          <w:tcPr>
            <w:tcW w:w="200" w:type="dxa"/>
            <w:vAlign w:val="bottom"/>
            <w:shd w:val="clear" w:color="auto" w:fill="ACACAC"/>
          </w:tcPr>
          <w:p>
            <w:pPr>
              <w:spacing w:after="0"/>
              <w:rPr>
                <w:sz w:val="16"/>
                <w:szCs w:val="16"/>
                <w:color w:val="auto"/>
              </w:rPr>
            </w:pPr>
          </w:p>
        </w:tc>
        <w:tc>
          <w:tcPr>
            <w:tcW w:w="11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100" w:type="dxa"/>
            <w:vAlign w:val="bottom"/>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96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20" w:type="dxa"/>
            <w:vAlign w:val="bottom"/>
            <w:shd w:val="clear" w:color="auto" w:fill="ACACAC"/>
          </w:tcPr>
          <w:p>
            <w:pPr>
              <w:spacing w:after="0"/>
              <w:rPr>
                <w:sz w:val="16"/>
                <w:szCs w:val="16"/>
                <w:color w:val="auto"/>
              </w:rPr>
            </w:pPr>
          </w:p>
        </w:tc>
      </w:tr>
      <w:tr>
        <w:trPr>
          <w:trHeight w:val="242"/>
        </w:trPr>
        <w:tc>
          <w:tcPr>
            <w:tcW w:w="5900" w:type="dxa"/>
            <w:vAlign w:val="bottom"/>
            <w:tcBorders>
              <w:bottom w:val="single" w:sz="8" w:color="F4F4F4"/>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40" w:type="dxa"/>
            <w:vAlign w:val="bottom"/>
            <w:tcBorders>
              <w:bottom w:val="single" w:sz="8" w:color="ACACAC"/>
            </w:tcBorders>
            <w:shd w:val="clear" w:color="auto" w:fill="ACACAC"/>
          </w:tcPr>
          <w:p>
            <w:pPr>
              <w:spacing w:after="0"/>
              <w:rPr>
                <w:sz w:val="21"/>
                <w:szCs w:val="21"/>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200" w:type="dxa"/>
            <w:vAlign w:val="bottom"/>
            <w:tcBorders>
              <w:bottom w:val="single" w:sz="8" w:color="ACACAC"/>
            </w:tcBorders>
            <w:shd w:val="clear" w:color="auto" w:fill="ACACAC"/>
          </w:tcPr>
          <w:p>
            <w:pPr>
              <w:spacing w:after="0"/>
              <w:rPr>
                <w:sz w:val="21"/>
                <w:szCs w:val="21"/>
                <w:color w:val="auto"/>
              </w:rPr>
            </w:pPr>
          </w:p>
        </w:tc>
        <w:tc>
          <w:tcPr>
            <w:tcW w:w="11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00" w:type="dxa"/>
            <w:vAlign w:val="bottom"/>
            <w:tcBorders>
              <w:bottom w:val="single" w:sz="8" w:color="F4F4F4"/>
            </w:tcBorders>
          </w:tcPr>
          <w:p>
            <w:pPr>
              <w:spacing w:after="0"/>
              <w:rPr>
                <w:sz w:val="21"/>
                <w:szCs w:val="21"/>
                <w:color w:val="auto"/>
              </w:rPr>
            </w:pPr>
          </w:p>
        </w:tc>
        <w:tc>
          <w:tcPr>
            <w:tcW w:w="360" w:type="dxa"/>
            <w:vAlign w:val="bottom"/>
            <w:tcBorders>
              <w:bottom w:val="single" w:sz="8" w:color="ACACAC"/>
            </w:tcBorders>
            <w:shd w:val="clear" w:color="auto" w:fill="ACACAC"/>
          </w:tcPr>
          <w:p>
            <w:pPr>
              <w:spacing w:after="0"/>
              <w:rPr>
                <w:sz w:val="21"/>
                <w:szCs w:val="21"/>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340" w:type="dxa"/>
            <w:vAlign w:val="bottom"/>
            <w:tcBorders>
              <w:bottom w:val="single" w:sz="8" w:color="ACACAC"/>
            </w:tcBorders>
            <w:shd w:val="clear" w:color="auto" w:fill="ACACAC"/>
          </w:tcPr>
          <w:p>
            <w:pPr>
              <w:spacing w:after="0"/>
              <w:rPr>
                <w:sz w:val="21"/>
                <w:szCs w:val="21"/>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ACACAC"/>
            </w:tcBorders>
            <w:shd w:val="clear" w:color="auto" w:fill="ACACAC"/>
          </w:tcPr>
          <w:p>
            <w:pPr>
              <w:spacing w:after="0"/>
              <w:rPr>
                <w:sz w:val="21"/>
                <w:szCs w:val="21"/>
                <w:color w:val="auto"/>
              </w:rPr>
            </w:pPr>
          </w:p>
        </w:tc>
      </w:tr>
      <w:tr>
        <w:trPr>
          <w:trHeight w:val="243"/>
        </w:trPr>
        <w:tc>
          <w:tcPr>
            <w:tcW w:w="59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Contractual recurring</w:t>
            </w:r>
          </w:p>
        </w:tc>
        <w:tc>
          <w:tcPr>
            <w:tcW w:w="34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177,350</w:t>
            </w:r>
          </w:p>
        </w:tc>
        <w:tc>
          <w:tcPr>
            <w:tcW w:w="2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151,150</w:t>
            </w:r>
          </w:p>
        </w:tc>
        <w:tc>
          <w:tcPr>
            <w:tcW w:w="460" w:type="dxa"/>
            <w:vAlign w:val="bottom"/>
            <w:tcBorders>
              <w:bottom w:val="single" w:sz="8" w:color="F4F4F4"/>
            </w:tcBorders>
            <w:gridSpan w:val="2"/>
            <w:shd w:val="clear" w:color="auto" w:fill="F4F4F4"/>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351,882</w:t>
            </w:r>
          </w:p>
        </w:tc>
        <w:tc>
          <w:tcPr>
            <w:tcW w:w="340" w:type="dxa"/>
            <w:vAlign w:val="bottom"/>
            <w:tcBorders>
              <w:bottom w:val="single" w:sz="8" w:color="F4F4F4"/>
            </w:tcBorders>
            <w:shd w:val="clear" w:color="auto" w:fill="F4F4F4"/>
          </w:tcPr>
          <w:p>
            <w:pPr>
              <w:jc w:val="right"/>
              <w:ind w:right="15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297,971</w:t>
            </w:r>
          </w:p>
        </w:tc>
        <w:tc>
          <w:tcPr>
            <w:tcW w:w="20" w:type="dxa"/>
            <w:vAlign w:val="bottom"/>
          </w:tcPr>
          <w:p>
            <w:pPr>
              <w:spacing w:after="0"/>
              <w:rPr>
                <w:sz w:val="21"/>
                <w:szCs w:val="21"/>
                <w:color w:val="auto"/>
              </w:rPr>
            </w:pP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Transactional recurring</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75,157</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65,836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145,291</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125,765</w:t>
            </w:r>
          </w:p>
        </w:tc>
        <w:tc>
          <w:tcPr>
            <w:tcW w:w="20" w:type="dxa"/>
            <w:vAlign w:val="bottom"/>
          </w:tcPr>
          <w:p>
            <w:pPr>
              <w:spacing w:after="0"/>
              <w:rPr>
                <w:sz w:val="21"/>
                <w:szCs w:val="21"/>
                <w:color w:val="auto"/>
              </w:rPr>
            </w:pPr>
          </w:p>
        </w:tc>
      </w:tr>
      <w:tr>
        <w:trPr>
          <w:trHeight w:val="27"/>
        </w:trPr>
        <w:tc>
          <w:tcPr>
            <w:tcW w:w="5900" w:type="dxa"/>
            <w:vAlign w:val="bottom"/>
            <w:tcBorders>
              <w:bottom w:val="single" w:sz="8" w:color="F4F4F4"/>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8"/>
        </w:trPr>
        <w:tc>
          <w:tcPr>
            <w:tcW w:w="590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Total recurring revenue</w:t>
            </w:r>
          </w:p>
        </w:tc>
        <w:tc>
          <w:tcPr>
            <w:tcW w:w="34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252,507</w:t>
            </w:r>
          </w:p>
        </w:tc>
        <w:tc>
          <w:tcPr>
            <w:tcW w:w="2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216,986</w:t>
            </w:r>
          </w:p>
        </w:tc>
        <w:tc>
          <w:tcPr>
            <w:tcW w:w="460" w:type="dxa"/>
            <w:vAlign w:val="bottom"/>
            <w:tcBorders>
              <w:bottom w:val="single" w:sz="8" w:color="F4F4F4"/>
            </w:tcBorders>
            <w:gridSpan w:val="2"/>
            <w:shd w:val="clear" w:color="auto" w:fill="F4F4F4"/>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497,173</w:t>
            </w:r>
          </w:p>
        </w:tc>
        <w:tc>
          <w:tcPr>
            <w:tcW w:w="340" w:type="dxa"/>
            <w:vAlign w:val="bottom"/>
            <w:tcBorders>
              <w:bottom w:val="single" w:sz="8" w:color="F4F4F4"/>
            </w:tcBorders>
            <w:shd w:val="clear" w:color="auto" w:fill="F4F4F4"/>
          </w:tcPr>
          <w:p>
            <w:pPr>
              <w:jc w:val="right"/>
              <w:ind w:right="15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423,736</w:t>
            </w:r>
          </w:p>
        </w:tc>
        <w:tc>
          <w:tcPr>
            <w:tcW w:w="20" w:type="dxa"/>
            <w:vAlign w:val="bottom"/>
          </w:tcPr>
          <w:p>
            <w:pPr>
              <w:spacing w:after="0"/>
              <w:rPr>
                <w:sz w:val="22"/>
                <w:szCs w:val="22"/>
                <w:color w:val="auto"/>
              </w:rPr>
            </w:pPr>
          </w:p>
        </w:tc>
      </w:tr>
      <w:tr>
        <w:trPr>
          <w:trHeight w:val="683"/>
        </w:trPr>
        <w:tc>
          <w:tcPr>
            <w:tcW w:w="5900" w:type="dxa"/>
            <w:vAlign w:val="bottom"/>
            <w:tcBorders>
              <w:top w:val="single" w:sz="8" w:color="8CBE4F"/>
            </w:tcBorders>
          </w:tcPr>
          <w:p>
            <w:pPr>
              <w:spacing w:after="0"/>
              <w:rPr>
                <w:sz w:val="24"/>
                <w:szCs w:val="24"/>
                <w:color w:val="auto"/>
              </w:rPr>
            </w:pPr>
          </w:p>
        </w:tc>
        <w:tc>
          <w:tcPr>
            <w:tcW w:w="340" w:type="dxa"/>
            <w:vAlign w:val="bottom"/>
            <w:tcBorders>
              <w:top w:val="single" w:sz="8" w:color="8CBE4F"/>
            </w:tcBorders>
          </w:tcPr>
          <w:p>
            <w:pPr>
              <w:spacing w:after="0"/>
              <w:rPr>
                <w:sz w:val="24"/>
                <w:szCs w:val="24"/>
                <w:color w:val="auto"/>
              </w:rPr>
            </w:pPr>
          </w:p>
        </w:tc>
        <w:tc>
          <w:tcPr>
            <w:tcW w:w="960" w:type="dxa"/>
            <w:vAlign w:val="bottom"/>
            <w:tcBorders>
              <w:top w:val="single" w:sz="8" w:color="8CBE4F"/>
            </w:tcBorders>
          </w:tcPr>
          <w:p>
            <w:pPr>
              <w:spacing w:after="0"/>
              <w:rPr>
                <w:sz w:val="24"/>
                <w:szCs w:val="24"/>
                <w:color w:val="auto"/>
              </w:rPr>
            </w:pPr>
          </w:p>
        </w:tc>
        <w:tc>
          <w:tcPr>
            <w:tcW w:w="200" w:type="dxa"/>
            <w:vAlign w:val="bottom"/>
            <w:tcBorders>
              <w:top w:val="single" w:sz="8" w:color="8CBE4F"/>
            </w:tcBorders>
          </w:tcPr>
          <w:p>
            <w:pPr>
              <w:spacing w:after="0"/>
              <w:rPr>
                <w:sz w:val="24"/>
                <w:szCs w:val="24"/>
                <w:color w:val="auto"/>
              </w:rPr>
            </w:pPr>
          </w:p>
        </w:tc>
        <w:tc>
          <w:tcPr>
            <w:tcW w:w="2540" w:type="dxa"/>
            <w:vAlign w:val="bottom"/>
            <w:tcBorders>
              <w:top w:val="single" w:sz="8" w:color="8CBE4F"/>
            </w:tcBorders>
            <w:gridSpan w:val="4"/>
          </w:tcPr>
          <w:p>
            <w:pPr>
              <w:jc w:val="right"/>
              <w:ind w:right="275"/>
              <w:spacing w:after="0"/>
              <w:rPr>
                <w:sz w:val="20"/>
                <w:szCs w:val="20"/>
                <w:color w:val="auto"/>
              </w:rPr>
            </w:pPr>
            <w:r>
              <w:rPr>
                <w:rFonts w:ascii="Arial" w:cs="Arial" w:eastAsia="Arial" w:hAnsi="Arial"/>
                <w:sz w:val="14"/>
                <w:szCs w:val="14"/>
                <w:color w:val="auto"/>
              </w:rPr>
              <w:t>Second Quarter 2022 Form 10-Q</w:t>
            </w:r>
          </w:p>
        </w:tc>
        <w:tc>
          <w:tcPr>
            <w:tcW w:w="340" w:type="dxa"/>
            <w:vAlign w:val="bottom"/>
            <w:tcBorders>
              <w:top w:val="single" w:sz="8" w:color="8CBE4F"/>
            </w:tcBorders>
          </w:tcPr>
          <w:p>
            <w:pPr>
              <w:spacing w:after="0"/>
              <w:rPr>
                <w:sz w:val="24"/>
                <w:szCs w:val="24"/>
                <w:color w:val="auto"/>
              </w:rPr>
            </w:pPr>
          </w:p>
        </w:tc>
        <w:tc>
          <w:tcPr>
            <w:tcW w:w="960" w:type="dxa"/>
            <w:vAlign w:val="bottom"/>
            <w:tcBorders>
              <w:top w:val="single" w:sz="8" w:color="8CBE4F"/>
            </w:tcBorders>
          </w:tcPr>
          <w:p>
            <w:pPr>
              <w:jc w:val="right"/>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24"/>
                <w:szCs w:val="24"/>
                <w:color w:val="auto"/>
              </w:rPr>
            </w:pPr>
          </w:p>
        </w:tc>
      </w:tr>
      <w:tr>
        <w:trPr>
          <w:trHeight w:val="329"/>
        </w:trPr>
        <w:tc>
          <w:tcPr>
            <w:tcW w:w="5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-1345565</wp:posOffset>
            </wp:positionV>
            <wp:extent cx="34029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0296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-376555</wp:posOffset>
            </wp:positionV>
            <wp:extent cx="659765"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600"/>
        <w:spacing w:after="0" w:line="278" w:lineRule="auto"/>
        <w:rPr>
          <w:sz w:val="20"/>
          <w:szCs w:val="20"/>
          <w:color w:val="auto"/>
        </w:rPr>
      </w:pPr>
      <w:r>
        <w:rPr>
          <w:rFonts w:ascii="Arial" w:cs="Arial" w:eastAsia="Arial" w:hAnsi="Arial"/>
          <w:sz w:val="29"/>
          <w:szCs w:val="29"/>
          <w:b w:val="1"/>
          <w:bCs w:val="1"/>
          <w:color w:val="71BF43"/>
        </w:rPr>
        <w:t>ITEM 2. MANAGEMENT'S DISCUSSION AND ANALYSIS OF FINANCIAL CONDITION AND RESULTS OF OPERATIONS</w:t>
      </w:r>
    </w:p>
    <w:p>
      <w:pPr>
        <w:spacing w:after="0" w:line="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related notes included elsewhere in this Quarterly Report on Form 10-Q. The following discussion and analysis presents financial information denominated in millions of dollars which can lead to differences from rounding when compared to similar information contained in the unaudited, condensed consolidated financial statements and related notes which are primarily denominated in thousands of dollars.</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the world’s leading cloud software company powering social good. Serving the entire social good community—nonprofits, higher education institutions, K–12 schools, healthcare organizations, faith communities, arts and cultural organizations, foundations, companies and individual change agents—we connect and empower organizations to increase their impact through cloud software, services, expertise and data intelligence. Our portfolio is tailored to the unique needs of vertical markets, with solutions for fundraising and CRM, marketing, advocacy, peer-to-peer fundraising, corporate social responsibility (CSR) and environmental, social and governance (ESG), school management, ticketing, grantmaking, financial management, payment processing and analytics. Serving the industry for more than four decades, we are a remote-first company headquartered in Charleston, South Carolina, with operations in the United States, Australia, Canada, Costa Rica and the United Kingdom.</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revenue is primarily generated from the following sources: (i) charging for the use of our software solutions in cloud and hosted environments; (ii) providing payment and transactional services; (iii) providing software maintenance and support services; (iv) providing Impact-as-a-Service</w:t>
      </w:r>
      <w:r>
        <w:rPr>
          <w:rFonts w:ascii="Arial" w:cs="Arial" w:eastAsia="Arial" w:hAnsi="Arial"/>
          <w:sz w:val="18"/>
          <w:szCs w:val="18"/>
          <w:i w:val="1"/>
          <w:iCs w:val="1"/>
          <w:color w:val="auto"/>
        </w:rPr>
        <w:t>™</w:t>
      </w:r>
      <w:r>
        <w:rPr>
          <w:rFonts w:ascii="Arial" w:cs="Arial" w:eastAsia="Arial" w:hAnsi="Arial"/>
          <w:sz w:val="18"/>
          <w:szCs w:val="18"/>
          <w:color w:val="auto"/>
        </w:rPr>
        <w:t xml:space="preserve"> digital educational content; and (v) providing professional services, including implementation, consulting, training, analytic and other services.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economic impact of COVID-19 on the social good industry remains somewhat uncertain, although we are seeing signs of recovery in the industry. Our end markets continue to display resilience in the post-pandemic recovery with a digital-first mindset. In February 2022, the Blackbaud Institute released its annual Charitable Giving Report, which reported that overall giving in 2021 grew 9% with the percent of giving done online up significantly from pre-pandemic levels and holding steady in the low-teens. Nearly 30% of those online donations are being made on a mobile device, which we see as a long-term positive as we equip organizations to process mobile donations and optimize mobile user interfaces. If our existing and prospective customers remain cautious in their purchase decisions, our operating environment may continue to be challenging. Notwithstanding these conditions, we remain focused on continuing to execute our four-point strategy and strengthening our leadership position.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Four-Point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140335</wp:posOffset>
            </wp:positionV>
            <wp:extent cx="265430" cy="1968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5430" cy="196850"/>
                    </a:xfrm>
                    <a:prstGeom prst="rect">
                      <a:avLst/>
                    </a:prstGeom>
                    <a:noFill/>
                  </pic:spPr>
                </pic:pic>
              </a:graphicData>
            </a:graphic>
          </wp:anchor>
        </w:drawing>
      </w:r>
    </w:p>
    <w:p>
      <w:pPr>
        <w:spacing w:after="0" w:line="219" w:lineRule="exact"/>
        <w:rPr>
          <w:sz w:val="20"/>
          <w:szCs w:val="20"/>
          <w:color w:val="auto"/>
        </w:rPr>
      </w:pPr>
    </w:p>
    <w:p>
      <w:pPr>
        <w:ind w:left="1300" w:hanging="471"/>
        <w:spacing w:after="0"/>
        <w:tabs>
          <w:tab w:leader="none" w:pos="1300" w:val="left"/>
        </w:tabs>
        <w:numPr>
          <w:ilvl w:val="0"/>
          <w:numId w:val="14"/>
        </w:numPr>
        <w:rPr>
          <w:rFonts w:ascii="Arial" w:cs="Arial" w:eastAsia="Arial" w:hAnsi="Arial"/>
          <w:sz w:val="18"/>
          <w:szCs w:val="18"/>
          <w:b w:val="1"/>
          <w:bCs w:val="1"/>
          <w:color w:val="FFFFFF"/>
        </w:rPr>
      </w:pPr>
      <w:r>
        <w:rPr>
          <w:rFonts w:ascii="Arial" w:cs="Arial" w:eastAsia="Arial" w:hAnsi="Arial"/>
          <w:sz w:val="18"/>
          <w:szCs w:val="18"/>
          <w:b w:val="1"/>
          <w:bCs w:val="1"/>
          <w:color w:val="auto"/>
        </w:rPr>
        <w:t>Expand Total Addressable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265430" cy="1974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5430" cy="197485"/>
                    </a:xfrm>
                    <a:prstGeom prst="rect">
                      <a:avLst/>
                    </a:prstGeom>
                    <a:noFill/>
                  </pic:spPr>
                </pic:pic>
              </a:graphicData>
            </a:graphic>
          </wp:anchor>
        </w:drawing>
      </w:r>
    </w:p>
    <w:p>
      <w:pPr>
        <w:spacing w:after="0" w:line="192" w:lineRule="exact"/>
        <w:rPr>
          <w:sz w:val="20"/>
          <w:szCs w:val="20"/>
          <w:color w:val="auto"/>
        </w:rPr>
      </w:pPr>
    </w:p>
    <w:p>
      <w:pPr>
        <w:ind w:left="1300" w:hanging="471"/>
        <w:spacing w:after="0"/>
        <w:tabs>
          <w:tab w:leader="none" w:pos="1300" w:val="left"/>
        </w:tabs>
        <w:numPr>
          <w:ilvl w:val="0"/>
          <w:numId w:val="15"/>
        </w:numPr>
        <w:rPr>
          <w:rFonts w:ascii="Arial" w:cs="Arial" w:eastAsia="Arial" w:hAnsi="Arial"/>
          <w:sz w:val="18"/>
          <w:szCs w:val="18"/>
          <w:b w:val="1"/>
          <w:bCs w:val="1"/>
          <w:color w:val="FFFFFF"/>
        </w:rPr>
      </w:pPr>
      <w:r>
        <w:rPr>
          <w:rFonts w:ascii="Arial" w:cs="Arial" w:eastAsia="Arial" w:hAnsi="Arial"/>
          <w:sz w:val="18"/>
          <w:szCs w:val="18"/>
          <w:b w:val="1"/>
          <w:bCs w:val="1"/>
          <w:color w:val="auto"/>
        </w:rPr>
        <w:t>Lead with World Class Teams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265430" cy="1968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5430" cy="196850"/>
                    </a:xfrm>
                    <a:prstGeom prst="rect">
                      <a:avLst/>
                    </a:prstGeom>
                    <a:noFill/>
                  </pic:spPr>
                </pic:pic>
              </a:graphicData>
            </a:graphic>
          </wp:anchor>
        </w:drawing>
      </w:r>
    </w:p>
    <w:p>
      <w:pPr>
        <w:spacing w:after="0" w:line="192" w:lineRule="exact"/>
        <w:rPr>
          <w:sz w:val="20"/>
          <w:szCs w:val="20"/>
          <w:color w:val="auto"/>
        </w:rPr>
      </w:pPr>
    </w:p>
    <w:p>
      <w:pPr>
        <w:ind w:left="1300" w:hanging="471"/>
        <w:spacing w:after="0"/>
        <w:tabs>
          <w:tab w:leader="none" w:pos="1300" w:val="left"/>
        </w:tabs>
        <w:numPr>
          <w:ilvl w:val="0"/>
          <w:numId w:val="16"/>
        </w:numPr>
        <w:rPr>
          <w:rFonts w:ascii="Arial" w:cs="Arial" w:eastAsia="Arial" w:hAnsi="Arial"/>
          <w:sz w:val="18"/>
          <w:szCs w:val="18"/>
          <w:b w:val="1"/>
          <w:bCs w:val="1"/>
          <w:color w:val="FFFFFF"/>
        </w:rPr>
      </w:pPr>
      <w:r>
        <w:rPr>
          <w:rFonts w:ascii="Arial" w:cs="Arial" w:eastAsia="Arial" w:hAnsi="Arial"/>
          <w:sz w:val="18"/>
          <w:szCs w:val="18"/>
          <w:b w:val="1"/>
          <w:bCs w:val="1"/>
          <w:color w:val="auto"/>
        </w:rPr>
        <w:t>Delight Customers with Innovative Cloud Solutions</w:t>
      </w:r>
    </w:p>
    <w:p>
      <w:pPr>
        <w:spacing w:after="0" w:line="211" w:lineRule="exact"/>
        <w:rPr>
          <w:rFonts w:ascii="Arial" w:cs="Arial" w:eastAsia="Arial" w:hAnsi="Arial"/>
          <w:sz w:val="18"/>
          <w:szCs w:val="18"/>
          <w:b w:val="1"/>
          <w:bCs w:val="1"/>
          <w:color w:val="FFFFFF"/>
        </w:rPr>
      </w:pPr>
    </w:p>
    <w:p>
      <w:pPr>
        <w:ind w:left="820"/>
        <w:spacing w:after="0"/>
        <w:rPr>
          <w:rFonts w:ascii="Arial" w:cs="Arial" w:eastAsia="Arial" w:hAnsi="Arial"/>
          <w:sz w:val="18"/>
          <w:szCs w:val="18"/>
          <w:b w:val="1"/>
          <w:bCs w:val="1"/>
          <w:color w:val="FFFFFF"/>
        </w:rPr>
      </w:pPr>
      <w:r>
        <w:rPr>
          <w:rFonts w:ascii="Arial" w:cs="Arial" w:eastAsia="Arial" w:hAnsi="Arial"/>
          <w:sz w:val="18"/>
          <w:szCs w:val="18"/>
          <w:b w:val="1"/>
          <w:bCs w:val="1"/>
          <w:color w:val="FFFFFF"/>
        </w:rPr>
        <w:t>4</w:t>
      </w:r>
      <w:r>
        <w:rPr>
          <w:rFonts w:ascii="Arial" w:cs="Arial" w:eastAsia="Arial" w:hAnsi="Arial"/>
          <w:sz w:val="17"/>
          <w:szCs w:val="17"/>
          <w:b w:val="1"/>
          <w:bCs w:val="1"/>
          <w:color w:val="auto"/>
        </w:rPr>
        <w:t>Focus on Employees, Culture and ESG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-142240</wp:posOffset>
            </wp:positionV>
            <wp:extent cx="265430" cy="1968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5430" cy="1968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24</w:t>
      </w:r>
      <w:r>
        <w:rPr>
          <w:sz w:val="20"/>
          <w:szCs w:val="20"/>
          <w:color w:val="auto"/>
        </w:rPr>
        <w:tab/>
      </w:r>
      <w:r>
        <w:rPr>
          <w:sz w:val="1"/>
          <w:szCs w:val="1"/>
          <w:color w:val="auto"/>
        </w:rPr>
        <w:drawing>
          <wp:inline distT="0" distB="0" distL="0" distR="0">
            <wp:extent cx="651510" cy="17145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Expand Total Addressable Market ("TAM")</w:t>
      </w:r>
    </w:p>
    <w:p>
      <w:pPr>
        <w:spacing w:after="0" w:line="189" w:lineRule="exact"/>
        <w:rPr>
          <w:rFonts w:ascii="Arial" w:cs="Arial" w:eastAsia="Arial" w:hAnsi="Arial"/>
          <w:sz w:val="18"/>
          <w:szCs w:val="18"/>
          <w:i w:val="1"/>
          <w:iCs w:val="1"/>
          <w:color w:val="auto"/>
        </w:rPr>
      </w:pPr>
    </w:p>
    <w:p>
      <w:pPr>
        <w:jc w:val="both"/>
        <w:ind w:left="340"/>
        <w:spacing w:after="0" w:line="253" w:lineRule="auto"/>
        <w:rPr>
          <w:rFonts w:ascii="Arial" w:cs="Arial" w:eastAsia="Arial" w:hAnsi="Arial"/>
          <w:sz w:val="18"/>
          <w:szCs w:val="18"/>
          <w:i w:val="1"/>
          <w:iCs w:val="1"/>
          <w:color w:val="auto"/>
        </w:rPr>
      </w:pPr>
      <w:r>
        <w:rPr>
          <w:rFonts w:ascii="Arial" w:cs="Arial" w:eastAsia="Arial" w:hAnsi="Arial"/>
          <w:sz w:val="18"/>
          <w:szCs w:val="18"/>
          <w:color w:val="auto"/>
        </w:rPr>
        <w:t>In December 2021, we doubled our TAM when we acquired EVERFI, an industry leader in global social impact technology. Adding EVERFI advances our position as a leader in the rapidly evolving ESG and CSR spaces and offers cross-selling and upselling opportunities through complementary product offerings with YourCause® solutions. Our TAM now stands at over $20 billion, and we remain active in the evaluation of opportunities to further expand our addressable market through acquisitions and internal product development.</w:t>
      </w:r>
    </w:p>
    <w:p>
      <w:pPr>
        <w:spacing w:after="0" w:line="133" w:lineRule="exact"/>
        <w:rPr>
          <w:rFonts w:ascii="Arial" w:cs="Arial" w:eastAsia="Arial" w:hAnsi="Arial"/>
          <w:sz w:val="18"/>
          <w:szCs w:val="18"/>
          <w:i w:val="1"/>
          <w:iCs w:val="1"/>
          <w:color w:val="auto"/>
        </w:rPr>
      </w:pPr>
    </w:p>
    <w:p>
      <w:pPr>
        <w:ind w:left="320" w:hanging="312"/>
        <w:spacing w:after="0"/>
        <w:tabs>
          <w:tab w:leader="none" w:pos="3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Lead with World Class Teams and Operations</w:t>
      </w:r>
    </w:p>
    <w:p>
      <w:pPr>
        <w:spacing w:after="0" w:line="189" w:lineRule="exact"/>
        <w:rPr>
          <w:rFonts w:ascii="Arial" w:cs="Arial" w:eastAsia="Arial" w:hAnsi="Arial"/>
          <w:sz w:val="18"/>
          <w:szCs w:val="18"/>
          <w:i w:val="1"/>
          <w:iCs w:val="1"/>
          <w:color w:val="auto"/>
        </w:rPr>
      </w:pPr>
    </w:p>
    <w:p>
      <w:pPr>
        <w:jc w:val="both"/>
        <w:ind w:left="340"/>
        <w:spacing w:after="0" w:line="252" w:lineRule="auto"/>
        <w:rPr>
          <w:rFonts w:ascii="Arial" w:cs="Arial" w:eastAsia="Arial" w:hAnsi="Arial"/>
          <w:sz w:val="18"/>
          <w:szCs w:val="18"/>
          <w:i w:val="1"/>
          <w:iCs w:val="1"/>
          <w:color w:val="auto"/>
        </w:rPr>
      </w:pPr>
      <w:r>
        <w:rPr>
          <w:rFonts w:ascii="Arial" w:cs="Arial" w:eastAsia="Arial" w:hAnsi="Arial"/>
          <w:sz w:val="18"/>
          <w:szCs w:val="18"/>
          <w:color w:val="auto"/>
        </w:rPr>
        <w:t>This strategy expands upon our previous strategies to drive sales effectiveness and improve operating efficiency to include improving overall company performance as measured by the Rule of 40 (see discussion of Non-GAAP Financial Measures below). We recently announced a series of strategic organizational updates to streamline our business operations and become even more customer centric. We created three new roles: Chief Operating Officer, Chief Commercial Officer and Executive Vice President of Corporations. We believe the appointments for these new roles will: ensure consistency in our approach to the customer experience; further streamline and simplify our go-to-market efforts to maximize our outcomes as a global company; and further align our YourCause and EVERFI offerings and continue our investment in being the partner of choice for corporations focused on social responsibility and impact. We also recently appointed a new member to our board of directors, who brings over 20 years of experience in technology and cybersecurity to our board.</w:t>
      </w:r>
    </w:p>
    <w:p>
      <w:pPr>
        <w:spacing w:after="0" w:line="133" w:lineRule="exact"/>
        <w:rPr>
          <w:rFonts w:ascii="Arial" w:cs="Arial" w:eastAsia="Arial" w:hAnsi="Arial"/>
          <w:sz w:val="18"/>
          <w:szCs w:val="18"/>
          <w:i w:val="1"/>
          <w:iCs w:val="1"/>
          <w:color w:val="auto"/>
        </w:rPr>
      </w:pPr>
    </w:p>
    <w:p>
      <w:pPr>
        <w:ind w:left="320" w:hanging="312"/>
        <w:spacing w:after="0"/>
        <w:tabs>
          <w:tab w:leader="none" w:pos="3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Delight Customers with Innovative Cloud Solutions</w:t>
      </w:r>
    </w:p>
    <w:p>
      <w:pPr>
        <w:spacing w:after="0" w:line="189" w:lineRule="exact"/>
        <w:rPr>
          <w:rFonts w:ascii="Arial" w:cs="Arial" w:eastAsia="Arial" w:hAnsi="Arial"/>
          <w:sz w:val="18"/>
          <w:szCs w:val="18"/>
          <w:i w:val="1"/>
          <w:iCs w:val="1"/>
          <w:color w:val="auto"/>
        </w:rPr>
      </w:pPr>
    </w:p>
    <w:p>
      <w:pPr>
        <w:jc w:val="both"/>
        <w:ind w:left="340"/>
        <w:spacing w:after="0" w:line="252" w:lineRule="auto"/>
        <w:rPr>
          <w:rFonts w:ascii="Arial" w:cs="Arial" w:eastAsia="Arial" w:hAnsi="Arial"/>
          <w:sz w:val="18"/>
          <w:szCs w:val="18"/>
          <w:i w:val="1"/>
          <w:iCs w:val="1"/>
          <w:color w:val="auto"/>
        </w:rPr>
      </w:pPr>
      <w:r>
        <w:rPr>
          <w:rFonts w:ascii="Arial" w:cs="Arial" w:eastAsia="Arial" w:hAnsi="Arial"/>
          <w:sz w:val="18"/>
          <w:szCs w:val="18"/>
          <w:color w:val="auto"/>
        </w:rPr>
        <w:t>We are excited about the role Blackbaud is playing in developing innovative solutions for our customers to diversify the way they receive and process donations. Recently, we announced the launch of Prospect Insights—a new software tool within Raiser's Edge NXT that automates in-app intelligence related to major giving likelihood and capacity, and then prescribes actions related to portfolio management and solicitation. Also, in June 2022, we held our annual developer conference focusing on the low-code movement and accessible technology with a high number of attendees. Feedback from the conference showed that a significant majority of attendees left feeling that Blackbaud empowers customers to improve usage and experience with our solutions.</w:t>
      </w:r>
    </w:p>
    <w:p>
      <w:pPr>
        <w:spacing w:after="0" w:line="135" w:lineRule="exact"/>
        <w:rPr>
          <w:rFonts w:ascii="Arial" w:cs="Arial" w:eastAsia="Arial" w:hAnsi="Arial"/>
          <w:sz w:val="18"/>
          <w:szCs w:val="18"/>
          <w:i w:val="1"/>
          <w:iCs w:val="1"/>
          <w:color w:val="auto"/>
        </w:rPr>
      </w:pPr>
    </w:p>
    <w:p>
      <w:pPr>
        <w:ind w:left="320" w:hanging="312"/>
        <w:spacing w:after="0"/>
        <w:tabs>
          <w:tab w:leader="none" w:pos="3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Focus on Employees, Culture and ESG Initiatives</w:t>
      </w:r>
    </w:p>
    <w:p>
      <w:pPr>
        <w:spacing w:after="0" w:line="189" w:lineRule="exact"/>
        <w:rPr>
          <w:rFonts w:ascii="Arial" w:cs="Arial" w:eastAsia="Arial" w:hAnsi="Arial"/>
          <w:sz w:val="18"/>
          <w:szCs w:val="18"/>
          <w:i w:val="1"/>
          <w:iCs w:val="1"/>
          <w:color w:val="auto"/>
        </w:rPr>
      </w:pPr>
    </w:p>
    <w:p>
      <w:pPr>
        <w:jc w:val="both"/>
        <w:ind w:left="340"/>
        <w:spacing w:after="0" w:line="251" w:lineRule="auto"/>
        <w:rPr>
          <w:rFonts w:ascii="Arial" w:cs="Arial" w:eastAsia="Arial" w:hAnsi="Arial"/>
          <w:sz w:val="18"/>
          <w:szCs w:val="18"/>
          <w:i w:val="1"/>
          <w:iCs w:val="1"/>
          <w:color w:val="auto"/>
        </w:rPr>
      </w:pPr>
      <w:r>
        <w:rPr>
          <w:rFonts w:ascii="Arial" w:cs="Arial" w:eastAsia="Arial" w:hAnsi="Arial"/>
          <w:sz w:val="18"/>
          <w:szCs w:val="18"/>
          <w:color w:val="auto"/>
        </w:rPr>
        <w:t>We recently announced that we achieved carbon neutrality for 2021. This is a goal we have been striving towards and our shift to a remote-first workforce enabled us to accelerate our timeline. Since 2019, Blackbaud has reduced its global real estate footprint by 50%, energy emissions to run office space by 63% and employee commute emissions by 75%. With a multi-pronged climate strategy, Blackbaud is focused on reducing emissions, using energy efficiently and investing in environmental projects for a more sustainable future. We shared more about our ESG strategy on our Corporate Social Responsibility website during the second quarter. Our mission driven culture has been in our DNA since inception and is very attractive in a competitive labor market. We continue to foster a diverse and inclusive environment focused on employee engagement and connectedness with our remote-first workforce strategy. We have a significant role to play in driving advances in the social good space, and we are proud of the strong corporate culture we have built and continue to cultivate in today's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220980</wp:posOffset>
            </wp:positionV>
            <wp:extent cx="659765"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480"/>
              <w:spacing w:after="0"/>
              <w:rPr>
                <w:sz w:val="20"/>
                <w:szCs w:val="20"/>
                <w:color w:val="auto"/>
              </w:rPr>
            </w:pPr>
            <w:r>
              <w:rPr>
                <w:rFonts w:ascii="Arial" w:cs="Arial" w:eastAsia="Arial" w:hAnsi="Arial"/>
                <w:sz w:val="14"/>
                <w:szCs w:val="14"/>
                <w:color w:val="auto"/>
              </w:rPr>
              <w:t>Second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940" w:type="dxa"/>
            <w:vAlign w:val="bottom"/>
            <w:gridSpan w:val="2"/>
          </w:tcPr>
          <w:p>
            <w:pPr>
              <w:jc w:val="center"/>
              <w:ind w:right="640"/>
              <w:spacing w:after="0"/>
              <w:rPr>
                <w:sz w:val="20"/>
                <w:szCs w:val="20"/>
                <w:color w:val="auto"/>
              </w:rPr>
            </w:pPr>
            <w:r>
              <w:rPr>
                <w:rFonts w:ascii="Arial" w:cs="Arial" w:eastAsia="Arial" w:hAnsi="Arial"/>
                <w:sz w:val="18"/>
                <w:szCs w:val="18"/>
                <w:i w:val="1"/>
                <w:iCs w:val="1"/>
                <w:color w:val="auto"/>
                <w:w w:val="98"/>
              </w:rPr>
              <w:t>Total revenue ($M)</w:t>
            </w:r>
          </w:p>
        </w:tc>
        <w:tc>
          <w:tcPr>
            <w:tcW w:w="4300" w:type="dxa"/>
            <w:vAlign w:val="bottom"/>
          </w:tcPr>
          <w:p>
            <w:pPr>
              <w:jc w:val="center"/>
              <w:spacing w:after="0"/>
              <w:rPr>
                <w:sz w:val="20"/>
                <w:szCs w:val="20"/>
                <w:color w:val="auto"/>
              </w:rPr>
            </w:pPr>
            <w:r>
              <w:rPr>
                <w:rFonts w:ascii="Arial" w:cs="Arial" w:eastAsia="Arial" w:hAnsi="Arial"/>
                <w:sz w:val="18"/>
                <w:szCs w:val="18"/>
                <w:i w:val="1"/>
                <w:iCs w:val="1"/>
                <w:color w:val="auto"/>
                <w:w w:val="99"/>
              </w:rPr>
              <w:t>Income from operations ($M)</w:t>
            </w:r>
          </w:p>
        </w:tc>
      </w:tr>
      <w:tr>
        <w:trPr>
          <w:trHeight w:val="27"/>
        </w:trPr>
        <w:tc>
          <w:tcPr>
            <w:tcW w:w="428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21"/>
        </w:trPr>
        <w:tc>
          <w:tcPr>
            <w:tcW w:w="4940" w:type="dxa"/>
            <w:vAlign w:val="bottom"/>
            <w:gridSpan w:val="2"/>
          </w:tcPr>
          <w:p>
            <w:pPr>
              <w:jc w:val="center"/>
              <w:ind w:right="640"/>
              <w:spacing w:after="0"/>
              <w:rPr>
                <w:sz w:val="20"/>
                <w:szCs w:val="20"/>
                <w:color w:val="auto"/>
              </w:rPr>
            </w:pPr>
            <w:r>
              <w:rPr>
                <w:rFonts w:ascii="Arial" w:cs="Arial" w:eastAsia="Arial" w:hAnsi="Arial"/>
                <w:sz w:val="13"/>
                <w:szCs w:val="13"/>
                <w:i w:val="1"/>
                <w:iCs w:val="1"/>
                <w:color w:val="auto"/>
                <w:w w:val="95"/>
              </w:rPr>
              <w:t>YoY Growth (%)</w:t>
            </w:r>
          </w:p>
        </w:tc>
        <w:tc>
          <w:tcPr>
            <w:tcW w:w="4300" w:type="dxa"/>
            <w:vAlign w:val="bottom"/>
          </w:tcPr>
          <w:p>
            <w:pPr>
              <w:jc w:val="center"/>
              <w:spacing w:after="0"/>
              <w:rPr>
                <w:sz w:val="20"/>
                <w:szCs w:val="20"/>
                <w:color w:val="auto"/>
              </w:rPr>
            </w:pPr>
            <w:r>
              <w:rPr>
                <w:rFonts w:ascii="Arial" w:cs="Arial" w:eastAsia="Arial" w:hAnsi="Arial"/>
                <w:sz w:val="13"/>
                <w:szCs w:val="13"/>
                <w:i w:val="1"/>
                <w:iCs w:val="1"/>
                <w:color w:val="auto"/>
                <w:w w:val="95"/>
              </w:rPr>
              <w:t>YoY Growth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181610</wp:posOffset>
            </wp:positionV>
            <wp:extent cx="5452110" cy="30086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45211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Total revenue increased by $ 35.5 million and $73.4 million during the three and six months ended June 30, 2022, respectively, when compared to the same periods in 2021, driven largely by the following:</w:t>
      </w:r>
    </w:p>
    <w:p>
      <w:pPr>
        <w:ind w:left="700" w:hanging="373"/>
        <w:spacing w:after="0" w:line="209" w:lineRule="auto"/>
        <w:tabs>
          <w:tab w:leader="none" w:pos="700" w:val="left"/>
        </w:tabs>
        <w:numPr>
          <w:ilvl w:val="0"/>
          <w:numId w:val="18"/>
        </w:numPr>
        <w:rPr>
          <w:rFonts w:ascii="Arial" w:cs="Arial" w:eastAsia="Arial" w:hAnsi="Arial"/>
          <w:sz w:val="36"/>
          <w:szCs w:val="36"/>
          <w:color w:val="auto"/>
          <w:vertAlign w:val="superscript"/>
        </w:rPr>
      </w:pPr>
      <w:r>
        <w:rPr>
          <w:rFonts w:ascii="Arial" w:cs="Arial" w:eastAsia="Arial" w:hAnsi="Arial"/>
          <w:sz w:val="18"/>
          <w:szCs w:val="18"/>
          <w:color w:val="auto"/>
        </w:rPr>
        <w:t>Growth in recurring revenue primarily related to:</w:t>
      </w:r>
    </w:p>
    <w:p>
      <w:pPr>
        <w:spacing w:after="0" w:line="53" w:lineRule="exact"/>
        <w:rPr>
          <w:rFonts w:ascii="Arial" w:cs="Arial" w:eastAsia="Arial" w:hAnsi="Arial"/>
          <w:sz w:val="36"/>
          <w:szCs w:val="36"/>
          <w:color w:val="auto"/>
          <w:vertAlign w:val="superscript"/>
        </w:rPr>
      </w:pPr>
    </w:p>
    <w:p>
      <w:pPr>
        <w:jc w:val="both"/>
        <w:ind w:left="1340" w:right="20" w:hanging="315"/>
        <w:spacing w:after="0" w:line="253" w:lineRule="auto"/>
        <w:tabs>
          <w:tab w:leader="none" w:pos="1308"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increases in contractual recurring revenue of $26.2 million and $53.9 million, respectively, related to the performance of our cloud solutions, of which $23.4 million and $47.5 million, respectively, was attributable to EVERFI; partially offset by decreases in maintenance revenue as customers migrate to our cloud solutions; also offsetting the increases in contractual recurring revenue are decreases related to fluctuations in foreign currency exchange rates of $0.8 million and $1.1 million, respectively; and</w:t>
      </w:r>
    </w:p>
    <w:p>
      <w:pPr>
        <w:spacing w:after="0" w:line="43" w:lineRule="exact"/>
        <w:rPr>
          <w:rFonts w:ascii="Arial" w:cs="Arial" w:eastAsia="Arial" w:hAnsi="Arial"/>
          <w:sz w:val="18"/>
          <w:szCs w:val="18"/>
          <w:color w:val="auto"/>
        </w:rPr>
      </w:pPr>
    </w:p>
    <w:p>
      <w:pPr>
        <w:jc w:val="both"/>
        <w:ind w:left="1340" w:right="20" w:hanging="315"/>
        <w:spacing w:after="0" w:line="254" w:lineRule="auto"/>
        <w:tabs>
          <w:tab w:leader="none" w:pos="1308"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increases in transactional recurring revenue of $9.3 million and $19.5 million, respectively, primarily due to an increase in online charitable giving, the continued shift toward virtual fundraising and, to a lesser extent, increased transactional volume as our customer's constituents have begun to return to in-person events; partially offset by decreases related to fluctuations in foreign currency exchange rates of $1.8 million and $2.3 million, respectively.</w:t>
      </w:r>
    </w:p>
    <w:p>
      <w:pPr>
        <w:spacing w:after="0" w:line="95" w:lineRule="exact"/>
        <w:rPr>
          <w:rFonts w:ascii="Arial" w:cs="Arial" w:eastAsia="Arial" w:hAnsi="Arial"/>
          <w:sz w:val="18"/>
          <w:szCs w:val="18"/>
          <w:color w:val="auto"/>
        </w:rPr>
      </w:pPr>
    </w:p>
    <w:p>
      <w:pPr>
        <w:jc w:val="both"/>
        <w:ind w:left="700" w:right="20" w:hanging="373"/>
        <w:spacing w:after="0" w:line="200" w:lineRule="auto"/>
        <w:tabs>
          <w:tab w:leader="none" w:pos="700" w:val="left"/>
        </w:tabs>
        <w:numPr>
          <w:ilvl w:val="0"/>
          <w:numId w:val="18"/>
        </w:numPr>
        <w:rPr>
          <w:rFonts w:ascii="Arial" w:cs="Arial" w:eastAsia="Arial" w:hAnsi="Arial"/>
          <w:sz w:val="36"/>
          <w:szCs w:val="36"/>
          <w:color w:val="auto"/>
          <w:vertAlign w:val="superscript"/>
        </w:rPr>
      </w:pPr>
      <w:r>
        <w:rPr>
          <w:rFonts w:ascii="Arial" w:cs="Arial" w:eastAsia="Arial" w:hAnsi="Arial"/>
          <w:sz w:val="18"/>
          <w:szCs w:val="18"/>
          <w:color w:val="auto"/>
        </w:rPr>
        <w:t>Increases in one-time consulting revenue due primarily to our acquisition of EVERFI, largely offset by a decrease in implementation and customization services, in line with our multi-year strategic shift from a license-based and one-time services business model to a cloud subscription business model. Our cloud subscription offerings generally require less implementation and customization services.</w:t>
      </w:r>
    </w:p>
    <w:p>
      <w:pPr>
        <w:spacing w:after="0" w:line="56" w:lineRule="exact"/>
        <w:rPr>
          <w:sz w:val="20"/>
          <w:szCs w:val="20"/>
          <w:color w:val="auto"/>
        </w:rPr>
      </w:pPr>
    </w:p>
    <w:p>
      <w:pPr>
        <w:ind w:left="700" w:hanging="351"/>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Decreases in one-time analytics revenue as analytics are generally integrated in our cloud solutions</w:t>
      </w:r>
    </w:p>
    <w:p>
      <w:pPr>
        <w:spacing w:after="0" w:line="2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currently expect that fluctuations in foreign currency exchange rates will have a significant negative impact on our total revenue for the full year 2022. Our latest projections suggest some softness in our full year 2022 bookings plan for EVERFI, which has minimal impact on our full year 2022 revenues given the ratable revenue recognition. We will be intently focused on closing the EVERFI bookings gap during the remainder of 2022. Additionally, we currently expect one-time services and other revenue to be relatively flat during 2022 when compared to 2021, inclusive of incremental one-time revenue expected from EVERFI.</w:t>
      </w:r>
    </w:p>
    <w:p>
      <w:pPr>
        <w:spacing w:after="0" w:line="311"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26</w:t>
      </w:r>
      <w:r>
        <w:rPr>
          <w:sz w:val="20"/>
          <w:szCs w:val="20"/>
          <w:color w:val="auto"/>
        </w:rPr>
        <w:tab/>
      </w:r>
      <w:r>
        <w:rPr>
          <w:sz w:val="1"/>
          <w:szCs w:val="1"/>
          <w:color w:val="auto"/>
        </w:rPr>
        <w:drawing>
          <wp:inline distT="0" distB="0" distL="0" distR="0">
            <wp:extent cx="651510" cy="17145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For additional information on the impact of foreign currency fluctuations on our financial results, see Foreign Currency Exchange Rates below on page </w:t>
      </w:r>
      <w:hyperlink w:anchor="page46">
        <w:r>
          <w:rPr>
            <w:rFonts w:ascii="Arial" w:cs="Arial" w:eastAsia="Arial" w:hAnsi="Arial"/>
            <w:sz w:val="18"/>
            <w:szCs w:val="18"/>
            <w:color w:val="auto"/>
          </w:rPr>
          <w:t>46.</w:t>
        </w:r>
      </w:hyperlink>
    </w:p>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Income from operations decreased by $13.0 million and $25.6 million during the three and six months ended June 30, 2022, respectively, when compared to the same periods in 2021, driven largely by the following:</w:t>
      </w:r>
    </w:p>
    <w:p>
      <w:pPr>
        <w:spacing w:after="0" w:line="252" w:lineRule="exact"/>
        <w:rPr>
          <w:sz w:val="20"/>
          <w:szCs w:val="20"/>
          <w:color w:val="auto"/>
        </w:rPr>
      </w:pPr>
    </w:p>
    <w:p>
      <w:pPr>
        <w:ind w:left="700" w:right="20" w:hanging="445"/>
        <w:spacing w:after="0" w:line="180" w:lineRule="auto"/>
        <w:tabs>
          <w:tab w:leader="none" w:pos="700" w:val="left"/>
        </w:tabs>
        <w:numPr>
          <w:ilvl w:val="0"/>
          <w:numId w:val="20"/>
        </w:numPr>
        <w:rPr>
          <w:rFonts w:ascii="Arial" w:cs="Arial" w:eastAsia="Arial" w:hAnsi="Arial"/>
          <w:sz w:val="33"/>
          <w:szCs w:val="33"/>
          <w:color w:val="auto"/>
          <w:vertAlign w:val="superscript"/>
        </w:rPr>
      </w:pPr>
      <w:r>
        <w:rPr>
          <w:rFonts w:ascii="Arial" w:cs="Arial" w:eastAsia="Arial" w:hAnsi="Arial"/>
          <w:sz w:val="17"/>
          <w:szCs w:val="17"/>
          <w:color w:val="auto"/>
        </w:rPr>
        <w:t>Increases in compensation costs other than stock-based compensation of $17.0 million and $40.8 million, respectively, primarily due to increased employee headcount due to our acquisition of EVERFI</w:t>
      </w:r>
    </w:p>
    <w:p>
      <w:pPr>
        <w:spacing w:after="0" w:line="108" w:lineRule="exact"/>
        <w:rPr>
          <w:rFonts w:ascii="Arial" w:cs="Arial" w:eastAsia="Arial" w:hAnsi="Arial"/>
          <w:sz w:val="33"/>
          <w:szCs w:val="33"/>
          <w:color w:val="auto"/>
          <w:vertAlign w:val="superscript"/>
        </w:rPr>
      </w:pPr>
    </w:p>
    <w:p>
      <w:pPr>
        <w:ind w:left="700" w:right="20" w:hanging="445"/>
        <w:spacing w:after="0" w:line="180" w:lineRule="auto"/>
        <w:tabs>
          <w:tab w:leader="none" w:pos="700" w:val="left"/>
        </w:tabs>
        <w:numPr>
          <w:ilvl w:val="0"/>
          <w:numId w:val="20"/>
        </w:numPr>
        <w:rPr>
          <w:rFonts w:ascii="Arial" w:cs="Arial" w:eastAsia="Arial" w:hAnsi="Arial"/>
          <w:sz w:val="33"/>
          <w:szCs w:val="33"/>
          <w:color w:val="auto"/>
          <w:vertAlign w:val="superscript"/>
        </w:rPr>
      </w:pPr>
      <w:r>
        <w:rPr>
          <w:rFonts w:ascii="Arial" w:cs="Arial" w:eastAsia="Arial" w:hAnsi="Arial"/>
          <w:sz w:val="17"/>
          <w:szCs w:val="17"/>
          <w:color w:val="auto"/>
        </w:rPr>
        <w:t>Increases in Security Incident-related expenses, net of insurance, of $7.9 million and $15.1 million, respectively. See "Security Incident update" below.</w:t>
      </w:r>
    </w:p>
    <w:p>
      <w:pPr>
        <w:spacing w:after="0" w:line="108" w:lineRule="exact"/>
        <w:rPr>
          <w:rFonts w:ascii="Arial" w:cs="Arial" w:eastAsia="Arial" w:hAnsi="Arial"/>
          <w:sz w:val="33"/>
          <w:szCs w:val="33"/>
          <w:color w:val="auto"/>
          <w:vertAlign w:val="superscript"/>
        </w:rPr>
      </w:pPr>
    </w:p>
    <w:p>
      <w:pPr>
        <w:jc w:val="both"/>
        <w:ind w:left="700" w:right="20" w:hanging="445"/>
        <w:spacing w:after="0" w:line="188" w:lineRule="auto"/>
        <w:tabs>
          <w:tab w:leader="none" w:pos="700" w:val="left"/>
        </w:tabs>
        <w:numPr>
          <w:ilvl w:val="0"/>
          <w:numId w:val="20"/>
        </w:numPr>
        <w:rPr>
          <w:rFonts w:ascii="Arial" w:cs="Arial" w:eastAsia="Arial" w:hAnsi="Arial"/>
          <w:sz w:val="36"/>
          <w:szCs w:val="36"/>
          <w:color w:val="auto"/>
          <w:vertAlign w:val="superscript"/>
        </w:rPr>
      </w:pPr>
      <w:r>
        <w:rPr>
          <w:rFonts w:ascii="Arial" w:cs="Arial" w:eastAsia="Arial" w:hAnsi="Arial"/>
          <w:sz w:val="18"/>
          <w:szCs w:val="18"/>
          <w:color w:val="auto"/>
        </w:rPr>
        <w:t>Increases in third-party contractor costs of $7.0 million and $14.8 million, respectively, and hosting costs of $1.9 million and $4.6 million, respectively, primarily attributable to our acquisition of EVERFI and, to a lesser extent, our continued migration of our cloud infrastructure to leading public cloud service providers and investments in security</w:t>
      </w:r>
    </w:p>
    <w:p>
      <w:pPr>
        <w:spacing w:after="0" w:line="107" w:lineRule="exact"/>
        <w:rPr>
          <w:rFonts w:ascii="Arial" w:cs="Arial" w:eastAsia="Arial" w:hAnsi="Arial"/>
          <w:sz w:val="36"/>
          <w:szCs w:val="36"/>
          <w:color w:val="auto"/>
          <w:vertAlign w:val="superscript"/>
        </w:rPr>
      </w:pPr>
    </w:p>
    <w:p>
      <w:pPr>
        <w:ind w:left="700" w:right="20" w:hanging="445"/>
        <w:spacing w:after="0" w:line="180" w:lineRule="auto"/>
        <w:tabs>
          <w:tab w:leader="none" w:pos="700" w:val="left"/>
        </w:tabs>
        <w:numPr>
          <w:ilvl w:val="0"/>
          <w:numId w:val="20"/>
        </w:numPr>
        <w:rPr>
          <w:rFonts w:ascii="Arial" w:cs="Arial" w:eastAsia="Arial" w:hAnsi="Arial"/>
          <w:sz w:val="33"/>
          <w:szCs w:val="33"/>
          <w:color w:val="auto"/>
          <w:vertAlign w:val="superscript"/>
        </w:rPr>
      </w:pPr>
      <w:r>
        <w:rPr>
          <w:rFonts w:ascii="Arial" w:cs="Arial" w:eastAsia="Arial" w:hAnsi="Arial"/>
          <w:sz w:val="17"/>
          <w:szCs w:val="17"/>
          <w:color w:val="auto"/>
        </w:rPr>
        <w:t>Increases in transaction-based costs of $4.2 million and $9.3 million, respectively, related to the increase in the volume of transactions for which we process payments</w:t>
      </w:r>
    </w:p>
    <w:p>
      <w:pPr>
        <w:spacing w:after="0" w:line="108" w:lineRule="exact"/>
        <w:rPr>
          <w:rFonts w:ascii="Arial" w:cs="Arial" w:eastAsia="Arial" w:hAnsi="Arial"/>
          <w:sz w:val="33"/>
          <w:szCs w:val="33"/>
          <w:color w:val="auto"/>
          <w:vertAlign w:val="superscript"/>
        </w:rPr>
      </w:pPr>
    </w:p>
    <w:p>
      <w:pPr>
        <w:ind w:left="700" w:right="20" w:hanging="445"/>
        <w:spacing w:after="0" w:line="180" w:lineRule="auto"/>
        <w:tabs>
          <w:tab w:leader="none" w:pos="700" w:val="left"/>
        </w:tabs>
        <w:numPr>
          <w:ilvl w:val="0"/>
          <w:numId w:val="20"/>
        </w:numPr>
        <w:rPr>
          <w:rFonts w:ascii="Arial" w:cs="Arial" w:eastAsia="Arial" w:hAnsi="Arial"/>
          <w:sz w:val="33"/>
          <w:szCs w:val="33"/>
          <w:color w:val="auto"/>
          <w:vertAlign w:val="superscript"/>
        </w:rPr>
      </w:pPr>
      <w:r>
        <w:rPr>
          <w:rFonts w:ascii="Arial" w:cs="Arial" w:eastAsia="Arial" w:hAnsi="Arial"/>
          <w:sz w:val="17"/>
          <w:szCs w:val="17"/>
          <w:color w:val="auto"/>
        </w:rPr>
        <w:t>Increases in amortization of intangible assets from business combinations of $3.8 million and $7.4 million, respectively, due to our acquisition of EVERFI</w:t>
      </w:r>
    </w:p>
    <w:p>
      <w:pPr>
        <w:spacing w:after="0" w:line="108" w:lineRule="exact"/>
        <w:rPr>
          <w:rFonts w:ascii="Arial" w:cs="Arial" w:eastAsia="Arial" w:hAnsi="Arial"/>
          <w:sz w:val="33"/>
          <w:szCs w:val="33"/>
          <w:color w:val="auto"/>
          <w:vertAlign w:val="superscript"/>
        </w:rPr>
      </w:pPr>
    </w:p>
    <w:p>
      <w:pPr>
        <w:ind w:left="700" w:right="20" w:hanging="445"/>
        <w:spacing w:after="0" w:line="180" w:lineRule="auto"/>
        <w:tabs>
          <w:tab w:leader="none" w:pos="700" w:val="left"/>
        </w:tabs>
        <w:numPr>
          <w:ilvl w:val="0"/>
          <w:numId w:val="20"/>
        </w:numPr>
        <w:rPr>
          <w:rFonts w:ascii="Arial" w:cs="Arial" w:eastAsia="Arial" w:hAnsi="Arial"/>
          <w:sz w:val="33"/>
          <w:szCs w:val="33"/>
          <w:color w:val="auto"/>
          <w:vertAlign w:val="superscript"/>
        </w:rPr>
      </w:pPr>
      <w:r>
        <w:rPr>
          <w:rFonts w:ascii="Arial" w:cs="Arial" w:eastAsia="Arial" w:hAnsi="Arial"/>
          <w:sz w:val="17"/>
          <w:szCs w:val="17"/>
          <w:color w:val="auto"/>
        </w:rPr>
        <w:t>Increases in infrastructure and building costs of $3.0 million and $4.2 million, respectively, primarily related to our acquisition of EVERFI and investments in security tools</w:t>
      </w:r>
    </w:p>
    <w:p>
      <w:pPr>
        <w:spacing w:after="0" w:line="108" w:lineRule="exact"/>
        <w:rPr>
          <w:rFonts w:ascii="Arial" w:cs="Arial" w:eastAsia="Arial" w:hAnsi="Arial"/>
          <w:sz w:val="33"/>
          <w:szCs w:val="33"/>
          <w:color w:val="auto"/>
          <w:vertAlign w:val="superscript"/>
        </w:rPr>
      </w:pPr>
    </w:p>
    <w:p>
      <w:pPr>
        <w:ind w:left="700" w:right="140" w:hanging="445"/>
        <w:spacing w:after="0" w:line="188" w:lineRule="auto"/>
        <w:tabs>
          <w:tab w:leader="none" w:pos="700" w:val="left"/>
        </w:tabs>
        <w:numPr>
          <w:ilvl w:val="0"/>
          <w:numId w:val="20"/>
        </w:numPr>
        <w:rPr>
          <w:rFonts w:ascii="Arial" w:cs="Arial" w:eastAsia="Arial" w:hAnsi="Arial"/>
          <w:sz w:val="36"/>
          <w:szCs w:val="36"/>
          <w:color w:val="auto"/>
          <w:vertAlign w:val="superscript"/>
        </w:rPr>
      </w:pPr>
      <w:r>
        <w:rPr>
          <w:rFonts w:ascii="Arial" w:cs="Arial" w:eastAsia="Arial" w:hAnsi="Arial"/>
          <w:sz w:val="18"/>
          <w:szCs w:val="18"/>
          <w:color w:val="auto"/>
        </w:rPr>
        <w:t>A $2.3 million noncash impairment charge during the three and six months ended June 30, 2022, against previously capitalized software development costs that reduced the carrying value of those assets to zero. The impairment charge resulted primarily from our decision to end customer support for certain solutions</w:t>
      </w:r>
    </w:p>
    <w:p>
      <w:pPr>
        <w:spacing w:after="0" w:line="107" w:lineRule="exact"/>
        <w:rPr>
          <w:rFonts w:ascii="Arial" w:cs="Arial" w:eastAsia="Arial" w:hAnsi="Arial"/>
          <w:sz w:val="36"/>
          <w:szCs w:val="36"/>
          <w:color w:val="auto"/>
          <w:vertAlign w:val="superscript"/>
        </w:rPr>
      </w:pPr>
    </w:p>
    <w:p>
      <w:pPr>
        <w:ind w:left="700" w:right="140" w:hanging="445"/>
        <w:spacing w:after="0" w:line="180" w:lineRule="auto"/>
        <w:tabs>
          <w:tab w:leader="none" w:pos="700" w:val="left"/>
        </w:tabs>
        <w:numPr>
          <w:ilvl w:val="0"/>
          <w:numId w:val="20"/>
        </w:numPr>
        <w:rPr>
          <w:rFonts w:ascii="Arial" w:cs="Arial" w:eastAsia="Arial" w:hAnsi="Arial"/>
          <w:sz w:val="33"/>
          <w:szCs w:val="33"/>
          <w:color w:val="auto"/>
          <w:vertAlign w:val="superscript"/>
        </w:rPr>
      </w:pPr>
      <w:r>
        <w:rPr>
          <w:rFonts w:ascii="Arial" w:cs="Arial" w:eastAsia="Arial" w:hAnsi="Arial"/>
          <w:sz w:val="17"/>
          <w:szCs w:val="17"/>
          <w:color w:val="auto"/>
        </w:rPr>
        <w:t>Increases in acquisition and disposition-related costs of $2.2 million and $3.2 million, respectively, primarily related to a $2.0 million noncash impairment of certain insignificant intangible assets held for sale</w:t>
      </w:r>
    </w:p>
    <w:p>
      <w:pPr>
        <w:spacing w:after="0" w:line="1" w:lineRule="exact"/>
        <w:rPr>
          <w:rFonts w:ascii="Arial" w:cs="Arial" w:eastAsia="Arial" w:hAnsi="Arial"/>
          <w:sz w:val="33"/>
          <w:szCs w:val="33"/>
          <w:color w:val="auto"/>
          <w:vertAlign w:val="superscript"/>
        </w:rPr>
      </w:pPr>
    </w:p>
    <w:p>
      <w:pPr>
        <w:ind w:left="700" w:hanging="445"/>
        <w:spacing w:after="0" w:line="187" w:lineRule="auto"/>
        <w:tabs>
          <w:tab w:leader="none" w:pos="700" w:val="left"/>
        </w:tabs>
        <w:numPr>
          <w:ilvl w:val="0"/>
          <w:numId w:val="20"/>
        </w:numPr>
        <w:rPr>
          <w:rFonts w:ascii="Arial" w:cs="Arial" w:eastAsia="Arial" w:hAnsi="Arial"/>
          <w:sz w:val="36"/>
          <w:szCs w:val="36"/>
          <w:color w:val="auto"/>
          <w:vertAlign w:val="superscript"/>
        </w:rPr>
      </w:pPr>
      <w:r>
        <w:rPr>
          <w:rFonts w:ascii="Arial" w:cs="Arial" w:eastAsia="Arial" w:hAnsi="Arial"/>
          <w:sz w:val="18"/>
          <w:szCs w:val="18"/>
          <w:color w:val="auto"/>
        </w:rPr>
        <w:t>Increases in marketing costs of $1.8 million and $4.0 million, respectively, primarily due to our acquisition of EVERFI</w:t>
      </w:r>
    </w:p>
    <w:p>
      <w:pPr>
        <w:spacing w:after="0" w:line="108" w:lineRule="exact"/>
        <w:rPr>
          <w:rFonts w:ascii="Arial" w:cs="Arial" w:eastAsia="Arial" w:hAnsi="Arial"/>
          <w:sz w:val="36"/>
          <w:szCs w:val="36"/>
          <w:color w:val="auto"/>
          <w:vertAlign w:val="superscript"/>
        </w:rPr>
      </w:pPr>
    </w:p>
    <w:p>
      <w:pPr>
        <w:ind w:left="700" w:right="20" w:hanging="445"/>
        <w:spacing w:after="0" w:line="180" w:lineRule="auto"/>
        <w:tabs>
          <w:tab w:leader="none" w:pos="700" w:val="left"/>
        </w:tabs>
        <w:numPr>
          <w:ilvl w:val="0"/>
          <w:numId w:val="20"/>
        </w:numPr>
        <w:rPr>
          <w:rFonts w:ascii="Arial" w:cs="Arial" w:eastAsia="Arial" w:hAnsi="Arial"/>
          <w:sz w:val="33"/>
          <w:szCs w:val="33"/>
          <w:color w:val="auto"/>
          <w:vertAlign w:val="superscript"/>
        </w:rPr>
      </w:pPr>
      <w:r>
        <w:rPr>
          <w:rFonts w:ascii="Arial" w:cs="Arial" w:eastAsia="Arial" w:hAnsi="Arial"/>
          <w:sz w:val="17"/>
          <w:szCs w:val="17"/>
          <w:color w:val="auto"/>
        </w:rPr>
        <w:t>Increases in travel costs of $1.7 million and $2.6 million, respectively, due to our easing of restrictions on non-essential employee travel, which went into effect during March 2020 in response to the COVID-19 pandemic</w:t>
      </w:r>
    </w:p>
    <w:p>
      <w:pPr>
        <w:ind w:left="700" w:hanging="445"/>
        <w:spacing w:after="0" w:line="188" w:lineRule="auto"/>
        <w:tabs>
          <w:tab w:leader="none" w:pos="700" w:val="left"/>
        </w:tabs>
        <w:numPr>
          <w:ilvl w:val="0"/>
          <w:numId w:val="21"/>
        </w:numPr>
        <w:rPr>
          <w:rFonts w:ascii="Arial" w:cs="Arial" w:eastAsia="Arial" w:hAnsi="Arial"/>
          <w:sz w:val="36"/>
          <w:szCs w:val="36"/>
          <w:color w:val="auto"/>
          <w:vertAlign w:val="superscript"/>
        </w:rPr>
      </w:pPr>
      <w:r>
        <w:rPr>
          <w:rFonts w:ascii="Arial" w:cs="Arial" w:eastAsia="Arial" w:hAnsi="Arial"/>
          <w:sz w:val="18"/>
          <w:szCs w:val="18"/>
          <w:color w:val="auto"/>
        </w:rPr>
        <w:t>Increases in total revenue, as described above</w:t>
      </w:r>
    </w:p>
    <w:p>
      <w:pPr>
        <w:spacing w:after="0" w:line="108" w:lineRule="exact"/>
        <w:rPr>
          <w:rFonts w:ascii="Arial" w:cs="Arial" w:eastAsia="Arial" w:hAnsi="Arial"/>
          <w:sz w:val="36"/>
          <w:szCs w:val="36"/>
          <w:color w:val="auto"/>
          <w:vertAlign w:val="superscript"/>
        </w:rPr>
      </w:pPr>
    </w:p>
    <w:p>
      <w:pPr>
        <w:ind w:left="700" w:hanging="445"/>
        <w:spacing w:after="0" w:line="181" w:lineRule="auto"/>
        <w:tabs>
          <w:tab w:leader="none" w:pos="700" w:val="left"/>
        </w:tabs>
        <w:numPr>
          <w:ilvl w:val="0"/>
          <w:numId w:val="21"/>
        </w:numPr>
        <w:rPr>
          <w:rFonts w:ascii="Arial" w:cs="Arial" w:eastAsia="Arial" w:hAnsi="Arial"/>
          <w:sz w:val="25"/>
          <w:szCs w:val="25"/>
          <w:color w:val="auto"/>
          <w:vertAlign w:val="superscript"/>
        </w:rPr>
      </w:pPr>
      <w:r>
        <w:rPr>
          <w:rFonts w:ascii="Arial" w:cs="Arial" w:eastAsia="Arial" w:hAnsi="Arial"/>
          <w:sz w:val="14"/>
          <w:szCs w:val="14"/>
          <w:color w:val="auto"/>
        </w:rPr>
        <w:t>Decreases in stock-based compensation expense of $2.7 million and $4.8 million, respectively, attributable to:</w:t>
      </w:r>
    </w:p>
    <w:p>
      <w:pPr>
        <w:spacing w:after="0" w:line="53" w:lineRule="exact"/>
        <w:rPr>
          <w:rFonts w:ascii="Arial" w:cs="Arial" w:eastAsia="Arial" w:hAnsi="Arial"/>
          <w:sz w:val="25"/>
          <w:szCs w:val="25"/>
          <w:color w:val="auto"/>
          <w:vertAlign w:val="superscript"/>
        </w:rPr>
      </w:pPr>
    </w:p>
    <w:p>
      <w:pPr>
        <w:ind w:left="1340" w:right="20" w:hanging="315"/>
        <w:spacing w:after="0" w:line="261" w:lineRule="auto"/>
        <w:tabs>
          <w:tab w:leader="none" w:pos="130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decrease in the grant date fair value of our annual equity awards granted to employees during 2022 compared to 2021; and</w:t>
      </w:r>
    </w:p>
    <w:p>
      <w:pPr>
        <w:spacing w:after="0" w:line="35" w:lineRule="exact"/>
        <w:rPr>
          <w:rFonts w:ascii="Arial" w:cs="Arial" w:eastAsia="Arial" w:hAnsi="Arial"/>
          <w:sz w:val="18"/>
          <w:szCs w:val="18"/>
          <w:color w:val="auto"/>
        </w:rPr>
      </w:pPr>
    </w:p>
    <w:p>
      <w:pPr>
        <w:ind w:left="1340" w:right="20" w:hanging="315"/>
        <w:spacing w:after="0" w:line="261" w:lineRule="auto"/>
        <w:tabs>
          <w:tab w:leader="none" w:pos="130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As a one-time response to COVID-19, replacement of our 2020 base salary merit increases with one-year time-based equity awards, which vested and were recognized as expense between May 1, 2020 and May 1, 2021.</w:t>
      </w:r>
    </w:p>
    <w:p>
      <w:pPr>
        <w:spacing w:after="0" w:line="26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We are continuing to make critical investments in the business in areas such as digital marketing, engineering, security, customer success and our continued shift of cloud infrastructure to leading public cloud service providers. Our profitability through the second quarter reflects the addition of EVERFI and some of these incremental investments that were pushed from 2021 into 2022, particularly in areas where we are increasing headcount.</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continuously seek opportunities to optimize our portfolio of solutions to focus time and resources on innovation that will have the greatest impact for our customers and the markets we serve, and drive the highest return on investment. To that end, we will continue to simplify and rationalize our portfolio through product sunsets and divestitures of non-core businesses and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214630</wp:posOffset>
            </wp:positionV>
            <wp:extent cx="659765"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480"/>
              <w:spacing w:after="0"/>
              <w:rPr>
                <w:sz w:val="20"/>
                <w:szCs w:val="20"/>
                <w:color w:val="auto"/>
              </w:rPr>
            </w:pPr>
            <w:r>
              <w:rPr>
                <w:rFonts w:ascii="Arial" w:cs="Arial" w:eastAsia="Arial" w:hAnsi="Arial"/>
                <w:sz w:val="14"/>
                <w:szCs w:val="14"/>
                <w:color w:val="auto"/>
              </w:rPr>
              <w:t>Second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380"/>
        <w:spacing w:after="0"/>
        <w:rPr>
          <w:sz w:val="20"/>
          <w:szCs w:val="20"/>
          <w:color w:val="auto"/>
        </w:rPr>
      </w:pPr>
      <w:r>
        <w:rPr>
          <w:rFonts w:ascii="Arial" w:cs="Arial" w:eastAsia="Arial" w:hAnsi="Arial"/>
          <w:sz w:val="18"/>
          <w:szCs w:val="18"/>
          <w:i w:val="1"/>
          <w:iCs w:val="1"/>
          <w:color w:val="auto"/>
        </w:rPr>
        <w:t>Customer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7260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7260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206375</wp:posOffset>
            </wp:positionV>
            <wp:extent cx="2280285" cy="13112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28028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recurring revenue contracts are generally for a term of three years at contract inception with one to three-year renewals thereafter. We anticipate a continued decrease in maintenance contract renewals as we transition our solution portfolio and maintenance customers from a perpetual license-based model to a cloud subscription delivery model. In the long term, we also anticipate an increase in recurring subscription contract renewals as we continue focusing on innovation, quality and the integration of our cloud solutions, which we believe will provide value-adding capabilities to better address our customers' needs. Due primarily to these factors, we believe a recurring revenue customer retention measure that combines recurring subscription, maintenance and recurring service customer contracts provides a better representation of our customers' overall behavior. For the twelve months ended June 30, 2022, approximately 92% of our customers with recurring revenue contracts were retained. This customer retention rate is materially unchanged from our rate for the full year ended December 31, 2021 and reflects our continuing efforts to rationalize our portfolio of solutions and migrate customers from legacy solutions towards our next generation solutions.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and cash flow</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June 30, 2022, our cash and cash equivalents were $29.0 million and the carrying amount of our debt under the 2020 Credit Facility was $880.9 million. Our net leverage ratio was 3.42 to 1.00.</w:t>
      </w:r>
    </w:p>
    <w:p>
      <w:pPr>
        <w:spacing w:after="0" w:line="14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During the six months ended June 30, 2022, we generated $81.8 million in cash from operations, had a net decrease in borrowings of $16.3 million, had aggregate cash outlays of $ 34.7 million for purchases of property and equipment and capitalized software and content development costs, and spent $19.0 million on the purchase of EVERFI solely due to the timing of the acquisition on the last day of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 Incident update</w:t>
      </w:r>
    </w:p>
    <w:p>
      <w:pPr>
        <w:spacing w:after="0" w:line="189" w:lineRule="exact"/>
        <w:rPr>
          <w:sz w:val="20"/>
          <w:szCs w:val="20"/>
          <w:color w:val="auto"/>
        </w:rPr>
      </w:pPr>
    </w:p>
    <w:p>
      <w:pPr>
        <w:jc w:val="both"/>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As discussed in Note 10 to our unaudited, condensed consolidated financial statements included in this report, total costs related to the Security Incident that we expect will be recoverable has exceeded the limit of our insurance coverage. Accordingly, we expect that the Security Incident will continue to negatively impact our GAAP profitability and GAAP cash flow for the foreseeable future (see discussion regarding our non-GAAP financial measures beginning on page </w:t>
      </w:r>
      <w:hyperlink w:anchor="page37">
        <w:r>
          <w:rPr>
            <w:rFonts w:ascii="Arial" w:cs="Arial" w:eastAsia="Arial" w:hAnsi="Arial"/>
            <w:sz w:val="18"/>
            <w:szCs w:val="18"/>
            <w:color w:val="auto"/>
          </w:rPr>
          <w:t>36)</w:t>
        </w:r>
      </w:hyperlink>
      <w:r>
        <w:rPr>
          <w:rFonts w:ascii="Arial" w:cs="Arial" w:eastAsia="Arial" w:hAnsi="Arial"/>
          <w:sz w:val="18"/>
          <w:szCs w:val="18"/>
          <w:color w:val="auto"/>
        </w:rPr>
        <w:t>. For full year 2022, we currently expect net pre-tax expense of approximately $ 30 million to $35 million for ongoing legal fees related to the Security Incident. In line with our policy, legal fees are expensed as incurred. For full year 2022, we currently expect net cash outlays of approximately $ 15 million to $25 million for ongoing legal fees related to the Security Incident. We have not recorded a liability for a loss contingency related to the Security Incident as of June 30, 2022 because we are unable at this time to reasonably estimate the possible loss or range of loss.</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six months ended June 30, 2022 and 2021</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included the results of operations of EVERFI in our consolidated results of operations from the date of acquisition on December 31, 2022. We determined that the EVERFI acquisition was not material to our consolidated financial statements; therefore, separate presentation of revenue and earnings since the acquisition date is not required.</w:t>
      </w:r>
    </w:p>
    <w:p>
      <w:pPr>
        <w:spacing w:after="0" w:line="308"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28</w:t>
      </w:r>
      <w:r>
        <w:rPr>
          <w:sz w:val="20"/>
          <w:szCs w:val="20"/>
          <w:color w:val="auto"/>
        </w:rPr>
        <w:tab/>
      </w:r>
      <w:r>
        <w:rPr>
          <w:sz w:val="1"/>
          <w:szCs w:val="1"/>
          <w:color w:val="auto"/>
        </w:rPr>
        <w:drawing>
          <wp:inline distT="0" distB="0" distL="0" distR="0">
            <wp:extent cx="651510" cy="17145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140" w:type="dxa"/>
            <w:vAlign w:val="bottom"/>
            <w:gridSpan w:val="2"/>
          </w:tcPr>
          <w:p>
            <w:pPr>
              <w:jc w:val="center"/>
              <w:ind w:left="1617"/>
              <w:spacing w:after="0"/>
              <w:rPr>
                <w:sz w:val="20"/>
                <w:szCs w:val="20"/>
                <w:color w:val="auto"/>
              </w:rPr>
            </w:pPr>
            <w:r>
              <w:rPr>
                <w:rFonts w:ascii="Arial" w:cs="Arial" w:eastAsia="Arial" w:hAnsi="Arial"/>
                <w:sz w:val="18"/>
                <w:szCs w:val="18"/>
                <w:b w:val="1"/>
                <w:bCs w:val="1"/>
                <w:color w:val="auto"/>
                <w:w w:val="99"/>
              </w:rPr>
              <w:t>Blackbaud, Inc.</w:t>
            </w:r>
          </w:p>
        </w:tc>
        <w:tc>
          <w:tcPr>
            <w:tcW w:w="2900" w:type="dxa"/>
            <w:vAlign w:val="bottom"/>
          </w:tcPr>
          <w:p>
            <w:pPr>
              <w:spacing w:after="0"/>
              <w:rPr>
                <w:sz w:val="18"/>
                <w:szCs w:val="18"/>
                <w:color w:val="auto"/>
              </w:rPr>
            </w:pPr>
          </w:p>
        </w:tc>
      </w:tr>
      <w:tr>
        <w:trPr>
          <w:trHeight w:val="239"/>
        </w:trPr>
        <w:tc>
          <w:tcPr>
            <w:tcW w:w="2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40" w:type="dxa"/>
            <w:vAlign w:val="bottom"/>
            <w:gridSpan w:val="2"/>
          </w:tcPr>
          <w:p>
            <w:pPr>
              <w:jc w:val="center"/>
              <w:ind w:left="1617"/>
              <w:spacing w:after="0"/>
              <w:rPr>
                <w:sz w:val="20"/>
                <w:szCs w:val="20"/>
                <w:color w:val="auto"/>
              </w:rPr>
            </w:pPr>
            <w:r>
              <w:rPr>
                <w:rFonts w:ascii="Arial" w:cs="Arial" w:eastAsia="Arial" w:hAnsi="Arial"/>
                <w:sz w:val="18"/>
                <w:szCs w:val="18"/>
                <w:b w:val="1"/>
                <w:bCs w:val="1"/>
                <w:color w:val="auto"/>
                <w:w w:val="99"/>
              </w:rPr>
              <w:t>(Unaudited)</w:t>
            </w:r>
          </w:p>
        </w:tc>
        <w:tc>
          <w:tcPr>
            <w:tcW w:w="2900" w:type="dxa"/>
            <w:vAlign w:val="bottom"/>
          </w:tcPr>
          <w:p>
            <w:pPr>
              <w:spacing w:after="0"/>
              <w:rPr>
                <w:sz w:val="20"/>
                <w:szCs w:val="20"/>
                <w:color w:val="auto"/>
              </w:rPr>
            </w:pPr>
          </w:p>
        </w:tc>
      </w:tr>
      <w:tr>
        <w:trPr>
          <w:trHeight w:val="891"/>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Revenue and Cost of Revenue</w:t>
            </w:r>
          </w:p>
        </w:tc>
        <w:tc>
          <w:tcPr>
            <w:tcW w:w="2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567"/>
        </w:trPr>
        <w:tc>
          <w:tcPr>
            <w:tcW w:w="3200" w:type="dxa"/>
            <w:vAlign w:val="bottom"/>
            <w:gridSpan w:val="2"/>
          </w:tcPr>
          <w:p>
            <w:pPr>
              <w:ind w:left="20"/>
              <w:spacing w:after="0"/>
              <w:rPr>
                <w:sz w:val="20"/>
                <w:szCs w:val="20"/>
                <w:color w:val="auto"/>
              </w:rPr>
            </w:pPr>
            <w:r>
              <w:rPr>
                <w:rFonts w:ascii="Arial" w:cs="Arial" w:eastAsia="Arial" w:hAnsi="Arial"/>
                <w:sz w:val="18"/>
                <w:szCs w:val="18"/>
                <w:i w:val="1"/>
                <w:iCs w:val="1"/>
                <w:color w:val="auto"/>
              </w:rPr>
              <w:t>Recurring</w:t>
            </w:r>
          </w:p>
        </w:tc>
        <w:tc>
          <w:tcPr>
            <w:tcW w:w="2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32"/>
        </w:trPr>
        <w:tc>
          <w:tcPr>
            <w:tcW w:w="2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00" w:type="dxa"/>
            <w:vAlign w:val="bottom"/>
          </w:tcPr>
          <w:p>
            <w:pPr>
              <w:jc w:val="center"/>
              <w:spacing w:after="0"/>
              <w:rPr>
                <w:sz w:val="20"/>
                <w:szCs w:val="20"/>
                <w:color w:val="auto"/>
              </w:rPr>
            </w:pPr>
            <w:r>
              <w:rPr>
                <w:rFonts w:ascii="Arial" w:cs="Arial" w:eastAsia="Arial" w:hAnsi="Arial"/>
                <w:sz w:val="18"/>
                <w:szCs w:val="18"/>
                <w:i w:val="1"/>
                <w:iCs w:val="1"/>
                <w:color w:val="auto"/>
                <w:w w:val="99"/>
              </w:rPr>
              <w:t>Gross profit ($M)</w:t>
            </w:r>
          </w:p>
        </w:tc>
      </w:tr>
      <w:tr>
        <w:trPr>
          <w:trHeight w:val="235"/>
        </w:trPr>
        <w:tc>
          <w:tcPr>
            <w:tcW w:w="3200" w:type="dxa"/>
            <w:vAlign w:val="bottom"/>
            <w:gridSpan w:val="2"/>
          </w:tcPr>
          <w:p>
            <w:pPr>
              <w:jc w:val="center"/>
              <w:ind w:right="420"/>
              <w:spacing w:after="0"/>
              <w:rPr>
                <w:sz w:val="20"/>
                <w:szCs w:val="20"/>
                <w:color w:val="auto"/>
              </w:rPr>
            </w:pPr>
            <w:r>
              <w:rPr>
                <w:rFonts w:ascii="Arial" w:cs="Arial" w:eastAsia="Arial" w:hAnsi="Arial"/>
                <w:sz w:val="18"/>
                <w:szCs w:val="18"/>
                <w:i w:val="1"/>
                <w:iCs w:val="1"/>
                <w:color w:val="auto"/>
                <w:w w:val="99"/>
              </w:rPr>
              <w:t>Revenue ($M)</w:t>
            </w:r>
          </w:p>
        </w:tc>
        <w:tc>
          <w:tcPr>
            <w:tcW w:w="3140" w:type="dxa"/>
            <w:vAlign w:val="bottom"/>
            <w:gridSpan w:val="2"/>
          </w:tcPr>
          <w:p>
            <w:pPr>
              <w:jc w:val="center"/>
              <w:ind w:right="420"/>
              <w:spacing w:after="0"/>
              <w:rPr>
                <w:sz w:val="20"/>
                <w:szCs w:val="20"/>
                <w:color w:val="auto"/>
              </w:rPr>
            </w:pPr>
            <w:r>
              <w:rPr>
                <w:rFonts w:ascii="Arial" w:cs="Arial" w:eastAsia="Arial" w:hAnsi="Arial"/>
                <w:sz w:val="18"/>
                <w:szCs w:val="18"/>
                <w:i w:val="1"/>
                <w:iCs w:val="1"/>
                <w:color w:val="auto"/>
                <w:w w:val="99"/>
              </w:rPr>
              <w:t>Cost of revenue ($M)</w:t>
            </w:r>
          </w:p>
        </w:tc>
        <w:tc>
          <w:tcPr>
            <w:tcW w:w="2900" w:type="dxa"/>
            <w:vAlign w:val="bottom"/>
          </w:tcPr>
          <w:p>
            <w:pPr>
              <w:jc w:val="center"/>
              <w:spacing w:after="0"/>
              <w:rPr>
                <w:sz w:val="20"/>
                <w:szCs w:val="20"/>
                <w:color w:val="auto"/>
              </w:rPr>
            </w:pPr>
            <w:r>
              <w:rPr>
                <w:rFonts w:ascii="Arial" w:cs="Arial" w:eastAsia="Arial" w:hAnsi="Arial"/>
                <w:sz w:val="18"/>
                <w:szCs w:val="18"/>
                <w:i w:val="1"/>
                <w:iCs w:val="1"/>
                <w:color w:val="auto"/>
                <w:w w:val="99"/>
              </w:rPr>
              <w:t>and gross margin (%)</w:t>
            </w:r>
          </w:p>
        </w:tc>
      </w:tr>
      <w:tr>
        <w:trPr>
          <w:trHeight w:val="27"/>
        </w:trPr>
        <w:tc>
          <w:tcPr>
            <w:tcW w:w="27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21"/>
        </w:trPr>
        <w:tc>
          <w:tcPr>
            <w:tcW w:w="3200" w:type="dxa"/>
            <w:vAlign w:val="bottom"/>
            <w:gridSpan w:val="2"/>
          </w:tcPr>
          <w:p>
            <w:pPr>
              <w:jc w:val="center"/>
              <w:ind w:right="420"/>
              <w:spacing w:after="0"/>
              <w:rPr>
                <w:sz w:val="20"/>
                <w:szCs w:val="20"/>
                <w:color w:val="auto"/>
              </w:rPr>
            </w:pPr>
            <w:r>
              <w:rPr>
                <w:rFonts w:ascii="Arial" w:cs="Arial" w:eastAsia="Arial" w:hAnsi="Arial"/>
                <w:sz w:val="13"/>
                <w:szCs w:val="13"/>
                <w:i w:val="1"/>
                <w:iCs w:val="1"/>
                <w:color w:val="auto"/>
                <w:w w:val="95"/>
              </w:rPr>
              <w:t>YoY Growth (%)</w:t>
            </w:r>
          </w:p>
        </w:tc>
        <w:tc>
          <w:tcPr>
            <w:tcW w:w="3140" w:type="dxa"/>
            <w:vAlign w:val="bottom"/>
            <w:gridSpan w:val="2"/>
          </w:tcPr>
          <w:p>
            <w:pPr>
              <w:jc w:val="center"/>
              <w:ind w:right="400"/>
              <w:spacing w:after="0"/>
              <w:rPr>
                <w:sz w:val="20"/>
                <w:szCs w:val="20"/>
                <w:color w:val="auto"/>
              </w:rPr>
            </w:pPr>
            <w:r>
              <w:rPr>
                <w:rFonts w:ascii="Arial" w:cs="Arial" w:eastAsia="Arial" w:hAnsi="Arial"/>
                <w:sz w:val="13"/>
                <w:szCs w:val="13"/>
                <w:i w:val="1"/>
                <w:iCs w:val="1"/>
                <w:color w:val="auto"/>
                <w:w w:val="95"/>
              </w:rPr>
              <w:t>YoY Growth (%)</w:t>
            </w:r>
          </w:p>
        </w:tc>
        <w:tc>
          <w:tcPr>
            <w:tcW w:w="29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5812155" cy="30003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1215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Recurring revenue is comprised of fees for the use of our subscription-based software solutions, which includes providing access to cloud solutions, Impact-as-a-Service</w:t>
      </w:r>
      <w:r>
        <w:rPr>
          <w:rFonts w:ascii="Arial" w:cs="Arial" w:eastAsia="Arial" w:hAnsi="Arial"/>
          <w:sz w:val="18"/>
          <w:szCs w:val="18"/>
          <w:i w:val="1"/>
          <w:iCs w:val="1"/>
          <w:color w:val="auto"/>
        </w:rPr>
        <w:t>™</w:t>
      </w:r>
      <w:r>
        <w:rPr>
          <w:rFonts w:ascii="Arial" w:cs="Arial" w:eastAsia="Arial" w:hAnsi="Arial"/>
          <w:sz w:val="18"/>
          <w:szCs w:val="18"/>
          <w:color w:val="auto"/>
        </w:rPr>
        <w:t xml:space="preserve"> digital educational content, hosting services, payment services, online training programs, subscription-based analytic services. Recurring revenue also includes fees from maintenance services for our on-premises solutions, services included in our renewable subscription contracts, retained and managed services contracts that we expect to have a term consistent with our cloud solution contracts, and variable transaction revenue associated with the use of our solutions.</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 of recurring revenue is primarily comprised of compensation costs for customer support and production IT personnel, hosting and data center costs, third-party contractor expenses, third-party royalty and data expenses, allocated depreciation, facilities and IT support costs, amortization of intangible assets from business combinations, amortization of software development costs, transaction-based costs related to payments services including remittances of amounts due to third-parties and other costs incurred in providing support and recurring services to our customers.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customers continue to prefer cloud subscription offerings with integrated analytics, training and payment services. Recurring subscription contracts are typically for a term of three years at contract inception with one to three-year renewals thereafter. We intend to continue focusing on innovation, quality and integration of our cloud solutions, which we believe will drive future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214630</wp:posOffset>
            </wp:positionV>
            <wp:extent cx="659765"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480"/>
              <w:spacing w:after="0"/>
              <w:rPr>
                <w:sz w:val="20"/>
                <w:szCs w:val="20"/>
                <w:color w:val="auto"/>
              </w:rPr>
            </w:pPr>
            <w:r>
              <w:rPr>
                <w:rFonts w:ascii="Arial" w:cs="Arial" w:eastAsia="Arial" w:hAnsi="Arial"/>
                <w:sz w:val="14"/>
                <w:szCs w:val="14"/>
                <w:color w:val="auto"/>
              </w:rPr>
              <w:t>Second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Recurring revenue increased by $35.5 million, or 16.4%, and $73.4 million, or 17.3%, during the three and six months ended June 30, 2022, respectively, when compared to the same periods in 2021, driven primarily by the following:</w:t>
      </w:r>
    </w:p>
    <w:p>
      <w:pPr>
        <w:spacing w:after="0" w:line="144" w:lineRule="exact"/>
        <w:rPr>
          <w:sz w:val="20"/>
          <w:szCs w:val="20"/>
          <w:color w:val="auto"/>
        </w:rPr>
      </w:pPr>
    </w:p>
    <w:p>
      <w:pPr>
        <w:jc w:val="both"/>
        <w:ind w:left="700" w:right="20" w:hanging="373"/>
        <w:spacing w:after="0" w:line="200" w:lineRule="auto"/>
        <w:tabs>
          <w:tab w:leader="none" w:pos="700" w:val="left"/>
        </w:tabs>
        <w:numPr>
          <w:ilvl w:val="0"/>
          <w:numId w:val="22"/>
        </w:numPr>
        <w:rPr>
          <w:rFonts w:ascii="Arial" w:cs="Arial" w:eastAsia="Arial" w:hAnsi="Arial"/>
          <w:sz w:val="36"/>
          <w:szCs w:val="36"/>
          <w:color w:val="auto"/>
          <w:vertAlign w:val="superscript"/>
        </w:rPr>
      </w:pPr>
      <w:r>
        <w:rPr>
          <w:rFonts w:ascii="Arial" w:cs="Arial" w:eastAsia="Arial" w:hAnsi="Arial"/>
          <w:sz w:val="18"/>
          <w:szCs w:val="18"/>
          <w:color w:val="auto"/>
        </w:rPr>
        <w:t>Increases in contractual recurring revenue of $26.2 million and $53.9 million, respectively, related to the performance of our cloud solutions, of which $23.4 million and $47.5 million, respectively, was attributable to EVERFI; partially offset by decreases in maintenance revenue as customers migrate to our cloud solutions; also offsetting the increases in contractual recurring revenue are decreases related to fluctuations in foreign currency exchange rates of $0.8 million and $1.1 million, respectively</w:t>
      </w:r>
    </w:p>
    <w:p>
      <w:pPr>
        <w:spacing w:after="0" w:line="109" w:lineRule="exact"/>
        <w:rPr>
          <w:rFonts w:ascii="Arial" w:cs="Arial" w:eastAsia="Arial" w:hAnsi="Arial"/>
          <w:sz w:val="36"/>
          <w:szCs w:val="36"/>
          <w:color w:val="auto"/>
          <w:vertAlign w:val="superscript"/>
        </w:rPr>
      </w:pPr>
    </w:p>
    <w:p>
      <w:pPr>
        <w:jc w:val="both"/>
        <w:ind w:left="700" w:right="20" w:hanging="373"/>
        <w:spacing w:after="0" w:line="200" w:lineRule="auto"/>
        <w:tabs>
          <w:tab w:leader="none" w:pos="700" w:val="left"/>
        </w:tabs>
        <w:numPr>
          <w:ilvl w:val="0"/>
          <w:numId w:val="22"/>
        </w:numPr>
        <w:rPr>
          <w:rFonts w:ascii="Arial" w:cs="Arial" w:eastAsia="Arial" w:hAnsi="Arial"/>
          <w:sz w:val="36"/>
          <w:szCs w:val="36"/>
          <w:color w:val="auto"/>
          <w:vertAlign w:val="superscript"/>
        </w:rPr>
      </w:pPr>
      <w:r>
        <w:rPr>
          <w:rFonts w:ascii="Arial" w:cs="Arial" w:eastAsia="Arial" w:hAnsi="Arial"/>
          <w:sz w:val="18"/>
          <w:szCs w:val="18"/>
          <w:color w:val="auto"/>
        </w:rPr>
        <w:t>Increases in transactional recurring revenue of $9.3 million and $19.5 million, respectively, primarily due to an increase in online charitable giving, the continued shift toward virtual fundraising and, to a lesser extent, increased transactional volume as our customer's constituents have begun to return to in-person events; partially offset by decreases related to fluctuations in foreign currency exchange rates of $1.8 million and $2.3 million, respectively</w:t>
      </w:r>
    </w:p>
    <w:p>
      <w:pPr>
        <w:spacing w:after="0" w:line="285" w:lineRule="exact"/>
        <w:rPr>
          <w:sz w:val="20"/>
          <w:szCs w:val="20"/>
          <w:color w:val="auto"/>
        </w:rPr>
      </w:pPr>
    </w:p>
    <w:p>
      <w:pPr>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For additional information on the impact of foreign currency fluctuations on our financial results, see Foreign Currency Exchange Rates below on page </w:t>
      </w:r>
      <w:hyperlink w:anchor="page46">
        <w:r>
          <w:rPr>
            <w:rFonts w:ascii="Arial" w:cs="Arial" w:eastAsia="Arial" w:hAnsi="Arial"/>
            <w:sz w:val="18"/>
            <w:szCs w:val="18"/>
            <w:color w:val="auto"/>
          </w:rPr>
          <w:t>46.</w:t>
        </w:r>
      </w:hyperlink>
    </w:p>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Cost of recurring revenue increased by $20.1 million, or 21.2%, and $43.4 million, or 23.7%, during the three and six months ended June 30, 2022, respectively, when compared to the same periods in 2021, driven primarily by the following:</w:t>
      </w:r>
    </w:p>
    <w:p>
      <w:pPr>
        <w:spacing w:after="0" w:line="144" w:lineRule="exact"/>
        <w:rPr>
          <w:sz w:val="20"/>
          <w:szCs w:val="20"/>
          <w:color w:val="auto"/>
        </w:rPr>
      </w:pPr>
    </w:p>
    <w:p>
      <w:pPr>
        <w:jc w:val="both"/>
        <w:ind w:left="700" w:right="60" w:hanging="373"/>
        <w:spacing w:after="0" w:line="188" w:lineRule="auto"/>
        <w:tabs>
          <w:tab w:leader="none" w:pos="700" w:val="left"/>
        </w:tabs>
        <w:numPr>
          <w:ilvl w:val="0"/>
          <w:numId w:val="23"/>
        </w:numPr>
        <w:rPr>
          <w:rFonts w:ascii="Arial" w:cs="Arial" w:eastAsia="Arial" w:hAnsi="Arial"/>
          <w:sz w:val="36"/>
          <w:szCs w:val="36"/>
          <w:color w:val="auto"/>
          <w:vertAlign w:val="superscript"/>
        </w:rPr>
      </w:pPr>
      <w:r>
        <w:rPr>
          <w:rFonts w:ascii="Arial" w:cs="Arial" w:eastAsia="Arial" w:hAnsi="Arial"/>
          <w:sz w:val="18"/>
          <w:szCs w:val="18"/>
          <w:color w:val="auto"/>
        </w:rPr>
        <w:t>Increases in compensation costs of $5.2 million and $12.8 million, respectively, primarily related to an increase in headcount due to our acquisition of EVERFI, and a continued shift in resources historically supporting one-time services and other towards recurring revenue</w:t>
      </w:r>
    </w:p>
    <w:p>
      <w:pPr>
        <w:spacing w:after="0" w:line="107" w:lineRule="exact"/>
        <w:rPr>
          <w:rFonts w:ascii="Arial" w:cs="Arial" w:eastAsia="Arial" w:hAnsi="Arial"/>
          <w:sz w:val="36"/>
          <w:szCs w:val="36"/>
          <w:color w:val="auto"/>
          <w:vertAlign w:val="superscript"/>
        </w:rPr>
      </w:pPr>
    </w:p>
    <w:p>
      <w:pPr>
        <w:ind w:left="700" w:right="60" w:hanging="373"/>
        <w:spacing w:after="0" w:line="180" w:lineRule="auto"/>
        <w:tabs>
          <w:tab w:leader="none" w:pos="700" w:val="left"/>
        </w:tabs>
        <w:numPr>
          <w:ilvl w:val="0"/>
          <w:numId w:val="23"/>
        </w:numPr>
        <w:rPr>
          <w:rFonts w:ascii="Arial" w:cs="Arial" w:eastAsia="Arial" w:hAnsi="Arial"/>
          <w:sz w:val="33"/>
          <w:szCs w:val="33"/>
          <w:color w:val="auto"/>
          <w:vertAlign w:val="superscript"/>
        </w:rPr>
      </w:pPr>
      <w:r>
        <w:rPr>
          <w:rFonts w:ascii="Arial" w:cs="Arial" w:eastAsia="Arial" w:hAnsi="Arial"/>
          <w:sz w:val="17"/>
          <w:szCs w:val="17"/>
          <w:color w:val="auto"/>
        </w:rPr>
        <w:t>Increases in transaction-based costs of $4.2 million and $9.2 million, respectively, related to the increase in the volume of transactions for which we process payments</w:t>
      </w:r>
    </w:p>
    <w:p>
      <w:pPr>
        <w:spacing w:after="0" w:line="108" w:lineRule="exact"/>
        <w:rPr>
          <w:rFonts w:ascii="Arial" w:cs="Arial" w:eastAsia="Arial" w:hAnsi="Arial"/>
          <w:sz w:val="33"/>
          <w:szCs w:val="33"/>
          <w:color w:val="auto"/>
          <w:vertAlign w:val="superscript"/>
        </w:rPr>
      </w:pPr>
    </w:p>
    <w:p>
      <w:pPr>
        <w:ind w:left="700" w:right="60" w:hanging="373"/>
        <w:spacing w:after="0" w:line="180" w:lineRule="auto"/>
        <w:tabs>
          <w:tab w:leader="none" w:pos="700" w:val="left"/>
        </w:tabs>
        <w:numPr>
          <w:ilvl w:val="0"/>
          <w:numId w:val="23"/>
        </w:numPr>
        <w:rPr>
          <w:rFonts w:ascii="Arial" w:cs="Arial" w:eastAsia="Arial" w:hAnsi="Arial"/>
          <w:sz w:val="33"/>
          <w:szCs w:val="33"/>
          <w:color w:val="auto"/>
          <w:vertAlign w:val="superscript"/>
        </w:rPr>
      </w:pPr>
      <w:r>
        <w:rPr>
          <w:rFonts w:ascii="Arial" w:cs="Arial" w:eastAsia="Arial" w:hAnsi="Arial"/>
          <w:sz w:val="17"/>
          <w:szCs w:val="17"/>
          <w:color w:val="auto"/>
        </w:rPr>
        <w:t>Increases in amortization of intangible assets from business combinations of $3.6 million and $7.1 million, respectively, due to our acquisition of EVERFI</w:t>
      </w:r>
    </w:p>
    <w:p>
      <w:pPr>
        <w:spacing w:after="0" w:line="108" w:lineRule="exact"/>
        <w:rPr>
          <w:rFonts w:ascii="Arial" w:cs="Arial" w:eastAsia="Arial" w:hAnsi="Arial"/>
          <w:sz w:val="33"/>
          <w:szCs w:val="33"/>
          <w:color w:val="auto"/>
          <w:vertAlign w:val="superscript"/>
        </w:rPr>
      </w:pPr>
    </w:p>
    <w:p>
      <w:pPr>
        <w:jc w:val="both"/>
        <w:ind w:left="700" w:right="60" w:hanging="373"/>
        <w:spacing w:after="0" w:line="188" w:lineRule="auto"/>
        <w:tabs>
          <w:tab w:leader="none" w:pos="700" w:val="left"/>
        </w:tabs>
        <w:numPr>
          <w:ilvl w:val="0"/>
          <w:numId w:val="23"/>
        </w:numPr>
        <w:rPr>
          <w:rFonts w:ascii="Arial" w:cs="Arial" w:eastAsia="Arial" w:hAnsi="Arial"/>
          <w:sz w:val="36"/>
          <w:szCs w:val="36"/>
          <w:color w:val="auto"/>
          <w:vertAlign w:val="superscript"/>
        </w:rPr>
      </w:pPr>
      <w:r>
        <w:rPr>
          <w:rFonts w:ascii="Arial" w:cs="Arial" w:eastAsia="Arial" w:hAnsi="Arial"/>
          <w:sz w:val="18"/>
          <w:szCs w:val="18"/>
          <w:color w:val="auto"/>
        </w:rPr>
        <w:t>Increases in third-party contractor and hosting costs of $2.9 million and $6.9 million, respectively, as we continue to migrate our cloud infrastructure to leading public cloud service providers and make investments in security; currently, we expect our cloud infrastructure migration efforts and increased level of security investments to continue through 2024</w:t>
      </w:r>
    </w:p>
    <w:p>
      <w:pPr>
        <w:ind w:left="700" w:hanging="373"/>
        <w:spacing w:after="0" w:line="187" w:lineRule="auto"/>
        <w:tabs>
          <w:tab w:leader="none" w:pos="700" w:val="left"/>
        </w:tabs>
        <w:numPr>
          <w:ilvl w:val="0"/>
          <w:numId w:val="23"/>
        </w:numPr>
        <w:rPr>
          <w:rFonts w:ascii="Arial" w:cs="Arial" w:eastAsia="Arial" w:hAnsi="Arial"/>
          <w:sz w:val="36"/>
          <w:szCs w:val="36"/>
          <w:color w:val="auto"/>
          <w:vertAlign w:val="superscript"/>
        </w:rPr>
      </w:pPr>
      <w:r>
        <w:rPr>
          <w:rFonts w:ascii="Arial" w:cs="Arial" w:eastAsia="Arial" w:hAnsi="Arial"/>
          <w:sz w:val="18"/>
          <w:szCs w:val="18"/>
          <w:color w:val="auto"/>
        </w:rPr>
        <w:t>Increases in overhead allocations of $1.2 million and $2.8 million, respectively, related to the increased headcount discussed above</w:t>
      </w:r>
    </w:p>
    <w:p>
      <w:pPr>
        <w:spacing w:after="0" w:line="108" w:lineRule="exact"/>
        <w:rPr>
          <w:rFonts w:ascii="Arial" w:cs="Arial" w:eastAsia="Arial" w:hAnsi="Arial"/>
          <w:sz w:val="36"/>
          <w:szCs w:val="36"/>
          <w:color w:val="auto"/>
          <w:vertAlign w:val="superscript"/>
        </w:rPr>
      </w:pPr>
    </w:p>
    <w:p>
      <w:pPr>
        <w:ind w:left="700" w:hanging="373"/>
        <w:spacing w:after="0" w:line="181" w:lineRule="auto"/>
        <w:tabs>
          <w:tab w:leader="none" w:pos="700" w:val="left"/>
        </w:tabs>
        <w:numPr>
          <w:ilvl w:val="0"/>
          <w:numId w:val="23"/>
        </w:numPr>
        <w:rPr>
          <w:rFonts w:ascii="Arial" w:cs="Arial" w:eastAsia="Arial" w:hAnsi="Arial"/>
          <w:sz w:val="25"/>
          <w:szCs w:val="25"/>
          <w:color w:val="auto"/>
          <w:vertAlign w:val="superscript"/>
        </w:rPr>
      </w:pPr>
      <w:r>
        <w:rPr>
          <w:rFonts w:ascii="Arial" w:cs="Arial" w:eastAsia="Arial" w:hAnsi="Arial"/>
          <w:sz w:val="14"/>
          <w:szCs w:val="14"/>
          <w:color w:val="auto"/>
        </w:rPr>
        <w:t>Increases in amortization of software development costs of $1.2 million and $2.3 million, respectively</w:t>
      </w:r>
    </w:p>
    <w:p>
      <w:pPr>
        <w:spacing w:after="0" w:line="26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Recurring gross margin decreased by 1.8% and 2.3% for the three and six months ended June 30, 2022, respectively, when compared to the same periods in 2021, primarily due to the increase in cost of recurring revenue outpacing the increase in recurring revenue.</w:t>
      </w:r>
    </w:p>
    <w:p>
      <w:pPr>
        <w:spacing w:after="0" w:line="317"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30</w:t>
      </w:r>
      <w:r>
        <w:rPr>
          <w:sz w:val="20"/>
          <w:szCs w:val="20"/>
          <w:color w:val="auto"/>
        </w:rPr>
        <w:tab/>
      </w:r>
      <w:r>
        <w:rPr>
          <w:sz w:val="1"/>
          <w:szCs w:val="1"/>
          <w:color w:val="auto"/>
        </w:rPr>
        <w:drawing>
          <wp:inline distT="0" distB="0" distL="0" distR="0">
            <wp:extent cx="651510" cy="17145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200" w:type="dxa"/>
            <w:vAlign w:val="bottom"/>
            <w:gridSpan w:val="2"/>
          </w:tcPr>
          <w:p>
            <w:pPr>
              <w:ind w:left="20"/>
              <w:spacing w:after="0"/>
              <w:rPr>
                <w:sz w:val="20"/>
                <w:szCs w:val="20"/>
                <w:color w:val="auto"/>
              </w:rPr>
            </w:pPr>
            <w:r>
              <w:rPr>
                <w:rFonts w:ascii="Arial" w:cs="Arial" w:eastAsia="Arial" w:hAnsi="Arial"/>
                <w:sz w:val="18"/>
                <w:szCs w:val="18"/>
                <w:i w:val="1"/>
                <w:iCs w:val="1"/>
                <w:color w:val="auto"/>
              </w:rPr>
              <w:t>One-time services and other</w:t>
            </w:r>
          </w:p>
        </w:tc>
        <w:tc>
          <w:tcPr>
            <w:tcW w:w="2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332"/>
        </w:trPr>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i w:val="1"/>
                <w:iCs w:val="1"/>
                <w:color w:val="auto"/>
              </w:rPr>
              <w:t>Gross profit ($M)</w:t>
            </w:r>
          </w:p>
        </w:tc>
      </w:tr>
      <w:tr>
        <w:trPr>
          <w:trHeight w:val="235"/>
        </w:trPr>
        <w:tc>
          <w:tcPr>
            <w:tcW w:w="3200" w:type="dxa"/>
            <w:vAlign w:val="bottom"/>
            <w:gridSpan w:val="2"/>
          </w:tcPr>
          <w:p>
            <w:pPr>
              <w:jc w:val="center"/>
              <w:ind w:right="500"/>
              <w:spacing w:after="0"/>
              <w:rPr>
                <w:sz w:val="20"/>
                <w:szCs w:val="20"/>
                <w:color w:val="auto"/>
              </w:rPr>
            </w:pPr>
            <w:r>
              <w:rPr>
                <w:rFonts w:ascii="Arial" w:cs="Arial" w:eastAsia="Arial" w:hAnsi="Arial"/>
                <w:sz w:val="18"/>
                <w:szCs w:val="18"/>
                <w:i w:val="1"/>
                <w:iCs w:val="1"/>
                <w:color w:val="auto"/>
                <w:w w:val="99"/>
              </w:rPr>
              <w:t>Revenue ($M)</w:t>
            </w:r>
          </w:p>
        </w:tc>
        <w:tc>
          <w:tcPr>
            <w:tcW w:w="3200" w:type="dxa"/>
            <w:vAlign w:val="bottom"/>
            <w:gridSpan w:val="2"/>
          </w:tcPr>
          <w:p>
            <w:pPr>
              <w:jc w:val="center"/>
              <w:ind w:right="500"/>
              <w:spacing w:after="0"/>
              <w:rPr>
                <w:sz w:val="20"/>
                <w:szCs w:val="20"/>
                <w:color w:val="auto"/>
              </w:rPr>
            </w:pPr>
            <w:r>
              <w:rPr>
                <w:rFonts w:ascii="Arial" w:cs="Arial" w:eastAsia="Arial" w:hAnsi="Arial"/>
                <w:sz w:val="18"/>
                <w:szCs w:val="18"/>
                <w:i w:val="1"/>
                <w:iCs w:val="1"/>
                <w:color w:val="auto"/>
              </w:rPr>
              <w:t>Cost of revenue ($M)</w:t>
            </w:r>
          </w:p>
        </w:tc>
        <w:tc>
          <w:tcPr>
            <w:tcW w:w="2840" w:type="dxa"/>
            <w:vAlign w:val="bottom"/>
          </w:tcPr>
          <w:p>
            <w:pPr>
              <w:jc w:val="center"/>
              <w:spacing w:after="0"/>
              <w:rPr>
                <w:sz w:val="20"/>
                <w:szCs w:val="20"/>
                <w:color w:val="auto"/>
              </w:rPr>
            </w:pPr>
            <w:r>
              <w:rPr>
                <w:rFonts w:ascii="Arial" w:cs="Arial" w:eastAsia="Arial" w:hAnsi="Arial"/>
                <w:sz w:val="18"/>
                <w:szCs w:val="18"/>
                <w:i w:val="1"/>
                <w:iCs w:val="1"/>
                <w:color w:val="auto"/>
                <w:w w:val="99"/>
              </w:rPr>
              <w:t>and gross margin (%)</w:t>
            </w:r>
          </w:p>
        </w:tc>
      </w:tr>
      <w:tr>
        <w:trPr>
          <w:trHeight w:val="27"/>
        </w:trPr>
        <w:tc>
          <w:tcPr>
            <w:tcW w:w="27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21"/>
        </w:trPr>
        <w:tc>
          <w:tcPr>
            <w:tcW w:w="3200" w:type="dxa"/>
            <w:vAlign w:val="bottom"/>
            <w:gridSpan w:val="2"/>
          </w:tcPr>
          <w:p>
            <w:pPr>
              <w:jc w:val="center"/>
              <w:ind w:right="500"/>
              <w:spacing w:after="0"/>
              <w:rPr>
                <w:sz w:val="20"/>
                <w:szCs w:val="20"/>
                <w:color w:val="auto"/>
              </w:rPr>
            </w:pPr>
            <w:r>
              <w:rPr>
                <w:rFonts w:ascii="Arial" w:cs="Arial" w:eastAsia="Arial" w:hAnsi="Arial"/>
                <w:sz w:val="13"/>
                <w:szCs w:val="13"/>
                <w:i w:val="1"/>
                <w:iCs w:val="1"/>
                <w:color w:val="auto"/>
                <w:w w:val="95"/>
              </w:rPr>
              <w:t>YoY Growth (%)</w:t>
            </w:r>
          </w:p>
        </w:tc>
        <w:tc>
          <w:tcPr>
            <w:tcW w:w="3200" w:type="dxa"/>
            <w:vAlign w:val="bottom"/>
            <w:gridSpan w:val="2"/>
          </w:tcPr>
          <w:p>
            <w:pPr>
              <w:jc w:val="center"/>
              <w:ind w:right="500"/>
              <w:spacing w:after="0"/>
              <w:rPr>
                <w:sz w:val="20"/>
                <w:szCs w:val="20"/>
                <w:color w:val="auto"/>
              </w:rPr>
            </w:pPr>
            <w:r>
              <w:rPr>
                <w:rFonts w:ascii="Arial" w:cs="Arial" w:eastAsia="Arial" w:hAnsi="Arial"/>
                <w:sz w:val="13"/>
                <w:szCs w:val="13"/>
                <w:i w:val="1"/>
                <w:iCs w:val="1"/>
                <w:color w:val="auto"/>
                <w:w w:val="95"/>
              </w:rPr>
              <w:t>YoY Growth (%)</w:t>
            </w:r>
          </w:p>
        </w:tc>
        <w:tc>
          <w:tcPr>
            <w:tcW w:w="28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5812155" cy="30003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1215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One-time services and other revenue is comprised of fees for one-time consulting, analytic and onsite training services, fees for retained and managed services contracts that we do not expect to have a term consistent with our cloud solution contracts, revenue from the sale of our software sold under perpetual license arrangements, and third-party software referral fees.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Cost of one-time services and other is primarily comprised of compensation costs for professional services and onsite training personnel, other costs incurred in providing onsite customer training, third-party contractor expenses, data expense incurred to perform one-time analytic services, third-party software royalties, allocated depreciation, facilities and IT support costs and amortization of intangible assets from business combinations.</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One-time services and other revenue decreased insignificantly, during the three and six months ended June 30, 2022, when compared to the same periods in 2021, driven primarily by the following:</w:t>
      </w:r>
    </w:p>
    <w:p>
      <w:pPr>
        <w:spacing w:after="0" w:line="144" w:lineRule="exact"/>
        <w:rPr>
          <w:sz w:val="20"/>
          <w:szCs w:val="20"/>
          <w:color w:val="auto"/>
        </w:rPr>
      </w:pPr>
    </w:p>
    <w:p>
      <w:pPr>
        <w:jc w:val="both"/>
        <w:ind w:left="700" w:right="60" w:hanging="373"/>
        <w:spacing w:after="0" w:line="200" w:lineRule="auto"/>
        <w:tabs>
          <w:tab w:leader="none" w:pos="700" w:val="left"/>
        </w:tabs>
        <w:numPr>
          <w:ilvl w:val="0"/>
          <w:numId w:val="24"/>
        </w:numPr>
        <w:rPr>
          <w:rFonts w:ascii="Arial" w:cs="Arial" w:eastAsia="Arial" w:hAnsi="Arial"/>
          <w:sz w:val="36"/>
          <w:szCs w:val="36"/>
          <w:color w:val="auto"/>
          <w:vertAlign w:val="superscript"/>
        </w:rPr>
      </w:pPr>
      <w:r>
        <w:rPr>
          <w:rFonts w:ascii="Arial" w:cs="Arial" w:eastAsia="Arial" w:hAnsi="Arial"/>
          <w:sz w:val="18"/>
          <w:szCs w:val="18"/>
          <w:color w:val="auto"/>
        </w:rPr>
        <w:t>Increases in one-time consulting revenue of $0.6 million and $1.6 million, respectively, primarily attributable to EVERFI, largely offset by less revenue from implementation and customization services, in line with our multi-year strategic shift from a license-based and one-time services business model to a cloud subscription business model. Our cloud subscription offerings generally require less implementation and customization services.</w:t>
      </w:r>
    </w:p>
    <w:p>
      <w:pPr>
        <w:spacing w:after="0" w:line="110" w:lineRule="exact"/>
        <w:rPr>
          <w:sz w:val="20"/>
          <w:szCs w:val="20"/>
          <w:color w:val="auto"/>
        </w:rPr>
      </w:pPr>
    </w:p>
    <w:p>
      <w:pPr>
        <w:ind w:left="700" w:right="80" w:hanging="351"/>
        <w:spacing w:after="0" w:line="180" w:lineRule="auto"/>
        <w:tabs>
          <w:tab w:leader="none" w:pos="700" w:val="left"/>
        </w:tabs>
        <w:numPr>
          <w:ilvl w:val="0"/>
          <w:numId w:val="25"/>
        </w:numPr>
        <w:rPr>
          <w:rFonts w:ascii="Arial" w:cs="Arial" w:eastAsia="Arial" w:hAnsi="Arial"/>
          <w:sz w:val="33"/>
          <w:szCs w:val="33"/>
          <w:color w:val="auto"/>
          <w:vertAlign w:val="superscript"/>
        </w:rPr>
      </w:pPr>
      <w:r>
        <w:rPr>
          <w:rFonts w:ascii="Arial" w:cs="Arial" w:eastAsia="Arial" w:hAnsi="Arial"/>
          <w:sz w:val="17"/>
          <w:szCs w:val="17"/>
          <w:color w:val="auto"/>
        </w:rPr>
        <w:t>Decreases in one-time analytics revenue of $0.9 million and $1.7 million, respectively, as analytics are generally integrated in our cloud solutions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Cost of one-time services and other decreased by $2.5 million, or 18.4%, and $5.8 million, or 20.8%, during the three and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2022, respectively, when compared to the same periods in 2021, driven primarily by the following:</w:t>
      </w:r>
    </w:p>
    <w:p>
      <w:pPr>
        <w:spacing w:after="0" w:line="171" w:lineRule="exact"/>
        <w:rPr>
          <w:sz w:val="20"/>
          <w:szCs w:val="20"/>
          <w:color w:val="auto"/>
        </w:rPr>
      </w:pPr>
    </w:p>
    <w:p>
      <w:pPr>
        <w:jc w:val="both"/>
        <w:ind w:left="700" w:right="20" w:hanging="351"/>
        <w:spacing w:after="0" w:line="188" w:lineRule="auto"/>
        <w:tabs>
          <w:tab w:leader="none" w:pos="700" w:val="left"/>
        </w:tabs>
        <w:numPr>
          <w:ilvl w:val="0"/>
          <w:numId w:val="26"/>
        </w:numPr>
        <w:rPr>
          <w:rFonts w:ascii="Arial" w:cs="Arial" w:eastAsia="Arial" w:hAnsi="Arial"/>
          <w:sz w:val="36"/>
          <w:szCs w:val="36"/>
          <w:color w:val="auto"/>
          <w:vertAlign w:val="superscript"/>
        </w:rPr>
      </w:pPr>
      <w:r>
        <w:rPr>
          <w:rFonts w:ascii="Arial" w:cs="Arial" w:eastAsia="Arial" w:hAnsi="Arial"/>
          <w:sz w:val="18"/>
          <w:szCs w:val="18"/>
          <w:color w:val="auto"/>
        </w:rPr>
        <w:t>Decreases in compensation costs of $2.6 million and $5.3 million,respectively, largely due to a continued shift in resources historically supporting one-time services and other towards recurring revenue as well as a decrease in professional services headcount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300355</wp:posOffset>
            </wp:positionV>
            <wp:extent cx="659765"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480"/>
              <w:spacing w:after="0"/>
              <w:rPr>
                <w:sz w:val="20"/>
                <w:szCs w:val="20"/>
                <w:color w:val="auto"/>
              </w:rPr>
            </w:pPr>
            <w:r>
              <w:rPr>
                <w:rFonts w:ascii="Arial" w:cs="Arial" w:eastAsia="Arial" w:hAnsi="Arial"/>
                <w:sz w:val="14"/>
                <w:szCs w:val="14"/>
                <w:color w:val="auto"/>
              </w:rPr>
              <w:t>Second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316"/>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One-time services and other gross margin increased by 19.9% and 23.4% during the three and six months ended June 30, 2022, respectively, when compared to the same periods in 2021, primarily due to the significant reductions in compensation costs discussed above.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5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4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521"/>
        </w:trPr>
        <w:tc>
          <w:tcPr>
            <w:tcW w:w="2540" w:type="dxa"/>
            <w:vAlign w:val="bottom"/>
          </w:tcPr>
          <w:p>
            <w:pPr>
              <w:jc w:val="center"/>
              <w:ind w:left="50"/>
              <w:spacing w:after="0"/>
              <w:rPr>
                <w:sz w:val="20"/>
                <w:szCs w:val="20"/>
                <w:color w:val="auto"/>
              </w:rPr>
            </w:pPr>
            <w:r>
              <w:rPr>
                <w:rFonts w:ascii="Arial" w:cs="Arial" w:eastAsia="Arial" w:hAnsi="Arial"/>
                <w:sz w:val="18"/>
                <w:szCs w:val="18"/>
                <w:i w:val="1"/>
                <w:iCs w:val="1"/>
                <w:color w:val="auto"/>
                <w:w w:val="99"/>
              </w:rPr>
              <w:t>Sales, marketing and</w:t>
            </w:r>
          </w:p>
        </w:tc>
        <w:tc>
          <w:tcPr>
            <w:tcW w:w="4200" w:type="dxa"/>
            <w:vAlign w:val="bottom"/>
          </w:tcPr>
          <w:p>
            <w:pPr>
              <w:jc w:val="center"/>
              <w:ind w:right="119"/>
              <w:spacing w:after="0"/>
              <w:rPr>
                <w:sz w:val="20"/>
                <w:szCs w:val="20"/>
                <w:color w:val="auto"/>
              </w:rPr>
            </w:pPr>
            <w:r>
              <w:rPr>
                <w:rFonts w:ascii="Arial" w:cs="Arial" w:eastAsia="Arial" w:hAnsi="Arial"/>
                <w:sz w:val="18"/>
                <w:szCs w:val="18"/>
                <w:i w:val="1"/>
                <w:iCs w:val="1"/>
                <w:color w:val="auto"/>
                <w:w w:val="99"/>
              </w:rPr>
              <w:t>Research and</w:t>
            </w:r>
          </w:p>
        </w:tc>
        <w:tc>
          <w:tcPr>
            <w:tcW w:w="2480" w:type="dxa"/>
            <w:vAlign w:val="bottom"/>
          </w:tcPr>
          <w:p>
            <w:pPr>
              <w:jc w:val="center"/>
              <w:ind w:right="250"/>
              <w:spacing w:after="0"/>
              <w:rPr>
                <w:sz w:val="20"/>
                <w:szCs w:val="20"/>
                <w:color w:val="auto"/>
              </w:rPr>
            </w:pPr>
            <w:r>
              <w:rPr>
                <w:rFonts w:ascii="Arial" w:cs="Arial" w:eastAsia="Arial" w:hAnsi="Arial"/>
                <w:sz w:val="18"/>
                <w:szCs w:val="18"/>
                <w:i w:val="1"/>
                <w:iCs w:val="1"/>
                <w:color w:val="auto"/>
                <w:w w:val="98"/>
              </w:rPr>
              <w:t>General and</w:t>
            </w:r>
          </w:p>
        </w:tc>
      </w:tr>
      <w:tr>
        <w:trPr>
          <w:trHeight w:val="235"/>
        </w:trPr>
        <w:tc>
          <w:tcPr>
            <w:tcW w:w="2540" w:type="dxa"/>
            <w:vAlign w:val="bottom"/>
          </w:tcPr>
          <w:p>
            <w:pPr>
              <w:jc w:val="center"/>
              <w:ind w:left="70"/>
              <w:spacing w:after="0"/>
              <w:rPr>
                <w:sz w:val="20"/>
                <w:szCs w:val="20"/>
                <w:color w:val="auto"/>
              </w:rPr>
            </w:pPr>
            <w:r>
              <w:rPr>
                <w:rFonts w:ascii="Arial" w:cs="Arial" w:eastAsia="Arial" w:hAnsi="Arial"/>
                <w:sz w:val="18"/>
                <w:szCs w:val="18"/>
                <w:i w:val="1"/>
                <w:iCs w:val="1"/>
                <w:color w:val="auto"/>
                <w:w w:val="99"/>
              </w:rPr>
              <w:t>customer success ($M)</w:t>
            </w:r>
          </w:p>
        </w:tc>
        <w:tc>
          <w:tcPr>
            <w:tcW w:w="4200" w:type="dxa"/>
            <w:vAlign w:val="bottom"/>
          </w:tcPr>
          <w:p>
            <w:pPr>
              <w:jc w:val="center"/>
              <w:ind w:right="119"/>
              <w:spacing w:after="0"/>
              <w:rPr>
                <w:sz w:val="20"/>
                <w:szCs w:val="20"/>
                <w:color w:val="auto"/>
              </w:rPr>
            </w:pPr>
            <w:r>
              <w:rPr>
                <w:rFonts w:ascii="Arial" w:cs="Arial" w:eastAsia="Arial" w:hAnsi="Arial"/>
                <w:sz w:val="18"/>
                <w:szCs w:val="18"/>
                <w:i w:val="1"/>
                <w:iCs w:val="1"/>
                <w:color w:val="auto"/>
                <w:w w:val="99"/>
              </w:rPr>
              <w:t>development ($M)</w:t>
            </w:r>
          </w:p>
        </w:tc>
        <w:tc>
          <w:tcPr>
            <w:tcW w:w="2480" w:type="dxa"/>
            <w:vAlign w:val="bottom"/>
          </w:tcPr>
          <w:p>
            <w:pPr>
              <w:jc w:val="center"/>
              <w:ind w:right="250"/>
              <w:spacing w:after="0"/>
              <w:rPr>
                <w:sz w:val="20"/>
                <w:szCs w:val="20"/>
                <w:color w:val="auto"/>
              </w:rPr>
            </w:pPr>
            <w:r>
              <w:rPr>
                <w:rFonts w:ascii="Arial" w:cs="Arial" w:eastAsia="Arial" w:hAnsi="Arial"/>
                <w:sz w:val="18"/>
                <w:szCs w:val="18"/>
                <w:i w:val="1"/>
                <w:iCs w:val="1"/>
                <w:color w:val="auto"/>
              </w:rPr>
              <w:t>administrative ($M)</w:t>
            </w:r>
          </w:p>
        </w:tc>
      </w:tr>
      <w:tr>
        <w:trPr>
          <w:trHeight w:val="27"/>
        </w:trPr>
        <w:tc>
          <w:tcPr>
            <w:tcW w:w="254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21"/>
        </w:trPr>
        <w:tc>
          <w:tcPr>
            <w:tcW w:w="2540" w:type="dxa"/>
            <w:vAlign w:val="bottom"/>
          </w:tcPr>
          <w:p>
            <w:pPr>
              <w:spacing w:after="0"/>
              <w:rPr>
                <w:sz w:val="19"/>
                <w:szCs w:val="19"/>
                <w:color w:val="auto"/>
              </w:rPr>
            </w:pPr>
          </w:p>
        </w:tc>
        <w:tc>
          <w:tcPr>
            <w:tcW w:w="4200" w:type="dxa"/>
            <w:vAlign w:val="bottom"/>
          </w:tcPr>
          <w:p>
            <w:pPr>
              <w:ind w:left="280"/>
              <w:spacing w:after="0"/>
              <w:rPr>
                <w:sz w:val="20"/>
                <w:szCs w:val="20"/>
                <w:color w:val="auto"/>
              </w:rPr>
            </w:pPr>
            <w:r>
              <w:rPr>
                <w:rFonts w:ascii="Arial" w:cs="Arial" w:eastAsia="Arial" w:hAnsi="Arial"/>
                <w:sz w:val="13"/>
                <w:szCs w:val="13"/>
                <w:i w:val="1"/>
                <w:iCs w:val="1"/>
                <w:color w:val="auto"/>
              </w:rPr>
              <w:t>Percentages indicate expenses as a percentage of total revenue</w:t>
            </w:r>
          </w:p>
        </w:tc>
        <w:tc>
          <w:tcPr>
            <w:tcW w:w="2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5812155" cy="30003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1215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marketing and customer success</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Sales, marketing and customer success expense includes compensation costs, variable sales commissions, travel-related expenses, advertising and marketing materials, public relations costs, variable reseller commissions and allocated depreciation, facilities and IT support costs.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see a large market opportunity in the long-term and will continue to make investments to drive sales effectiveness. We have also implemented software tools to enhance our digital footprint and drive lead generation. The enhancements we are making in our go-to-market approach are expected to significantly reduce our average customer acquisition cost per customer as well as the related payback period while increasing sales velocity.</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Sales, marketing and customer success expense increased by $7.3 million, or 16.0%, and $13.7 million, or 14.5%, during the three and six months ended June 30, 2022, respectively, when compared to the same periods in 2021, primarily driven by the following:</w:t>
      </w:r>
    </w:p>
    <w:p>
      <w:pPr>
        <w:spacing w:after="0" w:line="144" w:lineRule="exact"/>
        <w:rPr>
          <w:sz w:val="20"/>
          <w:szCs w:val="20"/>
          <w:color w:val="auto"/>
        </w:rPr>
      </w:pPr>
    </w:p>
    <w:p>
      <w:pPr>
        <w:ind w:left="700" w:right="60" w:hanging="373"/>
        <w:spacing w:after="0" w:line="180" w:lineRule="auto"/>
        <w:tabs>
          <w:tab w:leader="none" w:pos="700" w:val="left"/>
        </w:tabs>
        <w:numPr>
          <w:ilvl w:val="0"/>
          <w:numId w:val="27"/>
        </w:numPr>
        <w:rPr>
          <w:rFonts w:ascii="Arial" w:cs="Arial" w:eastAsia="Arial" w:hAnsi="Arial"/>
          <w:sz w:val="33"/>
          <w:szCs w:val="33"/>
          <w:color w:val="auto"/>
          <w:vertAlign w:val="superscript"/>
        </w:rPr>
      </w:pPr>
      <w:r>
        <w:rPr>
          <w:rFonts w:ascii="Arial" w:cs="Arial" w:eastAsia="Arial" w:hAnsi="Arial"/>
          <w:sz w:val="17"/>
          <w:szCs w:val="17"/>
          <w:color w:val="auto"/>
        </w:rPr>
        <w:t>Increases in compensation costs of $4.0 million and $7.7 million, respectively, primarily related to increased employee headcount due to our acquisition of EVERFI</w:t>
      </w:r>
    </w:p>
    <w:p>
      <w:pPr>
        <w:spacing w:after="0" w:line="1" w:lineRule="exact"/>
        <w:rPr>
          <w:rFonts w:ascii="Arial" w:cs="Arial" w:eastAsia="Arial" w:hAnsi="Arial"/>
          <w:sz w:val="33"/>
          <w:szCs w:val="33"/>
          <w:color w:val="auto"/>
          <w:vertAlign w:val="superscript"/>
        </w:rPr>
      </w:pPr>
    </w:p>
    <w:p>
      <w:pPr>
        <w:ind w:left="700" w:hanging="373"/>
        <w:spacing w:after="0" w:line="187" w:lineRule="auto"/>
        <w:tabs>
          <w:tab w:leader="none" w:pos="700" w:val="left"/>
        </w:tabs>
        <w:numPr>
          <w:ilvl w:val="0"/>
          <w:numId w:val="27"/>
        </w:numPr>
        <w:rPr>
          <w:rFonts w:ascii="Arial" w:cs="Arial" w:eastAsia="Arial" w:hAnsi="Arial"/>
          <w:sz w:val="36"/>
          <w:szCs w:val="36"/>
          <w:color w:val="auto"/>
          <w:vertAlign w:val="superscript"/>
        </w:rPr>
      </w:pPr>
      <w:r>
        <w:rPr>
          <w:rFonts w:ascii="Arial" w:cs="Arial" w:eastAsia="Arial" w:hAnsi="Arial"/>
          <w:sz w:val="18"/>
          <w:szCs w:val="18"/>
          <w:color w:val="auto"/>
        </w:rPr>
        <w:t>Increases in advertising costs of $1.8 million and $4.0 million, respectively, primarily due to our acquisition of EVERFI</w:t>
      </w:r>
    </w:p>
    <w:p>
      <w:pPr>
        <w:spacing w:after="0" w:line="108" w:lineRule="exact"/>
        <w:rPr>
          <w:rFonts w:ascii="Arial" w:cs="Arial" w:eastAsia="Arial" w:hAnsi="Arial"/>
          <w:sz w:val="36"/>
          <w:szCs w:val="36"/>
          <w:color w:val="auto"/>
          <w:vertAlign w:val="superscript"/>
        </w:rPr>
      </w:pPr>
    </w:p>
    <w:p>
      <w:pPr>
        <w:ind w:left="700" w:right="80" w:hanging="373"/>
        <w:spacing w:after="0" w:line="180" w:lineRule="auto"/>
        <w:tabs>
          <w:tab w:leader="none" w:pos="700" w:val="left"/>
        </w:tabs>
        <w:numPr>
          <w:ilvl w:val="0"/>
          <w:numId w:val="27"/>
        </w:numPr>
        <w:rPr>
          <w:rFonts w:ascii="Arial" w:cs="Arial" w:eastAsia="Arial" w:hAnsi="Arial"/>
          <w:sz w:val="33"/>
          <w:szCs w:val="33"/>
          <w:color w:val="auto"/>
          <w:vertAlign w:val="superscript"/>
        </w:rPr>
      </w:pPr>
      <w:r>
        <w:rPr>
          <w:rFonts w:ascii="Arial" w:cs="Arial" w:eastAsia="Arial" w:hAnsi="Arial"/>
          <w:sz w:val="17"/>
          <w:szCs w:val="17"/>
          <w:color w:val="auto"/>
        </w:rPr>
        <w:t>Increases in travel costs of $0.6 million and $1.0 million due to our easing of restrictions on non-essential employee travel, which went into effect during March 2020 in response to the COVID-19 pandemic</w:t>
      </w:r>
    </w:p>
    <w:p>
      <w:pPr>
        <w:spacing w:after="0" w:line="200" w:lineRule="exact"/>
        <w:rPr>
          <w:sz w:val="20"/>
          <w:szCs w:val="20"/>
          <w:color w:val="auto"/>
        </w:rPr>
      </w:pPr>
    </w:p>
    <w:p>
      <w:pPr>
        <w:spacing w:after="0" w:line="244"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32</w:t>
      </w:r>
      <w:r>
        <w:rPr>
          <w:sz w:val="20"/>
          <w:szCs w:val="20"/>
          <w:color w:val="auto"/>
        </w:rPr>
        <w:tab/>
      </w:r>
      <w:r>
        <w:rPr>
          <w:sz w:val="1"/>
          <w:szCs w:val="1"/>
          <w:color w:val="auto"/>
        </w:rPr>
        <w:drawing>
          <wp:inline distT="0" distB="0" distL="0" distR="0">
            <wp:extent cx="651510" cy="17145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Research and development expense includes compensation costs for engineering and product management personnel, third-party contractor expenses, software development tools and other expenses related to developing new solutions or upgrading and enhancing existing solutions that do not qualify for capitalization, and allocated depreciation, facilities and IT support costs.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continue to make investments to delight our customers with innovative and secure cloud solutions. Research and development expenses increased by $8.1 million, or 26.8%, and $18.9 million or 31.8%, during the three and six months ended June 30, 2022, respectively, when compared to the same periods in 2021, primarily driven by the following:</w:t>
      </w:r>
    </w:p>
    <w:p>
      <w:pPr>
        <w:spacing w:after="0" w:line="148" w:lineRule="exact"/>
        <w:rPr>
          <w:sz w:val="20"/>
          <w:szCs w:val="20"/>
          <w:color w:val="auto"/>
        </w:rPr>
      </w:pPr>
    </w:p>
    <w:p>
      <w:pPr>
        <w:ind w:left="720" w:right="40" w:hanging="373"/>
        <w:spacing w:after="0" w:line="180" w:lineRule="auto"/>
        <w:tabs>
          <w:tab w:leader="none" w:pos="720" w:val="left"/>
        </w:tabs>
        <w:numPr>
          <w:ilvl w:val="0"/>
          <w:numId w:val="28"/>
        </w:numPr>
        <w:rPr>
          <w:rFonts w:ascii="Arial" w:cs="Arial" w:eastAsia="Arial" w:hAnsi="Arial"/>
          <w:sz w:val="33"/>
          <w:szCs w:val="33"/>
          <w:color w:val="auto"/>
          <w:vertAlign w:val="superscript"/>
        </w:rPr>
      </w:pPr>
      <w:r>
        <w:rPr>
          <w:rFonts w:ascii="Arial" w:cs="Arial" w:eastAsia="Arial" w:hAnsi="Arial"/>
          <w:sz w:val="17"/>
          <w:szCs w:val="17"/>
          <w:color w:val="auto"/>
        </w:rPr>
        <w:t>Increases in compensation costs of $5.8 million and $14.1 million, respectively, primarily related to increased employee headcount due to our acquisition of EVERFI, and to a lesser extent, our increased hiring of engineers</w:t>
      </w:r>
    </w:p>
    <w:p>
      <w:pPr>
        <w:spacing w:after="0" w:line="108" w:lineRule="exact"/>
        <w:rPr>
          <w:rFonts w:ascii="Arial" w:cs="Arial" w:eastAsia="Arial" w:hAnsi="Arial"/>
          <w:sz w:val="33"/>
          <w:szCs w:val="33"/>
          <w:color w:val="auto"/>
          <w:vertAlign w:val="superscript"/>
        </w:rPr>
      </w:pPr>
    </w:p>
    <w:p>
      <w:pPr>
        <w:ind w:left="720" w:right="40" w:hanging="373"/>
        <w:spacing w:after="0" w:line="180" w:lineRule="auto"/>
        <w:tabs>
          <w:tab w:leader="none" w:pos="720" w:val="left"/>
        </w:tabs>
        <w:numPr>
          <w:ilvl w:val="0"/>
          <w:numId w:val="28"/>
        </w:numPr>
        <w:rPr>
          <w:rFonts w:ascii="Arial" w:cs="Arial" w:eastAsia="Arial" w:hAnsi="Arial"/>
          <w:sz w:val="33"/>
          <w:szCs w:val="33"/>
          <w:color w:val="auto"/>
          <w:vertAlign w:val="superscript"/>
        </w:rPr>
      </w:pPr>
      <w:r>
        <w:rPr>
          <w:rFonts w:ascii="Arial" w:cs="Arial" w:eastAsia="Arial" w:hAnsi="Arial"/>
          <w:sz w:val="17"/>
          <w:szCs w:val="17"/>
          <w:color w:val="auto"/>
        </w:rPr>
        <w:t>Increases in third-party contractor costs of $5.4 million and $11.0 million, respectively, primarily due to our acquisition of EVERFI and, to a lesser extent, an increase in our use of third-party software developers</w:t>
      </w:r>
    </w:p>
    <w:p>
      <w:pPr>
        <w:spacing w:after="0" w:line="108" w:lineRule="exact"/>
        <w:rPr>
          <w:rFonts w:ascii="Arial" w:cs="Arial" w:eastAsia="Arial" w:hAnsi="Arial"/>
          <w:sz w:val="33"/>
          <w:szCs w:val="33"/>
          <w:color w:val="auto"/>
          <w:vertAlign w:val="superscript"/>
        </w:rPr>
      </w:pPr>
    </w:p>
    <w:p>
      <w:pPr>
        <w:ind w:left="720" w:right="40" w:hanging="373"/>
        <w:spacing w:after="0" w:line="180" w:lineRule="auto"/>
        <w:tabs>
          <w:tab w:leader="none" w:pos="720" w:val="left"/>
        </w:tabs>
        <w:numPr>
          <w:ilvl w:val="0"/>
          <w:numId w:val="28"/>
        </w:numPr>
        <w:rPr>
          <w:rFonts w:ascii="Arial" w:cs="Arial" w:eastAsia="Arial" w:hAnsi="Arial"/>
          <w:sz w:val="33"/>
          <w:szCs w:val="33"/>
          <w:color w:val="auto"/>
          <w:vertAlign w:val="superscript"/>
        </w:rPr>
      </w:pPr>
      <w:r>
        <w:rPr>
          <w:rFonts w:ascii="Arial" w:cs="Arial" w:eastAsia="Arial" w:hAnsi="Arial"/>
          <w:sz w:val="17"/>
          <w:szCs w:val="17"/>
          <w:color w:val="auto"/>
        </w:rPr>
        <w:t>Increases in overhead allocation costs of $0.8 million and $1.8 million, respectively, primarily related to increased headcount discussed above</w:t>
      </w:r>
    </w:p>
    <w:p>
      <w:pPr>
        <w:spacing w:after="0" w:line="109" w:lineRule="exact"/>
        <w:rPr>
          <w:sz w:val="20"/>
          <w:szCs w:val="20"/>
          <w:color w:val="auto"/>
        </w:rPr>
      </w:pPr>
    </w:p>
    <w:p>
      <w:pPr>
        <w:ind w:left="720" w:right="40" w:hanging="350"/>
        <w:spacing w:after="0" w:line="180" w:lineRule="auto"/>
        <w:tabs>
          <w:tab w:leader="none" w:pos="720" w:val="left"/>
        </w:tabs>
        <w:numPr>
          <w:ilvl w:val="0"/>
          <w:numId w:val="29"/>
        </w:numPr>
        <w:rPr>
          <w:rFonts w:ascii="Arial" w:cs="Arial" w:eastAsia="Arial" w:hAnsi="Arial"/>
          <w:sz w:val="33"/>
          <w:szCs w:val="33"/>
          <w:color w:val="auto"/>
          <w:vertAlign w:val="superscript"/>
        </w:rPr>
      </w:pPr>
      <w:r>
        <w:rPr>
          <w:rFonts w:ascii="Arial" w:cs="Arial" w:eastAsia="Arial" w:hAnsi="Arial"/>
          <w:sz w:val="17"/>
          <w:szCs w:val="17"/>
          <w:color w:val="auto"/>
        </w:rPr>
        <w:t>Increases in development costs of $4.3 million and $9.0 million, respectively, that were required to be capitalized under GAAP, of which $3.1 million and $6.6 million was attributable to EVERFI software and content</w:t>
      </w:r>
    </w:p>
    <w:p>
      <w:pPr>
        <w:spacing w:after="0" w:line="28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Not included in research and development expense for the three months ended June 30, 2022 and 2021 were $14.8 million and $10.4 million, respectively, and for the six months ended June 30, 2022 and 2021 were $28.5 million and $19.5 million, respectively, of qualifying costs associated with software and content development activities that are required to be capitalized under GAAP, such as those for our cloud solutions, as well as development costs associated with acquired companies. Qualifying capitalized development costs associated with our cloud solutions are subsequently amortized to cost of subscriptions revenue over the related assets' estimated useful life, which generally range from three to seven years.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 and administrative expense consists primarily of compensation costs for general corporate functions, including senior management, finance, accounting, legal, human resources and corporate development, third-party professional fees, insurance, allocated depreciation, facilities and IT support costs, acquisition-related expenses and other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214630</wp:posOffset>
            </wp:positionV>
            <wp:extent cx="659765"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480"/>
              <w:spacing w:after="0"/>
              <w:rPr>
                <w:sz w:val="20"/>
                <w:szCs w:val="20"/>
                <w:color w:val="auto"/>
              </w:rPr>
            </w:pPr>
            <w:r>
              <w:rPr>
                <w:rFonts w:ascii="Arial" w:cs="Arial" w:eastAsia="Arial" w:hAnsi="Arial"/>
                <w:sz w:val="14"/>
                <w:szCs w:val="14"/>
                <w:color w:val="auto"/>
              </w:rPr>
              <w:t>Second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330"/>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 increased by $15.4 million or 48.1%, and $28.6 million, or 45.6%, during the three and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2022, respectively, when compared to the same periods in 2021, primarily driven by the following:</w:t>
      </w:r>
    </w:p>
    <w:p>
      <w:pPr>
        <w:spacing w:after="0" w:line="171" w:lineRule="exact"/>
        <w:rPr>
          <w:sz w:val="20"/>
          <w:szCs w:val="20"/>
          <w:color w:val="auto"/>
        </w:rPr>
      </w:pPr>
    </w:p>
    <w:p>
      <w:pPr>
        <w:jc w:val="both"/>
        <w:ind w:left="700" w:right="20" w:hanging="373"/>
        <w:spacing w:after="0" w:line="188" w:lineRule="auto"/>
        <w:tabs>
          <w:tab w:leader="none" w:pos="700" w:val="left"/>
        </w:tabs>
        <w:numPr>
          <w:ilvl w:val="0"/>
          <w:numId w:val="30"/>
        </w:numPr>
        <w:rPr>
          <w:rFonts w:ascii="Arial" w:cs="Arial" w:eastAsia="Arial" w:hAnsi="Arial"/>
          <w:sz w:val="36"/>
          <w:szCs w:val="36"/>
          <w:color w:val="auto"/>
          <w:vertAlign w:val="superscript"/>
        </w:rPr>
      </w:pPr>
      <w:r>
        <w:rPr>
          <w:rFonts w:ascii="Arial" w:cs="Arial" w:eastAsia="Arial" w:hAnsi="Arial"/>
          <w:sz w:val="18"/>
          <w:szCs w:val="18"/>
          <w:color w:val="auto"/>
        </w:rPr>
        <w:t>Increases in Security Incident-related expenses, net of insurance, of $7.9 million and $15.1 million, respectively, consisting primarily of legal fees, as total costs related to the Security Incident that we expect will be recoverable has exceeded the limit of our insurance coverage.</w:t>
      </w:r>
    </w:p>
    <w:p>
      <w:pPr>
        <w:spacing w:after="0" w:line="107" w:lineRule="exact"/>
        <w:rPr>
          <w:rFonts w:ascii="Arial" w:cs="Arial" w:eastAsia="Arial" w:hAnsi="Arial"/>
          <w:sz w:val="36"/>
          <w:szCs w:val="36"/>
          <w:color w:val="auto"/>
          <w:vertAlign w:val="superscript"/>
        </w:rPr>
      </w:pPr>
    </w:p>
    <w:p>
      <w:pPr>
        <w:jc w:val="both"/>
        <w:ind w:left="700" w:right="20" w:hanging="373"/>
        <w:spacing w:after="0" w:line="188" w:lineRule="auto"/>
        <w:tabs>
          <w:tab w:leader="none" w:pos="700" w:val="left"/>
        </w:tabs>
        <w:numPr>
          <w:ilvl w:val="0"/>
          <w:numId w:val="30"/>
        </w:numPr>
        <w:rPr>
          <w:rFonts w:ascii="Arial" w:cs="Arial" w:eastAsia="Arial" w:hAnsi="Arial"/>
          <w:sz w:val="36"/>
          <w:szCs w:val="36"/>
          <w:color w:val="auto"/>
          <w:vertAlign w:val="superscript"/>
        </w:rPr>
      </w:pPr>
      <w:r>
        <w:rPr>
          <w:rFonts w:ascii="Arial" w:cs="Arial" w:eastAsia="Arial" w:hAnsi="Arial"/>
          <w:sz w:val="18"/>
          <w:szCs w:val="18"/>
          <w:color w:val="auto"/>
        </w:rPr>
        <w:t>A $2.3 million noncash impairment charge during the three and six months ended June 30, 2022 against previously capitalized software development costs that reduced the carrying value of those assets to zero. The impairment charge resulted primarily from our decision to end customer support for certain solutions</w:t>
      </w:r>
    </w:p>
    <w:p>
      <w:pPr>
        <w:spacing w:after="0" w:line="107" w:lineRule="exact"/>
        <w:rPr>
          <w:rFonts w:ascii="Arial" w:cs="Arial" w:eastAsia="Arial" w:hAnsi="Arial"/>
          <w:sz w:val="36"/>
          <w:szCs w:val="36"/>
          <w:color w:val="auto"/>
          <w:vertAlign w:val="superscript"/>
        </w:rPr>
      </w:pPr>
    </w:p>
    <w:p>
      <w:pPr>
        <w:ind w:left="700" w:right="20" w:hanging="373"/>
        <w:spacing w:after="0" w:line="180" w:lineRule="auto"/>
        <w:tabs>
          <w:tab w:leader="none" w:pos="700" w:val="left"/>
        </w:tabs>
        <w:numPr>
          <w:ilvl w:val="0"/>
          <w:numId w:val="30"/>
        </w:numPr>
        <w:rPr>
          <w:rFonts w:ascii="Arial" w:cs="Arial" w:eastAsia="Arial" w:hAnsi="Arial"/>
          <w:sz w:val="33"/>
          <w:szCs w:val="33"/>
          <w:color w:val="auto"/>
          <w:vertAlign w:val="superscript"/>
        </w:rPr>
      </w:pPr>
      <w:r>
        <w:rPr>
          <w:rFonts w:ascii="Arial" w:cs="Arial" w:eastAsia="Arial" w:hAnsi="Arial"/>
          <w:sz w:val="17"/>
          <w:szCs w:val="17"/>
          <w:color w:val="auto"/>
        </w:rPr>
        <w:t>Increases in acquisition and disposition-related costs of $2.2 million and $3.2 million, respectively, primarily related to a $2.0 million noncash impairment of certain insignificant intangible assets held for sale</w:t>
      </w:r>
    </w:p>
    <w:p>
      <w:pPr>
        <w:spacing w:after="0" w:line="108" w:lineRule="exact"/>
        <w:rPr>
          <w:rFonts w:ascii="Arial" w:cs="Arial" w:eastAsia="Arial" w:hAnsi="Arial"/>
          <w:sz w:val="33"/>
          <w:szCs w:val="33"/>
          <w:color w:val="auto"/>
          <w:vertAlign w:val="superscript"/>
        </w:rPr>
      </w:pPr>
    </w:p>
    <w:p>
      <w:pPr>
        <w:ind w:left="700" w:right="20" w:hanging="373"/>
        <w:spacing w:after="0" w:line="180" w:lineRule="auto"/>
        <w:tabs>
          <w:tab w:leader="none" w:pos="700" w:val="left"/>
        </w:tabs>
        <w:numPr>
          <w:ilvl w:val="0"/>
          <w:numId w:val="30"/>
        </w:numPr>
        <w:rPr>
          <w:rFonts w:ascii="Arial" w:cs="Arial" w:eastAsia="Arial" w:hAnsi="Arial"/>
          <w:sz w:val="33"/>
          <w:szCs w:val="33"/>
          <w:color w:val="auto"/>
          <w:vertAlign w:val="superscript"/>
        </w:rPr>
      </w:pPr>
      <w:r>
        <w:rPr>
          <w:rFonts w:ascii="Arial" w:cs="Arial" w:eastAsia="Arial" w:hAnsi="Arial"/>
          <w:sz w:val="17"/>
          <w:szCs w:val="17"/>
          <w:color w:val="auto"/>
        </w:rPr>
        <w:t>Increases in compensation costs of $2.0 million and $6.6 million, respectively, primarily related to increased employee headcount due to our acquisition of EVERFI</w:t>
      </w:r>
    </w:p>
    <w:p>
      <w:pPr>
        <w:spacing w:after="0" w:line="1" w:lineRule="exact"/>
        <w:rPr>
          <w:rFonts w:ascii="Arial" w:cs="Arial" w:eastAsia="Arial" w:hAnsi="Arial"/>
          <w:sz w:val="33"/>
          <w:szCs w:val="33"/>
          <w:color w:val="auto"/>
          <w:vertAlign w:val="superscript"/>
        </w:rPr>
      </w:pPr>
    </w:p>
    <w:p>
      <w:pPr>
        <w:ind w:left="700" w:hanging="373"/>
        <w:spacing w:after="0" w:line="187" w:lineRule="auto"/>
        <w:tabs>
          <w:tab w:leader="none" w:pos="700" w:val="left"/>
        </w:tabs>
        <w:numPr>
          <w:ilvl w:val="0"/>
          <w:numId w:val="30"/>
        </w:numPr>
        <w:rPr>
          <w:rFonts w:ascii="Arial" w:cs="Arial" w:eastAsia="Arial" w:hAnsi="Arial"/>
          <w:sz w:val="36"/>
          <w:szCs w:val="36"/>
          <w:color w:val="auto"/>
          <w:vertAlign w:val="superscript"/>
        </w:rPr>
      </w:pPr>
      <w:r>
        <w:rPr>
          <w:rFonts w:ascii="Arial" w:cs="Arial" w:eastAsia="Arial" w:hAnsi="Arial"/>
          <w:sz w:val="18"/>
          <w:szCs w:val="18"/>
          <w:color w:val="auto"/>
        </w:rPr>
        <w:t>Increases in third-party contractor costs of $0.7 million and $1.9 million, respectively</w:t>
      </w:r>
    </w:p>
    <w:p>
      <w:pPr>
        <w:spacing w:after="0" w:line="108" w:lineRule="exact"/>
        <w:rPr>
          <w:rFonts w:ascii="Arial" w:cs="Arial" w:eastAsia="Arial" w:hAnsi="Arial"/>
          <w:sz w:val="36"/>
          <w:szCs w:val="36"/>
          <w:color w:val="auto"/>
          <w:vertAlign w:val="superscript"/>
        </w:rPr>
      </w:pPr>
    </w:p>
    <w:p>
      <w:pPr>
        <w:ind w:left="700" w:hanging="373"/>
        <w:spacing w:after="0" w:line="180" w:lineRule="auto"/>
        <w:tabs>
          <w:tab w:leader="none" w:pos="700" w:val="left"/>
        </w:tabs>
        <w:numPr>
          <w:ilvl w:val="0"/>
          <w:numId w:val="30"/>
        </w:numPr>
        <w:rPr>
          <w:rFonts w:ascii="Arial" w:cs="Arial" w:eastAsia="Arial" w:hAnsi="Arial"/>
          <w:sz w:val="25"/>
          <w:szCs w:val="25"/>
          <w:color w:val="auto"/>
          <w:vertAlign w:val="superscript"/>
        </w:rPr>
      </w:pPr>
      <w:r>
        <w:rPr>
          <w:rFonts w:ascii="Arial" w:cs="Arial" w:eastAsia="Arial" w:hAnsi="Arial"/>
          <w:sz w:val="14"/>
          <w:szCs w:val="14"/>
          <w:color w:val="auto"/>
        </w:rPr>
        <w:t>Increases in rent expense of $0.7 million and $1.2 million, respectively, primarily related to leases assumed from our acquisition of</w:t>
      </w:r>
    </w:p>
    <w:p>
      <w:pPr>
        <w:ind w:left="700"/>
        <w:spacing w:after="0"/>
        <w:rPr>
          <w:rFonts w:ascii="Arial" w:cs="Arial" w:eastAsia="Arial" w:hAnsi="Arial"/>
          <w:sz w:val="25"/>
          <w:szCs w:val="25"/>
          <w:color w:val="auto"/>
          <w:vertAlign w:val="superscript"/>
        </w:rPr>
      </w:pPr>
      <w:r>
        <w:rPr>
          <w:rFonts w:ascii="Arial" w:cs="Arial" w:eastAsia="Arial" w:hAnsi="Arial"/>
          <w:sz w:val="18"/>
          <w:szCs w:val="18"/>
          <w:color w:val="auto"/>
        </w:rPr>
        <w:t>EVERFI</w:t>
      </w:r>
    </w:p>
    <w:p>
      <w:pPr>
        <w:spacing w:after="0" w:line="117" w:lineRule="exact"/>
        <w:rPr>
          <w:rFonts w:ascii="Arial" w:cs="Arial" w:eastAsia="Arial" w:hAnsi="Arial"/>
          <w:sz w:val="25"/>
          <w:szCs w:val="25"/>
          <w:color w:val="auto"/>
          <w:vertAlign w:val="superscript"/>
        </w:rPr>
      </w:pPr>
    </w:p>
    <w:p>
      <w:pPr>
        <w:ind w:left="700" w:right="40" w:hanging="373"/>
        <w:spacing w:after="0" w:line="180" w:lineRule="auto"/>
        <w:tabs>
          <w:tab w:leader="none" w:pos="700" w:val="left"/>
        </w:tabs>
        <w:numPr>
          <w:ilvl w:val="0"/>
          <w:numId w:val="30"/>
        </w:numPr>
        <w:rPr>
          <w:rFonts w:ascii="Arial" w:cs="Arial" w:eastAsia="Arial" w:hAnsi="Arial"/>
          <w:sz w:val="33"/>
          <w:szCs w:val="33"/>
          <w:color w:val="auto"/>
          <w:vertAlign w:val="superscript"/>
        </w:rPr>
      </w:pPr>
      <w:r>
        <w:rPr>
          <w:rFonts w:ascii="Arial" w:cs="Arial" w:eastAsia="Arial" w:hAnsi="Arial"/>
          <w:sz w:val="17"/>
          <w:szCs w:val="17"/>
          <w:color w:val="auto"/>
        </w:rPr>
        <w:t>Increases in travel costs of $0.6 million and $0.9 million due to our easing of restrictions on non-essential employee travel, which went into effect during March 2020 in response to the COVID-19 pandemic</w:t>
      </w:r>
    </w:p>
    <w:p>
      <w:pPr>
        <w:spacing w:after="0" w:line="109" w:lineRule="exact"/>
        <w:rPr>
          <w:sz w:val="20"/>
          <w:szCs w:val="20"/>
          <w:color w:val="auto"/>
        </w:rPr>
      </w:pPr>
    </w:p>
    <w:p>
      <w:pPr>
        <w:jc w:val="both"/>
        <w:ind w:left="700" w:right="20" w:hanging="351"/>
        <w:spacing w:after="0" w:line="188" w:lineRule="auto"/>
        <w:tabs>
          <w:tab w:leader="none" w:pos="700" w:val="left"/>
        </w:tabs>
        <w:numPr>
          <w:ilvl w:val="0"/>
          <w:numId w:val="31"/>
        </w:numPr>
        <w:rPr>
          <w:rFonts w:ascii="Arial" w:cs="Arial" w:eastAsia="Arial" w:hAnsi="Arial"/>
          <w:sz w:val="36"/>
          <w:szCs w:val="36"/>
          <w:color w:val="auto"/>
          <w:vertAlign w:val="superscript"/>
        </w:rPr>
      </w:pPr>
      <w:r>
        <w:rPr>
          <w:rFonts w:ascii="Arial" w:cs="Arial" w:eastAsia="Arial" w:hAnsi="Arial"/>
          <w:sz w:val="18"/>
          <w:szCs w:val="18"/>
          <w:color w:val="auto"/>
        </w:rPr>
        <w:t>Increases in allocated corporate IT costs of $1.8 million and $3.6 million, respectively, primarily related to investments in security tools. Depreciation, facilities and IT support costs are pooled and recorded to general and administrative expense and allocated to other lines of our condensed statements of comprehensive income based on headcount.</w:t>
      </w: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34</w:t>
      </w:r>
      <w:r>
        <w:rPr>
          <w:sz w:val="20"/>
          <w:szCs w:val="20"/>
          <w:color w:val="auto"/>
        </w:rPr>
        <w:tab/>
      </w:r>
      <w:r>
        <w:rPr>
          <w:sz w:val="1"/>
          <w:szCs w:val="1"/>
          <w:color w:val="auto"/>
        </w:rPr>
        <w:drawing>
          <wp:inline distT="0" distB="0" distL="0" distR="0">
            <wp:extent cx="651510" cy="17145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83" w:lineRule="exact"/>
        <w:rPr>
          <w:sz w:val="20"/>
          <w:szCs w:val="20"/>
          <w:color w:val="auto"/>
        </w:rPr>
      </w:pPr>
    </w:p>
    <w:p>
      <w:pPr>
        <w:jc w:val="center"/>
        <w:ind w:right="2000"/>
        <w:spacing w:after="0"/>
        <w:rPr>
          <w:sz w:val="20"/>
          <w:szCs w:val="20"/>
          <w:color w:val="auto"/>
        </w:rPr>
      </w:pPr>
      <w:r>
        <w:rPr>
          <w:rFonts w:ascii="Arial" w:cs="Arial" w:eastAsia="Arial" w:hAnsi="Arial"/>
          <w:sz w:val="18"/>
          <w:szCs w:val="18"/>
          <w:i w:val="1"/>
          <w:iCs w:val="1"/>
          <w:color w:val="auto"/>
        </w:rPr>
        <w:t>Interest expense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8635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863590" cy="8890"/>
                    </a:xfrm>
                    <a:prstGeom prst="rect">
                      <a:avLst/>
                    </a:prstGeom>
                    <a:noFill/>
                  </pic:spPr>
                </pic:pic>
              </a:graphicData>
            </a:graphic>
          </wp:anchor>
        </w:drawing>
      </w:r>
    </w:p>
    <w:p>
      <w:pPr>
        <w:spacing w:after="0" w:line="111" w:lineRule="exact"/>
        <w:rPr>
          <w:sz w:val="20"/>
          <w:szCs w:val="20"/>
          <w:color w:val="auto"/>
        </w:rPr>
      </w:pPr>
    </w:p>
    <w:p>
      <w:pPr>
        <w:ind w:left="2820"/>
        <w:spacing w:after="0"/>
        <w:rPr>
          <w:sz w:val="20"/>
          <w:szCs w:val="20"/>
          <w:color w:val="auto"/>
        </w:rPr>
      </w:pPr>
      <w:r>
        <w:rPr>
          <w:rFonts w:ascii="Arial" w:cs="Arial" w:eastAsia="Arial" w:hAnsi="Arial"/>
          <w:sz w:val="13"/>
          <w:szCs w:val="13"/>
          <w:i w:val="1"/>
          <w:iCs w:val="1"/>
          <w:color w:val="auto"/>
        </w:rPr>
        <w:t>Percentages indicate expenses as a percentage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190500</wp:posOffset>
            </wp:positionV>
            <wp:extent cx="1937385" cy="1423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93738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The increases in interest expense in dollars and as a percentage of total revenue during the three and six months ended June 30, 2022, when compared to the same period in 2021, were primarily due to the new borrowings used to finance our acquisition of EVERFI. We currently expect interest expense for the full year 2022 to be approximately $34 million million to $37 million although our interest expense in connection with the variable rate portion of our outstanding debt could increase in a rising interest rate environment. See Note 9 to our condensed consolidated financial statements in this report for more information regarding our derivative instruments, which we use to manage our variable interest rate risk, and Item 3. Quantitative and Qualitative Disclosures about Market Risk: Interest Rate Risk (below) for more information about our variable interest rate exposure and related risk.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compares the components of deferred revenue from our consolidated balance sheets: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60" w:type="dxa"/>
            <w:vAlign w:val="bottom"/>
            <w:shd w:val="clear" w:color="auto" w:fill="ACACAC"/>
          </w:tcPr>
          <w:p>
            <w:pPr>
              <w:spacing w:after="0"/>
              <w:rPr>
                <w:sz w:val="16"/>
                <w:szCs w:val="16"/>
                <w:color w:val="auto"/>
              </w:rPr>
            </w:pPr>
          </w:p>
        </w:tc>
        <w:tc>
          <w:tcPr>
            <w:tcW w:w="440" w:type="dxa"/>
            <w:vAlign w:val="bottom"/>
            <w:shd w:val="clear" w:color="auto" w:fill="ACACAC"/>
          </w:tcPr>
          <w:p>
            <w:pPr>
              <w:spacing w:after="0"/>
              <w:rPr>
                <w:sz w:val="16"/>
                <w:szCs w:val="16"/>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260" w:type="dxa"/>
            <w:vAlign w:val="bottom"/>
            <w:shd w:val="clear" w:color="auto" w:fill="ACACAC"/>
          </w:tcPr>
          <w:p>
            <w:pPr>
              <w:spacing w:after="0"/>
              <w:rPr>
                <w:sz w:val="16"/>
                <w:szCs w:val="16"/>
                <w:color w:val="auto"/>
              </w:rPr>
            </w:pPr>
          </w:p>
        </w:tc>
        <w:tc>
          <w:tcPr>
            <w:tcW w:w="11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114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r>
      <w:tr>
        <w:trPr>
          <w:trHeight w:val="196"/>
        </w:trPr>
        <w:tc>
          <w:tcPr>
            <w:tcW w:w="736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40" w:type="dxa"/>
            <w:vAlign w:val="bottom"/>
            <w:tcBorders>
              <w:bottom w:val="single" w:sz="8" w:color="ACACAC"/>
            </w:tcBorders>
            <w:shd w:val="clear" w:color="auto" w:fill="ACACAC"/>
          </w:tcPr>
          <w:p>
            <w:pPr>
              <w:spacing w:after="0"/>
              <w:rPr>
                <w:sz w:val="17"/>
                <w:szCs w:val="17"/>
                <w:color w:val="auto"/>
              </w:rPr>
            </w:pPr>
          </w:p>
        </w:tc>
        <w:tc>
          <w:tcPr>
            <w:tcW w:w="9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260" w:type="dxa"/>
            <w:vAlign w:val="bottom"/>
            <w:tcBorders>
              <w:bottom w:val="single" w:sz="8" w:color="ACACAC"/>
            </w:tcBorders>
            <w:shd w:val="clear" w:color="auto" w:fill="ACACAC"/>
          </w:tcPr>
          <w:p>
            <w:pPr>
              <w:spacing w:after="0"/>
              <w:rPr>
                <w:sz w:val="17"/>
                <w:szCs w:val="17"/>
                <w:color w:val="auto"/>
              </w:rPr>
            </w:pPr>
          </w:p>
        </w:tc>
        <w:tc>
          <w:tcPr>
            <w:tcW w:w="11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1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tcBorders>
              <w:bottom w:val="single" w:sz="8" w:color="ACACAC"/>
            </w:tcBorders>
            <w:shd w:val="clear" w:color="auto" w:fill="ACACAC"/>
          </w:tcPr>
          <w:p>
            <w:pPr>
              <w:spacing w:after="0"/>
              <w:rPr>
                <w:sz w:val="17"/>
                <w:szCs w:val="17"/>
                <w:color w:val="auto"/>
              </w:rPr>
            </w:pPr>
          </w:p>
        </w:tc>
      </w:tr>
      <w:tr>
        <w:trPr>
          <w:trHeight w:val="324"/>
        </w:trPr>
        <w:tc>
          <w:tcPr>
            <w:tcW w:w="7360" w:type="dxa"/>
            <w:vAlign w:val="bottom"/>
            <w:shd w:val="clear" w:color="auto" w:fill="F4F4F4"/>
          </w:tcPr>
          <w:p>
            <w:pPr>
              <w:ind w:left="20"/>
              <w:spacing w:after="0"/>
              <w:rPr>
                <w:sz w:val="20"/>
                <w:szCs w:val="20"/>
                <w:color w:val="auto"/>
              </w:rPr>
            </w:pPr>
            <w:r>
              <w:rPr>
                <w:rFonts w:ascii="Arial" w:cs="Arial" w:eastAsia="Arial" w:hAnsi="Arial"/>
                <w:sz w:val="18"/>
                <w:szCs w:val="18"/>
                <w:color w:val="auto"/>
              </w:rPr>
              <w:t>Deferred revenue</w:t>
            </w:r>
            <w:r>
              <w:rPr>
                <w:rFonts w:ascii="Arial" w:cs="Arial" w:eastAsia="Arial" w:hAnsi="Arial"/>
                <w:sz w:val="23"/>
                <w:szCs w:val="23"/>
                <w:color w:val="auto"/>
                <w:vertAlign w:val="superscript"/>
              </w:rPr>
              <w:t>(1)</w:t>
            </w:r>
          </w:p>
        </w:tc>
        <w:tc>
          <w:tcPr>
            <w:tcW w:w="440" w:type="dxa"/>
            <w:vAlign w:val="bottom"/>
            <w:shd w:val="clear" w:color="auto" w:fill="F4F4F4"/>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416.3</w:t>
            </w:r>
          </w:p>
        </w:tc>
        <w:tc>
          <w:tcPr>
            <w:tcW w:w="260" w:type="dxa"/>
            <w:vAlign w:val="bottom"/>
            <w:shd w:val="clear" w:color="auto" w:fill="F4F4F4"/>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378.7</w:t>
            </w: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9.9 %</w:t>
            </w:r>
          </w:p>
        </w:tc>
        <w:tc>
          <w:tcPr>
            <w:tcW w:w="20" w:type="dxa"/>
            <w:vAlign w:val="bottom"/>
          </w:tcPr>
          <w:p>
            <w:pPr>
              <w:spacing w:after="0"/>
              <w:rPr>
                <w:sz w:val="24"/>
                <w:szCs w:val="24"/>
                <w:color w:val="auto"/>
              </w:rPr>
            </w:pPr>
          </w:p>
        </w:tc>
      </w:tr>
      <w:tr>
        <w:trPr>
          <w:trHeight w:val="243"/>
        </w:trPr>
        <w:tc>
          <w:tcPr>
            <w:tcW w:w="7360" w:type="dxa"/>
            <w:vAlign w:val="bottom"/>
          </w:tcPr>
          <w:p>
            <w:pPr>
              <w:ind w:left="140"/>
              <w:spacing w:after="0"/>
              <w:rPr>
                <w:sz w:val="20"/>
                <w:szCs w:val="20"/>
                <w:color w:val="auto"/>
              </w:rPr>
            </w:pPr>
            <w:r>
              <w:rPr>
                <w:rFonts w:ascii="Arial" w:cs="Arial" w:eastAsia="Arial" w:hAnsi="Arial"/>
                <w:sz w:val="18"/>
                <w:szCs w:val="18"/>
                <w:color w:val="auto"/>
              </w:rPr>
              <w:t>Less: Long-term portion</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1140" w:type="dxa"/>
            <w:vAlign w:val="bottom"/>
          </w:tcPr>
          <w:p>
            <w:pPr>
              <w:jc w:val="right"/>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21"/>
                <w:szCs w:val="21"/>
                <w:color w:val="auto"/>
              </w:rPr>
            </w:pPr>
          </w:p>
        </w:tc>
      </w:tr>
      <w:tr>
        <w:trPr>
          <w:trHeight w:val="27"/>
        </w:trPr>
        <w:tc>
          <w:tcPr>
            <w:tcW w:w="7360" w:type="dxa"/>
            <w:vAlign w:val="bottom"/>
            <w:tcBorders>
              <w:bottom w:val="single" w:sz="8" w:color="F4F4F4"/>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F4F4F4"/>
            </w:tcBorders>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7360" w:type="dxa"/>
            <w:vAlign w:val="bottom"/>
            <w:tcBorders>
              <w:bottom w:val="single" w:sz="8" w:color="71BF43"/>
            </w:tcBorders>
            <w:shd w:val="clear" w:color="auto" w:fill="F4F4F4"/>
          </w:tcPr>
          <w:p>
            <w:pPr>
              <w:ind w:left="140"/>
              <w:spacing w:after="0"/>
              <w:rPr>
                <w:sz w:val="20"/>
                <w:szCs w:val="20"/>
                <w:color w:val="auto"/>
              </w:rPr>
            </w:pPr>
            <w:r>
              <w:rPr>
                <w:rFonts w:ascii="Arial" w:cs="Arial" w:eastAsia="Arial" w:hAnsi="Arial"/>
                <w:sz w:val="18"/>
                <w:szCs w:val="18"/>
                <w:color w:val="auto"/>
              </w:rPr>
              <w:t>Current portion</w:t>
            </w:r>
            <w:r>
              <w:rPr>
                <w:rFonts w:ascii="Arial" w:cs="Arial" w:eastAsia="Arial" w:hAnsi="Arial"/>
                <w:sz w:val="23"/>
                <w:szCs w:val="23"/>
                <w:color w:val="auto"/>
                <w:vertAlign w:val="superscript"/>
              </w:rPr>
              <w:t>(1)</w:t>
            </w:r>
          </w:p>
        </w:tc>
        <w:tc>
          <w:tcPr>
            <w:tcW w:w="440" w:type="dxa"/>
            <w:vAlign w:val="bottom"/>
            <w:tcBorders>
              <w:bottom w:val="single" w:sz="8" w:color="71BF43"/>
            </w:tcBorders>
            <w:shd w:val="clear" w:color="auto" w:fill="F4F4F4"/>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412.7</w:t>
            </w:r>
          </w:p>
        </w:tc>
        <w:tc>
          <w:tcPr>
            <w:tcW w:w="260" w:type="dxa"/>
            <w:vAlign w:val="bottom"/>
            <w:tcBorders>
              <w:bottom w:val="single" w:sz="8" w:color="71BF43"/>
            </w:tcBorders>
            <w:shd w:val="clear" w:color="auto" w:fill="F4F4F4"/>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374.5</w:t>
            </w:r>
          </w:p>
        </w:tc>
        <w:tc>
          <w:tcPr>
            <w:tcW w:w="11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10.2 %</w:t>
            </w:r>
          </w:p>
        </w:tc>
        <w:tc>
          <w:tcPr>
            <w:tcW w:w="20" w:type="dxa"/>
            <w:vAlign w:val="bottom"/>
          </w:tcPr>
          <w:p>
            <w:pPr>
              <w:spacing w:after="0"/>
              <w:rPr>
                <w:sz w:val="24"/>
                <w:szCs w:val="24"/>
                <w:color w:val="auto"/>
              </w:rPr>
            </w:pPr>
          </w:p>
        </w:tc>
      </w:tr>
    </w:tbl>
    <w:p>
      <w:pPr>
        <w:spacing w:after="0" w:line="99"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individual amounts for each year may not sum to deferred revenue or current portion of deferred revenue due to rounding.</w:t>
      </w:r>
    </w:p>
    <w:p>
      <w:pPr>
        <w:spacing w:after="0" w:line="15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To the extent that our customers are billed for our solutions and services in advance of delivery, we record such amounts in deferred revenue. Our recurring revenue contracts are generally for a term of three years at contract inception, billed annually in advance, and non-cancelable. We have been for several years successfully shifting our legacy customer base away from annual renewals and moving them onto multi-year renewal contracts. We generally invoice our customers with recurring revenue contracts in annual cycles 30 days prior to the end of each one-year period.</w:t>
      </w:r>
    </w:p>
    <w:p>
      <w:pPr>
        <w:spacing w:after="0" w:line="15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increase in deferred revenue during the six months ended June 30, 2022 was primarily due to a seasonal increase in customer contract renewals. Historically, due to the timing of customer budget cycles, we have an increase in customer contract renewals at or near the beginning of our third quarter. Generally, our lowest balance of deferred revenue during the year is at the end of our 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214630</wp:posOffset>
            </wp:positionV>
            <wp:extent cx="659765"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480"/>
              <w:spacing w:after="0"/>
              <w:rPr>
                <w:sz w:val="20"/>
                <w:szCs w:val="20"/>
                <w:color w:val="auto"/>
              </w:rPr>
            </w:pPr>
            <w:r>
              <w:rPr>
                <w:rFonts w:ascii="Arial" w:cs="Arial" w:eastAsia="Arial" w:hAnsi="Arial"/>
                <w:sz w:val="14"/>
                <w:szCs w:val="14"/>
                <w:color w:val="auto"/>
              </w:rPr>
              <w:t>Second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0" w:lineRule="exact"/>
        <w:rPr>
          <w:sz w:val="20"/>
          <w:szCs w:val="20"/>
          <w:color w:val="auto"/>
        </w:rPr>
      </w:pPr>
    </w:p>
    <w:p>
      <w:pPr>
        <w:spacing w:after="0" w:line="299"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Income tax (benefit) provision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8635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11" w:lineRule="exact"/>
        <w:rPr>
          <w:sz w:val="20"/>
          <w:szCs w:val="20"/>
          <w:color w:val="auto"/>
        </w:rPr>
      </w:pPr>
    </w:p>
    <w:p>
      <w:pPr>
        <w:ind w:left="3300"/>
        <w:spacing w:after="0"/>
        <w:rPr>
          <w:sz w:val="20"/>
          <w:szCs w:val="20"/>
          <w:color w:val="auto"/>
        </w:rPr>
      </w:pPr>
      <w:r>
        <w:rPr>
          <w:rFonts w:ascii="Arial" w:cs="Arial" w:eastAsia="Arial" w:hAnsi="Arial"/>
          <w:sz w:val="13"/>
          <w:szCs w:val="13"/>
          <w:i w:val="1"/>
          <w:iCs w:val="1"/>
          <w:color w:val="auto"/>
        </w:rPr>
        <w:t>Percentages indicate effective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190500</wp:posOffset>
            </wp:positionV>
            <wp:extent cx="4766310" cy="1423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76631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For the six months ended June 30, 2022, we have utilized the discrete effective tax rate method, as allowed by ASC 740-270-30-18,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Taxes—Interim Reporting</w:t>
      </w:r>
      <w:r>
        <w:rPr>
          <w:rFonts w:ascii="Arial" w:cs="Arial" w:eastAsia="Arial" w:hAnsi="Arial"/>
          <w:sz w:val="18"/>
          <w:szCs w:val="18"/>
          <w:color w:val="auto"/>
        </w:rPr>
        <w:t>, to calculate its interim income tax provision. The discrete method is applied when the application of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annual effective tax rate is impractical because it is not possible to reliably estimate the annual effective tax rate. The discrete method treats the year-to-date period as if it was the annual period and determines the income tax expense or benefit on that basis. We believe that, at this time, the use of this discrete method is more appropriate than the annual effective tax rate method as our as our full-year forecasted pre-tax income, relative to our forecasted permanent differences, has the potential to distort our estimated annual effective tax rate.</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increase in our effective income tax rate for the three months ended June 30, 2022 when compared to the same period in 2021 was primarily due to 2022 tax benefit attributable to foreign-derived intangible income ("FDII") deduction not generated in the prior year. Furthermore, the 2021 effective tax rate was positively impacted by benefit attributable to stock-based compensation, partially offset against expense attributable to an income tax rate increase enacted during the period.</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decrease in our effective income tax rate for the six months ended June 30, 2022 when compared to the same period in 2021 was primarily attributable to 2022 tax benefit attributable to FDII deduction not generated in the prior year. Furthermore, the 2022 effective tax rate was negatively impacted by tax expense attributable to stock-based compensation against pre-tax loss for the period. The 2021 effective tax rate was positively impacted by benefit attributable to stock-based compensation, partially offset against expense attributable to an income tax rate increase enacted during the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operating results analyzed below are presented on a non-GAAP basis. We use non-GAAP financial measures internally in analyzing our operational performance. Accordingly, we believe these non-GAAP measures are useful to investors, as a supplement to GAAP measures, in evaluating our ongoing operational performance. While we believe these non-GAAP measures provide useful supplemental information, non-GAAP financial measures should not be considered in isolation from, or as a substitute for, financial information prepared in accordance with GAAP. In addition, these non-GAAP financial measures may not be completely comparable to similarly titled measures of other companies due to potential differences in the exact method of calculation between companies.</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non-GAAP financial measures discussed below exclude the impact of certain transactions because we believe they are not directly related to our operating performance in any particular period, but are for our long-term benefit over multiple periods. We believe that these non-GAAP financial measures reflect our ongoing business in a manner that allows for meaningful period-to-period comparisons and analysis of trends in our business.</w:t>
      </w:r>
    </w:p>
    <w:p>
      <w:pPr>
        <w:spacing w:after="0" w:line="323"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36</w:t>
      </w:r>
      <w:r>
        <w:rPr>
          <w:sz w:val="20"/>
          <w:szCs w:val="20"/>
          <w:color w:val="auto"/>
        </w:rPr>
        <w:tab/>
      </w:r>
      <w:r>
        <w:rPr>
          <w:sz w:val="1"/>
          <w:szCs w:val="1"/>
          <w:color w:val="auto"/>
        </w:rPr>
        <w:drawing>
          <wp:inline distT="0" distB="0" distL="0" distR="0">
            <wp:extent cx="651510" cy="17145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00" w:type="dxa"/>
            <w:vAlign w:val="bottom"/>
            <w:shd w:val="clear" w:color="auto" w:fill="ACACAC"/>
          </w:tcPr>
          <w:p>
            <w:pPr>
              <w:spacing w:after="0"/>
              <w:rPr>
                <w:sz w:val="16"/>
                <w:szCs w:val="16"/>
                <w:color w:val="auto"/>
              </w:rPr>
            </w:pPr>
          </w:p>
        </w:tc>
        <w:tc>
          <w:tcPr>
            <w:tcW w:w="200" w:type="dxa"/>
            <w:vAlign w:val="bottom"/>
            <w:shd w:val="clear" w:color="auto" w:fill="ACACAC"/>
          </w:tcPr>
          <w:p>
            <w:pPr>
              <w:spacing w:after="0"/>
              <w:rPr>
                <w:sz w:val="16"/>
                <w:szCs w:val="16"/>
                <w:color w:val="auto"/>
              </w:rPr>
            </w:pPr>
          </w:p>
        </w:tc>
        <w:tc>
          <w:tcPr>
            <w:tcW w:w="1020" w:type="dxa"/>
            <w:vAlign w:val="bottom"/>
            <w:shd w:val="clear" w:color="auto" w:fill="ACACAC"/>
          </w:tcPr>
          <w:p>
            <w:pPr>
              <w:spacing w:after="0"/>
              <w:rPr>
                <w:sz w:val="16"/>
                <w:szCs w:val="16"/>
                <w:color w:val="auto"/>
              </w:rPr>
            </w:pPr>
          </w:p>
        </w:tc>
        <w:tc>
          <w:tcPr>
            <w:tcW w:w="200" w:type="dxa"/>
            <w:vAlign w:val="bottom"/>
            <w:shd w:val="clear" w:color="auto" w:fill="ACACAC"/>
          </w:tcPr>
          <w:p>
            <w:pPr>
              <w:spacing w:after="0"/>
              <w:rPr>
                <w:sz w:val="16"/>
                <w:szCs w:val="16"/>
                <w:color w:val="auto"/>
              </w:rPr>
            </w:pPr>
          </w:p>
        </w:tc>
        <w:tc>
          <w:tcPr>
            <w:tcW w:w="2060" w:type="dxa"/>
            <w:vAlign w:val="bottom"/>
            <w:tcBorders>
              <w:right w:val="single" w:sz="8" w:color="ACACAC"/>
            </w:tcBorders>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6"/>
                <w:szCs w:val="16"/>
                <w:color w:val="auto"/>
              </w:rPr>
            </w:pPr>
          </w:p>
        </w:tc>
        <w:tc>
          <w:tcPr>
            <w:tcW w:w="200" w:type="dxa"/>
            <w:vAlign w:val="bottom"/>
            <w:shd w:val="clear" w:color="auto" w:fill="ACACAC"/>
          </w:tcPr>
          <w:p>
            <w:pPr>
              <w:spacing w:after="0"/>
              <w:rPr>
                <w:sz w:val="16"/>
                <w:szCs w:val="16"/>
                <w:color w:val="auto"/>
              </w:rPr>
            </w:pPr>
          </w:p>
        </w:tc>
        <w:tc>
          <w:tcPr>
            <w:tcW w:w="1000" w:type="dxa"/>
            <w:vAlign w:val="bottom"/>
            <w:shd w:val="clear" w:color="auto" w:fill="ACACAC"/>
          </w:tcPr>
          <w:p>
            <w:pPr>
              <w:spacing w:after="0"/>
              <w:rPr>
                <w:sz w:val="16"/>
                <w:szCs w:val="16"/>
                <w:color w:val="auto"/>
              </w:rPr>
            </w:pPr>
          </w:p>
        </w:tc>
        <w:tc>
          <w:tcPr>
            <w:tcW w:w="200" w:type="dxa"/>
            <w:vAlign w:val="bottom"/>
            <w:shd w:val="clear" w:color="auto" w:fill="ACACAC"/>
          </w:tcPr>
          <w:p>
            <w:pPr>
              <w:spacing w:after="0"/>
              <w:rPr>
                <w:sz w:val="16"/>
                <w:szCs w:val="16"/>
                <w:color w:val="auto"/>
              </w:rPr>
            </w:pPr>
          </w:p>
        </w:tc>
        <w:tc>
          <w:tcPr>
            <w:tcW w:w="206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Six months ended</w:t>
            </w:r>
          </w:p>
        </w:tc>
        <w:tc>
          <w:tcPr>
            <w:tcW w:w="20" w:type="dxa"/>
            <w:vAlign w:val="bottom"/>
            <w:shd w:val="clear" w:color="auto" w:fill="ACACAC"/>
          </w:tcPr>
          <w:p>
            <w:pPr>
              <w:spacing w:after="0"/>
              <w:rPr>
                <w:sz w:val="16"/>
                <w:szCs w:val="16"/>
                <w:color w:val="auto"/>
              </w:rPr>
            </w:pPr>
          </w:p>
        </w:tc>
      </w:tr>
      <w:tr>
        <w:trPr>
          <w:trHeight w:val="190"/>
        </w:trPr>
        <w:tc>
          <w:tcPr>
            <w:tcW w:w="4200" w:type="dxa"/>
            <w:vAlign w:val="bottom"/>
            <w:shd w:val="clear" w:color="auto" w:fill="ACACAC"/>
          </w:tcPr>
          <w:p>
            <w:pPr>
              <w:spacing w:after="0"/>
              <w:rPr>
                <w:sz w:val="16"/>
                <w:szCs w:val="16"/>
                <w:color w:val="auto"/>
              </w:rPr>
            </w:pPr>
          </w:p>
        </w:tc>
        <w:tc>
          <w:tcPr>
            <w:tcW w:w="200" w:type="dxa"/>
            <w:vAlign w:val="bottom"/>
            <w:shd w:val="clear" w:color="auto" w:fill="ACACAC"/>
          </w:tcPr>
          <w:p>
            <w:pPr>
              <w:spacing w:after="0"/>
              <w:rPr>
                <w:sz w:val="16"/>
                <w:szCs w:val="16"/>
                <w:color w:val="auto"/>
              </w:rPr>
            </w:pPr>
          </w:p>
        </w:tc>
        <w:tc>
          <w:tcPr>
            <w:tcW w:w="1020" w:type="dxa"/>
            <w:vAlign w:val="bottom"/>
            <w:shd w:val="clear" w:color="auto" w:fill="ACACAC"/>
          </w:tcPr>
          <w:p>
            <w:pPr>
              <w:spacing w:after="0"/>
              <w:rPr>
                <w:sz w:val="16"/>
                <w:szCs w:val="16"/>
                <w:color w:val="auto"/>
              </w:rPr>
            </w:pPr>
          </w:p>
        </w:tc>
        <w:tc>
          <w:tcPr>
            <w:tcW w:w="200" w:type="dxa"/>
            <w:vAlign w:val="bottom"/>
            <w:shd w:val="clear" w:color="auto" w:fill="ACACAC"/>
          </w:tcPr>
          <w:p>
            <w:pPr>
              <w:spacing w:after="0"/>
              <w:rPr>
                <w:sz w:val="16"/>
                <w:szCs w:val="16"/>
                <w:color w:val="auto"/>
              </w:rPr>
            </w:pPr>
          </w:p>
        </w:tc>
        <w:tc>
          <w:tcPr>
            <w:tcW w:w="1020" w:type="dxa"/>
            <w:vAlign w:val="bottom"/>
            <w:shd w:val="clear" w:color="auto" w:fill="ACACAC"/>
          </w:tcPr>
          <w:p>
            <w:pPr>
              <w:spacing w:after="0"/>
              <w:rPr>
                <w:sz w:val="16"/>
                <w:szCs w:val="16"/>
                <w:color w:val="auto"/>
              </w:rPr>
            </w:pPr>
          </w:p>
        </w:tc>
        <w:tc>
          <w:tcPr>
            <w:tcW w:w="104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100" w:type="dxa"/>
            <w:vAlign w:val="bottom"/>
          </w:tcPr>
          <w:p>
            <w:pPr>
              <w:spacing w:after="0"/>
              <w:rPr>
                <w:sz w:val="16"/>
                <w:szCs w:val="16"/>
                <w:color w:val="auto"/>
              </w:rPr>
            </w:pPr>
          </w:p>
        </w:tc>
        <w:tc>
          <w:tcPr>
            <w:tcW w:w="200" w:type="dxa"/>
            <w:vAlign w:val="bottom"/>
            <w:shd w:val="clear" w:color="auto" w:fill="ACACAC"/>
          </w:tcPr>
          <w:p>
            <w:pPr>
              <w:spacing w:after="0"/>
              <w:rPr>
                <w:sz w:val="16"/>
                <w:szCs w:val="16"/>
                <w:color w:val="auto"/>
              </w:rPr>
            </w:pPr>
          </w:p>
        </w:tc>
        <w:tc>
          <w:tcPr>
            <w:tcW w:w="1000" w:type="dxa"/>
            <w:vAlign w:val="bottom"/>
            <w:shd w:val="clear" w:color="auto" w:fill="ACACAC"/>
          </w:tcPr>
          <w:p>
            <w:pPr>
              <w:spacing w:after="0"/>
              <w:rPr>
                <w:sz w:val="16"/>
                <w:szCs w:val="16"/>
                <w:color w:val="auto"/>
              </w:rPr>
            </w:pPr>
          </w:p>
        </w:tc>
        <w:tc>
          <w:tcPr>
            <w:tcW w:w="200" w:type="dxa"/>
            <w:vAlign w:val="bottom"/>
            <w:shd w:val="clear" w:color="auto" w:fill="ACACAC"/>
          </w:tcPr>
          <w:p>
            <w:pPr>
              <w:spacing w:after="0"/>
              <w:rPr>
                <w:sz w:val="16"/>
                <w:szCs w:val="16"/>
                <w:color w:val="auto"/>
              </w:rPr>
            </w:pPr>
          </w:p>
        </w:tc>
        <w:tc>
          <w:tcPr>
            <w:tcW w:w="1020" w:type="dxa"/>
            <w:vAlign w:val="bottom"/>
            <w:shd w:val="clear" w:color="auto" w:fill="ACACAC"/>
          </w:tcPr>
          <w:p>
            <w:pPr>
              <w:spacing w:after="0"/>
              <w:rPr>
                <w:sz w:val="16"/>
                <w:szCs w:val="16"/>
                <w:color w:val="auto"/>
              </w:rPr>
            </w:pPr>
          </w:p>
        </w:tc>
        <w:tc>
          <w:tcPr>
            <w:tcW w:w="10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20" w:type="dxa"/>
            <w:vAlign w:val="bottom"/>
            <w:shd w:val="clear" w:color="auto" w:fill="ACACAC"/>
          </w:tcPr>
          <w:p>
            <w:pPr>
              <w:spacing w:after="0"/>
              <w:rPr>
                <w:sz w:val="16"/>
                <w:szCs w:val="16"/>
                <w:color w:val="auto"/>
              </w:rPr>
            </w:pPr>
          </w:p>
        </w:tc>
      </w:tr>
      <w:tr>
        <w:trPr>
          <w:trHeight w:val="236"/>
        </w:trPr>
        <w:tc>
          <w:tcPr>
            <w:tcW w:w="420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 except per share amounts)</w:t>
            </w:r>
          </w:p>
        </w:tc>
        <w:tc>
          <w:tcPr>
            <w:tcW w:w="200" w:type="dxa"/>
            <w:vAlign w:val="bottom"/>
            <w:tcBorders>
              <w:bottom w:val="single" w:sz="8" w:color="ACACAC"/>
            </w:tcBorders>
            <w:shd w:val="clear" w:color="auto" w:fill="ACACAC"/>
          </w:tcPr>
          <w:p>
            <w:pPr>
              <w:spacing w:after="0"/>
              <w:rPr>
                <w:sz w:val="20"/>
                <w:szCs w:val="20"/>
                <w:color w:val="auto"/>
              </w:rPr>
            </w:pPr>
          </w:p>
        </w:tc>
        <w:tc>
          <w:tcPr>
            <w:tcW w:w="10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200" w:type="dxa"/>
            <w:vAlign w:val="bottom"/>
            <w:tcBorders>
              <w:bottom w:val="single" w:sz="8" w:color="ACACAC"/>
            </w:tcBorders>
            <w:shd w:val="clear" w:color="auto" w:fill="ACACAC"/>
          </w:tcPr>
          <w:p>
            <w:pPr>
              <w:spacing w:after="0"/>
              <w:rPr>
                <w:sz w:val="20"/>
                <w:szCs w:val="20"/>
                <w:color w:val="auto"/>
              </w:rPr>
            </w:pPr>
          </w:p>
        </w:tc>
        <w:tc>
          <w:tcPr>
            <w:tcW w:w="10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040" w:type="dxa"/>
            <w:vAlign w:val="bottom"/>
            <w:tcBorders>
              <w:bottom w:val="single" w:sz="8" w:color="ACACAC"/>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100" w:type="dxa"/>
            <w:vAlign w:val="bottom"/>
            <w:tcBorders>
              <w:bottom w:val="single" w:sz="8" w:color="F4F4F4"/>
            </w:tcBorders>
          </w:tcPr>
          <w:p>
            <w:pPr>
              <w:spacing w:after="0"/>
              <w:rPr>
                <w:sz w:val="20"/>
                <w:szCs w:val="20"/>
                <w:color w:val="auto"/>
              </w:rPr>
            </w:pPr>
          </w:p>
        </w:tc>
        <w:tc>
          <w:tcPr>
            <w:tcW w:w="200" w:type="dxa"/>
            <w:vAlign w:val="bottom"/>
            <w:tcBorders>
              <w:bottom w:val="single" w:sz="8" w:color="ACACAC"/>
            </w:tcBorders>
            <w:shd w:val="clear" w:color="auto" w:fill="ACACAC"/>
          </w:tcPr>
          <w:p>
            <w:pPr>
              <w:spacing w:after="0"/>
              <w:rPr>
                <w:sz w:val="20"/>
                <w:szCs w:val="20"/>
                <w:color w:val="auto"/>
              </w:rPr>
            </w:pPr>
          </w:p>
        </w:tc>
        <w:tc>
          <w:tcPr>
            <w:tcW w:w="10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200" w:type="dxa"/>
            <w:vAlign w:val="bottom"/>
            <w:tcBorders>
              <w:bottom w:val="single" w:sz="8" w:color="ACACAC"/>
            </w:tcBorders>
            <w:shd w:val="clear" w:color="auto" w:fill="ACACAC"/>
          </w:tcPr>
          <w:p>
            <w:pPr>
              <w:spacing w:after="0"/>
              <w:rPr>
                <w:sz w:val="20"/>
                <w:szCs w:val="20"/>
                <w:color w:val="auto"/>
              </w:rPr>
            </w:pPr>
          </w:p>
        </w:tc>
        <w:tc>
          <w:tcPr>
            <w:tcW w:w="10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0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16"/>
        </w:trPr>
        <w:tc>
          <w:tcPr>
            <w:tcW w:w="420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GAAP Revenue</w:t>
            </w:r>
          </w:p>
        </w:tc>
        <w:tc>
          <w:tcPr>
            <w:tcW w:w="200" w:type="dxa"/>
            <w:vAlign w:val="bottom"/>
            <w:shd w:val="clear" w:color="auto" w:fill="F4F4F4"/>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264.9</w:t>
            </w:r>
          </w:p>
        </w:tc>
        <w:tc>
          <w:tcPr>
            <w:tcW w:w="200" w:type="dxa"/>
            <w:vAlign w:val="bottom"/>
            <w:shd w:val="clear" w:color="auto" w:fill="F4F4F4"/>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229.4</w:t>
            </w:r>
          </w:p>
        </w:tc>
        <w:tc>
          <w:tcPr>
            <w:tcW w:w="104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15.5 %</w:t>
            </w:r>
          </w:p>
        </w:tc>
        <w:tc>
          <w:tcPr>
            <w:tcW w:w="300" w:type="dxa"/>
            <w:vAlign w:val="bottom"/>
            <w:gridSpan w:val="2"/>
            <w:shd w:val="clear" w:color="auto" w:fill="F4F4F4"/>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522.1</w:t>
            </w:r>
          </w:p>
        </w:tc>
        <w:tc>
          <w:tcPr>
            <w:tcW w:w="200" w:type="dxa"/>
            <w:vAlign w:val="bottom"/>
            <w:shd w:val="clear" w:color="auto" w:fill="F4F4F4"/>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448.6</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16.4 %</w:t>
            </w:r>
          </w:p>
        </w:tc>
        <w:tc>
          <w:tcPr>
            <w:tcW w:w="20" w:type="dxa"/>
            <w:vAlign w:val="bottom"/>
          </w:tcPr>
          <w:p>
            <w:pPr>
              <w:spacing w:after="0"/>
              <w:rPr>
                <w:sz w:val="18"/>
                <w:szCs w:val="18"/>
                <w:color w:val="auto"/>
              </w:rPr>
            </w:pPr>
          </w:p>
        </w:tc>
      </w:tr>
      <w:tr>
        <w:trPr>
          <w:trHeight w:val="34"/>
        </w:trPr>
        <w:tc>
          <w:tcPr>
            <w:tcW w:w="42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420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GAAP gross profit</w:t>
            </w:r>
          </w:p>
        </w:tc>
        <w:tc>
          <w:tcPr>
            <w:tcW w:w="200" w:type="dxa"/>
            <w:vAlign w:val="bottom"/>
            <w:shd w:val="clear" w:color="auto" w:fill="F4F4F4"/>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139.3</w:t>
            </w:r>
          </w:p>
        </w:tc>
        <w:tc>
          <w:tcPr>
            <w:tcW w:w="200" w:type="dxa"/>
            <w:vAlign w:val="bottom"/>
            <w:shd w:val="clear" w:color="auto" w:fill="F4F4F4"/>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121.4</w:t>
            </w:r>
          </w:p>
        </w:tc>
        <w:tc>
          <w:tcPr>
            <w:tcW w:w="104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14.8 %</w:t>
            </w:r>
          </w:p>
        </w:tc>
        <w:tc>
          <w:tcPr>
            <w:tcW w:w="300" w:type="dxa"/>
            <w:vAlign w:val="bottom"/>
            <w:gridSpan w:val="2"/>
            <w:shd w:val="clear" w:color="auto" w:fill="F4F4F4"/>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273.1</w:t>
            </w:r>
          </w:p>
        </w:tc>
        <w:tc>
          <w:tcPr>
            <w:tcW w:w="200" w:type="dxa"/>
            <w:vAlign w:val="bottom"/>
            <w:shd w:val="clear" w:color="auto" w:fill="F4F4F4"/>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237.2</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15.1 %</w:t>
            </w:r>
          </w:p>
        </w:tc>
        <w:tc>
          <w:tcPr>
            <w:tcW w:w="20" w:type="dxa"/>
            <w:vAlign w:val="bottom"/>
          </w:tcPr>
          <w:p>
            <w:pPr>
              <w:spacing w:after="0"/>
              <w:rPr>
                <w:sz w:val="18"/>
                <w:szCs w:val="18"/>
                <w:color w:val="auto"/>
              </w:rPr>
            </w:pPr>
          </w:p>
        </w:tc>
      </w:tr>
      <w:tr>
        <w:trPr>
          <w:trHeight w:val="210"/>
        </w:trPr>
        <w:tc>
          <w:tcPr>
            <w:tcW w:w="4200" w:type="dxa"/>
            <w:vAlign w:val="bottom"/>
          </w:tcPr>
          <w:p>
            <w:pPr>
              <w:ind w:left="140"/>
              <w:spacing w:after="0"/>
              <w:rPr>
                <w:sz w:val="20"/>
                <w:szCs w:val="20"/>
                <w:color w:val="auto"/>
              </w:rPr>
            </w:pPr>
            <w:r>
              <w:rPr>
                <w:rFonts w:ascii="Arial" w:cs="Arial" w:eastAsia="Arial" w:hAnsi="Arial"/>
                <w:sz w:val="14"/>
                <w:szCs w:val="14"/>
                <w:b w:val="1"/>
                <w:bCs w:val="1"/>
                <w:color w:val="auto"/>
              </w:rPr>
              <w:t>GAAP gross margin</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52.6 %</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52.9 %</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52.3 %</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52.9 %</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420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Non-GAAP adjustments:</w:t>
            </w:r>
          </w:p>
        </w:tc>
        <w:tc>
          <w:tcPr>
            <w:tcW w:w="200" w:type="dxa"/>
            <w:vAlign w:val="bottom"/>
            <w:shd w:val="clear" w:color="auto" w:fill="F4F4F4"/>
          </w:tcPr>
          <w:p>
            <w:pPr>
              <w:spacing w:after="0"/>
              <w:rPr>
                <w:sz w:val="19"/>
                <w:szCs w:val="19"/>
                <w:color w:val="auto"/>
              </w:rPr>
            </w:pPr>
          </w:p>
        </w:tc>
        <w:tc>
          <w:tcPr>
            <w:tcW w:w="1020" w:type="dxa"/>
            <w:vAlign w:val="bottom"/>
            <w:shd w:val="clear" w:color="auto" w:fill="F4F4F4"/>
          </w:tcPr>
          <w:p>
            <w:pPr>
              <w:spacing w:after="0"/>
              <w:rPr>
                <w:sz w:val="19"/>
                <w:szCs w:val="19"/>
                <w:color w:val="auto"/>
              </w:rPr>
            </w:pPr>
          </w:p>
        </w:tc>
        <w:tc>
          <w:tcPr>
            <w:tcW w:w="200" w:type="dxa"/>
            <w:vAlign w:val="bottom"/>
            <w:shd w:val="clear" w:color="auto" w:fill="F4F4F4"/>
          </w:tcPr>
          <w:p>
            <w:pPr>
              <w:spacing w:after="0"/>
              <w:rPr>
                <w:sz w:val="19"/>
                <w:szCs w:val="19"/>
                <w:color w:val="auto"/>
              </w:rPr>
            </w:pPr>
          </w:p>
        </w:tc>
        <w:tc>
          <w:tcPr>
            <w:tcW w:w="1020" w:type="dxa"/>
            <w:vAlign w:val="bottom"/>
            <w:shd w:val="clear" w:color="auto" w:fill="F4F4F4"/>
          </w:tcPr>
          <w:p>
            <w:pPr>
              <w:spacing w:after="0"/>
              <w:rPr>
                <w:sz w:val="19"/>
                <w:szCs w:val="19"/>
                <w:color w:val="auto"/>
              </w:rPr>
            </w:pPr>
          </w:p>
        </w:tc>
        <w:tc>
          <w:tcPr>
            <w:tcW w:w="1040" w:type="dxa"/>
            <w:vAlign w:val="bottom"/>
            <w:tcBorders>
              <w:right w:val="single" w:sz="8" w:color="F4F4F4"/>
            </w:tcBorders>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200" w:type="dxa"/>
            <w:vAlign w:val="bottom"/>
            <w:shd w:val="clear" w:color="auto" w:fill="F4F4F4"/>
          </w:tcPr>
          <w:p>
            <w:pPr>
              <w:spacing w:after="0"/>
              <w:rPr>
                <w:sz w:val="19"/>
                <w:szCs w:val="19"/>
                <w:color w:val="auto"/>
              </w:rPr>
            </w:pPr>
          </w:p>
        </w:tc>
        <w:tc>
          <w:tcPr>
            <w:tcW w:w="1000" w:type="dxa"/>
            <w:vAlign w:val="bottom"/>
            <w:shd w:val="clear" w:color="auto" w:fill="F4F4F4"/>
          </w:tcPr>
          <w:p>
            <w:pPr>
              <w:spacing w:after="0"/>
              <w:rPr>
                <w:sz w:val="19"/>
                <w:szCs w:val="19"/>
                <w:color w:val="auto"/>
              </w:rPr>
            </w:pPr>
          </w:p>
        </w:tc>
        <w:tc>
          <w:tcPr>
            <w:tcW w:w="200" w:type="dxa"/>
            <w:vAlign w:val="bottom"/>
            <w:shd w:val="clear" w:color="auto" w:fill="F4F4F4"/>
          </w:tcPr>
          <w:p>
            <w:pPr>
              <w:spacing w:after="0"/>
              <w:rPr>
                <w:sz w:val="19"/>
                <w:szCs w:val="19"/>
                <w:color w:val="auto"/>
              </w:rPr>
            </w:pPr>
          </w:p>
        </w:tc>
        <w:tc>
          <w:tcPr>
            <w:tcW w:w="102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4200" w:type="dxa"/>
            <w:vAlign w:val="bottom"/>
          </w:tcPr>
          <w:p>
            <w:pPr>
              <w:ind w:left="140"/>
              <w:spacing w:after="0"/>
              <w:rPr>
                <w:sz w:val="20"/>
                <w:szCs w:val="20"/>
                <w:color w:val="auto"/>
              </w:rPr>
            </w:pPr>
            <w:r>
              <w:rPr>
                <w:rFonts w:ascii="Arial" w:cs="Arial" w:eastAsia="Arial" w:hAnsi="Arial"/>
                <w:sz w:val="14"/>
                <w:szCs w:val="14"/>
                <w:color w:val="auto"/>
              </w:rPr>
              <w:t>Add: Stock-based compensation expense</w:t>
            </w:r>
          </w:p>
        </w:tc>
        <w:tc>
          <w:tcPr>
            <w:tcW w:w="200" w:type="dxa"/>
            <w:vAlign w:val="bottom"/>
          </w:tcPr>
          <w:p>
            <w:pPr>
              <w:spacing w:after="0"/>
              <w:rPr>
                <w:sz w:val="18"/>
                <w:szCs w:val="18"/>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3.8</w:t>
            </w:r>
          </w:p>
        </w:tc>
        <w:tc>
          <w:tcPr>
            <w:tcW w:w="2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5.2</w:t>
            </w:r>
          </w:p>
        </w:tc>
        <w:tc>
          <w:tcPr>
            <w:tcW w:w="1040" w:type="dxa"/>
            <w:vAlign w:val="bottom"/>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7.9</w:t>
            </w:r>
          </w:p>
        </w:tc>
        <w:tc>
          <w:tcPr>
            <w:tcW w:w="200" w:type="dxa"/>
            <w:vAlign w:val="bottom"/>
          </w:tcPr>
          <w:p>
            <w:pPr>
              <w:spacing w:after="0"/>
              <w:rPr>
                <w:sz w:val="18"/>
                <w:szCs w:val="18"/>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10.6</w:t>
            </w:r>
          </w:p>
        </w:tc>
        <w:tc>
          <w:tcPr>
            <w:tcW w:w="1040" w:type="dxa"/>
            <w:vAlign w:val="bottom"/>
          </w:tcPr>
          <w:p>
            <w:pPr>
              <w:jc w:val="right"/>
              <w:spacing w:after="0"/>
              <w:rPr>
                <w:sz w:val="20"/>
                <w:szCs w:val="20"/>
                <w:color w:val="auto"/>
              </w:rPr>
            </w:pPr>
            <w:r>
              <w:rPr>
                <w:rFonts w:ascii="Arial" w:cs="Arial" w:eastAsia="Arial" w:hAnsi="Arial"/>
                <w:sz w:val="14"/>
                <w:szCs w:val="14"/>
                <w:color w:val="auto"/>
              </w:rPr>
              <w:t>(25.3)%</w:t>
            </w:r>
          </w:p>
        </w:tc>
        <w:tc>
          <w:tcPr>
            <w:tcW w:w="20" w:type="dxa"/>
            <w:vAlign w:val="bottom"/>
          </w:tcPr>
          <w:p>
            <w:pPr>
              <w:spacing w:after="0"/>
              <w:rPr>
                <w:sz w:val="18"/>
                <w:szCs w:val="18"/>
                <w:color w:val="auto"/>
              </w:rPr>
            </w:pPr>
          </w:p>
        </w:tc>
      </w:tr>
      <w:tr>
        <w:trPr>
          <w:trHeight w:val="222"/>
        </w:trPr>
        <w:tc>
          <w:tcPr>
            <w:tcW w:w="420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Amortization of intangibles from business combinations</w:t>
            </w:r>
          </w:p>
        </w:tc>
        <w:tc>
          <w:tcPr>
            <w:tcW w:w="200" w:type="dxa"/>
            <w:vAlign w:val="bottom"/>
            <w:shd w:val="clear" w:color="auto" w:fill="F4F4F4"/>
          </w:tcPr>
          <w:p>
            <w:pPr>
              <w:spacing w:after="0"/>
              <w:rPr>
                <w:sz w:val="19"/>
                <w:szCs w:val="19"/>
                <w:color w:val="auto"/>
              </w:rPr>
            </w:pP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12.4</w:t>
            </w:r>
          </w:p>
        </w:tc>
        <w:tc>
          <w:tcPr>
            <w:tcW w:w="200" w:type="dxa"/>
            <w:vAlign w:val="bottom"/>
            <w:shd w:val="clear" w:color="auto" w:fill="F4F4F4"/>
          </w:tcPr>
          <w:p>
            <w:pPr>
              <w:spacing w:after="0"/>
              <w:rPr>
                <w:sz w:val="19"/>
                <w:szCs w:val="19"/>
                <w:color w:val="auto"/>
              </w:rPr>
            </w:pPr>
          </w:p>
        </w:tc>
        <w:tc>
          <w:tcPr>
            <w:tcW w:w="102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8.9</w:t>
            </w:r>
          </w:p>
        </w:tc>
        <w:tc>
          <w:tcPr>
            <w:tcW w:w="104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39.7 %</w:t>
            </w:r>
          </w:p>
        </w:tc>
        <w:tc>
          <w:tcPr>
            <w:tcW w:w="100" w:type="dxa"/>
            <w:vAlign w:val="bottom"/>
            <w:shd w:val="clear" w:color="auto" w:fill="F4F4F4"/>
          </w:tcPr>
          <w:p>
            <w:pPr>
              <w:spacing w:after="0"/>
              <w:rPr>
                <w:sz w:val="19"/>
                <w:szCs w:val="19"/>
                <w:color w:val="auto"/>
              </w:rPr>
            </w:pPr>
          </w:p>
        </w:tc>
        <w:tc>
          <w:tcPr>
            <w:tcW w:w="200" w:type="dxa"/>
            <w:vAlign w:val="bottom"/>
            <w:shd w:val="clear" w:color="auto" w:fill="F4F4F4"/>
          </w:tcPr>
          <w:p>
            <w:pPr>
              <w:spacing w:after="0"/>
              <w:rPr>
                <w:sz w:val="19"/>
                <w:szCs w:val="19"/>
                <w:color w:val="auto"/>
              </w:rPr>
            </w:pPr>
          </w:p>
        </w:tc>
        <w:tc>
          <w:tcPr>
            <w:tcW w:w="100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24.9</w:t>
            </w:r>
          </w:p>
        </w:tc>
        <w:tc>
          <w:tcPr>
            <w:tcW w:w="200" w:type="dxa"/>
            <w:vAlign w:val="bottom"/>
            <w:shd w:val="clear" w:color="auto" w:fill="F4F4F4"/>
          </w:tcPr>
          <w:p>
            <w:pPr>
              <w:spacing w:after="0"/>
              <w:rPr>
                <w:sz w:val="19"/>
                <w:szCs w:val="19"/>
                <w:color w:val="auto"/>
              </w:rPr>
            </w:pP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18.0</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38.2 %</w:t>
            </w:r>
          </w:p>
        </w:tc>
        <w:tc>
          <w:tcPr>
            <w:tcW w:w="20" w:type="dxa"/>
            <w:vAlign w:val="bottom"/>
          </w:tcPr>
          <w:p>
            <w:pPr>
              <w:spacing w:after="0"/>
              <w:rPr>
                <w:sz w:val="19"/>
                <w:szCs w:val="19"/>
                <w:color w:val="auto"/>
              </w:rPr>
            </w:pPr>
          </w:p>
        </w:tc>
      </w:tr>
      <w:tr>
        <w:trPr>
          <w:trHeight w:val="210"/>
        </w:trPr>
        <w:tc>
          <w:tcPr>
            <w:tcW w:w="4200" w:type="dxa"/>
            <w:vAlign w:val="bottom"/>
            <w:tcBorders>
              <w:bottom w:val="single" w:sz="8" w:color="F4F4F4"/>
            </w:tcBorders>
          </w:tcPr>
          <w:p>
            <w:pPr>
              <w:ind w:left="140"/>
              <w:spacing w:after="0"/>
              <w:rPr>
                <w:sz w:val="20"/>
                <w:szCs w:val="20"/>
                <w:color w:val="auto"/>
              </w:rPr>
            </w:pPr>
            <w:r>
              <w:rPr>
                <w:rFonts w:ascii="Arial" w:cs="Arial" w:eastAsia="Arial" w:hAnsi="Arial"/>
                <w:sz w:val="14"/>
                <w:szCs w:val="14"/>
                <w:color w:val="auto"/>
              </w:rPr>
              <w:t>Add: Employee severance</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0.4</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2,440.0 %</w:t>
            </w:r>
          </w:p>
        </w:tc>
        <w:tc>
          <w:tcPr>
            <w:tcW w:w="100" w:type="dxa"/>
            <w:vAlign w:val="bottom"/>
            <w:tcBorders>
              <w:bottom w:val="single" w:sz="8" w:color="F4F4F4"/>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0.4</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2,440.0 %</w:t>
            </w:r>
          </w:p>
        </w:tc>
        <w:tc>
          <w:tcPr>
            <w:tcW w:w="20" w:type="dxa"/>
            <w:vAlign w:val="bottom"/>
          </w:tcPr>
          <w:p>
            <w:pPr>
              <w:spacing w:after="0"/>
              <w:rPr>
                <w:sz w:val="18"/>
                <w:szCs w:val="18"/>
                <w:color w:val="auto"/>
              </w:rPr>
            </w:pPr>
          </w:p>
        </w:tc>
      </w:tr>
      <w:tr>
        <w:trPr>
          <w:trHeight w:val="216"/>
        </w:trPr>
        <w:tc>
          <w:tcPr>
            <w:tcW w:w="4200" w:type="dxa"/>
            <w:vAlign w:val="bottom"/>
            <w:shd w:val="clear" w:color="auto" w:fill="F4F4F4"/>
          </w:tcPr>
          <w:p>
            <w:pPr>
              <w:ind w:left="240"/>
              <w:spacing w:after="0"/>
              <w:rPr>
                <w:sz w:val="20"/>
                <w:szCs w:val="20"/>
                <w:color w:val="auto"/>
              </w:rPr>
            </w:pPr>
            <w:r>
              <w:rPr>
                <w:rFonts w:ascii="Arial" w:cs="Arial" w:eastAsia="Arial" w:hAnsi="Arial"/>
                <w:sz w:val="14"/>
                <w:szCs w:val="14"/>
                <w:color w:val="auto"/>
              </w:rPr>
              <w:t>Subtotal</w:t>
            </w:r>
            <w:r>
              <w:rPr>
                <w:rFonts w:ascii="Arial" w:cs="Arial" w:eastAsia="Arial" w:hAnsi="Arial"/>
                <w:sz w:val="18"/>
                <w:szCs w:val="18"/>
                <w:color w:val="auto"/>
                <w:vertAlign w:val="superscript"/>
              </w:rPr>
              <w:t>(1)</w:t>
            </w:r>
          </w:p>
        </w:tc>
        <w:tc>
          <w:tcPr>
            <w:tcW w:w="200" w:type="dxa"/>
            <w:vAlign w:val="bottom"/>
            <w:tcBorders>
              <w:bottom w:val="single" w:sz="8" w:color="auto"/>
            </w:tcBorders>
            <w:shd w:val="clear" w:color="auto" w:fill="F4F4F4"/>
          </w:tcPr>
          <w:p>
            <w:pPr>
              <w:spacing w:after="0"/>
              <w:rPr>
                <w:sz w:val="18"/>
                <w:szCs w:val="18"/>
                <w:color w:val="auto"/>
              </w:rPr>
            </w:pPr>
          </w:p>
        </w:tc>
        <w:tc>
          <w:tcPr>
            <w:tcW w:w="102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16.5</w:t>
            </w:r>
          </w:p>
        </w:tc>
        <w:tc>
          <w:tcPr>
            <w:tcW w:w="200" w:type="dxa"/>
            <w:vAlign w:val="bottom"/>
            <w:tcBorders>
              <w:bottom w:val="single" w:sz="8" w:color="auto"/>
            </w:tcBorders>
            <w:shd w:val="clear" w:color="auto" w:fill="F4F4F4"/>
          </w:tcPr>
          <w:p>
            <w:pPr>
              <w:spacing w:after="0"/>
              <w:rPr>
                <w:sz w:val="18"/>
                <w:szCs w:val="18"/>
                <w:color w:val="auto"/>
              </w:rPr>
            </w:pPr>
          </w:p>
        </w:tc>
        <w:tc>
          <w:tcPr>
            <w:tcW w:w="102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14.1</w:t>
            </w:r>
          </w:p>
        </w:tc>
        <w:tc>
          <w:tcPr>
            <w:tcW w:w="104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17.1 %</w:t>
            </w:r>
          </w:p>
        </w:tc>
        <w:tc>
          <w:tcPr>
            <w:tcW w:w="100" w:type="dxa"/>
            <w:vAlign w:val="bottom"/>
            <w:shd w:val="clear" w:color="auto" w:fill="F4F4F4"/>
          </w:tcPr>
          <w:p>
            <w:pPr>
              <w:spacing w:after="0"/>
              <w:rPr>
                <w:sz w:val="18"/>
                <w:szCs w:val="18"/>
                <w:color w:val="auto"/>
              </w:rPr>
            </w:pPr>
          </w:p>
        </w:tc>
        <w:tc>
          <w:tcPr>
            <w:tcW w:w="200" w:type="dxa"/>
            <w:vAlign w:val="bottom"/>
            <w:tcBorders>
              <w:bottom w:val="single" w:sz="8" w:color="auto"/>
            </w:tcBorders>
            <w:shd w:val="clear" w:color="auto" w:fill="F4F4F4"/>
          </w:tcPr>
          <w:p>
            <w:pPr>
              <w:spacing w:after="0"/>
              <w:rPr>
                <w:sz w:val="18"/>
                <w:szCs w:val="18"/>
                <w:color w:val="auto"/>
              </w:rPr>
            </w:pPr>
          </w:p>
        </w:tc>
        <w:tc>
          <w:tcPr>
            <w:tcW w:w="100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33.2</w:t>
            </w:r>
          </w:p>
        </w:tc>
        <w:tc>
          <w:tcPr>
            <w:tcW w:w="200" w:type="dxa"/>
            <w:vAlign w:val="bottom"/>
            <w:tcBorders>
              <w:bottom w:val="single" w:sz="8" w:color="auto"/>
            </w:tcBorders>
            <w:shd w:val="clear" w:color="auto" w:fill="F4F4F4"/>
          </w:tcPr>
          <w:p>
            <w:pPr>
              <w:spacing w:after="0"/>
              <w:rPr>
                <w:sz w:val="18"/>
                <w:szCs w:val="18"/>
                <w:color w:val="auto"/>
              </w:rPr>
            </w:pPr>
          </w:p>
        </w:tc>
        <w:tc>
          <w:tcPr>
            <w:tcW w:w="102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28.6</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16.0 %</w:t>
            </w:r>
          </w:p>
        </w:tc>
        <w:tc>
          <w:tcPr>
            <w:tcW w:w="20" w:type="dxa"/>
            <w:vAlign w:val="bottom"/>
          </w:tcPr>
          <w:p>
            <w:pPr>
              <w:spacing w:after="0"/>
              <w:rPr>
                <w:sz w:val="18"/>
                <w:szCs w:val="18"/>
                <w:color w:val="auto"/>
              </w:rPr>
            </w:pPr>
          </w:p>
        </w:tc>
      </w:tr>
      <w:tr>
        <w:trPr>
          <w:trHeight w:val="210"/>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Non-GAAP gross profit</w:t>
            </w:r>
            <w:r>
              <w:rPr>
                <w:rFonts w:ascii="Arial" w:cs="Arial" w:eastAsia="Arial" w:hAnsi="Arial"/>
                <w:sz w:val="18"/>
                <w:szCs w:val="18"/>
                <w:b w:val="1"/>
                <w:bCs w:val="1"/>
                <w:color w:val="auto"/>
                <w:vertAlign w:val="superscript"/>
              </w:rPr>
              <w:t>(1)</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155.9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135.5</w:t>
            </w:r>
          </w:p>
        </w:tc>
        <w:tc>
          <w:tcPr>
            <w:tcW w:w="1040" w:type="dxa"/>
            <w:vAlign w:val="bottom"/>
          </w:tcPr>
          <w:p>
            <w:pPr>
              <w:jc w:val="right"/>
              <w:spacing w:after="0"/>
              <w:rPr>
                <w:sz w:val="20"/>
                <w:szCs w:val="20"/>
                <w:color w:val="auto"/>
              </w:rPr>
            </w:pPr>
            <w:r>
              <w:rPr>
                <w:rFonts w:ascii="Arial" w:cs="Arial" w:eastAsia="Arial" w:hAnsi="Arial"/>
                <w:sz w:val="14"/>
                <w:szCs w:val="14"/>
                <w:color w:val="auto"/>
              </w:rPr>
              <w:t>15.0 %</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306.3</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265.8</w:t>
            </w:r>
          </w:p>
        </w:tc>
        <w:tc>
          <w:tcPr>
            <w:tcW w:w="1040" w:type="dxa"/>
            <w:vAlign w:val="bottom"/>
          </w:tcPr>
          <w:p>
            <w:pPr>
              <w:jc w:val="right"/>
              <w:spacing w:after="0"/>
              <w:rPr>
                <w:sz w:val="20"/>
                <w:szCs w:val="20"/>
                <w:color w:val="auto"/>
              </w:rPr>
            </w:pPr>
            <w:r>
              <w:rPr>
                <w:rFonts w:ascii="Arial" w:cs="Arial" w:eastAsia="Arial" w:hAnsi="Arial"/>
                <w:sz w:val="14"/>
                <w:szCs w:val="14"/>
                <w:color w:val="auto"/>
              </w:rPr>
              <w:t>15.2 %</w:t>
            </w:r>
          </w:p>
        </w:tc>
        <w:tc>
          <w:tcPr>
            <w:tcW w:w="20" w:type="dxa"/>
            <w:vAlign w:val="bottom"/>
          </w:tcPr>
          <w:p>
            <w:pPr>
              <w:spacing w:after="0"/>
              <w:rPr>
                <w:sz w:val="18"/>
                <w:szCs w:val="18"/>
                <w:color w:val="auto"/>
              </w:rPr>
            </w:pPr>
          </w:p>
        </w:tc>
      </w:tr>
      <w:tr>
        <w:trPr>
          <w:trHeight w:val="209"/>
        </w:trPr>
        <w:tc>
          <w:tcPr>
            <w:tcW w:w="4200" w:type="dxa"/>
            <w:vAlign w:val="bottom"/>
            <w:tcBorders>
              <w:top w:val="single" w:sz="8" w:color="F4F4F4"/>
            </w:tcBorders>
            <w:shd w:val="clear" w:color="auto" w:fill="F4F4F4"/>
          </w:tcPr>
          <w:p>
            <w:pPr>
              <w:ind w:left="140"/>
              <w:spacing w:after="0"/>
              <w:rPr>
                <w:sz w:val="20"/>
                <w:szCs w:val="20"/>
                <w:color w:val="auto"/>
              </w:rPr>
            </w:pPr>
            <w:r>
              <w:rPr>
                <w:rFonts w:ascii="Arial" w:cs="Arial" w:eastAsia="Arial" w:hAnsi="Arial"/>
                <w:sz w:val="14"/>
                <w:szCs w:val="14"/>
                <w:b w:val="1"/>
                <w:bCs w:val="1"/>
                <w:color w:val="auto"/>
              </w:rPr>
              <w:t>Non-GAAP gross margin</w:t>
            </w:r>
          </w:p>
        </w:tc>
        <w:tc>
          <w:tcPr>
            <w:tcW w:w="200" w:type="dxa"/>
            <w:vAlign w:val="bottom"/>
            <w:tcBorders>
              <w:top w:val="single" w:sz="8" w:color="auto"/>
            </w:tcBorders>
            <w:shd w:val="clear" w:color="auto" w:fill="F4F4F4"/>
          </w:tcPr>
          <w:p>
            <w:pPr>
              <w:spacing w:after="0"/>
              <w:rPr>
                <w:sz w:val="18"/>
                <w:szCs w:val="18"/>
                <w:color w:val="auto"/>
              </w:rPr>
            </w:pPr>
          </w:p>
        </w:tc>
        <w:tc>
          <w:tcPr>
            <w:tcW w:w="102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58.8 %</w:t>
            </w:r>
          </w:p>
        </w:tc>
        <w:tc>
          <w:tcPr>
            <w:tcW w:w="200" w:type="dxa"/>
            <w:vAlign w:val="bottom"/>
            <w:tcBorders>
              <w:top w:val="single" w:sz="8" w:color="auto"/>
            </w:tcBorders>
            <w:shd w:val="clear" w:color="auto" w:fill="F4F4F4"/>
          </w:tcPr>
          <w:p>
            <w:pPr>
              <w:spacing w:after="0"/>
              <w:rPr>
                <w:sz w:val="18"/>
                <w:szCs w:val="18"/>
                <w:color w:val="auto"/>
              </w:rPr>
            </w:pPr>
          </w:p>
        </w:tc>
        <w:tc>
          <w:tcPr>
            <w:tcW w:w="102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59.1 %</w:t>
            </w:r>
          </w:p>
        </w:tc>
        <w:tc>
          <w:tcPr>
            <w:tcW w:w="1040" w:type="dxa"/>
            <w:vAlign w:val="bottom"/>
            <w:tcBorders>
              <w:top w:val="single" w:sz="8" w:color="F4F4F4"/>
              <w:right w:val="single" w:sz="8" w:color="F4F4F4"/>
            </w:tcBorders>
            <w:shd w:val="clear" w:color="auto" w:fill="F4F4F4"/>
          </w:tcPr>
          <w:p>
            <w:pPr>
              <w:spacing w:after="0"/>
              <w:rPr>
                <w:sz w:val="18"/>
                <w:szCs w:val="18"/>
                <w:color w:val="auto"/>
              </w:rPr>
            </w:pPr>
          </w:p>
        </w:tc>
        <w:tc>
          <w:tcPr>
            <w:tcW w:w="100" w:type="dxa"/>
            <w:vAlign w:val="bottom"/>
            <w:tcBorders>
              <w:top w:val="single" w:sz="8" w:color="F4F4F4"/>
            </w:tcBorders>
            <w:shd w:val="clear" w:color="auto" w:fill="F4F4F4"/>
          </w:tcPr>
          <w:p>
            <w:pPr>
              <w:spacing w:after="0"/>
              <w:rPr>
                <w:sz w:val="18"/>
                <w:szCs w:val="18"/>
                <w:color w:val="auto"/>
              </w:rPr>
            </w:pPr>
          </w:p>
        </w:tc>
        <w:tc>
          <w:tcPr>
            <w:tcW w:w="200" w:type="dxa"/>
            <w:vAlign w:val="bottom"/>
            <w:tcBorders>
              <w:top w:val="single" w:sz="8" w:color="auto"/>
            </w:tcBorders>
            <w:shd w:val="clear" w:color="auto" w:fill="F4F4F4"/>
          </w:tcPr>
          <w:p>
            <w:pPr>
              <w:spacing w:after="0"/>
              <w:rPr>
                <w:sz w:val="18"/>
                <w:szCs w:val="18"/>
                <w:color w:val="auto"/>
              </w:rPr>
            </w:pPr>
          </w:p>
        </w:tc>
        <w:tc>
          <w:tcPr>
            <w:tcW w:w="100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58.7 %</w:t>
            </w:r>
          </w:p>
        </w:tc>
        <w:tc>
          <w:tcPr>
            <w:tcW w:w="200" w:type="dxa"/>
            <w:vAlign w:val="bottom"/>
            <w:tcBorders>
              <w:top w:val="single" w:sz="8" w:color="auto"/>
            </w:tcBorders>
            <w:shd w:val="clear" w:color="auto" w:fill="F4F4F4"/>
          </w:tcPr>
          <w:p>
            <w:pPr>
              <w:spacing w:after="0"/>
              <w:rPr>
                <w:sz w:val="18"/>
                <w:szCs w:val="18"/>
                <w:color w:val="auto"/>
              </w:rPr>
            </w:pPr>
          </w:p>
        </w:tc>
        <w:tc>
          <w:tcPr>
            <w:tcW w:w="102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59.2 %</w:t>
            </w:r>
          </w:p>
        </w:tc>
        <w:tc>
          <w:tcPr>
            <w:tcW w:w="1040" w:type="dxa"/>
            <w:vAlign w:val="bottom"/>
            <w:tcBorders>
              <w:top w:val="single" w:sz="8" w:color="F4F4F4"/>
            </w:tcBorders>
            <w:shd w:val="clear" w:color="auto" w:fill="F4F4F4"/>
          </w:tcPr>
          <w:p>
            <w:pPr>
              <w:spacing w:after="0"/>
              <w:rPr>
                <w:sz w:val="18"/>
                <w:szCs w:val="18"/>
                <w:color w:val="auto"/>
              </w:rPr>
            </w:pPr>
          </w:p>
        </w:tc>
        <w:tc>
          <w:tcPr>
            <w:tcW w:w="20" w:type="dxa"/>
            <w:vAlign w:val="bottom"/>
          </w:tcPr>
          <w:p>
            <w:pPr>
              <w:spacing w:after="0"/>
              <w:rPr>
                <w:sz w:val="18"/>
                <w:szCs w:val="18"/>
                <w:color w:val="auto"/>
              </w:rPr>
            </w:pPr>
          </w:p>
        </w:tc>
      </w:tr>
      <w:tr>
        <w:trPr>
          <w:trHeight w:val="54"/>
        </w:trPr>
        <w:tc>
          <w:tcPr>
            <w:tcW w:w="4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420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GAAP income (loss) from operations</w:t>
            </w:r>
          </w:p>
        </w:tc>
        <w:tc>
          <w:tcPr>
            <w:tcW w:w="200" w:type="dxa"/>
            <w:vAlign w:val="bottom"/>
            <w:shd w:val="clear" w:color="auto" w:fill="F4F4F4"/>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0.1</w:t>
            </w:r>
          </w:p>
        </w:tc>
        <w:tc>
          <w:tcPr>
            <w:tcW w:w="200" w:type="dxa"/>
            <w:vAlign w:val="bottom"/>
            <w:shd w:val="clear" w:color="auto" w:fill="F4F4F4"/>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13.0</w:t>
            </w:r>
          </w:p>
        </w:tc>
        <w:tc>
          <w:tcPr>
            <w:tcW w:w="104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(99.6)%</w:t>
            </w:r>
          </w:p>
        </w:tc>
        <w:tc>
          <w:tcPr>
            <w:tcW w:w="300" w:type="dxa"/>
            <w:vAlign w:val="bottom"/>
            <w:gridSpan w:val="2"/>
            <w:shd w:val="clear" w:color="auto" w:fill="F4F4F4"/>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(5.9)</w:t>
            </w:r>
          </w:p>
        </w:tc>
        <w:tc>
          <w:tcPr>
            <w:tcW w:w="200" w:type="dxa"/>
            <w:vAlign w:val="bottom"/>
            <w:shd w:val="clear" w:color="auto" w:fill="F4F4F4"/>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19.7</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(130.1)%</w:t>
            </w:r>
          </w:p>
        </w:tc>
        <w:tc>
          <w:tcPr>
            <w:tcW w:w="20" w:type="dxa"/>
            <w:vAlign w:val="bottom"/>
          </w:tcPr>
          <w:p>
            <w:pPr>
              <w:spacing w:after="0"/>
              <w:rPr>
                <w:sz w:val="18"/>
                <w:szCs w:val="18"/>
                <w:color w:val="auto"/>
              </w:rPr>
            </w:pPr>
          </w:p>
        </w:tc>
      </w:tr>
      <w:tr>
        <w:trPr>
          <w:trHeight w:val="210"/>
        </w:trPr>
        <w:tc>
          <w:tcPr>
            <w:tcW w:w="4200" w:type="dxa"/>
            <w:vAlign w:val="bottom"/>
          </w:tcPr>
          <w:p>
            <w:pPr>
              <w:ind w:left="140"/>
              <w:spacing w:after="0"/>
              <w:rPr>
                <w:sz w:val="20"/>
                <w:szCs w:val="20"/>
                <w:color w:val="auto"/>
              </w:rPr>
            </w:pPr>
            <w:r>
              <w:rPr>
                <w:rFonts w:ascii="Arial" w:cs="Arial" w:eastAsia="Arial" w:hAnsi="Arial"/>
                <w:sz w:val="14"/>
                <w:szCs w:val="14"/>
                <w:b w:val="1"/>
                <w:bCs w:val="1"/>
                <w:color w:val="auto"/>
              </w:rPr>
              <w:t>GAAP operating margin</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 %</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5.7 %</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4.4 %</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420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Non-GAAP adjustments:</w:t>
            </w:r>
          </w:p>
        </w:tc>
        <w:tc>
          <w:tcPr>
            <w:tcW w:w="200" w:type="dxa"/>
            <w:vAlign w:val="bottom"/>
            <w:shd w:val="clear" w:color="auto" w:fill="F4F4F4"/>
          </w:tcPr>
          <w:p>
            <w:pPr>
              <w:spacing w:after="0"/>
              <w:rPr>
                <w:sz w:val="19"/>
                <w:szCs w:val="19"/>
                <w:color w:val="auto"/>
              </w:rPr>
            </w:pPr>
          </w:p>
        </w:tc>
        <w:tc>
          <w:tcPr>
            <w:tcW w:w="1020" w:type="dxa"/>
            <w:vAlign w:val="bottom"/>
            <w:shd w:val="clear" w:color="auto" w:fill="F4F4F4"/>
          </w:tcPr>
          <w:p>
            <w:pPr>
              <w:spacing w:after="0"/>
              <w:rPr>
                <w:sz w:val="19"/>
                <w:szCs w:val="19"/>
                <w:color w:val="auto"/>
              </w:rPr>
            </w:pPr>
          </w:p>
        </w:tc>
        <w:tc>
          <w:tcPr>
            <w:tcW w:w="200" w:type="dxa"/>
            <w:vAlign w:val="bottom"/>
            <w:shd w:val="clear" w:color="auto" w:fill="F4F4F4"/>
          </w:tcPr>
          <w:p>
            <w:pPr>
              <w:spacing w:after="0"/>
              <w:rPr>
                <w:sz w:val="19"/>
                <w:szCs w:val="19"/>
                <w:color w:val="auto"/>
              </w:rPr>
            </w:pPr>
          </w:p>
        </w:tc>
        <w:tc>
          <w:tcPr>
            <w:tcW w:w="1020" w:type="dxa"/>
            <w:vAlign w:val="bottom"/>
            <w:shd w:val="clear" w:color="auto" w:fill="F4F4F4"/>
          </w:tcPr>
          <w:p>
            <w:pPr>
              <w:spacing w:after="0"/>
              <w:rPr>
                <w:sz w:val="19"/>
                <w:szCs w:val="19"/>
                <w:color w:val="auto"/>
              </w:rPr>
            </w:pPr>
          </w:p>
        </w:tc>
        <w:tc>
          <w:tcPr>
            <w:tcW w:w="1040" w:type="dxa"/>
            <w:vAlign w:val="bottom"/>
            <w:tcBorders>
              <w:right w:val="single" w:sz="8" w:color="F4F4F4"/>
            </w:tcBorders>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200" w:type="dxa"/>
            <w:vAlign w:val="bottom"/>
            <w:shd w:val="clear" w:color="auto" w:fill="F4F4F4"/>
          </w:tcPr>
          <w:p>
            <w:pPr>
              <w:spacing w:after="0"/>
              <w:rPr>
                <w:sz w:val="19"/>
                <w:szCs w:val="19"/>
                <w:color w:val="auto"/>
              </w:rPr>
            </w:pPr>
          </w:p>
        </w:tc>
        <w:tc>
          <w:tcPr>
            <w:tcW w:w="1000" w:type="dxa"/>
            <w:vAlign w:val="bottom"/>
            <w:shd w:val="clear" w:color="auto" w:fill="F4F4F4"/>
          </w:tcPr>
          <w:p>
            <w:pPr>
              <w:spacing w:after="0"/>
              <w:rPr>
                <w:sz w:val="19"/>
                <w:szCs w:val="19"/>
                <w:color w:val="auto"/>
              </w:rPr>
            </w:pPr>
          </w:p>
        </w:tc>
        <w:tc>
          <w:tcPr>
            <w:tcW w:w="200" w:type="dxa"/>
            <w:vAlign w:val="bottom"/>
            <w:shd w:val="clear" w:color="auto" w:fill="F4F4F4"/>
          </w:tcPr>
          <w:p>
            <w:pPr>
              <w:spacing w:after="0"/>
              <w:rPr>
                <w:sz w:val="19"/>
                <w:szCs w:val="19"/>
                <w:color w:val="auto"/>
              </w:rPr>
            </w:pPr>
          </w:p>
        </w:tc>
        <w:tc>
          <w:tcPr>
            <w:tcW w:w="102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4200" w:type="dxa"/>
            <w:vAlign w:val="bottom"/>
          </w:tcPr>
          <w:p>
            <w:pPr>
              <w:ind w:left="140"/>
              <w:spacing w:after="0"/>
              <w:rPr>
                <w:sz w:val="20"/>
                <w:szCs w:val="20"/>
                <w:color w:val="auto"/>
              </w:rPr>
            </w:pPr>
            <w:r>
              <w:rPr>
                <w:rFonts w:ascii="Arial" w:cs="Arial" w:eastAsia="Arial" w:hAnsi="Arial"/>
                <w:sz w:val="14"/>
                <w:szCs w:val="14"/>
                <w:color w:val="auto"/>
              </w:rPr>
              <w:t>Add: Stock-based compensation expense</w:t>
            </w:r>
          </w:p>
        </w:tc>
        <w:tc>
          <w:tcPr>
            <w:tcW w:w="200" w:type="dxa"/>
            <w:vAlign w:val="bottom"/>
          </w:tcPr>
          <w:p>
            <w:pPr>
              <w:spacing w:after="0"/>
              <w:rPr>
                <w:sz w:val="18"/>
                <w:szCs w:val="18"/>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27.9</w:t>
            </w:r>
          </w:p>
        </w:tc>
        <w:tc>
          <w:tcPr>
            <w:tcW w:w="2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30.5</w:t>
            </w:r>
          </w:p>
        </w:tc>
        <w:tc>
          <w:tcPr>
            <w:tcW w:w="104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55.7</w:t>
            </w:r>
          </w:p>
        </w:tc>
        <w:tc>
          <w:tcPr>
            <w:tcW w:w="200" w:type="dxa"/>
            <w:vAlign w:val="bottom"/>
          </w:tcPr>
          <w:p>
            <w:pPr>
              <w:spacing w:after="0"/>
              <w:rPr>
                <w:sz w:val="18"/>
                <w:szCs w:val="18"/>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60.6</w:t>
            </w:r>
          </w:p>
        </w:tc>
        <w:tc>
          <w:tcPr>
            <w:tcW w:w="1040" w:type="dxa"/>
            <w:vAlign w:val="bottom"/>
          </w:tcPr>
          <w:p>
            <w:pPr>
              <w:jc w:val="right"/>
              <w:spacing w:after="0"/>
              <w:rPr>
                <w:sz w:val="20"/>
                <w:szCs w:val="20"/>
                <w:color w:val="auto"/>
              </w:rPr>
            </w:pPr>
            <w:r>
              <w:rPr>
                <w:rFonts w:ascii="Arial" w:cs="Arial" w:eastAsia="Arial" w:hAnsi="Arial"/>
                <w:sz w:val="14"/>
                <w:szCs w:val="14"/>
                <w:color w:val="auto"/>
              </w:rPr>
              <w:t>(8.0)%</w:t>
            </w:r>
          </w:p>
        </w:tc>
        <w:tc>
          <w:tcPr>
            <w:tcW w:w="20" w:type="dxa"/>
            <w:vAlign w:val="bottom"/>
          </w:tcPr>
          <w:p>
            <w:pPr>
              <w:spacing w:after="0"/>
              <w:rPr>
                <w:sz w:val="18"/>
                <w:szCs w:val="18"/>
                <w:color w:val="auto"/>
              </w:rPr>
            </w:pPr>
          </w:p>
        </w:tc>
      </w:tr>
      <w:tr>
        <w:trPr>
          <w:trHeight w:val="222"/>
        </w:trPr>
        <w:tc>
          <w:tcPr>
            <w:tcW w:w="420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Amortization of intangibles from business combinations</w:t>
            </w:r>
          </w:p>
        </w:tc>
        <w:tc>
          <w:tcPr>
            <w:tcW w:w="200" w:type="dxa"/>
            <w:vAlign w:val="bottom"/>
            <w:shd w:val="clear" w:color="auto" w:fill="F4F4F4"/>
          </w:tcPr>
          <w:p>
            <w:pPr>
              <w:spacing w:after="0"/>
              <w:rPr>
                <w:sz w:val="19"/>
                <w:szCs w:val="19"/>
                <w:color w:val="auto"/>
              </w:rPr>
            </w:pP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13.2</w:t>
            </w:r>
          </w:p>
        </w:tc>
        <w:tc>
          <w:tcPr>
            <w:tcW w:w="200" w:type="dxa"/>
            <w:vAlign w:val="bottom"/>
            <w:shd w:val="clear" w:color="auto" w:fill="F4F4F4"/>
          </w:tcPr>
          <w:p>
            <w:pPr>
              <w:spacing w:after="0"/>
              <w:rPr>
                <w:sz w:val="19"/>
                <w:szCs w:val="19"/>
                <w:color w:val="auto"/>
              </w:rPr>
            </w:pPr>
          </w:p>
        </w:tc>
        <w:tc>
          <w:tcPr>
            <w:tcW w:w="102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9.4</w:t>
            </w:r>
          </w:p>
        </w:tc>
        <w:tc>
          <w:tcPr>
            <w:tcW w:w="104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39.8 %</w:t>
            </w:r>
          </w:p>
        </w:tc>
        <w:tc>
          <w:tcPr>
            <w:tcW w:w="100" w:type="dxa"/>
            <w:vAlign w:val="bottom"/>
            <w:shd w:val="clear" w:color="auto" w:fill="F4F4F4"/>
          </w:tcPr>
          <w:p>
            <w:pPr>
              <w:spacing w:after="0"/>
              <w:rPr>
                <w:sz w:val="19"/>
                <w:szCs w:val="19"/>
                <w:color w:val="auto"/>
              </w:rPr>
            </w:pPr>
          </w:p>
        </w:tc>
        <w:tc>
          <w:tcPr>
            <w:tcW w:w="200" w:type="dxa"/>
            <w:vAlign w:val="bottom"/>
            <w:shd w:val="clear" w:color="auto" w:fill="F4F4F4"/>
          </w:tcPr>
          <w:p>
            <w:pPr>
              <w:spacing w:after="0"/>
              <w:rPr>
                <w:sz w:val="19"/>
                <w:szCs w:val="19"/>
                <w:color w:val="auto"/>
              </w:rPr>
            </w:pPr>
          </w:p>
        </w:tc>
        <w:tc>
          <w:tcPr>
            <w:tcW w:w="100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26.5</w:t>
            </w:r>
          </w:p>
        </w:tc>
        <w:tc>
          <w:tcPr>
            <w:tcW w:w="200" w:type="dxa"/>
            <w:vAlign w:val="bottom"/>
            <w:shd w:val="clear" w:color="auto" w:fill="F4F4F4"/>
          </w:tcPr>
          <w:p>
            <w:pPr>
              <w:spacing w:after="0"/>
              <w:rPr>
                <w:sz w:val="19"/>
                <w:szCs w:val="19"/>
                <w:color w:val="auto"/>
              </w:rPr>
            </w:pP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19.1</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38.6 %</w:t>
            </w:r>
          </w:p>
        </w:tc>
        <w:tc>
          <w:tcPr>
            <w:tcW w:w="20" w:type="dxa"/>
            <w:vAlign w:val="bottom"/>
          </w:tcPr>
          <w:p>
            <w:pPr>
              <w:spacing w:after="0"/>
              <w:rPr>
                <w:sz w:val="19"/>
                <w:szCs w:val="19"/>
                <w:color w:val="auto"/>
              </w:rPr>
            </w:pPr>
          </w:p>
        </w:tc>
      </w:tr>
      <w:tr>
        <w:trPr>
          <w:trHeight w:val="210"/>
        </w:trPr>
        <w:tc>
          <w:tcPr>
            <w:tcW w:w="4200" w:type="dxa"/>
            <w:vAlign w:val="bottom"/>
          </w:tcPr>
          <w:p>
            <w:pPr>
              <w:ind w:left="140"/>
              <w:spacing w:after="0"/>
              <w:rPr>
                <w:sz w:val="20"/>
                <w:szCs w:val="20"/>
                <w:color w:val="auto"/>
              </w:rPr>
            </w:pPr>
            <w:r>
              <w:rPr>
                <w:rFonts w:ascii="Arial" w:cs="Arial" w:eastAsia="Arial" w:hAnsi="Arial"/>
                <w:sz w:val="14"/>
                <w:szCs w:val="14"/>
                <w:color w:val="auto"/>
              </w:rPr>
              <w:t>Add: Employee severance</w:t>
            </w:r>
          </w:p>
        </w:tc>
        <w:tc>
          <w:tcPr>
            <w:tcW w:w="200" w:type="dxa"/>
            <w:vAlign w:val="bottom"/>
          </w:tcPr>
          <w:p>
            <w:pPr>
              <w:spacing w:after="0"/>
              <w:rPr>
                <w:sz w:val="18"/>
                <w:szCs w:val="18"/>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0.5</w:t>
            </w:r>
          </w:p>
        </w:tc>
        <w:tc>
          <w:tcPr>
            <w:tcW w:w="2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0.5</w:t>
            </w:r>
          </w:p>
        </w:tc>
        <w:tc>
          <w:tcPr>
            <w:tcW w:w="1040" w:type="dxa"/>
            <w:vAlign w:val="bottom"/>
          </w:tcPr>
          <w:p>
            <w:pPr>
              <w:jc w:val="right"/>
              <w:spacing w:after="0"/>
              <w:rPr>
                <w:sz w:val="20"/>
                <w:szCs w:val="20"/>
                <w:color w:val="auto"/>
              </w:rPr>
            </w:pPr>
            <w:r>
              <w:rPr>
                <w:rFonts w:ascii="Arial" w:cs="Arial" w:eastAsia="Arial" w:hAnsi="Arial"/>
                <w:sz w:val="14"/>
                <w:szCs w:val="14"/>
                <w:color w:val="auto"/>
              </w:rPr>
              <w:t>2.4 %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0.5</w:t>
            </w:r>
          </w:p>
        </w:tc>
        <w:tc>
          <w:tcPr>
            <w:tcW w:w="200" w:type="dxa"/>
            <w:vAlign w:val="bottom"/>
          </w:tcPr>
          <w:p>
            <w:pPr>
              <w:spacing w:after="0"/>
              <w:rPr>
                <w:sz w:val="18"/>
                <w:szCs w:val="18"/>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1.4</w:t>
            </w:r>
          </w:p>
        </w:tc>
        <w:tc>
          <w:tcPr>
            <w:tcW w:w="1040" w:type="dxa"/>
            <w:vAlign w:val="bottom"/>
          </w:tcPr>
          <w:p>
            <w:pPr>
              <w:jc w:val="right"/>
              <w:spacing w:after="0"/>
              <w:rPr>
                <w:sz w:val="20"/>
                <w:szCs w:val="20"/>
                <w:color w:val="auto"/>
              </w:rPr>
            </w:pPr>
            <w:r>
              <w:rPr>
                <w:rFonts w:ascii="Arial" w:cs="Arial" w:eastAsia="Arial" w:hAnsi="Arial"/>
                <w:sz w:val="14"/>
                <w:szCs w:val="14"/>
                <w:color w:val="auto"/>
              </w:rPr>
              <w:t>(68.0)%</w:t>
            </w:r>
          </w:p>
        </w:tc>
        <w:tc>
          <w:tcPr>
            <w:tcW w:w="20" w:type="dxa"/>
            <w:vAlign w:val="bottom"/>
          </w:tcPr>
          <w:p>
            <w:pPr>
              <w:spacing w:after="0"/>
              <w:rPr>
                <w:sz w:val="18"/>
                <w:szCs w:val="18"/>
                <w:color w:val="auto"/>
              </w:rPr>
            </w:pPr>
          </w:p>
        </w:tc>
      </w:tr>
      <w:tr>
        <w:trPr>
          <w:trHeight w:val="222"/>
        </w:trPr>
        <w:tc>
          <w:tcPr>
            <w:tcW w:w="420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Acquisition and disposition-related costs</w:t>
            </w:r>
            <w:r>
              <w:rPr>
                <w:rFonts w:ascii="Arial" w:cs="Arial" w:eastAsia="Arial" w:hAnsi="Arial"/>
                <w:sz w:val="18"/>
                <w:szCs w:val="18"/>
                <w:color w:val="auto"/>
                <w:vertAlign w:val="superscript"/>
              </w:rPr>
              <w:t>(2)</w:t>
            </w:r>
          </w:p>
        </w:tc>
        <w:tc>
          <w:tcPr>
            <w:tcW w:w="200" w:type="dxa"/>
            <w:vAlign w:val="bottom"/>
            <w:shd w:val="clear" w:color="auto" w:fill="F4F4F4"/>
          </w:tcPr>
          <w:p>
            <w:pPr>
              <w:spacing w:after="0"/>
              <w:rPr>
                <w:sz w:val="19"/>
                <w:szCs w:val="19"/>
                <w:color w:val="auto"/>
              </w:rPr>
            </w:pP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2.3</w:t>
            </w:r>
          </w:p>
        </w:tc>
        <w:tc>
          <w:tcPr>
            <w:tcW w:w="200" w:type="dxa"/>
            <w:vAlign w:val="bottom"/>
            <w:shd w:val="clear" w:color="auto" w:fill="F4F4F4"/>
          </w:tcPr>
          <w:p>
            <w:pPr>
              <w:spacing w:after="0"/>
              <w:rPr>
                <w:sz w:val="19"/>
                <w:szCs w:val="19"/>
                <w:color w:val="auto"/>
              </w:rPr>
            </w:pPr>
          </w:p>
        </w:tc>
        <w:tc>
          <w:tcPr>
            <w:tcW w:w="102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0.1</w:t>
            </w:r>
          </w:p>
        </w:tc>
        <w:tc>
          <w:tcPr>
            <w:tcW w:w="104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3,481.3 %</w:t>
            </w:r>
          </w:p>
        </w:tc>
        <w:tc>
          <w:tcPr>
            <w:tcW w:w="100" w:type="dxa"/>
            <w:vAlign w:val="bottom"/>
            <w:shd w:val="clear" w:color="auto" w:fill="F4F4F4"/>
          </w:tcPr>
          <w:p>
            <w:pPr>
              <w:spacing w:after="0"/>
              <w:rPr>
                <w:sz w:val="19"/>
                <w:szCs w:val="19"/>
                <w:color w:val="auto"/>
              </w:rPr>
            </w:pPr>
          </w:p>
        </w:tc>
        <w:tc>
          <w:tcPr>
            <w:tcW w:w="200" w:type="dxa"/>
            <w:vAlign w:val="bottom"/>
            <w:shd w:val="clear" w:color="auto" w:fill="F4F4F4"/>
          </w:tcPr>
          <w:p>
            <w:pPr>
              <w:spacing w:after="0"/>
              <w:rPr>
                <w:sz w:val="19"/>
                <w:szCs w:val="19"/>
                <w:color w:val="auto"/>
              </w:rPr>
            </w:pPr>
          </w:p>
        </w:tc>
        <w:tc>
          <w:tcPr>
            <w:tcW w:w="100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3.2</w:t>
            </w:r>
          </w:p>
        </w:tc>
        <w:tc>
          <w:tcPr>
            <w:tcW w:w="200" w:type="dxa"/>
            <w:vAlign w:val="bottom"/>
            <w:shd w:val="clear" w:color="auto" w:fill="F4F4F4"/>
          </w:tcPr>
          <w:p>
            <w:pPr>
              <w:spacing w:after="0"/>
              <w:rPr>
                <w:sz w:val="19"/>
                <w:szCs w:val="19"/>
                <w:color w:val="auto"/>
              </w:rPr>
            </w:pP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10,380.6 %</w:t>
            </w:r>
          </w:p>
        </w:tc>
        <w:tc>
          <w:tcPr>
            <w:tcW w:w="20" w:type="dxa"/>
            <w:vAlign w:val="bottom"/>
          </w:tcPr>
          <w:p>
            <w:pPr>
              <w:spacing w:after="0"/>
              <w:rPr>
                <w:sz w:val="19"/>
                <w:szCs w:val="19"/>
                <w:color w:val="auto"/>
              </w:rPr>
            </w:pPr>
          </w:p>
        </w:tc>
      </w:tr>
      <w:tr>
        <w:trPr>
          <w:trHeight w:val="210"/>
        </w:trPr>
        <w:tc>
          <w:tcPr>
            <w:tcW w:w="4200" w:type="dxa"/>
            <w:vAlign w:val="bottom"/>
          </w:tcPr>
          <w:p>
            <w:pPr>
              <w:ind w:left="140"/>
              <w:spacing w:after="0"/>
              <w:rPr>
                <w:sz w:val="20"/>
                <w:szCs w:val="20"/>
                <w:color w:val="auto"/>
              </w:rPr>
            </w:pPr>
            <w:r>
              <w:rPr>
                <w:rFonts w:ascii="Arial" w:cs="Arial" w:eastAsia="Arial" w:hAnsi="Arial"/>
                <w:sz w:val="14"/>
                <w:szCs w:val="14"/>
                <w:color w:val="auto"/>
              </w:rPr>
              <w:t>Add: Restructuring and other real estate activities</w:t>
            </w:r>
          </w:p>
        </w:tc>
        <w:tc>
          <w:tcPr>
            <w:tcW w:w="200" w:type="dxa"/>
            <w:vAlign w:val="bottom"/>
          </w:tcPr>
          <w:p>
            <w:pPr>
              <w:spacing w:after="0"/>
              <w:rPr>
                <w:sz w:val="18"/>
                <w:szCs w:val="18"/>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0.1</w:t>
            </w:r>
          </w:p>
        </w:tc>
        <w:tc>
          <w:tcPr>
            <w:tcW w:w="104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8"/>
                <w:szCs w:val="18"/>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914.3 %</w:t>
            </w:r>
          </w:p>
        </w:tc>
        <w:tc>
          <w:tcPr>
            <w:tcW w:w="20" w:type="dxa"/>
            <w:vAlign w:val="bottom"/>
          </w:tcPr>
          <w:p>
            <w:pPr>
              <w:spacing w:after="0"/>
              <w:rPr>
                <w:sz w:val="18"/>
                <w:szCs w:val="18"/>
                <w:color w:val="auto"/>
              </w:rPr>
            </w:pPr>
          </w:p>
        </w:tc>
      </w:tr>
      <w:tr>
        <w:trPr>
          <w:trHeight w:val="222"/>
        </w:trPr>
        <w:tc>
          <w:tcPr>
            <w:tcW w:w="420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Security Incident-related costs, net of insurance</w:t>
            </w:r>
            <w:r>
              <w:rPr>
                <w:rFonts w:ascii="Arial" w:cs="Arial" w:eastAsia="Arial" w:hAnsi="Arial"/>
                <w:sz w:val="18"/>
                <w:szCs w:val="18"/>
                <w:color w:val="auto"/>
                <w:vertAlign w:val="superscript"/>
              </w:rPr>
              <w:t>(3)</w:t>
            </w:r>
          </w:p>
        </w:tc>
        <w:tc>
          <w:tcPr>
            <w:tcW w:w="200" w:type="dxa"/>
            <w:vAlign w:val="bottom"/>
            <w:shd w:val="clear" w:color="auto" w:fill="F4F4F4"/>
          </w:tcPr>
          <w:p>
            <w:pPr>
              <w:spacing w:after="0"/>
              <w:rPr>
                <w:sz w:val="19"/>
                <w:szCs w:val="19"/>
                <w:color w:val="auto"/>
              </w:rPr>
            </w:pP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8.3</w:t>
            </w:r>
          </w:p>
        </w:tc>
        <w:tc>
          <w:tcPr>
            <w:tcW w:w="200" w:type="dxa"/>
            <w:vAlign w:val="bottom"/>
            <w:shd w:val="clear" w:color="auto" w:fill="F4F4F4"/>
          </w:tcPr>
          <w:p>
            <w:pPr>
              <w:spacing w:after="0"/>
              <w:rPr>
                <w:sz w:val="19"/>
                <w:szCs w:val="19"/>
                <w:color w:val="auto"/>
              </w:rPr>
            </w:pPr>
          </w:p>
        </w:tc>
        <w:tc>
          <w:tcPr>
            <w:tcW w:w="102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0.5</w:t>
            </w:r>
          </w:p>
        </w:tc>
        <w:tc>
          <w:tcPr>
            <w:tcW w:w="104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1,676.2 %</w:t>
            </w:r>
          </w:p>
        </w:tc>
        <w:tc>
          <w:tcPr>
            <w:tcW w:w="100" w:type="dxa"/>
            <w:vAlign w:val="bottom"/>
            <w:shd w:val="clear" w:color="auto" w:fill="F4F4F4"/>
          </w:tcPr>
          <w:p>
            <w:pPr>
              <w:spacing w:after="0"/>
              <w:rPr>
                <w:sz w:val="19"/>
                <w:szCs w:val="19"/>
                <w:color w:val="auto"/>
              </w:rPr>
            </w:pPr>
          </w:p>
        </w:tc>
        <w:tc>
          <w:tcPr>
            <w:tcW w:w="200" w:type="dxa"/>
            <w:vAlign w:val="bottom"/>
            <w:shd w:val="clear" w:color="auto" w:fill="F4F4F4"/>
          </w:tcPr>
          <w:p>
            <w:pPr>
              <w:spacing w:after="0"/>
              <w:rPr>
                <w:sz w:val="19"/>
                <w:szCs w:val="19"/>
                <w:color w:val="auto"/>
              </w:rPr>
            </w:pPr>
          </w:p>
        </w:tc>
        <w:tc>
          <w:tcPr>
            <w:tcW w:w="100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15.5</w:t>
            </w:r>
          </w:p>
        </w:tc>
        <w:tc>
          <w:tcPr>
            <w:tcW w:w="200" w:type="dxa"/>
            <w:vAlign w:val="bottom"/>
            <w:shd w:val="clear" w:color="auto" w:fill="F4F4F4"/>
          </w:tcPr>
          <w:p>
            <w:pPr>
              <w:spacing w:after="0"/>
              <w:rPr>
                <w:sz w:val="19"/>
                <w:szCs w:val="19"/>
                <w:color w:val="auto"/>
              </w:rPr>
            </w:pP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0.5</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3,201.3 %</w:t>
            </w:r>
          </w:p>
        </w:tc>
        <w:tc>
          <w:tcPr>
            <w:tcW w:w="20" w:type="dxa"/>
            <w:vAlign w:val="bottom"/>
          </w:tcPr>
          <w:p>
            <w:pPr>
              <w:spacing w:after="0"/>
              <w:rPr>
                <w:sz w:val="19"/>
                <w:szCs w:val="19"/>
                <w:color w:val="auto"/>
              </w:rPr>
            </w:pPr>
          </w:p>
        </w:tc>
      </w:tr>
      <w:tr>
        <w:trPr>
          <w:trHeight w:val="210"/>
        </w:trPr>
        <w:tc>
          <w:tcPr>
            <w:tcW w:w="4200" w:type="dxa"/>
            <w:vAlign w:val="bottom"/>
            <w:tcBorders>
              <w:bottom w:val="single" w:sz="8" w:color="F4F4F4"/>
            </w:tcBorders>
          </w:tcPr>
          <w:p>
            <w:pPr>
              <w:ind w:left="140"/>
              <w:spacing w:after="0"/>
              <w:rPr>
                <w:sz w:val="20"/>
                <w:szCs w:val="20"/>
                <w:color w:val="auto"/>
              </w:rPr>
            </w:pPr>
            <w:r>
              <w:rPr>
                <w:rFonts w:ascii="Arial" w:cs="Arial" w:eastAsia="Arial" w:hAnsi="Arial"/>
                <w:sz w:val="14"/>
                <w:szCs w:val="14"/>
                <w:color w:val="auto"/>
              </w:rPr>
              <w:t>Add: Impairment of capitalized software development costs</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bottom w:val="single" w:sz="8" w:color="F4F4F4"/>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100.0 %</w:t>
            </w:r>
          </w:p>
        </w:tc>
        <w:tc>
          <w:tcPr>
            <w:tcW w:w="20" w:type="dxa"/>
            <w:vAlign w:val="bottom"/>
          </w:tcPr>
          <w:p>
            <w:pPr>
              <w:spacing w:after="0"/>
              <w:rPr>
                <w:sz w:val="18"/>
                <w:szCs w:val="18"/>
                <w:color w:val="auto"/>
              </w:rPr>
            </w:pPr>
          </w:p>
        </w:tc>
      </w:tr>
      <w:tr>
        <w:trPr>
          <w:trHeight w:val="215"/>
        </w:trPr>
        <w:tc>
          <w:tcPr>
            <w:tcW w:w="4200" w:type="dxa"/>
            <w:vAlign w:val="bottom"/>
            <w:shd w:val="clear" w:color="auto" w:fill="F4F4F4"/>
          </w:tcPr>
          <w:p>
            <w:pPr>
              <w:ind w:left="240"/>
              <w:spacing w:after="0"/>
              <w:rPr>
                <w:sz w:val="20"/>
                <w:szCs w:val="20"/>
                <w:color w:val="auto"/>
              </w:rPr>
            </w:pPr>
            <w:r>
              <w:rPr>
                <w:rFonts w:ascii="Arial" w:cs="Arial" w:eastAsia="Arial" w:hAnsi="Arial"/>
                <w:sz w:val="14"/>
                <w:szCs w:val="14"/>
                <w:color w:val="auto"/>
              </w:rPr>
              <w:t>Subtotal</w:t>
            </w:r>
            <w:r>
              <w:rPr>
                <w:rFonts w:ascii="Arial" w:cs="Arial" w:eastAsia="Arial" w:hAnsi="Arial"/>
                <w:sz w:val="18"/>
                <w:szCs w:val="18"/>
                <w:color w:val="auto"/>
                <w:vertAlign w:val="superscript"/>
              </w:rPr>
              <w:t>(1)</w:t>
            </w:r>
          </w:p>
        </w:tc>
        <w:tc>
          <w:tcPr>
            <w:tcW w:w="200" w:type="dxa"/>
            <w:vAlign w:val="bottom"/>
            <w:shd w:val="clear" w:color="auto" w:fill="F4F4F4"/>
          </w:tcPr>
          <w:p>
            <w:pPr>
              <w:spacing w:after="0"/>
              <w:rPr>
                <w:sz w:val="18"/>
                <w:szCs w:val="18"/>
                <w:color w:val="auto"/>
              </w:rPr>
            </w:pP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54.4</w:t>
            </w:r>
          </w:p>
        </w:tc>
        <w:tc>
          <w:tcPr>
            <w:tcW w:w="200" w:type="dxa"/>
            <w:vAlign w:val="bottom"/>
            <w:shd w:val="clear" w:color="auto" w:fill="F4F4F4"/>
          </w:tcPr>
          <w:p>
            <w:pPr>
              <w:spacing w:after="0"/>
              <w:rPr>
                <w:sz w:val="18"/>
                <w:szCs w:val="18"/>
                <w:color w:val="auto"/>
              </w:rPr>
            </w:pPr>
          </w:p>
        </w:tc>
        <w:tc>
          <w:tcPr>
            <w:tcW w:w="102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41.1</w:t>
            </w:r>
          </w:p>
        </w:tc>
        <w:tc>
          <w:tcPr>
            <w:tcW w:w="104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32.4 %</w:t>
            </w:r>
          </w:p>
        </w:tc>
        <w:tc>
          <w:tcPr>
            <w:tcW w:w="100" w:type="dxa"/>
            <w:vAlign w:val="bottom"/>
            <w:shd w:val="clear" w:color="auto" w:fill="F4F4F4"/>
          </w:tcPr>
          <w:p>
            <w:pPr>
              <w:spacing w:after="0"/>
              <w:rPr>
                <w:sz w:val="18"/>
                <w:szCs w:val="18"/>
                <w:color w:val="auto"/>
              </w:rPr>
            </w:pPr>
          </w:p>
        </w:tc>
        <w:tc>
          <w:tcPr>
            <w:tcW w:w="200" w:type="dxa"/>
            <w:vAlign w:val="bottom"/>
            <w:shd w:val="clear" w:color="auto" w:fill="F4F4F4"/>
          </w:tcPr>
          <w:p>
            <w:pPr>
              <w:spacing w:after="0"/>
              <w:rPr>
                <w:sz w:val="18"/>
                <w:szCs w:val="18"/>
                <w:color w:val="auto"/>
              </w:rPr>
            </w:pPr>
          </w:p>
        </w:tc>
        <w:tc>
          <w:tcPr>
            <w:tcW w:w="100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103.8</w:t>
            </w:r>
          </w:p>
        </w:tc>
        <w:tc>
          <w:tcPr>
            <w:tcW w:w="200" w:type="dxa"/>
            <w:vAlign w:val="bottom"/>
            <w:shd w:val="clear" w:color="auto" w:fill="F4F4F4"/>
          </w:tcPr>
          <w:p>
            <w:pPr>
              <w:spacing w:after="0"/>
              <w:rPr>
                <w:sz w:val="18"/>
                <w:szCs w:val="18"/>
                <w:color w:val="auto"/>
              </w:rPr>
            </w:pP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81.6</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27.2 %</w:t>
            </w:r>
          </w:p>
        </w:tc>
        <w:tc>
          <w:tcPr>
            <w:tcW w:w="20" w:type="dxa"/>
            <w:vAlign w:val="bottom"/>
          </w:tcPr>
          <w:p>
            <w:pPr>
              <w:spacing w:after="0"/>
              <w:rPr>
                <w:sz w:val="18"/>
                <w:szCs w:val="18"/>
                <w:color w:val="auto"/>
              </w:rPr>
            </w:pPr>
          </w:p>
        </w:tc>
      </w:tr>
      <w:tr>
        <w:trPr>
          <w:trHeight w:val="216"/>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Non-GAAP income from operations</w:t>
            </w:r>
            <w:r>
              <w:rPr>
                <w:rFonts w:ascii="Arial" w:cs="Arial" w:eastAsia="Arial" w:hAnsi="Arial"/>
                <w:sz w:val="18"/>
                <w:szCs w:val="18"/>
                <w:b w:val="1"/>
                <w:bCs w:val="1"/>
                <w:color w:val="auto"/>
                <w:vertAlign w:val="superscript"/>
              </w:rPr>
              <w:t>(1)</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54.5</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54.1</w:t>
            </w:r>
          </w:p>
        </w:tc>
        <w:tc>
          <w:tcPr>
            <w:tcW w:w="1040" w:type="dxa"/>
            <w:vAlign w:val="bottom"/>
          </w:tcPr>
          <w:p>
            <w:pPr>
              <w:jc w:val="right"/>
              <w:spacing w:after="0"/>
              <w:rPr>
                <w:sz w:val="20"/>
                <w:szCs w:val="20"/>
                <w:color w:val="auto"/>
              </w:rPr>
            </w:pPr>
            <w:r>
              <w:rPr>
                <w:rFonts w:ascii="Arial" w:cs="Arial" w:eastAsia="Arial" w:hAnsi="Arial"/>
                <w:sz w:val="14"/>
                <w:szCs w:val="14"/>
                <w:color w:val="auto"/>
              </w:rPr>
              <w:t>0.6 %</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97.9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101.3</w:t>
            </w:r>
          </w:p>
        </w:tc>
        <w:tc>
          <w:tcPr>
            <w:tcW w:w="1040" w:type="dxa"/>
            <w:vAlign w:val="bottom"/>
          </w:tcPr>
          <w:p>
            <w:pPr>
              <w:jc w:val="right"/>
              <w:spacing w:after="0"/>
              <w:rPr>
                <w:sz w:val="20"/>
                <w:szCs w:val="20"/>
                <w:color w:val="auto"/>
              </w:rPr>
            </w:pPr>
            <w:r>
              <w:rPr>
                <w:rFonts w:ascii="Arial" w:cs="Arial" w:eastAsia="Arial" w:hAnsi="Arial"/>
                <w:sz w:val="14"/>
                <w:szCs w:val="14"/>
                <w:color w:val="auto"/>
              </w:rPr>
              <w:t>(3.4)%</w:t>
            </w:r>
          </w:p>
        </w:tc>
        <w:tc>
          <w:tcPr>
            <w:tcW w:w="20" w:type="dxa"/>
            <w:vAlign w:val="bottom"/>
          </w:tcPr>
          <w:p>
            <w:pPr>
              <w:spacing w:after="0"/>
              <w:rPr>
                <w:sz w:val="18"/>
                <w:szCs w:val="18"/>
                <w:color w:val="auto"/>
              </w:rPr>
            </w:pPr>
          </w:p>
        </w:tc>
      </w:tr>
      <w:tr>
        <w:trPr>
          <w:trHeight w:val="210"/>
        </w:trPr>
        <w:tc>
          <w:tcPr>
            <w:tcW w:w="4200" w:type="dxa"/>
            <w:vAlign w:val="bottom"/>
            <w:tcBorders>
              <w:top w:val="single" w:sz="8" w:color="F4F4F4"/>
            </w:tcBorders>
            <w:shd w:val="clear" w:color="auto" w:fill="F4F4F4"/>
          </w:tcPr>
          <w:p>
            <w:pPr>
              <w:ind w:left="140"/>
              <w:spacing w:after="0"/>
              <w:rPr>
                <w:sz w:val="20"/>
                <w:szCs w:val="20"/>
                <w:color w:val="auto"/>
              </w:rPr>
            </w:pPr>
            <w:r>
              <w:rPr>
                <w:rFonts w:ascii="Arial" w:cs="Arial" w:eastAsia="Arial" w:hAnsi="Arial"/>
                <w:sz w:val="14"/>
                <w:szCs w:val="14"/>
                <w:b w:val="1"/>
                <w:bCs w:val="1"/>
                <w:color w:val="auto"/>
              </w:rPr>
              <w:t>Non-GAAP operating margin</w:t>
            </w:r>
          </w:p>
        </w:tc>
        <w:tc>
          <w:tcPr>
            <w:tcW w:w="200" w:type="dxa"/>
            <w:vAlign w:val="bottom"/>
            <w:tcBorders>
              <w:top w:val="single" w:sz="8" w:color="auto"/>
            </w:tcBorders>
            <w:shd w:val="clear" w:color="auto" w:fill="F4F4F4"/>
          </w:tcPr>
          <w:p>
            <w:pPr>
              <w:spacing w:after="0"/>
              <w:rPr>
                <w:sz w:val="18"/>
                <w:szCs w:val="18"/>
                <w:color w:val="auto"/>
              </w:rPr>
            </w:pPr>
          </w:p>
        </w:tc>
        <w:tc>
          <w:tcPr>
            <w:tcW w:w="102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20.6 %</w:t>
            </w:r>
          </w:p>
        </w:tc>
        <w:tc>
          <w:tcPr>
            <w:tcW w:w="200" w:type="dxa"/>
            <w:vAlign w:val="bottom"/>
            <w:tcBorders>
              <w:top w:val="single" w:sz="8" w:color="auto"/>
            </w:tcBorders>
            <w:shd w:val="clear" w:color="auto" w:fill="F4F4F4"/>
          </w:tcPr>
          <w:p>
            <w:pPr>
              <w:spacing w:after="0"/>
              <w:rPr>
                <w:sz w:val="18"/>
                <w:szCs w:val="18"/>
                <w:color w:val="auto"/>
              </w:rPr>
            </w:pPr>
          </w:p>
        </w:tc>
        <w:tc>
          <w:tcPr>
            <w:tcW w:w="102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23.6 %</w:t>
            </w:r>
          </w:p>
        </w:tc>
        <w:tc>
          <w:tcPr>
            <w:tcW w:w="1040" w:type="dxa"/>
            <w:vAlign w:val="bottom"/>
            <w:tcBorders>
              <w:top w:val="single" w:sz="8" w:color="F4F4F4"/>
              <w:right w:val="single" w:sz="8" w:color="F4F4F4"/>
            </w:tcBorders>
            <w:shd w:val="clear" w:color="auto" w:fill="F4F4F4"/>
          </w:tcPr>
          <w:p>
            <w:pPr>
              <w:spacing w:after="0"/>
              <w:rPr>
                <w:sz w:val="18"/>
                <w:szCs w:val="18"/>
                <w:color w:val="auto"/>
              </w:rPr>
            </w:pPr>
          </w:p>
        </w:tc>
        <w:tc>
          <w:tcPr>
            <w:tcW w:w="100" w:type="dxa"/>
            <w:vAlign w:val="bottom"/>
            <w:tcBorders>
              <w:top w:val="single" w:sz="8" w:color="F4F4F4"/>
            </w:tcBorders>
            <w:shd w:val="clear" w:color="auto" w:fill="F4F4F4"/>
          </w:tcPr>
          <w:p>
            <w:pPr>
              <w:spacing w:after="0"/>
              <w:rPr>
                <w:sz w:val="18"/>
                <w:szCs w:val="18"/>
                <w:color w:val="auto"/>
              </w:rPr>
            </w:pPr>
          </w:p>
        </w:tc>
        <w:tc>
          <w:tcPr>
            <w:tcW w:w="200" w:type="dxa"/>
            <w:vAlign w:val="bottom"/>
            <w:tcBorders>
              <w:top w:val="single" w:sz="8" w:color="auto"/>
            </w:tcBorders>
            <w:shd w:val="clear" w:color="auto" w:fill="F4F4F4"/>
          </w:tcPr>
          <w:p>
            <w:pPr>
              <w:spacing w:after="0"/>
              <w:rPr>
                <w:sz w:val="18"/>
                <w:szCs w:val="18"/>
                <w:color w:val="auto"/>
              </w:rPr>
            </w:pPr>
          </w:p>
        </w:tc>
        <w:tc>
          <w:tcPr>
            <w:tcW w:w="100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18.8 %</w:t>
            </w:r>
          </w:p>
        </w:tc>
        <w:tc>
          <w:tcPr>
            <w:tcW w:w="200" w:type="dxa"/>
            <w:vAlign w:val="bottom"/>
            <w:tcBorders>
              <w:top w:val="single" w:sz="8" w:color="auto"/>
            </w:tcBorders>
            <w:shd w:val="clear" w:color="auto" w:fill="F4F4F4"/>
          </w:tcPr>
          <w:p>
            <w:pPr>
              <w:spacing w:after="0"/>
              <w:rPr>
                <w:sz w:val="18"/>
                <w:szCs w:val="18"/>
                <w:color w:val="auto"/>
              </w:rPr>
            </w:pPr>
          </w:p>
        </w:tc>
        <w:tc>
          <w:tcPr>
            <w:tcW w:w="102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22.6 %</w:t>
            </w:r>
          </w:p>
        </w:tc>
        <w:tc>
          <w:tcPr>
            <w:tcW w:w="1040" w:type="dxa"/>
            <w:vAlign w:val="bottom"/>
            <w:tcBorders>
              <w:top w:val="single" w:sz="8" w:color="F4F4F4"/>
            </w:tcBorders>
            <w:shd w:val="clear" w:color="auto" w:fill="F4F4F4"/>
          </w:tcPr>
          <w:p>
            <w:pPr>
              <w:spacing w:after="0"/>
              <w:rPr>
                <w:sz w:val="18"/>
                <w:szCs w:val="18"/>
                <w:color w:val="auto"/>
              </w:rPr>
            </w:pPr>
          </w:p>
        </w:tc>
        <w:tc>
          <w:tcPr>
            <w:tcW w:w="20" w:type="dxa"/>
            <w:vAlign w:val="bottom"/>
          </w:tcPr>
          <w:p>
            <w:pPr>
              <w:spacing w:after="0"/>
              <w:rPr>
                <w:sz w:val="18"/>
                <w:szCs w:val="18"/>
                <w:color w:val="auto"/>
              </w:rPr>
            </w:pPr>
          </w:p>
        </w:tc>
      </w:tr>
      <w:tr>
        <w:trPr>
          <w:trHeight w:val="54"/>
        </w:trPr>
        <w:tc>
          <w:tcPr>
            <w:tcW w:w="4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16"/>
        </w:trPr>
        <w:tc>
          <w:tcPr>
            <w:tcW w:w="420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GAAP (loss) income before provision for income taxes</w:t>
            </w:r>
          </w:p>
        </w:tc>
        <w:tc>
          <w:tcPr>
            <w:tcW w:w="200" w:type="dxa"/>
            <w:vAlign w:val="bottom"/>
            <w:shd w:val="clear" w:color="auto" w:fill="F4F4F4"/>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(5.8)</w:t>
            </w:r>
          </w:p>
        </w:tc>
        <w:tc>
          <w:tcPr>
            <w:tcW w:w="200" w:type="dxa"/>
            <w:vAlign w:val="bottom"/>
            <w:shd w:val="clear" w:color="auto" w:fill="F4F4F4"/>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8.5</w:t>
            </w:r>
          </w:p>
        </w:tc>
        <w:tc>
          <w:tcPr>
            <w:tcW w:w="104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(168.3)%</w:t>
            </w:r>
          </w:p>
        </w:tc>
        <w:tc>
          <w:tcPr>
            <w:tcW w:w="300" w:type="dxa"/>
            <w:vAlign w:val="bottom"/>
            <w:gridSpan w:val="2"/>
            <w:shd w:val="clear" w:color="auto" w:fill="F4F4F4"/>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(18.2)</w:t>
            </w:r>
          </w:p>
        </w:tc>
        <w:tc>
          <w:tcPr>
            <w:tcW w:w="200" w:type="dxa"/>
            <w:vAlign w:val="bottom"/>
            <w:shd w:val="clear" w:color="auto" w:fill="F4F4F4"/>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9.0</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(302.8)%</w:t>
            </w:r>
          </w:p>
        </w:tc>
        <w:tc>
          <w:tcPr>
            <w:tcW w:w="20" w:type="dxa"/>
            <w:vAlign w:val="bottom"/>
          </w:tcPr>
          <w:p>
            <w:pPr>
              <w:spacing w:after="0"/>
              <w:rPr>
                <w:sz w:val="18"/>
                <w:szCs w:val="18"/>
                <w:color w:val="auto"/>
              </w:rPr>
            </w:pPr>
          </w:p>
        </w:tc>
      </w:tr>
      <w:tr>
        <w:trPr>
          <w:trHeight w:val="210"/>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GAAP net (loss) income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(3.4)</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6.7</w:t>
            </w:r>
          </w:p>
        </w:tc>
        <w:tc>
          <w:tcPr>
            <w:tcW w:w="1040" w:type="dxa"/>
            <w:vAlign w:val="bottom"/>
          </w:tcPr>
          <w:p>
            <w:pPr>
              <w:jc w:val="right"/>
              <w:spacing w:after="0"/>
              <w:rPr>
                <w:sz w:val="20"/>
                <w:szCs w:val="20"/>
                <w:color w:val="auto"/>
              </w:rPr>
            </w:pPr>
            <w:r>
              <w:rPr>
                <w:rFonts w:ascii="Arial" w:cs="Arial" w:eastAsia="Arial" w:hAnsi="Arial"/>
                <w:sz w:val="14"/>
                <w:szCs w:val="14"/>
                <w:color w:val="auto"/>
              </w:rPr>
              <w:t>(150.8)%</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(13.8)</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6.6</w:t>
            </w:r>
          </w:p>
        </w:tc>
        <w:tc>
          <w:tcPr>
            <w:tcW w:w="1040" w:type="dxa"/>
            <w:vAlign w:val="bottom"/>
          </w:tcPr>
          <w:p>
            <w:pPr>
              <w:jc w:val="right"/>
              <w:spacing w:after="0"/>
              <w:rPr>
                <w:sz w:val="20"/>
                <w:szCs w:val="20"/>
                <w:color w:val="auto"/>
              </w:rPr>
            </w:pPr>
            <w:r>
              <w:rPr>
                <w:rFonts w:ascii="Arial" w:cs="Arial" w:eastAsia="Arial" w:hAnsi="Arial"/>
                <w:sz w:val="14"/>
                <w:szCs w:val="14"/>
                <w:color w:val="auto"/>
              </w:rPr>
              <w:t>(310.6)%</w:t>
            </w:r>
          </w:p>
        </w:tc>
        <w:tc>
          <w:tcPr>
            <w:tcW w:w="20" w:type="dxa"/>
            <w:vAlign w:val="bottom"/>
          </w:tcPr>
          <w:p>
            <w:pPr>
              <w:spacing w:after="0"/>
              <w:rPr>
                <w:sz w:val="18"/>
                <w:szCs w:val="18"/>
                <w:color w:val="auto"/>
              </w:rPr>
            </w:pPr>
          </w:p>
        </w:tc>
      </w:tr>
      <w:tr>
        <w:trPr>
          <w:trHeight w:val="200"/>
        </w:trPr>
        <w:tc>
          <w:tcPr>
            <w:tcW w:w="4200" w:type="dxa"/>
            <w:vAlign w:val="bottom"/>
            <w:shd w:val="clear" w:color="auto" w:fill="F4F4F4"/>
          </w:tcPr>
          <w:p>
            <w:pPr>
              <w:ind w:left="20"/>
              <w:spacing w:after="0"/>
              <w:rPr>
                <w:sz w:val="20"/>
                <w:szCs w:val="20"/>
                <w:color w:val="auto"/>
              </w:rPr>
            </w:pPr>
            <w:r>
              <w:rPr>
                <w:rFonts w:ascii="Arial" w:cs="Arial" w:eastAsia="Arial" w:hAnsi="Arial"/>
                <w:sz w:val="14"/>
                <w:szCs w:val="14"/>
                <w:color w:val="auto"/>
              </w:rPr>
              <w:t>Shares used in computing GAAP diluted (loss) earnings per</w:t>
            </w:r>
          </w:p>
        </w:tc>
        <w:tc>
          <w:tcPr>
            <w:tcW w:w="200" w:type="dxa"/>
            <w:vAlign w:val="bottom"/>
            <w:shd w:val="clear" w:color="auto" w:fill="F4F4F4"/>
          </w:tcPr>
          <w:p>
            <w:pPr>
              <w:spacing w:after="0"/>
              <w:rPr>
                <w:sz w:val="17"/>
                <w:szCs w:val="17"/>
                <w:color w:val="auto"/>
              </w:rPr>
            </w:pPr>
          </w:p>
        </w:tc>
        <w:tc>
          <w:tcPr>
            <w:tcW w:w="1020" w:type="dxa"/>
            <w:vAlign w:val="bottom"/>
            <w:shd w:val="clear" w:color="auto" w:fill="F4F4F4"/>
          </w:tcPr>
          <w:p>
            <w:pPr>
              <w:spacing w:after="0"/>
              <w:rPr>
                <w:sz w:val="17"/>
                <w:szCs w:val="17"/>
                <w:color w:val="auto"/>
              </w:rPr>
            </w:pPr>
          </w:p>
        </w:tc>
        <w:tc>
          <w:tcPr>
            <w:tcW w:w="200" w:type="dxa"/>
            <w:vAlign w:val="bottom"/>
            <w:shd w:val="clear" w:color="auto" w:fill="F4F4F4"/>
          </w:tcPr>
          <w:p>
            <w:pPr>
              <w:spacing w:after="0"/>
              <w:rPr>
                <w:sz w:val="17"/>
                <w:szCs w:val="17"/>
                <w:color w:val="auto"/>
              </w:rPr>
            </w:pPr>
          </w:p>
        </w:tc>
        <w:tc>
          <w:tcPr>
            <w:tcW w:w="1020" w:type="dxa"/>
            <w:vAlign w:val="bottom"/>
            <w:shd w:val="clear" w:color="auto" w:fill="F4F4F4"/>
          </w:tcPr>
          <w:p>
            <w:pPr>
              <w:spacing w:after="0"/>
              <w:rPr>
                <w:sz w:val="17"/>
                <w:szCs w:val="17"/>
                <w:color w:val="auto"/>
              </w:rPr>
            </w:pPr>
          </w:p>
        </w:tc>
        <w:tc>
          <w:tcPr>
            <w:tcW w:w="1040" w:type="dxa"/>
            <w:vAlign w:val="bottom"/>
            <w:tcBorders>
              <w:right w:val="single" w:sz="8" w:color="F4F4F4"/>
            </w:tcBorders>
            <w:shd w:val="clear" w:color="auto" w:fill="F4F4F4"/>
          </w:tcPr>
          <w:p>
            <w:pPr>
              <w:spacing w:after="0"/>
              <w:rPr>
                <w:sz w:val="17"/>
                <w:szCs w:val="17"/>
                <w:color w:val="auto"/>
              </w:rPr>
            </w:pPr>
          </w:p>
        </w:tc>
        <w:tc>
          <w:tcPr>
            <w:tcW w:w="100" w:type="dxa"/>
            <w:vAlign w:val="bottom"/>
            <w:shd w:val="clear" w:color="auto" w:fill="F4F4F4"/>
          </w:tcPr>
          <w:p>
            <w:pPr>
              <w:spacing w:after="0"/>
              <w:rPr>
                <w:sz w:val="17"/>
                <w:szCs w:val="17"/>
                <w:color w:val="auto"/>
              </w:rPr>
            </w:pPr>
          </w:p>
        </w:tc>
        <w:tc>
          <w:tcPr>
            <w:tcW w:w="200" w:type="dxa"/>
            <w:vAlign w:val="bottom"/>
            <w:shd w:val="clear" w:color="auto" w:fill="F4F4F4"/>
          </w:tcPr>
          <w:p>
            <w:pPr>
              <w:spacing w:after="0"/>
              <w:rPr>
                <w:sz w:val="17"/>
                <w:szCs w:val="17"/>
                <w:color w:val="auto"/>
              </w:rPr>
            </w:pPr>
          </w:p>
        </w:tc>
        <w:tc>
          <w:tcPr>
            <w:tcW w:w="1000" w:type="dxa"/>
            <w:vAlign w:val="bottom"/>
            <w:shd w:val="clear" w:color="auto" w:fill="F4F4F4"/>
          </w:tcPr>
          <w:p>
            <w:pPr>
              <w:spacing w:after="0"/>
              <w:rPr>
                <w:sz w:val="17"/>
                <w:szCs w:val="17"/>
                <w:color w:val="auto"/>
              </w:rPr>
            </w:pPr>
          </w:p>
        </w:tc>
        <w:tc>
          <w:tcPr>
            <w:tcW w:w="200" w:type="dxa"/>
            <w:vAlign w:val="bottom"/>
            <w:shd w:val="clear" w:color="auto" w:fill="F4F4F4"/>
          </w:tcPr>
          <w:p>
            <w:pPr>
              <w:spacing w:after="0"/>
              <w:rPr>
                <w:sz w:val="17"/>
                <w:szCs w:val="17"/>
                <w:color w:val="auto"/>
              </w:rPr>
            </w:pPr>
          </w:p>
        </w:tc>
        <w:tc>
          <w:tcPr>
            <w:tcW w:w="1020" w:type="dxa"/>
            <w:vAlign w:val="bottom"/>
            <w:shd w:val="clear" w:color="auto" w:fill="F4F4F4"/>
          </w:tcPr>
          <w:p>
            <w:pPr>
              <w:spacing w:after="0"/>
              <w:rPr>
                <w:sz w:val="17"/>
                <w:szCs w:val="17"/>
                <w:color w:val="auto"/>
              </w:rPr>
            </w:pPr>
          </w:p>
        </w:tc>
        <w:tc>
          <w:tcPr>
            <w:tcW w:w="1040" w:type="dxa"/>
            <w:vAlign w:val="bottom"/>
            <w:shd w:val="clear" w:color="auto" w:fill="F4F4F4"/>
          </w:tcPr>
          <w:p>
            <w:pPr>
              <w:spacing w:after="0"/>
              <w:rPr>
                <w:sz w:val="17"/>
                <w:szCs w:val="17"/>
                <w:color w:val="auto"/>
              </w:rPr>
            </w:pPr>
          </w:p>
        </w:tc>
        <w:tc>
          <w:tcPr>
            <w:tcW w:w="20" w:type="dxa"/>
            <w:vAlign w:val="bottom"/>
          </w:tcPr>
          <w:p>
            <w:pPr>
              <w:spacing w:after="0"/>
              <w:rPr>
                <w:sz w:val="17"/>
                <w:szCs w:val="17"/>
                <w:color w:val="auto"/>
              </w:rPr>
            </w:pPr>
          </w:p>
        </w:tc>
      </w:tr>
      <w:tr>
        <w:trPr>
          <w:trHeight w:val="184"/>
        </w:trPr>
        <w:tc>
          <w:tcPr>
            <w:tcW w:w="4200" w:type="dxa"/>
            <w:vAlign w:val="bottom"/>
            <w:shd w:val="clear" w:color="auto" w:fill="F4F4F4"/>
          </w:tcPr>
          <w:p>
            <w:pPr>
              <w:ind w:left="20"/>
              <w:spacing w:after="0"/>
              <w:rPr>
                <w:sz w:val="20"/>
                <w:szCs w:val="20"/>
                <w:color w:val="auto"/>
              </w:rPr>
            </w:pPr>
            <w:r>
              <w:rPr>
                <w:rFonts w:ascii="Arial" w:cs="Arial" w:eastAsia="Arial" w:hAnsi="Arial"/>
                <w:sz w:val="14"/>
                <w:szCs w:val="14"/>
                <w:color w:val="auto"/>
              </w:rPr>
              <w:t>share</w:t>
            </w:r>
          </w:p>
        </w:tc>
        <w:tc>
          <w:tcPr>
            <w:tcW w:w="200" w:type="dxa"/>
            <w:vAlign w:val="bottom"/>
            <w:shd w:val="clear" w:color="auto" w:fill="F4F4F4"/>
          </w:tcPr>
          <w:p>
            <w:pPr>
              <w:spacing w:after="0"/>
              <w:rPr>
                <w:sz w:val="16"/>
                <w:szCs w:val="16"/>
                <w:color w:val="auto"/>
              </w:rPr>
            </w:pP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51,660,739</w:t>
            </w:r>
          </w:p>
        </w:tc>
        <w:tc>
          <w:tcPr>
            <w:tcW w:w="200" w:type="dxa"/>
            <w:vAlign w:val="bottom"/>
            <w:shd w:val="clear" w:color="auto" w:fill="F4F4F4"/>
          </w:tcPr>
          <w:p>
            <w:pPr>
              <w:spacing w:after="0"/>
              <w:rPr>
                <w:sz w:val="16"/>
                <w:szCs w:val="16"/>
                <w:color w:val="auto"/>
              </w:rPr>
            </w:pPr>
          </w:p>
        </w:tc>
        <w:tc>
          <w:tcPr>
            <w:tcW w:w="102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48,444,874</w:t>
            </w:r>
          </w:p>
        </w:tc>
        <w:tc>
          <w:tcPr>
            <w:tcW w:w="104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6.6 %</w:t>
            </w:r>
          </w:p>
        </w:tc>
        <w:tc>
          <w:tcPr>
            <w:tcW w:w="100" w:type="dxa"/>
            <w:vAlign w:val="bottom"/>
            <w:shd w:val="clear" w:color="auto" w:fill="F4F4F4"/>
          </w:tcPr>
          <w:p>
            <w:pPr>
              <w:spacing w:after="0"/>
              <w:rPr>
                <w:sz w:val="16"/>
                <w:szCs w:val="16"/>
                <w:color w:val="auto"/>
              </w:rPr>
            </w:pPr>
          </w:p>
        </w:tc>
        <w:tc>
          <w:tcPr>
            <w:tcW w:w="200" w:type="dxa"/>
            <w:vAlign w:val="bottom"/>
            <w:shd w:val="clear" w:color="auto" w:fill="F4F4F4"/>
          </w:tcPr>
          <w:p>
            <w:pPr>
              <w:spacing w:after="0"/>
              <w:rPr>
                <w:sz w:val="16"/>
                <w:szCs w:val="16"/>
                <w:color w:val="auto"/>
              </w:rPr>
            </w:pPr>
          </w:p>
        </w:tc>
        <w:tc>
          <w:tcPr>
            <w:tcW w:w="100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51,431,501</w:t>
            </w:r>
          </w:p>
        </w:tc>
        <w:tc>
          <w:tcPr>
            <w:tcW w:w="200" w:type="dxa"/>
            <w:vAlign w:val="bottom"/>
            <w:shd w:val="clear" w:color="auto" w:fill="F4F4F4"/>
          </w:tcPr>
          <w:p>
            <w:pPr>
              <w:spacing w:after="0"/>
              <w:rPr>
                <w:sz w:val="16"/>
                <w:szCs w:val="16"/>
                <w:color w:val="auto"/>
              </w:rPr>
            </w:pP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48,444,658</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6.2 %</w:t>
            </w:r>
          </w:p>
        </w:tc>
        <w:tc>
          <w:tcPr>
            <w:tcW w:w="20" w:type="dxa"/>
            <w:vAlign w:val="bottom"/>
          </w:tcPr>
          <w:p>
            <w:pPr>
              <w:spacing w:after="0"/>
              <w:rPr>
                <w:sz w:val="16"/>
                <w:szCs w:val="16"/>
                <w:color w:val="auto"/>
              </w:rPr>
            </w:pPr>
          </w:p>
        </w:tc>
      </w:tr>
      <w:tr>
        <w:trPr>
          <w:trHeight w:val="210"/>
        </w:trPr>
        <w:tc>
          <w:tcPr>
            <w:tcW w:w="4200" w:type="dxa"/>
            <w:vAlign w:val="bottom"/>
          </w:tcPr>
          <w:p>
            <w:pPr>
              <w:ind w:left="140"/>
              <w:spacing w:after="0"/>
              <w:rPr>
                <w:sz w:val="20"/>
                <w:szCs w:val="20"/>
                <w:color w:val="auto"/>
              </w:rPr>
            </w:pPr>
            <w:r>
              <w:rPr>
                <w:rFonts w:ascii="Arial" w:cs="Arial" w:eastAsia="Arial" w:hAnsi="Arial"/>
                <w:sz w:val="14"/>
                <w:szCs w:val="14"/>
                <w:b w:val="1"/>
                <w:bCs w:val="1"/>
                <w:color w:val="auto"/>
              </w:rPr>
              <w:t>GAAP diluted (loss) earnings per share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(0.07)</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0.14</w:t>
            </w:r>
          </w:p>
        </w:tc>
        <w:tc>
          <w:tcPr>
            <w:tcW w:w="1040" w:type="dxa"/>
            <w:vAlign w:val="bottom"/>
          </w:tcPr>
          <w:p>
            <w:pPr>
              <w:jc w:val="right"/>
              <w:spacing w:after="0"/>
              <w:rPr>
                <w:sz w:val="20"/>
                <w:szCs w:val="20"/>
                <w:color w:val="auto"/>
              </w:rPr>
            </w:pPr>
            <w:r>
              <w:rPr>
                <w:rFonts w:ascii="Arial" w:cs="Arial" w:eastAsia="Arial" w:hAnsi="Arial"/>
                <w:sz w:val="14"/>
                <w:szCs w:val="14"/>
                <w:color w:val="auto"/>
              </w:rPr>
              <w:t>(150.0)%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(0.27)</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0.14</w:t>
            </w:r>
          </w:p>
        </w:tc>
        <w:tc>
          <w:tcPr>
            <w:tcW w:w="1040" w:type="dxa"/>
            <w:vAlign w:val="bottom"/>
          </w:tcPr>
          <w:p>
            <w:pPr>
              <w:jc w:val="right"/>
              <w:spacing w:after="0"/>
              <w:rPr>
                <w:sz w:val="20"/>
                <w:szCs w:val="20"/>
                <w:color w:val="auto"/>
              </w:rPr>
            </w:pPr>
            <w:r>
              <w:rPr>
                <w:rFonts w:ascii="Arial" w:cs="Arial" w:eastAsia="Arial" w:hAnsi="Arial"/>
                <w:sz w:val="14"/>
                <w:szCs w:val="14"/>
                <w:color w:val="auto"/>
              </w:rPr>
              <w:t>(292.9)%</w:t>
            </w:r>
          </w:p>
        </w:tc>
        <w:tc>
          <w:tcPr>
            <w:tcW w:w="20" w:type="dxa"/>
            <w:vAlign w:val="bottom"/>
          </w:tcPr>
          <w:p>
            <w:pPr>
              <w:spacing w:after="0"/>
              <w:rPr>
                <w:sz w:val="18"/>
                <w:szCs w:val="18"/>
                <w:color w:val="auto"/>
              </w:rPr>
            </w:pPr>
          </w:p>
        </w:tc>
      </w:tr>
      <w:tr>
        <w:trPr>
          <w:trHeight w:val="222"/>
        </w:trPr>
        <w:tc>
          <w:tcPr>
            <w:tcW w:w="420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Non-GAAP adjustments:</w:t>
            </w:r>
          </w:p>
        </w:tc>
        <w:tc>
          <w:tcPr>
            <w:tcW w:w="200" w:type="dxa"/>
            <w:vAlign w:val="bottom"/>
            <w:shd w:val="clear" w:color="auto" w:fill="F4F4F4"/>
          </w:tcPr>
          <w:p>
            <w:pPr>
              <w:spacing w:after="0"/>
              <w:rPr>
                <w:sz w:val="19"/>
                <w:szCs w:val="19"/>
                <w:color w:val="auto"/>
              </w:rPr>
            </w:pPr>
          </w:p>
        </w:tc>
        <w:tc>
          <w:tcPr>
            <w:tcW w:w="1020" w:type="dxa"/>
            <w:vAlign w:val="bottom"/>
            <w:shd w:val="clear" w:color="auto" w:fill="F4F4F4"/>
          </w:tcPr>
          <w:p>
            <w:pPr>
              <w:spacing w:after="0"/>
              <w:rPr>
                <w:sz w:val="19"/>
                <w:szCs w:val="19"/>
                <w:color w:val="auto"/>
              </w:rPr>
            </w:pPr>
          </w:p>
        </w:tc>
        <w:tc>
          <w:tcPr>
            <w:tcW w:w="200" w:type="dxa"/>
            <w:vAlign w:val="bottom"/>
            <w:shd w:val="clear" w:color="auto" w:fill="F4F4F4"/>
          </w:tcPr>
          <w:p>
            <w:pPr>
              <w:spacing w:after="0"/>
              <w:rPr>
                <w:sz w:val="19"/>
                <w:szCs w:val="19"/>
                <w:color w:val="auto"/>
              </w:rPr>
            </w:pPr>
          </w:p>
        </w:tc>
        <w:tc>
          <w:tcPr>
            <w:tcW w:w="1020" w:type="dxa"/>
            <w:vAlign w:val="bottom"/>
            <w:shd w:val="clear" w:color="auto" w:fill="F4F4F4"/>
          </w:tcPr>
          <w:p>
            <w:pPr>
              <w:spacing w:after="0"/>
              <w:rPr>
                <w:sz w:val="19"/>
                <w:szCs w:val="19"/>
                <w:color w:val="auto"/>
              </w:rPr>
            </w:pPr>
          </w:p>
        </w:tc>
        <w:tc>
          <w:tcPr>
            <w:tcW w:w="1040" w:type="dxa"/>
            <w:vAlign w:val="bottom"/>
            <w:tcBorders>
              <w:right w:val="single" w:sz="8" w:color="F4F4F4"/>
            </w:tcBorders>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200" w:type="dxa"/>
            <w:vAlign w:val="bottom"/>
            <w:shd w:val="clear" w:color="auto" w:fill="F4F4F4"/>
          </w:tcPr>
          <w:p>
            <w:pPr>
              <w:spacing w:after="0"/>
              <w:rPr>
                <w:sz w:val="19"/>
                <w:szCs w:val="19"/>
                <w:color w:val="auto"/>
              </w:rPr>
            </w:pPr>
          </w:p>
        </w:tc>
        <w:tc>
          <w:tcPr>
            <w:tcW w:w="1000" w:type="dxa"/>
            <w:vAlign w:val="bottom"/>
            <w:shd w:val="clear" w:color="auto" w:fill="F4F4F4"/>
          </w:tcPr>
          <w:p>
            <w:pPr>
              <w:spacing w:after="0"/>
              <w:rPr>
                <w:sz w:val="19"/>
                <w:szCs w:val="19"/>
                <w:color w:val="auto"/>
              </w:rPr>
            </w:pPr>
          </w:p>
        </w:tc>
        <w:tc>
          <w:tcPr>
            <w:tcW w:w="200" w:type="dxa"/>
            <w:vAlign w:val="bottom"/>
            <w:shd w:val="clear" w:color="auto" w:fill="F4F4F4"/>
          </w:tcPr>
          <w:p>
            <w:pPr>
              <w:spacing w:after="0"/>
              <w:rPr>
                <w:sz w:val="19"/>
                <w:szCs w:val="19"/>
                <w:color w:val="auto"/>
              </w:rPr>
            </w:pPr>
          </w:p>
        </w:tc>
        <w:tc>
          <w:tcPr>
            <w:tcW w:w="102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4200" w:type="dxa"/>
            <w:vAlign w:val="bottom"/>
          </w:tcPr>
          <w:p>
            <w:pPr>
              <w:ind w:left="140"/>
              <w:spacing w:after="0"/>
              <w:rPr>
                <w:sz w:val="20"/>
                <w:szCs w:val="20"/>
                <w:color w:val="auto"/>
              </w:rPr>
            </w:pPr>
            <w:r>
              <w:rPr>
                <w:rFonts w:ascii="Arial" w:cs="Arial" w:eastAsia="Arial" w:hAnsi="Arial"/>
                <w:sz w:val="14"/>
                <w:szCs w:val="14"/>
                <w:color w:val="auto"/>
              </w:rPr>
              <w:t>Add: GAAP income tax (benefit) provision</w:t>
            </w:r>
          </w:p>
        </w:tc>
        <w:tc>
          <w:tcPr>
            <w:tcW w:w="200" w:type="dxa"/>
            <w:vAlign w:val="bottom"/>
          </w:tcPr>
          <w:p>
            <w:pPr>
              <w:spacing w:after="0"/>
              <w:rPr>
                <w:sz w:val="18"/>
                <w:szCs w:val="18"/>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(2.4)</w:t>
            </w:r>
          </w:p>
        </w:tc>
        <w:tc>
          <w:tcPr>
            <w:tcW w:w="200" w:type="dxa"/>
            <w:vAlign w:val="bottom"/>
          </w:tcPr>
          <w:p>
            <w:pPr>
              <w:spacing w:after="0"/>
              <w:rPr>
                <w:sz w:val="18"/>
                <w:szCs w:val="18"/>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1.7</w:t>
            </w:r>
          </w:p>
        </w:tc>
        <w:tc>
          <w:tcPr>
            <w:tcW w:w="1040" w:type="dxa"/>
            <w:vAlign w:val="bottom"/>
          </w:tcPr>
          <w:p>
            <w:pPr>
              <w:jc w:val="right"/>
              <w:spacing w:after="0"/>
              <w:rPr>
                <w:sz w:val="20"/>
                <w:szCs w:val="20"/>
                <w:color w:val="auto"/>
              </w:rPr>
            </w:pPr>
            <w:r>
              <w:rPr>
                <w:rFonts w:ascii="Arial" w:cs="Arial" w:eastAsia="Arial" w:hAnsi="Arial"/>
                <w:sz w:val="14"/>
                <w:szCs w:val="14"/>
                <w:color w:val="auto"/>
              </w:rPr>
              <w:t>(235.6)%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(4.4)</w:t>
            </w:r>
          </w:p>
        </w:tc>
        <w:tc>
          <w:tcPr>
            <w:tcW w:w="200" w:type="dxa"/>
            <w:vAlign w:val="bottom"/>
          </w:tcPr>
          <w:p>
            <w:pPr>
              <w:spacing w:after="0"/>
              <w:rPr>
                <w:sz w:val="18"/>
                <w:szCs w:val="18"/>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2.4</w:t>
            </w:r>
          </w:p>
        </w:tc>
        <w:tc>
          <w:tcPr>
            <w:tcW w:w="1040" w:type="dxa"/>
            <w:vAlign w:val="bottom"/>
          </w:tcPr>
          <w:p>
            <w:pPr>
              <w:jc w:val="right"/>
              <w:spacing w:after="0"/>
              <w:rPr>
                <w:sz w:val="20"/>
                <w:szCs w:val="20"/>
                <w:color w:val="auto"/>
              </w:rPr>
            </w:pPr>
            <w:r>
              <w:rPr>
                <w:rFonts w:ascii="Arial" w:cs="Arial" w:eastAsia="Arial" w:hAnsi="Arial"/>
                <w:sz w:val="14"/>
                <w:szCs w:val="14"/>
                <w:color w:val="auto"/>
              </w:rPr>
              <w:t>(281.8)%</w:t>
            </w:r>
          </w:p>
        </w:tc>
        <w:tc>
          <w:tcPr>
            <w:tcW w:w="20" w:type="dxa"/>
            <w:vAlign w:val="bottom"/>
          </w:tcPr>
          <w:p>
            <w:pPr>
              <w:spacing w:after="0"/>
              <w:rPr>
                <w:sz w:val="18"/>
                <w:szCs w:val="18"/>
                <w:color w:val="auto"/>
              </w:rPr>
            </w:pPr>
          </w:p>
        </w:tc>
      </w:tr>
      <w:tr>
        <w:trPr>
          <w:trHeight w:val="200"/>
        </w:trPr>
        <w:tc>
          <w:tcPr>
            <w:tcW w:w="420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Total non-GAAP adjustments affecting income from</w:t>
            </w:r>
          </w:p>
        </w:tc>
        <w:tc>
          <w:tcPr>
            <w:tcW w:w="200" w:type="dxa"/>
            <w:vAlign w:val="bottom"/>
            <w:shd w:val="clear" w:color="auto" w:fill="F4F4F4"/>
          </w:tcPr>
          <w:p>
            <w:pPr>
              <w:spacing w:after="0"/>
              <w:rPr>
                <w:sz w:val="17"/>
                <w:szCs w:val="17"/>
                <w:color w:val="auto"/>
              </w:rPr>
            </w:pPr>
          </w:p>
        </w:tc>
        <w:tc>
          <w:tcPr>
            <w:tcW w:w="1020" w:type="dxa"/>
            <w:vAlign w:val="bottom"/>
            <w:shd w:val="clear" w:color="auto" w:fill="F4F4F4"/>
          </w:tcPr>
          <w:p>
            <w:pPr>
              <w:spacing w:after="0"/>
              <w:rPr>
                <w:sz w:val="17"/>
                <w:szCs w:val="17"/>
                <w:color w:val="auto"/>
              </w:rPr>
            </w:pPr>
          </w:p>
        </w:tc>
        <w:tc>
          <w:tcPr>
            <w:tcW w:w="200" w:type="dxa"/>
            <w:vAlign w:val="bottom"/>
            <w:shd w:val="clear" w:color="auto" w:fill="F4F4F4"/>
          </w:tcPr>
          <w:p>
            <w:pPr>
              <w:spacing w:after="0"/>
              <w:rPr>
                <w:sz w:val="17"/>
                <w:szCs w:val="17"/>
                <w:color w:val="auto"/>
              </w:rPr>
            </w:pPr>
          </w:p>
        </w:tc>
        <w:tc>
          <w:tcPr>
            <w:tcW w:w="1020" w:type="dxa"/>
            <w:vAlign w:val="bottom"/>
            <w:shd w:val="clear" w:color="auto" w:fill="F4F4F4"/>
          </w:tcPr>
          <w:p>
            <w:pPr>
              <w:spacing w:after="0"/>
              <w:rPr>
                <w:sz w:val="17"/>
                <w:szCs w:val="17"/>
                <w:color w:val="auto"/>
              </w:rPr>
            </w:pPr>
          </w:p>
        </w:tc>
        <w:tc>
          <w:tcPr>
            <w:tcW w:w="1040" w:type="dxa"/>
            <w:vAlign w:val="bottom"/>
            <w:tcBorders>
              <w:right w:val="single" w:sz="8" w:color="F4F4F4"/>
            </w:tcBorders>
            <w:shd w:val="clear" w:color="auto" w:fill="F4F4F4"/>
          </w:tcPr>
          <w:p>
            <w:pPr>
              <w:spacing w:after="0"/>
              <w:rPr>
                <w:sz w:val="17"/>
                <w:szCs w:val="17"/>
                <w:color w:val="auto"/>
              </w:rPr>
            </w:pPr>
          </w:p>
        </w:tc>
        <w:tc>
          <w:tcPr>
            <w:tcW w:w="100" w:type="dxa"/>
            <w:vAlign w:val="bottom"/>
            <w:shd w:val="clear" w:color="auto" w:fill="F4F4F4"/>
          </w:tcPr>
          <w:p>
            <w:pPr>
              <w:spacing w:after="0"/>
              <w:rPr>
                <w:sz w:val="17"/>
                <w:szCs w:val="17"/>
                <w:color w:val="auto"/>
              </w:rPr>
            </w:pPr>
          </w:p>
        </w:tc>
        <w:tc>
          <w:tcPr>
            <w:tcW w:w="200" w:type="dxa"/>
            <w:vAlign w:val="bottom"/>
            <w:shd w:val="clear" w:color="auto" w:fill="F4F4F4"/>
          </w:tcPr>
          <w:p>
            <w:pPr>
              <w:spacing w:after="0"/>
              <w:rPr>
                <w:sz w:val="17"/>
                <w:szCs w:val="17"/>
                <w:color w:val="auto"/>
              </w:rPr>
            </w:pPr>
          </w:p>
        </w:tc>
        <w:tc>
          <w:tcPr>
            <w:tcW w:w="1000" w:type="dxa"/>
            <w:vAlign w:val="bottom"/>
            <w:shd w:val="clear" w:color="auto" w:fill="F4F4F4"/>
          </w:tcPr>
          <w:p>
            <w:pPr>
              <w:spacing w:after="0"/>
              <w:rPr>
                <w:sz w:val="17"/>
                <w:szCs w:val="17"/>
                <w:color w:val="auto"/>
              </w:rPr>
            </w:pPr>
          </w:p>
        </w:tc>
        <w:tc>
          <w:tcPr>
            <w:tcW w:w="200" w:type="dxa"/>
            <w:vAlign w:val="bottom"/>
            <w:shd w:val="clear" w:color="auto" w:fill="F4F4F4"/>
          </w:tcPr>
          <w:p>
            <w:pPr>
              <w:spacing w:after="0"/>
              <w:rPr>
                <w:sz w:val="17"/>
                <w:szCs w:val="17"/>
                <w:color w:val="auto"/>
              </w:rPr>
            </w:pPr>
          </w:p>
        </w:tc>
        <w:tc>
          <w:tcPr>
            <w:tcW w:w="1020" w:type="dxa"/>
            <w:vAlign w:val="bottom"/>
            <w:shd w:val="clear" w:color="auto" w:fill="F4F4F4"/>
          </w:tcPr>
          <w:p>
            <w:pPr>
              <w:spacing w:after="0"/>
              <w:rPr>
                <w:sz w:val="17"/>
                <w:szCs w:val="17"/>
                <w:color w:val="auto"/>
              </w:rPr>
            </w:pPr>
          </w:p>
        </w:tc>
        <w:tc>
          <w:tcPr>
            <w:tcW w:w="1040" w:type="dxa"/>
            <w:vAlign w:val="bottom"/>
            <w:shd w:val="clear" w:color="auto" w:fill="F4F4F4"/>
          </w:tcPr>
          <w:p>
            <w:pPr>
              <w:spacing w:after="0"/>
              <w:rPr>
                <w:sz w:val="17"/>
                <w:szCs w:val="17"/>
                <w:color w:val="auto"/>
              </w:rPr>
            </w:pPr>
          </w:p>
        </w:tc>
        <w:tc>
          <w:tcPr>
            <w:tcW w:w="20" w:type="dxa"/>
            <w:vAlign w:val="bottom"/>
          </w:tcPr>
          <w:p>
            <w:pPr>
              <w:spacing w:after="0"/>
              <w:rPr>
                <w:sz w:val="17"/>
                <w:szCs w:val="17"/>
                <w:color w:val="auto"/>
              </w:rPr>
            </w:pPr>
          </w:p>
        </w:tc>
      </w:tr>
      <w:tr>
        <w:trPr>
          <w:trHeight w:val="184"/>
        </w:trPr>
        <w:tc>
          <w:tcPr>
            <w:tcW w:w="4200" w:type="dxa"/>
            <w:vAlign w:val="bottom"/>
            <w:shd w:val="clear" w:color="auto" w:fill="F4F4F4"/>
          </w:tcPr>
          <w:p>
            <w:pPr>
              <w:ind w:left="140"/>
              <w:spacing w:after="0"/>
              <w:rPr>
                <w:sz w:val="20"/>
                <w:szCs w:val="20"/>
                <w:color w:val="auto"/>
              </w:rPr>
            </w:pPr>
            <w:r>
              <w:rPr>
                <w:rFonts w:ascii="Arial" w:cs="Arial" w:eastAsia="Arial" w:hAnsi="Arial"/>
                <w:sz w:val="14"/>
                <w:szCs w:val="14"/>
                <w:color w:val="auto"/>
              </w:rPr>
              <w:t>operations</w:t>
            </w:r>
          </w:p>
        </w:tc>
        <w:tc>
          <w:tcPr>
            <w:tcW w:w="200" w:type="dxa"/>
            <w:vAlign w:val="bottom"/>
            <w:tcBorders>
              <w:bottom w:val="single" w:sz="8" w:color="auto"/>
            </w:tcBorders>
            <w:shd w:val="clear" w:color="auto" w:fill="F4F4F4"/>
          </w:tcPr>
          <w:p>
            <w:pPr>
              <w:spacing w:after="0"/>
              <w:rPr>
                <w:sz w:val="16"/>
                <w:szCs w:val="16"/>
                <w:color w:val="auto"/>
              </w:rPr>
            </w:pPr>
          </w:p>
        </w:tc>
        <w:tc>
          <w:tcPr>
            <w:tcW w:w="102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54.4</w:t>
            </w:r>
          </w:p>
        </w:tc>
        <w:tc>
          <w:tcPr>
            <w:tcW w:w="200" w:type="dxa"/>
            <w:vAlign w:val="bottom"/>
            <w:tcBorders>
              <w:bottom w:val="single" w:sz="8" w:color="auto"/>
            </w:tcBorders>
            <w:shd w:val="clear" w:color="auto" w:fill="F4F4F4"/>
          </w:tcPr>
          <w:p>
            <w:pPr>
              <w:spacing w:after="0"/>
              <w:rPr>
                <w:sz w:val="16"/>
                <w:szCs w:val="16"/>
                <w:color w:val="auto"/>
              </w:rPr>
            </w:pPr>
          </w:p>
        </w:tc>
        <w:tc>
          <w:tcPr>
            <w:tcW w:w="102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41.1</w:t>
            </w:r>
          </w:p>
        </w:tc>
        <w:tc>
          <w:tcPr>
            <w:tcW w:w="104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32.4 %</w:t>
            </w:r>
          </w:p>
        </w:tc>
        <w:tc>
          <w:tcPr>
            <w:tcW w:w="100" w:type="dxa"/>
            <w:vAlign w:val="bottom"/>
            <w:shd w:val="clear" w:color="auto" w:fill="F4F4F4"/>
          </w:tcPr>
          <w:p>
            <w:pPr>
              <w:spacing w:after="0"/>
              <w:rPr>
                <w:sz w:val="16"/>
                <w:szCs w:val="16"/>
                <w:color w:val="auto"/>
              </w:rPr>
            </w:pPr>
          </w:p>
        </w:tc>
        <w:tc>
          <w:tcPr>
            <w:tcW w:w="200" w:type="dxa"/>
            <w:vAlign w:val="bottom"/>
            <w:tcBorders>
              <w:bottom w:val="single" w:sz="8" w:color="auto"/>
            </w:tcBorders>
            <w:shd w:val="clear" w:color="auto" w:fill="F4F4F4"/>
          </w:tcPr>
          <w:p>
            <w:pPr>
              <w:spacing w:after="0"/>
              <w:rPr>
                <w:sz w:val="16"/>
                <w:szCs w:val="16"/>
                <w:color w:val="auto"/>
              </w:rPr>
            </w:pPr>
          </w:p>
        </w:tc>
        <w:tc>
          <w:tcPr>
            <w:tcW w:w="100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103.8</w:t>
            </w:r>
          </w:p>
        </w:tc>
        <w:tc>
          <w:tcPr>
            <w:tcW w:w="200" w:type="dxa"/>
            <w:vAlign w:val="bottom"/>
            <w:tcBorders>
              <w:bottom w:val="single" w:sz="8" w:color="auto"/>
            </w:tcBorders>
            <w:shd w:val="clear" w:color="auto" w:fill="F4F4F4"/>
          </w:tcPr>
          <w:p>
            <w:pPr>
              <w:spacing w:after="0"/>
              <w:rPr>
                <w:sz w:val="16"/>
                <w:szCs w:val="16"/>
                <w:color w:val="auto"/>
              </w:rPr>
            </w:pPr>
          </w:p>
        </w:tc>
        <w:tc>
          <w:tcPr>
            <w:tcW w:w="102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81.6</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27.2 %</w:t>
            </w:r>
          </w:p>
        </w:tc>
        <w:tc>
          <w:tcPr>
            <w:tcW w:w="20" w:type="dxa"/>
            <w:vAlign w:val="bottom"/>
          </w:tcPr>
          <w:p>
            <w:pPr>
              <w:spacing w:after="0"/>
              <w:rPr>
                <w:sz w:val="16"/>
                <w:szCs w:val="16"/>
                <w:color w:val="auto"/>
              </w:rPr>
            </w:pPr>
          </w:p>
        </w:tc>
      </w:tr>
      <w:tr>
        <w:trPr>
          <w:trHeight w:val="204"/>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Non-GAAP income before provision for income taxes</w:t>
            </w:r>
          </w:p>
        </w:tc>
        <w:tc>
          <w:tcPr>
            <w:tcW w:w="20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48.6</w:t>
            </w:r>
          </w:p>
        </w:tc>
        <w:tc>
          <w:tcPr>
            <w:tcW w:w="200" w:type="dxa"/>
            <w:vAlign w:val="bottom"/>
          </w:tcPr>
          <w:p>
            <w:pPr>
              <w:spacing w:after="0"/>
              <w:rPr>
                <w:sz w:val="17"/>
                <w:szCs w:val="17"/>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49.6</w:t>
            </w:r>
          </w:p>
        </w:tc>
        <w:tc>
          <w:tcPr>
            <w:tcW w:w="104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85.6</w:t>
            </w:r>
          </w:p>
        </w:tc>
        <w:tc>
          <w:tcPr>
            <w:tcW w:w="20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90.6</w:t>
            </w:r>
          </w:p>
        </w:tc>
        <w:tc>
          <w:tcPr>
            <w:tcW w:w="1040" w:type="dxa"/>
            <w:vAlign w:val="bottom"/>
          </w:tcPr>
          <w:p>
            <w:pPr>
              <w:jc w:val="right"/>
              <w:spacing w:after="0"/>
              <w:rPr>
                <w:sz w:val="20"/>
                <w:szCs w:val="20"/>
                <w:color w:val="auto"/>
              </w:rPr>
            </w:pPr>
            <w:r>
              <w:rPr>
                <w:rFonts w:ascii="Arial" w:cs="Arial" w:eastAsia="Arial" w:hAnsi="Arial"/>
                <w:sz w:val="14"/>
                <w:szCs w:val="14"/>
                <w:color w:val="auto"/>
              </w:rPr>
              <w:t>(5.6)%</w:t>
            </w:r>
          </w:p>
        </w:tc>
        <w:tc>
          <w:tcPr>
            <w:tcW w:w="20" w:type="dxa"/>
            <w:vAlign w:val="bottom"/>
          </w:tcPr>
          <w:p>
            <w:pPr>
              <w:spacing w:after="0"/>
              <w:rPr>
                <w:sz w:val="17"/>
                <w:szCs w:val="17"/>
                <w:color w:val="auto"/>
              </w:rPr>
            </w:pPr>
          </w:p>
        </w:tc>
      </w:tr>
      <w:tr>
        <w:trPr>
          <w:trHeight w:val="222"/>
        </w:trPr>
        <w:tc>
          <w:tcPr>
            <w:tcW w:w="4200" w:type="dxa"/>
            <w:vAlign w:val="bottom"/>
            <w:shd w:val="clear" w:color="auto" w:fill="F4F4F4"/>
          </w:tcPr>
          <w:p>
            <w:pPr>
              <w:ind w:left="20"/>
              <w:spacing w:after="0"/>
              <w:rPr>
                <w:sz w:val="20"/>
                <w:szCs w:val="20"/>
                <w:color w:val="auto"/>
              </w:rPr>
            </w:pPr>
            <w:r>
              <w:rPr>
                <w:rFonts w:ascii="Arial" w:cs="Arial" w:eastAsia="Arial" w:hAnsi="Arial"/>
                <w:sz w:val="14"/>
                <w:szCs w:val="14"/>
                <w:color w:val="auto"/>
              </w:rPr>
              <w:t>Assumed non-GAAP income tax provision</w:t>
            </w:r>
            <w:r>
              <w:rPr>
                <w:rFonts w:ascii="Arial" w:cs="Arial" w:eastAsia="Arial" w:hAnsi="Arial"/>
                <w:sz w:val="18"/>
                <w:szCs w:val="18"/>
                <w:color w:val="auto"/>
                <w:vertAlign w:val="superscript"/>
              </w:rPr>
              <w:t>(4)</w:t>
            </w:r>
          </w:p>
        </w:tc>
        <w:tc>
          <w:tcPr>
            <w:tcW w:w="200" w:type="dxa"/>
            <w:vAlign w:val="bottom"/>
            <w:tcBorders>
              <w:bottom w:val="single" w:sz="8" w:color="auto"/>
            </w:tcBorders>
            <w:shd w:val="clear" w:color="auto" w:fill="F4F4F4"/>
          </w:tcPr>
          <w:p>
            <w:pPr>
              <w:spacing w:after="0"/>
              <w:rPr>
                <w:sz w:val="19"/>
                <w:szCs w:val="19"/>
                <w:color w:val="auto"/>
              </w:rPr>
            </w:pPr>
          </w:p>
        </w:tc>
        <w:tc>
          <w:tcPr>
            <w:tcW w:w="102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9.7</w:t>
            </w:r>
          </w:p>
        </w:tc>
        <w:tc>
          <w:tcPr>
            <w:tcW w:w="200" w:type="dxa"/>
            <w:vAlign w:val="bottom"/>
            <w:tcBorders>
              <w:bottom w:val="single" w:sz="8" w:color="auto"/>
            </w:tcBorders>
            <w:shd w:val="clear" w:color="auto" w:fill="F4F4F4"/>
          </w:tcPr>
          <w:p>
            <w:pPr>
              <w:spacing w:after="0"/>
              <w:rPr>
                <w:sz w:val="19"/>
                <w:szCs w:val="19"/>
                <w:color w:val="auto"/>
              </w:rPr>
            </w:pPr>
          </w:p>
        </w:tc>
        <w:tc>
          <w:tcPr>
            <w:tcW w:w="102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9.9</w:t>
            </w:r>
          </w:p>
        </w:tc>
        <w:tc>
          <w:tcPr>
            <w:tcW w:w="104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F4F4F4"/>
          </w:tcPr>
          <w:p>
            <w:pPr>
              <w:spacing w:after="0"/>
              <w:rPr>
                <w:sz w:val="19"/>
                <w:szCs w:val="19"/>
                <w:color w:val="auto"/>
              </w:rPr>
            </w:pPr>
          </w:p>
        </w:tc>
        <w:tc>
          <w:tcPr>
            <w:tcW w:w="200" w:type="dxa"/>
            <w:vAlign w:val="bottom"/>
            <w:tcBorders>
              <w:bottom w:val="single" w:sz="8" w:color="auto"/>
            </w:tcBorders>
            <w:shd w:val="clear" w:color="auto" w:fill="F4F4F4"/>
          </w:tcPr>
          <w:p>
            <w:pPr>
              <w:spacing w:after="0"/>
              <w:rPr>
                <w:sz w:val="19"/>
                <w:szCs w:val="19"/>
                <w:color w:val="auto"/>
              </w:rPr>
            </w:pPr>
          </w:p>
        </w:tc>
        <w:tc>
          <w:tcPr>
            <w:tcW w:w="100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17.1</w:t>
            </w:r>
          </w:p>
        </w:tc>
        <w:tc>
          <w:tcPr>
            <w:tcW w:w="200" w:type="dxa"/>
            <w:vAlign w:val="bottom"/>
            <w:tcBorders>
              <w:bottom w:val="single" w:sz="8" w:color="auto"/>
            </w:tcBorders>
            <w:shd w:val="clear" w:color="auto" w:fill="F4F4F4"/>
          </w:tcPr>
          <w:p>
            <w:pPr>
              <w:spacing w:after="0"/>
              <w:rPr>
                <w:sz w:val="19"/>
                <w:szCs w:val="19"/>
                <w:color w:val="auto"/>
              </w:rPr>
            </w:pPr>
          </w:p>
        </w:tc>
        <w:tc>
          <w:tcPr>
            <w:tcW w:w="102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18.1</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(5.6)%</w:t>
            </w:r>
          </w:p>
        </w:tc>
        <w:tc>
          <w:tcPr>
            <w:tcW w:w="20" w:type="dxa"/>
            <w:vAlign w:val="bottom"/>
          </w:tcPr>
          <w:p>
            <w:pPr>
              <w:spacing w:after="0"/>
              <w:rPr>
                <w:sz w:val="19"/>
                <w:szCs w:val="19"/>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Non-GAAP net income</w:t>
            </w:r>
            <w:r>
              <w:rPr>
                <w:rFonts w:ascii="Arial" w:cs="Arial" w:eastAsia="Arial" w:hAnsi="Arial"/>
                <w:sz w:val="18"/>
                <w:szCs w:val="18"/>
                <w:b w:val="1"/>
                <w:bCs w:val="1"/>
                <w:color w:val="auto"/>
                <w:vertAlign w:val="superscript"/>
              </w:rPr>
              <w:t>(1)</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38.9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39.7</w:t>
            </w:r>
          </w:p>
        </w:tc>
        <w:tc>
          <w:tcPr>
            <w:tcW w:w="1040" w:type="dxa"/>
            <w:vAlign w:val="bottom"/>
          </w:tcPr>
          <w:p>
            <w:pPr>
              <w:jc w:val="right"/>
              <w:spacing w:after="0"/>
              <w:rPr>
                <w:sz w:val="20"/>
                <w:szCs w:val="20"/>
                <w:color w:val="auto"/>
              </w:rPr>
            </w:pPr>
            <w:r>
              <w:rPr>
                <w:rFonts w:ascii="Arial" w:cs="Arial" w:eastAsia="Arial" w:hAnsi="Arial"/>
                <w:sz w:val="14"/>
                <w:szCs w:val="14"/>
                <w:color w:val="auto"/>
              </w:rPr>
              <w:t>(1.9)%</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68.5</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72.5</w:t>
            </w:r>
          </w:p>
        </w:tc>
        <w:tc>
          <w:tcPr>
            <w:tcW w:w="1040" w:type="dxa"/>
            <w:vAlign w:val="bottom"/>
          </w:tcPr>
          <w:p>
            <w:pPr>
              <w:jc w:val="right"/>
              <w:spacing w:after="0"/>
              <w:rPr>
                <w:sz w:val="20"/>
                <w:szCs w:val="20"/>
                <w:color w:val="auto"/>
              </w:rPr>
            </w:pPr>
            <w:r>
              <w:rPr>
                <w:rFonts w:ascii="Arial" w:cs="Arial" w:eastAsia="Arial" w:hAnsi="Arial"/>
                <w:sz w:val="14"/>
                <w:szCs w:val="14"/>
                <w:color w:val="auto"/>
              </w:rPr>
              <w:t>(5.6)%</w:t>
            </w:r>
          </w:p>
        </w:tc>
        <w:tc>
          <w:tcPr>
            <w:tcW w:w="20" w:type="dxa"/>
            <w:vAlign w:val="bottom"/>
          </w:tcPr>
          <w:p>
            <w:pPr>
              <w:spacing w:after="0"/>
              <w:rPr>
                <w:sz w:val="21"/>
                <w:szCs w:val="21"/>
                <w:color w:val="auto"/>
              </w:rPr>
            </w:pPr>
          </w:p>
        </w:tc>
      </w:tr>
      <w:tr>
        <w:trPr>
          <w:trHeight w:val="210"/>
        </w:trPr>
        <w:tc>
          <w:tcPr>
            <w:tcW w:w="4200" w:type="dxa"/>
            <w:vAlign w:val="bottom"/>
            <w:tcBorders>
              <w:top w:val="single" w:sz="8" w:color="F4F4F4"/>
            </w:tcBorders>
          </w:tcPr>
          <w:p>
            <w:pPr>
              <w:ind w:left="20"/>
              <w:spacing w:after="0"/>
              <w:rPr>
                <w:sz w:val="20"/>
                <w:szCs w:val="20"/>
                <w:color w:val="auto"/>
              </w:rPr>
            </w:pPr>
            <w:r>
              <w:rPr>
                <w:rFonts w:ascii="Arial" w:cs="Arial" w:eastAsia="Arial" w:hAnsi="Arial"/>
                <w:sz w:val="14"/>
                <w:szCs w:val="14"/>
                <w:color w:val="auto"/>
              </w:rPr>
              <w:t>Shares used in computing non-GAAP diluted earnings per share</w:t>
            </w: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51,985,530</w:t>
            </w: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48,444,874</w:t>
            </w:r>
          </w:p>
        </w:tc>
        <w:tc>
          <w:tcPr>
            <w:tcW w:w="1040" w:type="dxa"/>
            <w:vAlign w:val="bottom"/>
            <w:tcBorders>
              <w:top w:val="single" w:sz="8" w:color="F4F4F4"/>
            </w:tcBorders>
          </w:tcPr>
          <w:p>
            <w:pPr>
              <w:jc w:val="right"/>
              <w:spacing w:after="0"/>
              <w:rPr>
                <w:sz w:val="20"/>
                <w:szCs w:val="20"/>
                <w:color w:val="auto"/>
              </w:rPr>
            </w:pPr>
            <w:r>
              <w:rPr>
                <w:rFonts w:ascii="Arial" w:cs="Arial" w:eastAsia="Arial" w:hAnsi="Arial"/>
                <w:sz w:val="14"/>
                <w:szCs w:val="14"/>
                <w:color w:val="auto"/>
              </w:rPr>
              <w:t>7.3 %</w:t>
            </w:r>
          </w:p>
        </w:tc>
        <w:tc>
          <w:tcPr>
            <w:tcW w:w="100" w:type="dxa"/>
            <w:vAlign w:val="bottom"/>
            <w:tcBorders>
              <w:top w:val="single" w:sz="8" w:color="F4F4F4"/>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51,954,151</w:t>
            </w: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48,444,658</w:t>
            </w:r>
          </w:p>
        </w:tc>
        <w:tc>
          <w:tcPr>
            <w:tcW w:w="1040" w:type="dxa"/>
            <w:vAlign w:val="bottom"/>
            <w:tcBorders>
              <w:top w:val="single" w:sz="8" w:color="F4F4F4"/>
            </w:tcBorders>
          </w:tcPr>
          <w:p>
            <w:pPr>
              <w:jc w:val="right"/>
              <w:spacing w:after="0"/>
              <w:rPr>
                <w:sz w:val="20"/>
                <w:szCs w:val="20"/>
                <w:color w:val="auto"/>
              </w:rPr>
            </w:pPr>
            <w:r>
              <w:rPr>
                <w:rFonts w:ascii="Arial" w:cs="Arial" w:eastAsia="Arial" w:hAnsi="Arial"/>
                <w:sz w:val="14"/>
                <w:szCs w:val="14"/>
                <w:color w:val="auto"/>
              </w:rPr>
              <w:t>7.2 %</w:t>
            </w:r>
          </w:p>
        </w:tc>
        <w:tc>
          <w:tcPr>
            <w:tcW w:w="20" w:type="dxa"/>
            <w:vAlign w:val="bottom"/>
          </w:tcPr>
          <w:p>
            <w:pPr>
              <w:spacing w:after="0"/>
              <w:rPr>
                <w:sz w:val="18"/>
                <w:szCs w:val="18"/>
                <w:color w:val="auto"/>
              </w:rPr>
            </w:pPr>
          </w:p>
        </w:tc>
      </w:tr>
      <w:tr>
        <w:trPr>
          <w:trHeight w:val="216"/>
        </w:trPr>
        <w:tc>
          <w:tcPr>
            <w:tcW w:w="4200" w:type="dxa"/>
            <w:vAlign w:val="bottom"/>
            <w:tcBorders>
              <w:bottom w:val="single" w:sz="8" w:color="71BF43"/>
            </w:tcBorders>
            <w:shd w:val="clear" w:color="auto" w:fill="F4F4F4"/>
          </w:tcPr>
          <w:p>
            <w:pPr>
              <w:ind w:left="140"/>
              <w:spacing w:after="0"/>
              <w:rPr>
                <w:sz w:val="20"/>
                <w:szCs w:val="20"/>
                <w:color w:val="auto"/>
              </w:rPr>
            </w:pPr>
            <w:r>
              <w:rPr>
                <w:rFonts w:ascii="Arial" w:cs="Arial" w:eastAsia="Arial" w:hAnsi="Arial"/>
                <w:sz w:val="14"/>
                <w:szCs w:val="14"/>
                <w:b w:val="1"/>
                <w:bCs w:val="1"/>
                <w:color w:val="auto"/>
              </w:rPr>
              <w:t>Non-GAAP diluted earnings per share</w:t>
            </w:r>
          </w:p>
        </w:tc>
        <w:tc>
          <w:tcPr>
            <w:tcW w:w="200" w:type="dxa"/>
            <w:vAlign w:val="bottom"/>
            <w:tcBorders>
              <w:bottom w:val="single" w:sz="8" w:color="71BF43"/>
            </w:tcBorders>
            <w:shd w:val="clear" w:color="auto" w:fill="F4F4F4"/>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71BF43"/>
            </w:tcBorders>
            <w:shd w:val="clear" w:color="auto" w:fill="F4F4F4"/>
          </w:tcPr>
          <w:p>
            <w:pPr>
              <w:jc w:val="right"/>
              <w:ind w:right="108"/>
              <w:spacing w:after="0"/>
              <w:rPr>
                <w:sz w:val="20"/>
                <w:szCs w:val="20"/>
                <w:color w:val="auto"/>
              </w:rPr>
            </w:pPr>
            <w:r>
              <w:rPr>
                <w:rFonts w:ascii="Arial" w:cs="Arial" w:eastAsia="Arial" w:hAnsi="Arial"/>
                <w:sz w:val="14"/>
                <w:szCs w:val="14"/>
                <w:color w:val="auto"/>
              </w:rPr>
              <w:t>0.75</w:t>
            </w:r>
          </w:p>
        </w:tc>
        <w:tc>
          <w:tcPr>
            <w:tcW w:w="200" w:type="dxa"/>
            <w:vAlign w:val="bottom"/>
            <w:tcBorders>
              <w:bottom w:val="single" w:sz="8" w:color="71BF43"/>
            </w:tcBorders>
            <w:shd w:val="clear" w:color="auto" w:fill="F4F4F4"/>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71BF43"/>
            </w:tcBorders>
            <w:shd w:val="clear" w:color="auto" w:fill="F4F4F4"/>
          </w:tcPr>
          <w:p>
            <w:pPr>
              <w:jc w:val="right"/>
              <w:ind w:right="128"/>
              <w:spacing w:after="0"/>
              <w:rPr>
                <w:sz w:val="20"/>
                <w:szCs w:val="20"/>
                <w:color w:val="auto"/>
              </w:rPr>
            </w:pPr>
            <w:r>
              <w:rPr>
                <w:rFonts w:ascii="Arial" w:cs="Arial" w:eastAsia="Arial" w:hAnsi="Arial"/>
                <w:sz w:val="14"/>
                <w:szCs w:val="14"/>
                <w:color w:val="auto"/>
              </w:rPr>
              <w:t>0.82</w:t>
            </w:r>
          </w:p>
        </w:tc>
        <w:tc>
          <w:tcPr>
            <w:tcW w:w="1040" w:type="dxa"/>
            <w:vAlign w:val="bottom"/>
            <w:tcBorders>
              <w:bottom w:val="single" w:sz="8" w:color="71BF43"/>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(8.5)%</w:t>
            </w:r>
          </w:p>
        </w:tc>
        <w:tc>
          <w:tcPr>
            <w:tcW w:w="300" w:type="dxa"/>
            <w:vAlign w:val="bottom"/>
            <w:tcBorders>
              <w:bottom w:val="single" w:sz="8" w:color="71BF43"/>
            </w:tcBorders>
            <w:gridSpan w:val="2"/>
            <w:shd w:val="clear" w:color="auto" w:fill="F4F4F4"/>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71BF43"/>
            </w:tcBorders>
            <w:shd w:val="clear" w:color="auto" w:fill="F4F4F4"/>
          </w:tcPr>
          <w:p>
            <w:pPr>
              <w:jc w:val="right"/>
              <w:ind w:right="108"/>
              <w:spacing w:after="0"/>
              <w:rPr>
                <w:sz w:val="20"/>
                <w:szCs w:val="20"/>
                <w:color w:val="auto"/>
              </w:rPr>
            </w:pPr>
            <w:r>
              <w:rPr>
                <w:rFonts w:ascii="Arial" w:cs="Arial" w:eastAsia="Arial" w:hAnsi="Arial"/>
                <w:sz w:val="14"/>
                <w:szCs w:val="14"/>
                <w:color w:val="auto"/>
              </w:rPr>
              <w:t>1.32</w:t>
            </w:r>
          </w:p>
        </w:tc>
        <w:tc>
          <w:tcPr>
            <w:tcW w:w="200" w:type="dxa"/>
            <w:vAlign w:val="bottom"/>
            <w:tcBorders>
              <w:bottom w:val="single" w:sz="8" w:color="71BF43"/>
            </w:tcBorders>
            <w:shd w:val="clear" w:color="auto" w:fill="F4F4F4"/>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71BF43"/>
            </w:tcBorders>
            <w:shd w:val="clear" w:color="auto" w:fill="F4F4F4"/>
          </w:tcPr>
          <w:p>
            <w:pPr>
              <w:jc w:val="right"/>
              <w:ind w:right="108"/>
              <w:spacing w:after="0"/>
              <w:rPr>
                <w:sz w:val="20"/>
                <w:szCs w:val="20"/>
                <w:color w:val="auto"/>
              </w:rPr>
            </w:pPr>
            <w:r>
              <w:rPr>
                <w:rFonts w:ascii="Arial" w:cs="Arial" w:eastAsia="Arial" w:hAnsi="Arial"/>
                <w:sz w:val="14"/>
                <w:szCs w:val="14"/>
                <w:color w:val="auto"/>
              </w:rPr>
              <w:t>1.50</w:t>
            </w:r>
          </w:p>
        </w:tc>
        <w:tc>
          <w:tcPr>
            <w:tcW w:w="10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4"/>
                <w:szCs w:val="14"/>
                <w:color w:val="auto"/>
              </w:rPr>
              <w:t>(12.0)%</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-5365750</wp:posOffset>
            </wp:positionV>
            <wp:extent cx="447484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474845" cy="8890"/>
                    </a:xfrm>
                    <a:prstGeom prst="rect">
                      <a:avLst/>
                    </a:prstGeom>
                    <a:noFill/>
                  </pic:spPr>
                </pic:pic>
              </a:graphicData>
            </a:graphic>
          </wp:anchor>
        </w:drawing>
      </w:r>
    </w:p>
    <w:p>
      <w:pPr>
        <w:spacing w:after="0" w:line="79"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individual amounts for each year may not sum to non-GAAP gross profit, subtotal, non-GAAP income from operations or non-GAAP net income due to rounding.</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a $2.0 million noncash impairment of intangible assets held for sale during the three and six months ended June 30, 2022.</w:t>
      </w:r>
    </w:p>
    <w:p>
      <w:pPr>
        <w:spacing w:after="0" w:line="1" w:lineRule="exact"/>
        <w:rPr>
          <w:rFonts w:ascii="Arial" w:cs="Arial" w:eastAsia="Arial" w:hAnsi="Arial"/>
          <w:sz w:val="14"/>
          <w:szCs w:val="14"/>
          <w:color w:val="auto"/>
        </w:rPr>
      </w:pPr>
    </w:p>
    <w:p>
      <w:pPr>
        <w:jc w:val="both"/>
        <w:ind w:left="340" w:right="20" w:hanging="332"/>
        <w:spacing w:after="0" w:line="244" w:lineRule="auto"/>
        <w:tabs>
          <w:tab w:leader="none" w:pos="354"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Security Incident-related costs incurred during the three and six months ended June 30, 2022 of $8.4 million and $17.4 million, respectively, net of probable insurance recoveries during the same periods of $0.1 million and $1.9 million, respectively, and during the three and six months ended June 30, 2021 of $11.7 million and $24.5 million, respectively, net of probable insurance recoveries during the same periods of $11.2 million and $24.0 million, respectively. Recorded expenses consisted primarily of payments to third-party service providers and consultants, including legal fees, as well as settlements of customer claims. Not included in this adjustment were costs associated with enhancements to our cybersecurity program. For full year 2022, we currently expect net pre-tax expense of approximately $30 million to $35 million for ongoing legal fees related to the Security Incident. In line with our policy, legal fees are expensed as incurred. For full year 2022, we currently expect net cash outlays of approximately $15 million to $25 million for ongoing legal fees related to the Security Incident. We have not recorded a liability for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212725</wp:posOffset>
            </wp:positionV>
            <wp:extent cx="659765"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480"/>
              <w:spacing w:after="0"/>
              <w:rPr>
                <w:sz w:val="20"/>
                <w:szCs w:val="20"/>
                <w:color w:val="auto"/>
              </w:rPr>
            </w:pPr>
            <w:r>
              <w:rPr>
                <w:rFonts w:ascii="Arial" w:cs="Arial" w:eastAsia="Arial" w:hAnsi="Arial"/>
                <w:sz w:val="14"/>
                <w:szCs w:val="14"/>
                <w:color w:val="auto"/>
              </w:rPr>
              <w:t>Second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loss contingency related to the Security Incident as of June 30, 2022 because we are unable at this time to reasonably estimate the possible loss or range of loss.</w:t>
      </w:r>
    </w:p>
    <w:p>
      <w:pPr>
        <w:spacing w:after="0" w:line="1"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We apply a non-GAAP effective tax rate of 20.0% when calculating non-GAAP net income and non-GAAP diluted earnings per share.</w:t>
      </w:r>
    </w:p>
    <w:p>
      <w:pPr>
        <w:spacing w:after="0" w:line="318"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38</w:t>
      </w:r>
      <w:r>
        <w:rPr>
          <w:sz w:val="20"/>
          <w:szCs w:val="20"/>
          <w:color w:val="auto"/>
        </w:rPr>
        <w:tab/>
      </w:r>
      <w:r>
        <w:rPr>
          <w:sz w:val="1"/>
          <w:szCs w:val="1"/>
          <w:color w:val="auto"/>
        </w:rPr>
        <w:drawing>
          <wp:inline distT="0" distB="0" distL="0" distR="0">
            <wp:extent cx="651510" cy="17145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126" w:right="97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organic revenue growth</w:t>
      </w:r>
    </w:p>
    <w:p>
      <w:pPr>
        <w:spacing w:after="0" w:line="189"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In addition, we use non-GAAP organic revenue growth, non-GAAP organic revenue growth on a constant currency basis and non-GAAP organic recurring revenue growth, in analyzing our operating performance. We believe that these non-GAAP measures are useful to investors, as a supplement to GAAP measures, for evaluating the periodic growth of our business on a consistent basis. Each of these measures of non-GAAP organic revenue growth excludes incremental acquisition-related revenue attributable to companies acquired in the current fiscal year. For companies, if any, acquired in the immediately preceding fiscal year, each of these non-GAAP organic revenue growth measures reflects presentation of full year incremental non-GAAP revenue derived from such companies as if they were combined throughout the prior period. In addition, each of these non-GAAP organic revenue growth measures excludes prior period revenue associated with divested businesses. The exclusion of the prior period revenue is to present the results of the divested businesses within the results of the combined company for the same period of time in both the prior and current periods. We believe this presentation provides a more comparable representation of our current business’ organic revenue growth and revenue run-rate.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60" w:type="dxa"/>
            <w:vAlign w:val="bottom"/>
            <w:shd w:val="clear" w:color="auto" w:fill="ACACAC"/>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2140" w:type="dxa"/>
            <w:vAlign w:val="bottom"/>
            <w:tcBorders>
              <w:right w:val="single" w:sz="8" w:color="ACACAC"/>
            </w:tcBorders>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80" w:type="dxa"/>
            <w:vAlign w:val="bottom"/>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880" w:type="dxa"/>
            <w:vAlign w:val="bottom"/>
            <w:shd w:val="clear" w:color="auto" w:fill="ACACAC"/>
          </w:tcPr>
          <w:p>
            <w:pPr>
              <w:spacing w:after="0"/>
              <w:rPr>
                <w:sz w:val="16"/>
                <w:szCs w:val="16"/>
                <w:color w:val="auto"/>
              </w:rPr>
            </w:pPr>
          </w:p>
        </w:tc>
        <w:tc>
          <w:tcPr>
            <w:tcW w:w="126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Six months ended</w:t>
            </w:r>
          </w:p>
        </w:tc>
        <w:tc>
          <w:tcPr>
            <w:tcW w:w="20" w:type="dxa"/>
            <w:vAlign w:val="bottom"/>
            <w:shd w:val="clear" w:color="auto" w:fill="ACACAC"/>
          </w:tcPr>
          <w:p>
            <w:pPr>
              <w:spacing w:after="0"/>
              <w:rPr>
                <w:sz w:val="16"/>
                <w:szCs w:val="16"/>
                <w:color w:val="auto"/>
              </w:rPr>
            </w:pPr>
          </w:p>
        </w:tc>
      </w:tr>
      <w:tr>
        <w:trPr>
          <w:trHeight w:val="190"/>
        </w:trPr>
        <w:tc>
          <w:tcPr>
            <w:tcW w:w="5960" w:type="dxa"/>
            <w:vAlign w:val="bottom"/>
            <w:shd w:val="clear" w:color="auto" w:fill="ACACAC"/>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900" w:type="dxa"/>
            <w:vAlign w:val="bottom"/>
            <w:shd w:val="clear" w:color="auto" w:fill="ACACAC"/>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88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80" w:type="dxa"/>
            <w:vAlign w:val="bottom"/>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880" w:type="dxa"/>
            <w:vAlign w:val="bottom"/>
            <w:shd w:val="clear" w:color="auto" w:fill="ACACAC"/>
          </w:tcPr>
          <w:p>
            <w:pPr>
              <w:spacing w:after="0"/>
              <w:rPr>
                <w:sz w:val="16"/>
                <w:szCs w:val="16"/>
                <w:color w:val="auto"/>
              </w:rPr>
            </w:pPr>
          </w:p>
        </w:tc>
        <w:tc>
          <w:tcPr>
            <w:tcW w:w="400" w:type="dxa"/>
            <w:vAlign w:val="bottom"/>
            <w:shd w:val="clear" w:color="auto" w:fill="ACACAC"/>
          </w:tcPr>
          <w:p>
            <w:pPr>
              <w:spacing w:after="0"/>
              <w:rPr>
                <w:sz w:val="16"/>
                <w:szCs w:val="16"/>
                <w:color w:val="auto"/>
              </w:rPr>
            </w:pPr>
          </w:p>
        </w:tc>
        <w:tc>
          <w:tcPr>
            <w:tcW w:w="8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20" w:type="dxa"/>
            <w:vAlign w:val="bottom"/>
            <w:shd w:val="clear" w:color="auto" w:fill="ACACAC"/>
          </w:tcPr>
          <w:p>
            <w:pPr>
              <w:spacing w:after="0"/>
              <w:rPr>
                <w:sz w:val="16"/>
                <w:szCs w:val="16"/>
                <w:color w:val="auto"/>
              </w:rPr>
            </w:pPr>
          </w:p>
        </w:tc>
      </w:tr>
      <w:tr>
        <w:trPr>
          <w:trHeight w:val="371"/>
        </w:trPr>
        <w:tc>
          <w:tcPr>
            <w:tcW w:w="596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60" w:type="dxa"/>
            <w:vAlign w:val="bottom"/>
            <w:tcBorders>
              <w:bottom w:val="single" w:sz="8" w:color="ACACAC"/>
            </w:tcBorders>
            <w:shd w:val="clear" w:color="auto" w:fill="ACACAC"/>
          </w:tcPr>
          <w:p>
            <w:pPr>
              <w:spacing w:after="0"/>
              <w:rPr>
                <w:sz w:val="24"/>
                <w:szCs w:val="24"/>
                <w:color w:val="auto"/>
              </w:rPr>
            </w:pPr>
          </w:p>
        </w:tc>
        <w:tc>
          <w:tcPr>
            <w:tcW w:w="9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360" w:type="dxa"/>
            <w:vAlign w:val="bottom"/>
            <w:tcBorders>
              <w:bottom w:val="single" w:sz="8" w:color="ACACAC"/>
            </w:tcBorders>
            <w:shd w:val="clear" w:color="auto" w:fill="ACACAC"/>
          </w:tcPr>
          <w:p>
            <w:pPr>
              <w:spacing w:after="0"/>
              <w:rPr>
                <w:sz w:val="24"/>
                <w:szCs w:val="24"/>
                <w:color w:val="auto"/>
              </w:rPr>
            </w:pPr>
          </w:p>
        </w:tc>
        <w:tc>
          <w:tcPr>
            <w:tcW w:w="880" w:type="dxa"/>
            <w:vAlign w:val="bottom"/>
            <w:tcBorders>
              <w:bottom w:val="single" w:sz="8" w:color="ACACAC"/>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80" w:type="dxa"/>
            <w:vAlign w:val="bottom"/>
            <w:tcBorders>
              <w:bottom w:val="single" w:sz="8" w:color="F4F4F4"/>
            </w:tcBorders>
          </w:tcPr>
          <w:p>
            <w:pPr>
              <w:spacing w:after="0"/>
              <w:rPr>
                <w:sz w:val="24"/>
                <w:szCs w:val="24"/>
                <w:color w:val="auto"/>
              </w:rPr>
            </w:pPr>
          </w:p>
        </w:tc>
        <w:tc>
          <w:tcPr>
            <w:tcW w:w="460" w:type="dxa"/>
            <w:vAlign w:val="bottom"/>
            <w:tcBorders>
              <w:bottom w:val="single" w:sz="8" w:color="ACACAC"/>
            </w:tcBorders>
            <w:shd w:val="clear" w:color="auto" w:fill="ACACAC"/>
          </w:tcPr>
          <w:p>
            <w:pPr>
              <w:spacing w:after="0"/>
              <w:rPr>
                <w:sz w:val="24"/>
                <w:szCs w:val="24"/>
                <w:color w:val="auto"/>
              </w:rPr>
            </w:pPr>
          </w:p>
        </w:tc>
        <w:tc>
          <w:tcPr>
            <w:tcW w:w="8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400" w:type="dxa"/>
            <w:vAlign w:val="bottom"/>
            <w:tcBorders>
              <w:bottom w:val="single" w:sz="8" w:color="ACACAC"/>
            </w:tcBorders>
            <w:shd w:val="clear" w:color="auto" w:fill="ACACAC"/>
          </w:tcPr>
          <w:p>
            <w:pPr>
              <w:spacing w:after="0"/>
              <w:rPr>
                <w:sz w:val="24"/>
                <w:szCs w:val="24"/>
                <w:color w:val="auto"/>
              </w:rPr>
            </w:pPr>
          </w:p>
        </w:tc>
        <w:tc>
          <w:tcPr>
            <w:tcW w:w="8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ACACAC"/>
            </w:tcBorders>
            <w:shd w:val="clear" w:color="auto" w:fill="ACACAC"/>
          </w:tcPr>
          <w:p>
            <w:pPr>
              <w:spacing w:after="0"/>
              <w:rPr>
                <w:sz w:val="24"/>
                <w:szCs w:val="24"/>
                <w:color w:val="auto"/>
              </w:rPr>
            </w:pPr>
          </w:p>
        </w:tc>
      </w:tr>
      <w:tr>
        <w:trPr>
          <w:trHeight w:val="216"/>
        </w:trPr>
        <w:tc>
          <w:tcPr>
            <w:tcW w:w="5960" w:type="dxa"/>
            <w:vAlign w:val="bottom"/>
            <w:shd w:val="clear" w:color="auto" w:fill="F4F4F4"/>
          </w:tcPr>
          <w:p>
            <w:pPr>
              <w:ind w:left="20"/>
              <w:spacing w:after="0"/>
              <w:rPr>
                <w:sz w:val="20"/>
                <w:szCs w:val="20"/>
                <w:color w:val="auto"/>
              </w:rPr>
            </w:pPr>
            <w:r>
              <w:rPr>
                <w:rFonts w:ascii="Arial" w:cs="Arial" w:eastAsia="Arial" w:hAnsi="Arial"/>
                <w:sz w:val="14"/>
                <w:szCs w:val="14"/>
                <w:color w:val="auto"/>
              </w:rPr>
              <w:t>GAAP revenue</w:t>
            </w:r>
          </w:p>
        </w:tc>
        <w:tc>
          <w:tcPr>
            <w:tcW w:w="460" w:type="dxa"/>
            <w:vAlign w:val="bottom"/>
            <w:shd w:val="clear" w:color="auto" w:fill="F4F4F4"/>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264.9</w:t>
            </w:r>
          </w:p>
        </w:tc>
        <w:tc>
          <w:tcPr>
            <w:tcW w:w="360" w:type="dxa"/>
            <w:vAlign w:val="bottom"/>
            <w:shd w:val="clear" w:color="auto" w:fill="F4F4F4"/>
          </w:tcPr>
          <w:p>
            <w:pPr>
              <w:jc w:val="right"/>
              <w:ind w:right="208"/>
              <w:spacing w:after="0"/>
              <w:rPr>
                <w:sz w:val="20"/>
                <w:szCs w:val="20"/>
                <w:color w:val="auto"/>
              </w:rPr>
            </w:pPr>
            <w:r>
              <w:rPr>
                <w:rFonts w:ascii="Arial" w:cs="Arial" w:eastAsia="Arial" w:hAnsi="Arial"/>
                <w:sz w:val="14"/>
                <w:szCs w:val="14"/>
                <w:color w:val="auto"/>
                <w:w w:val="76"/>
              </w:rPr>
              <w:t>$</w:t>
            </w:r>
          </w:p>
        </w:tc>
        <w:tc>
          <w:tcPr>
            <w:tcW w:w="880" w:type="dxa"/>
            <w:vAlign w:val="bottom"/>
            <w:tcBorders>
              <w:right w:val="single" w:sz="8" w:color="F4F4F4"/>
            </w:tcBorders>
            <w:shd w:val="clear" w:color="auto" w:fill="F4F4F4"/>
          </w:tcPr>
          <w:p>
            <w:pPr>
              <w:jc w:val="right"/>
              <w:ind w:right="8"/>
              <w:spacing w:after="0"/>
              <w:rPr>
                <w:sz w:val="20"/>
                <w:szCs w:val="20"/>
                <w:color w:val="auto"/>
              </w:rPr>
            </w:pPr>
            <w:r>
              <w:rPr>
                <w:rFonts w:ascii="Arial" w:cs="Arial" w:eastAsia="Arial" w:hAnsi="Arial"/>
                <w:sz w:val="14"/>
                <w:szCs w:val="14"/>
                <w:color w:val="auto"/>
              </w:rPr>
              <w:t>229.4</w:t>
            </w:r>
          </w:p>
        </w:tc>
        <w:tc>
          <w:tcPr>
            <w:tcW w:w="540" w:type="dxa"/>
            <w:vAlign w:val="bottom"/>
            <w:gridSpan w:val="2"/>
            <w:shd w:val="clear" w:color="auto" w:fill="F4F4F4"/>
          </w:tcPr>
          <w:p>
            <w:pPr>
              <w:jc w:val="right"/>
              <w:ind w:right="360"/>
              <w:spacing w:after="0"/>
              <w:rPr>
                <w:sz w:val="20"/>
                <w:szCs w:val="20"/>
                <w:color w:val="auto"/>
              </w:rPr>
            </w:pPr>
            <w:r>
              <w:rPr>
                <w:rFonts w:ascii="Arial" w:cs="Arial" w:eastAsia="Arial" w:hAnsi="Arial"/>
                <w:sz w:val="14"/>
                <w:szCs w:val="14"/>
                <w:color w:val="auto"/>
              </w:rPr>
              <w:t>$</w:t>
            </w:r>
          </w:p>
        </w:tc>
        <w:tc>
          <w:tcPr>
            <w:tcW w:w="8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522.1</w:t>
            </w:r>
          </w:p>
        </w:tc>
        <w:tc>
          <w:tcPr>
            <w:tcW w:w="400" w:type="dxa"/>
            <w:vAlign w:val="bottom"/>
            <w:shd w:val="clear" w:color="auto" w:fill="F4F4F4"/>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448.6</w:t>
            </w:r>
          </w:p>
        </w:tc>
        <w:tc>
          <w:tcPr>
            <w:tcW w:w="20" w:type="dxa"/>
            <w:vAlign w:val="bottom"/>
          </w:tcPr>
          <w:p>
            <w:pPr>
              <w:spacing w:after="0"/>
              <w:rPr>
                <w:sz w:val="18"/>
                <w:szCs w:val="18"/>
                <w:color w:val="auto"/>
              </w:rPr>
            </w:pPr>
          </w:p>
        </w:tc>
      </w:tr>
      <w:tr>
        <w:trPr>
          <w:trHeight w:val="210"/>
        </w:trPr>
        <w:tc>
          <w:tcPr>
            <w:tcW w:w="5960" w:type="dxa"/>
            <w:vAlign w:val="bottom"/>
          </w:tcPr>
          <w:p>
            <w:pPr>
              <w:ind w:left="20"/>
              <w:spacing w:after="0"/>
              <w:rPr>
                <w:sz w:val="20"/>
                <w:szCs w:val="20"/>
                <w:color w:val="auto"/>
              </w:rPr>
            </w:pPr>
            <w:r>
              <w:rPr>
                <w:rFonts w:ascii="Arial" w:cs="Arial" w:eastAsia="Arial" w:hAnsi="Arial"/>
                <w:sz w:val="14"/>
                <w:szCs w:val="14"/>
                <w:b w:val="1"/>
                <w:bCs w:val="1"/>
                <w:color w:val="auto"/>
              </w:rPr>
              <w:t>GAAP revenue growth</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15.5 %</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16.4 %</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596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Non-GAAP acquisition-related revenue</w:t>
            </w:r>
            <w:r>
              <w:rPr>
                <w:rFonts w:ascii="Arial" w:cs="Arial" w:eastAsia="Arial" w:hAnsi="Arial"/>
                <w:sz w:val="18"/>
                <w:szCs w:val="18"/>
                <w:color w:val="auto"/>
                <w:vertAlign w:val="superscript"/>
              </w:rPr>
              <w:t>(1)</w:t>
            </w:r>
          </w:p>
        </w:tc>
        <w:tc>
          <w:tcPr>
            <w:tcW w:w="460" w:type="dxa"/>
            <w:vAlign w:val="bottom"/>
            <w:tcBorders>
              <w:bottom w:val="single" w:sz="8" w:color="4D5259"/>
            </w:tcBorders>
            <w:shd w:val="clear" w:color="auto" w:fill="F4F4F4"/>
          </w:tcPr>
          <w:p>
            <w:pPr>
              <w:spacing w:after="0"/>
              <w:rPr>
                <w:sz w:val="19"/>
                <w:szCs w:val="19"/>
                <w:color w:val="auto"/>
              </w:rPr>
            </w:pPr>
          </w:p>
        </w:tc>
        <w:tc>
          <w:tcPr>
            <w:tcW w:w="900" w:type="dxa"/>
            <w:vAlign w:val="bottom"/>
            <w:tcBorders>
              <w:bottom w:val="single" w:sz="8" w:color="4D5259"/>
            </w:tcBorders>
            <w:shd w:val="clear" w:color="auto" w:fill="F4F4F4"/>
          </w:tcPr>
          <w:p>
            <w:pPr>
              <w:jc w:val="right"/>
              <w:ind w:right="1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4D5259"/>
            </w:tcBorders>
            <w:shd w:val="clear" w:color="auto" w:fill="F4F4F4"/>
          </w:tcPr>
          <w:p>
            <w:pPr>
              <w:spacing w:after="0"/>
              <w:rPr>
                <w:sz w:val="19"/>
                <w:szCs w:val="19"/>
                <w:color w:val="auto"/>
              </w:rPr>
            </w:pPr>
          </w:p>
        </w:tc>
        <w:tc>
          <w:tcPr>
            <w:tcW w:w="880" w:type="dxa"/>
            <w:vAlign w:val="bottom"/>
            <w:tcBorders>
              <w:bottom w:val="single" w:sz="8" w:color="4D5259"/>
              <w:right w:val="single" w:sz="8" w:color="F4F4F4"/>
            </w:tcBorders>
            <w:shd w:val="clear" w:color="auto" w:fill="F4F4F4"/>
          </w:tcPr>
          <w:p>
            <w:pPr>
              <w:jc w:val="right"/>
              <w:ind w:right="8"/>
              <w:spacing w:after="0"/>
              <w:rPr>
                <w:sz w:val="20"/>
                <w:szCs w:val="20"/>
                <w:color w:val="auto"/>
              </w:rPr>
            </w:pPr>
            <w:r>
              <w:rPr>
                <w:rFonts w:ascii="Arial" w:cs="Arial" w:eastAsia="Arial" w:hAnsi="Arial"/>
                <w:sz w:val="14"/>
                <w:szCs w:val="14"/>
                <w:color w:val="auto"/>
              </w:rPr>
              <w:t>25.8</w:t>
            </w:r>
          </w:p>
        </w:tc>
        <w:tc>
          <w:tcPr>
            <w:tcW w:w="80" w:type="dxa"/>
            <w:vAlign w:val="bottom"/>
            <w:shd w:val="clear" w:color="auto" w:fill="F4F4F4"/>
          </w:tcPr>
          <w:p>
            <w:pPr>
              <w:spacing w:after="0"/>
              <w:rPr>
                <w:sz w:val="19"/>
                <w:szCs w:val="19"/>
                <w:color w:val="auto"/>
              </w:rPr>
            </w:pPr>
          </w:p>
        </w:tc>
        <w:tc>
          <w:tcPr>
            <w:tcW w:w="460" w:type="dxa"/>
            <w:vAlign w:val="bottom"/>
            <w:tcBorders>
              <w:bottom w:val="single" w:sz="8" w:color="auto"/>
            </w:tcBorders>
            <w:shd w:val="clear" w:color="auto" w:fill="F4F4F4"/>
          </w:tcPr>
          <w:p>
            <w:pPr>
              <w:spacing w:after="0"/>
              <w:rPr>
                <w:sz w:val="19"/>
                <w:szCs w:val="19"/>
                <w:color w:val="auto"/>
              </w:rPr>
            </w:pPr>
          </w:p>
        </w:tc>
        <w:tc>
          <w:tcPr>
            <w:tcW w:w="88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F4F4F4"/>
          </w:tcPr>
          <w:p>
            <w:pPr>
              <w:spacing w:after="0"/>
              <w:rPr>
                <w:sz w:val="19"/>
                <w:szCs w:val="19"/>
                <w:color w:val="auto"/>
              </w:rPr>
            </w:pPr>
          </w:p>
        </w:tc>
        <w:tc>
          <w:tcPr>
            <w:tcW w:w="8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51.1</w:t>
            </w:r>
          </w:p>
        </w:tc>
        <w:tc>
          <w:tcPr>
            <w:tcW w:w="20" w:type="dxa"/>
            <w:vAlign w:val="bottom"/>
          </w:tcPr>
          <w:p>
            <w:pPr>
              <w:spacing w:after="0"/>
              <w:rPr>
                <w:sz w:val="19"/>
                <w:szCs w:val="19"/>
                <w:color w:val="auto"/>
              </w:rPr>
            </w:pPr>
          </w:p>
        </w:tc>
      </w:tr>
      <w:tr>
        <w:trPr>
          <w:trHeight w:val="210"/>
        </w:trPr>
        <w:tc>
          <w:tcPr>
            <w:tcW w:w="5960" w:type="dxa"/>
            <w:vAlign w:val="bottom"/>
          </w:tcPr>
          <w:p>
            <w:pPr>
              <w:ind w:left="20"/>
              <w:spacing w:after="0"/>
              <w:rPr>
                <w:sz w:val="20"/>
                <w:szCs w:val="20"/>
                <w:color w:val="auto"/>
              </w:rPr>
            </w:pPr>
            <w:r>
              <w:rPr>
                <w:rFonts w:ascii="Arial" w:cs="Arial" w:eastAsia="Arial" w:hAnsi="Arial"/>
                <w:sz w:val="14"/>
                <w:szCs w:val="14"/>
                <w:color w:val="auto"/>
              </w:rPr>
              <w:t>Non-GAAP organic revenue</w:t>
            </w:r>
            <w:r>
              <w:rPr>
                <w:rFonts w:ascii="Arial" w:cs="Arial" w:eastAsia="Arial" w:hAnsi="Arial"/>
                <w:sz w:val="18"/>
                <w:szCs w:val="18"/>
                <w:color w:val="auto"/>
                <w:vertAlign w:val="superscript"/>
              </w:rPr>
              <w:t>(2)</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264.9</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255.3</w:t>
            </w:r>
          </w:p>
        </w:tc>
        <w:tc>
          <w:tcPr>
            <w:tcW w:w="5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522.1</w:t>
            </w: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499.7</w:t>
            </w:r>
          </w:p>
        </w:tc>
        <w:tc>
          <w:tcPr>
            <w:tcW w:w="20" w:type="dxa"/>
            <w:vAlign w:val="bottom"/>
          </w:tcPr>
          <w:p>
            <w:pPr>
              <w:spacing w:after="0"/>
              <w:rPr>
                <w:sz w:val="18"/>
                <w:szCs w:val="18"/>
                <w:color w:val="auto"/>
              </w:rPr>
            </w:pPr>
          </w:p>
        </w:tc>
      </w:tr>
      <w:tr>
        <w:trPr>
          <w:trHeight w:val="209"/>
        </w:trPr>
        <w:tc>
          <w:tcPr>
            <w:tcW w:w="5960" w:type="dxa"/>
            <w:vAlign w:val="bottom"/>
            <w:tcBorders>
              <w:top w:val="single" w:sz="8" w:color="F4F4F4"/>
            </w:tcBorders>
            <w:shd w:val="clear" w:color="auto" w:fill="F4F4F4"/>
          </w:tcPr>
          <w:p>
            <w:pPr>
              <w:ind w:left="20"/>
              <w:spacing w:after="0"/>
              <w:rPr>
                <w:sz w:val="20"/>
                <w:szCs w:val="20"/>
                <w:color w:val="auto"/>
              </w:rPr>
            </w:pPr>
            <w:r>
              <w:rPr>
                <w:rFonts w:ascii="Arial" w:cs="Arial" w:eastAsia="Arial" w:hAnsi="Arial"/>
                <w:sz w:val="14"/>
                <w:szCs w:val="14"/>
                <w:b w:val="1"/>
                <w:bCs w:val="1"/>
                <w:color w:val="auto"/>
              </w:rPr>
              <w:t>Non-GAAP organic revenue growth</w:t>
            </w:r>
          </w:p>
        </w:tc>
        <w:tc>
          <w:tcPr>
            <w:tcW w:w="460" w:type="dxa"/>
            <w:vAlign w:val="bottom"/>
            <w:tcBorders>
              <w:top w:val="single" w:sz="8" w:color="4D5259"/>
            </w:tcBorders>
            <w:shd w:val="clear" w:color="auto" w:fill="F4F4F4"/>
          </w:tcPr>
          <w:p>
            <w:pPr>
              <w:spacing w:after="0"/>
              <w:rPr>
                <w:sz w:val="18"/>
                <w:szCs w:val="18"/>
                <w:color w:val="auto"/>
              </w:rPr>
            </w:pPr>
          </w:p>
        </w:tc>
        <w:tc>
          <w:tcPr>
            <w:tcW w:w="900" w:type="dxa"/>
            <w:vAlign w:val="bottom"/>
            <w:tcBorders>
              <w:top w:val="single" w:sz="8" w:color="4D5259"/>
            </w:tcBorders>
            <w:shd w:val="clear" w:color="auto" w:fill="F4F4F4"/>
          </w:tcPr>
          <w:p>
            <w:pPr>
              <w:jc w:val="right"/>
              <w:spacing w:after="0"/>
              <w:rPr>
                <w:sz w:val="20"/>
                <w:szCs w:val="20"/>
                <w:color w:val="auto"/>
              </w:rPr>
            </w:pPr>
            <w:r>
              <w:rPr>
                <w:rFonts w:ascii="Arial" w:cs="Arial" w:eastAsia="Arial" w:hAnsi="Arial"/>
                <w:sz w:val="14"/>
                <w:szCs w:val="14"/>
                <w:b w:val="1"/>
                <w:bCs w:val="1"/>
                <w:color w:val="auto"/>
              </w:rPr>
              <w:t>3.8 %</w:t>
            </w:r>
          </w:p>
        </w:tc>
        <w:tc>
          <w:tcPr>
            <w:tcW w:w="360" w:type="dxa"/>
            <w:vAlign w:val="bottom"/>
            <w:tcBorders>
              <w:top w:val="single" w:sz="8" w:color="4D5259"/>
            </w:tcBorders>
            <w:shd w:val="clear" w:color="auto" w:fill="F4F4F4"/>
          </w:tcPr>
          <w:p>
            <w:pPr>
              <w:spacing w:after="0"/>
              <w:rPr>
                <w:sz w:val="18"/>
                <w:szCs w:val="18"/>
                <w:color w:val="auto"/>
              </w:rPr>
            </w:pPr>
          </w:p>
        </w:tc>
        <w:tc>
          <w:tcPr>
            <w:tcW w:w="880" w:type="dxa"/>
            <w:vAlign w:val="bottom"/>
            <w:tcBorders>
              <w:top w:val="single" w:sz="8" w:color="4D5259"/>
              <w:right w:val="single" w:sz="8" w:color="F4F4F4"/>
            </w:tcBorders>
            <w:shd w:val="clear" w:color="auto" w:fill="F4F4F4"/>
          </w:tcPr>
          <w:p>
            <w:pPr>
              <w:spacing w:after="0"/>
              <w:rPr>
                <w:sz w:val="18"/>
                <w:szCs w:val="18"/>
                <w:color w:val="auto"/>
              </w:rPr>
            </w:pPr>
          </w:p>
        </w:tc>
        <w:tc>
          <w:tcPr>
            <w:tcW w:w="80" w:type="dxa"/>
            <w:vAlign w:val="bottom"/>
            <w:tcBorders>
              <w:top w:val="single" w:sz="8" w:color="F4F4F4"/>
            </w:tcBorders>
            <w:shd w:val="clear" w:color="auto" w:fill="F4F4F4"/>
          </w:tcPr>
          <w:p>
            <w:pPr>
              <w:spacing w:after="0"/>
              <w:rPr>
                <w:sz w:val="18"/>
                <w:szCs w:val="18"/>
                <w:color w:val="auto"/>
              </w:rPr>
            </w:pPr>
          </w:p>
        </w:tc>
        <w:tc>
          <w:tcPr>
            <w:tcW w:w="460" w:type="dxa"/>
            <w:vAlign w:val="bottom"/>
            <w:tcBorders>
              <w:top w:val="single" w:sz="8" w:color="auto"/>
            </w:tcBorders>
            <w:shd w:val="clear" w:color="auto" w:fill="F4F4F4"/>
          </w:tcPr>
          <w:p>
            <w:pPr>
              <w:spacing w:after="0"/>
              <w:rPr>
                <w:sz w:val="18"/>
                <w:szCs w:val="18"/>
                <w:color w:val="auto"/>
              </w:rPr>
            </w:pPr>
          </w:p>
        </w:tc>
        <w:tc>
          <w:tcPr>
            <w:tcW w:w="88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b w:val="1"/>
                <w:bCs w:val="1"/>
                <w:color w:val="auto"/>
              </w:rPr>
              <w:t>4.5 %</w:t>
            </w:r>
          </w:p>
        </w:tc>
        <w:tc>
          <w:tcPr>
            <w:tcW w:w="400" w:type="dxa"/>
            <w:vAlign w:val="bottom"/>
            <w:tcBorders>
              <w:top w:val="single" w:sz="8" w:color="auto"/>
            </w:tcBorders>
            <w:shd w:val="clear" w:color="auto" w:fill="F4F4F4"/>
          </w:tcPr>
          <w:p>
            <w:pPr>
              <w:spacing w:after="0"/>
              <w:rPr>
                <w:sz w:val="18"/>
                <w:szCs w:val="18"/>
                <w:color w:val="auto"/>
              </w:rPr>
            </w:pPr>
          </w:p>
        </w:tc>
        <w:tc>
          <w:tcPr>
            <w:tcW w:w="860" w:type="dxa"/>
            <w:vAlign w:val="bottom"/>
            <w:tcBorders>
              <w:top w:val="single" w:sz="8" w:color="auto"/>
            </w:tcBorders>
            <w:shd w:val="clear" w:color="auto" w:fill="F4F4F4"/>
          </w:tcPr>
          <w:p>
            <w:pPr>
              <w:spacing w:after="0"/>
              <w:rPr>
                <w:sz w:val="18"/>
                <w:szCs w:val="18"/>
                <w:color w:val="auto"/>
              </w:rPr>
            </w:pPr>
          </w:p>
        </w:tc>
        <w:tc>
          <w:tcPr>
            <w:tcW w:w="20" w:type="dxa"/>
            <w:vAlign w:val="bottom"/>
          </w:tcPr>
          <w:p>
            <w:pPr>
              <w:spacing w:after="0"/>
              <w:rPr>
                <w:sz w:val="18"/>
                <w:szCs w:val="18"/>
                <w:color w:val="auto"/>
              </w:rPr>
            </w:pPr>
          </w:p>
        </w:tc>
      </w:tr>
      <w:tr>
        <w:trPr>
          <w:trHeight w:val="148"/>
        </w:trPr>
        <w:tc>
          <w:tcPr>
            <w:tcW w:w="5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5960" w:type="dxa"/>
            <w:vAlign w:val="bottom"/>
            <w:shd w:val="clear" w:color="auto" w:fill="F4F4F4"/>
          </w:tcPr>
          <w:p>
            <w:pPr>
              <w:ind w:left="20"/>
              <w:spacing w:after="0"/>
              <w:rPr>
                <w:sz w:val="20"/>
                <w:szCs w:val="20"/>
                <w:color w:val="auto"/>
              </w:rPr>
            </w:pPr>
            <w:r>
              <w:rPr>
                <w:rFonts w:ascii="Arial" w:cs="Arial" w:eastAsia="Arial" w:hAnsi="Arial"/>
                <w:sz w:val="14"/>
                <w:szCs w:val="14"/>
                <w:color w:val="auto"/>
              </w:rPr>
              <w:t>Non-GAAP organic revenue</w:t>
            </w:r>
            <w:r>
              <w:rPr>
                <w:rFonts w:ascii="Arial" w:cs="Arial" w:eastAsia="Arial" w:hAnsi="Arial"/>
                <w:sz w:val="18"/>
                <w:szCs w:val="18"/>
                <w:color w:val="auto"/>
                <w:vertAlign w:val="superscript"/>
              </w:rPr>
              <w:t>(2)</w:t>
            </w:r>
          </w:p>
        </w:tc>
        <w:tc>
          <w:tcPr>
            <w:tcW w:w="460" w:type="dxa"/>
            <w:vAlign w:val="bottom"/>
            <w:shd w:val="clear" w:color="auto" w:fill="F4F4F4"/>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264.9</w:t>
            </w:r>
          </w:p>
        </w:tc>
        <w:tc>
          <w:tcPr>
            <w:tcW w:w="360" w:type="dxa"/>
            <w:vAlign w:val="bottom"/>
            <w:shd w:val="clear" w:color="auto" w:fill="F4F4F4"/>
          </w:tcPr>
          <w:p>
            <w:pPr>
              <w:jc w:val="right"/>
              <w:ind w:right="208"/>
              <w:spacing w:after="0"/>
              <w:rPr>
                <w:sz w:val="20"/>
                <w:szCs w:val="20"/>
                <w:color w:val="auto"/>
              </w:rPr>
            </w:pPr>
            <w:r>
              <w:rPr>
                <w:rFonts w:ascii="Arial" w:cs="Arial" w:eastAsia="Arial" w:hAnsi="Arial"/>
                <w:sz w:val="14"/>
                <w:szCs w:val="14"/>
                <w:color w:val="auto"/>
                <w:w w:val="76"/>
              </w:rPr>
              <w:t>$</w:t>
            </w:r>
          </w:p>
        </w:tc>
        <w:tc>
          <w:tcPr>
            <w:tcW w:w="880" w:type="dxa"/>
            <w:vAlign w:val="bottom"/>
            <w:tcBorders>
              <w:right w:val="single" w:sz="8" w:color="F4F4F4"/>
            </w:tcBorders>
            <w:shd w:val="clear" w:color="auto" w:fill="F4F4F4"/>
          </w:tcPr>
          <w:p>
            <w:pPr>
              <w:jc w:val="right"/>
              <w:ind w:right="8"/>
              <w:spacing w:after="0"/>
              <w:rPr>
                <w:sz w:val="20"/>
                <w:szCs w:val="20"/>
                <w:color w:val="auto"/>
              </w:rPr>
            </w:pPr>
            <w:r>
              <w:rPr>
                <w:rFonts w:ascii="Arial" w:cs="Arial" w:eastAsia="Arial" w:hAnsi="Arial"/>
                <w:sz w:val="14"/>
                <w:szCs w:val="14"/>
                <w:color w:val="auto"/>
              </w:rPr>
              <w:t>255.3</w:t>
            </w:r>
          </w:p>
        </w:tc>
        <w:tc>
          <w:tcPr>
            <w:tcW w:w="540" w:type="dxa"/>
            <w:vAlign w:val="bottom"/>
            <w:gridSpan w:val="2"/>
            <w:shd w:val="clear" w:color="auto" w:fill="F4F4F4"/>
          </w:tcPr>
          <w:p>
            <w:pPr>
              <w:jc w:val="right"/>
              <w:ind w:right="360"/>
              <w:spacing w:after="0"/>
              <w:rPr>
                <w:sz w:val="20"/>
                <w:szCs w:val="20"/>
                <w:color w:val="auto"/>
              </w:rPr>
            </w:pPr>
            <w:r>
              <w:rPr>
                <w:rFonts w:ascii="Arial" w:cs="Arial" w:eastAsia="Arial" w:hAnsi="Arial"/>
                <w:sz w:val="14"/>
                <w:szCs w:val="14"/>
                <w:color w:val="auto"/>
              </w:rPr>
              <w:t>$</w:t>
            </w:r>
          </w:p>
        </w:tc>
        <w:tc>
          <w:tcPr>
            <w:tcW w:w="8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522.1</w:t>
            </w:r>
          </w:p>
        </w:tc>
        <w:tc>
          <w:tcPr>
            <w:tcW w:w="400" w:type="dxa"/>
            <w:vAlign w:val="bottom"/>
            <w:shd w:val="clear" w:color="auto" w:fill="F4F4F4"/>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499.7</w:t>
            </w:r>
          </w:p>
        </w:tc>
        <w:tc>
          <w:tcPr>
            <w:tcW w:w="20" w:type="dxa"/>
            <w:vAlign w:val="bottom"/>
          </w:tcPr>
          <w:p>
            <w:pPr>
              <w:spacing w:after="0"/>
              <w:rPr>
                <w:sz w:val="18"/>
                <w:szCs w:val="18"/>
                <w:color w:val="auto"/>
              </w:rPr>
            </w:pPr>
          </w:p>
        </w:tc>
      </w:tr>
      <w:tr>
        <w:trPr>
          <w:trHeight w:val="216"/>
        </w:trPr>
        <w:tc>
          <w:tcPr>
            <w:tcW w:w="5960" w:type="dxa"/>
            <w:vAlign w:val="bottom"/>
            <w:tcBorders>
              <w:bottom w:val="single" w:sz="8" w:color="F4F4F4"/>
            </w:tcBorders>
          </w:tcPr>
          <w:p>
            <w:pPr>
              <w:ind w:left="20"/>
              <w:spacing w:after="0"/>
              <w:rPr>
                <w:sz w:val="20"/>
                <w:szCs w:val="20"/>
                <w:color w:val="auto"/>
              </w:rPr>
            </w:pPr>
            <w:r>
              <w:rPr>
                <w:rFonts w:ascii="Arial" w:cs="Arial" w:eastAsia="Arial" w:hAnsi="Arial"/>
                <w:sz w:val="14"/>
                <w:szCs w:val="14"/>
                <w:color w:val="auto"/>
              </w:rPr>
              <w:t>Foreign currency impact on Non-GAAP organic revenue</w:t>
            </w:r>
            <w:r>
              <w:rPr>
                <w:rFonts w:ascii="Arial" w:cs="Arial" w:eastAsia="Arial" w:hAnsi="Arial"/>
                <w:sz w:val="18"/>
                <w:szCs w:val="18"/>
                <w:color w:val="auto"/>
                <w:vertAlign w:val="superscript"/>
              </w:rPr>
              <w:t>(3)</w:t>
            </w:r>
          </w:p>
        </w:tc>
        <w:tc>
          <w:tcPr>
            <w:tcW w:w="460" w:type="dxa"/>
            <w:vAlign w:val="bottom"/>
            <w:tcBorders>
              <w:bottom w:val="single" w:sz="8" w:color="4D5259"/>
            </w:tcBorders>
          </w:tcPr>
          <w:p>
            <w:pPr>
              <w:spacing w:after="0"/>
              <w:rPr>
                <w:sz w:val="18"/>
                <w:szCs w:val="18"/>
                <w:color w:val="auto"/>
              </w:rPr>
            </w:pPr>
          </w:p>
        </w:tc>
        <w:tc>
          <w:tcPr>
            <w:tcW w:w="900" w:type="dxa"/>
            <w:vAlign w:val="bottom"/>
            <w:tcBorders>
              <w:bottom w:val="single" w:sz="8" w:color="4D5259"/>
            </w:tcBorders>
          </w:tcPr>
          <w:p>
            <w:pPr>
              <w:jc w:val="right"/>
              <w:ind w:right="128"/>
              <w:spacing w:after="0"/>
              <w:rPr>
                <w:sz w:val="20"/>
                <w:szCs w:val="20"/>
                <w:color w:val="auto"/>
              </w:rPr>
            </w:pPr>
            <w:r>
              <w:rPr>
                <w:rFonts w:ascii="Arial" w:cs="Arial" w:eastAsia="Arial" w:hAnsi="Arial"/>
                <w:sz w:val="14"/>
                <w:szCs w:val="14"/>
                <w:color w:val="auto"/>
              </w:rPr>
              <w:t>2.9</w:t>
            </w:r>
          </w:p>
        </w:tc>
        <w:tc>
          <w:tcPr>
            <w:tcW w:w="360" w:type="dxa"/>
            <w:vAlign w:val="bottom"/>
            <w:tcBorders>
              <w:bottom w:val="single" w:sz="8" w:color="4D5259"/>
            </w:tcBorders>
          </w:tcPr>
          <w:p>
            <w:pPr>
              <w:spacing w:after="0"/>
              <w:rPr>
                <w:sz w:val="18"/>
                <w:szCs w:val="18"/>
                <w:color w:val="auto"/>
              </w:rPr>
            </w:pPr>
          </w:p>
        </w:tc>
        <w:tc>
          <w:tcPr>
            <w:tcW w:w="880" w:type="dxa"/>
            <w:vAlign w:val="bottom"/>
            <w:tcBorders>
              <w:bottom w:val="single" w:sz="8" w:color="4D5259"/>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F4F4F4"/>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3.8</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r>
      <w:tr>
        <w:trPr>
          <w:trHeight w:val="210"/>
        </w:trPr>
        <w:tc>
          <w:tcPr>
            <w:tcW w:w="5960" w:type="dxa"/>
            <w:vAlign w:val="bottom"/>
            <w:shd w:val="clear" w:color="auto" w:fill="F4F4F4"/>
          </w:tcPr>
          <w:p>
            <w:pPr>
              <w:ind w:left="20"/>
              <w:spacing w:after="0"/>
              <w:rPr>
                <w:sz w:val="20"/>
                <w:szCs w:val="20"/>
                <w:color w:val="auto"/>
              </w:rPr>
            </w:pPr>
            <w:r>
              <w:rPr>
                <w:rFonts w:ascii="Arial" w:cs="Arial" w:eastAsia="Arial" w:hAnsi="Arial"/>
                <w:sz w:val="14"/>
                <w:szCs w:val="14"/>
                <w:color w:val="auto"/>
              </w:rPr>
              <w:t>Non-GAAP organic revenue on constant currency basis</w:t>
            </w:r>
            <w:r>
              <w:rPr>
                <w:rFonts w:ascii="Arial" w:cs="Arial" w:eastAsia="Arial" w:hAnsi="Arial"/>
                <w:sz w:val="18"/>
                <w:szCs w:val="18"/>
                <w:color w:val="auto"/>
                <w:vertAlign w:val="superscript"/>
              </w:rPr>
              <w:t>(3)</w:t>
            </w:r>
          </w:p>
        </w:tc>
        <w:tc>
          <w:tcPr>
            <w:tcW w:w="460" w:type="dxa"/>
            <w:vAlign w:val="bottom"/>
            <w:shd w:val="clear" w:color="auto" w:fill="F4F4F4"/>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267.8</w:t>
            </w:r>
          </w:p>
        </w:tc>
        <w:tc>
          <w:tcPr>
            <w:tcW w:w="360" w:type="dxa"/>
            <w:vAlign w:val="bottom"/>
            <w:shd w:val="clear" w:color="auto" w:fill="F4F4F4"/>
          </w:tcPr>
          <w:p>
            <w:pPr>
              <w:jc w:val="right"/>
              <w:ind w:right="208"/>
              <w:spacing w:after="0"/>
              <w:rPr>
                <w:sz w:val="20"/>
                <w:szCs w:val="20"/>
                <w:color w:val="auto"/>
              </w:rPr>
            </w:pPr>
            <w:r>
              <w:rPr>
                <w:rFonts w:ascii="Arial" w:cs="Arial" w:eastAsia="Arial" w:hAnsi="Arial"/>
                <w:sz w:val="14"/>
                <w:szCs w:val="14"/>
                <w:color w:val="auto"/>
                <w:w w:val="76"/>
              </w:rPr>
              <w:t>$</w:t>
            </w:r>
          </w:p>
        </w:tc>
        <w:tc>
          <w:tcPr>
            <w:tcW w:w="880" w:type="dxa"/>
            <w:vAlign w:val="bottom"/>
            <w:tcBorders>
              <w:right w:val="single" w:sz="8" w:color="F4F4F4"/>
            </w:tcBorders>
            <w:shd w:val="clear" w:color="auto" w:fill="F4F4F4"/>
          </w:tcPr>
          <w:p>
            <w:pPr>
              <w:jc w:val="right"/>
              <w:ind w:right="8"/>
              <w:spacing w:after="0"/>
              <w:rPr>
                <w:sz w:val="20"/>
                <w:szCs w:val="20"/>
                <w:color w:val="auto"/>
              </w:rPr>
            </w:pPr>
            <w:r>
              <w:rPr>
                <w:rFonts w:ascii="Arial" w:cs="Arial" w:eastAsia="Arial" w:hAnsi="Arial"/>
                <w:sz w:val="14"/>
                <w:szCs w:val="14"/>
                <w:color w:val="auto"/>
              </w:rPr>
              <w:t>255.3</w:t>
            </w:r>
          </w:p>
        </w:tc>
        <w:tc>
          <w:tcPr>
            <w:tcW w:w="540" w:type="dxa"/>
            <w:vAlign w:val="bottom"/>
            <w:gridSpan w:val="2"/>
            <w:shd w:val="clear" w:color="auto" w:fill="F4F4F4"/>
          </w:tcPr>
          <w:p>
            <w:pPr>
              <w:jc w:val="right"/>
              <w:ind w:right="360"/>
              <w:spacing w:after="0"/>
              <w:rPr>
                <w:sz w:val="20"/>
                <w:szCs w:val="20"/>
                <w:color w:val="auto"/>
              </w:rPr>
            </w:pPr>
            <w:r>
              <w:rPr>
                <w:rFonts w:ascii="Arial" w:cs="Arial" w:eastAsia="Arial" w:hAnsi="Arial"/>
                <w:sz w:val="14"/>
                <w:szCs w:val="14"/>
                <w:color w:val="auto"/>
              </w:rPr>
              <w:t>$</w:t>
            </w:r>
          </w:p>
        </w:tc>
        <w:tc>
          <w:tcPr>
            <w:tcW w:w="8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525.9</w:t>
            </w:r>
          </w:p>
        </w:tc>
        <w:tc>
          <w:tcPr>
            <w:tcW w:w="400" w:type="dxa"/>
            <w:vAlign w:val="bottom"/>
            <w:shd w:val="clear" w:color="auto" w:fill="F4F4F4"/>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499.7</w:t>
            </w:r>
          </w:p>
        </w:tc>
        <w:tc>
          <w:tcPr>
            <w:tcW w:w="20" w:type="dxa"/>
            <w:vAlign w:val="bottom"/>
          </w:tcPr>
          <w:p>
            <w:pPr>
              <w:spacing w:after="0"/>
              <w:rPr>
                <w:sz w:val="18"/>
                <w:szCs w:val="18"/>
                <w:color w:val="auto"/>
              </w:rPr>
            </w:pPr>
          </w:p>
        </w:tc>
      </w:tr>
      <w:tr>
        <w:trPr>
          <w:trHeight w:val="203"/>
        </w:trPr>
        <w:tc>
          <w:tcPr>
            <w:tcW w:w="5960" w:type="dxa"/>
            <w:vAlign w:val="bottom"/>
          </w:tcPr>
          <w:p>
            <w:pPr>
              <w:ind w:left="20"/>
              <w:spacing w:after="0"/>
              <w:rPr>
                <w:sz w:val="20"/>
                <w:szCs w:val="20"/>
                <w:color w:val="auto"/>
              </w:rPr>
            </w:pPr>
            <w:r>
              <w:rPr>
                <w:rFonts w:ascii="Arial" w:cs="Arial" w:eastAsia="Arial" w:hAnsi="Arial"/>
                <w:sz w:val="14"/>
                <w:szCs w:val="14"/>
                <w:b w:val="1"/>
                <w:bCs w:val="1"/>
                <w:color w:val="auto"/>
              </w:rPr>
              <w:t>Non-GAAP organic revenue growth on constant currency basis</w:t>
            </w:r>
          </w:p>
        </w:tc>
        <w:tc>
          <w:tcPr>
            <w:tcW w:w="460" w:type="dxa"/>
            <w:vAlign w:val="bottom"/>
            <w:tcBorders>
              <w:top w:val="single" w:sz="8" w:color="4D5259"/>
            </w:tcBorders>
          </w:tcPr>
          <w:p>
            <w:pPr>
              <w:spacing w:after="0"/>
              <w:rPr>
                <w:sz w:val="17"/>
                <w:szCs w:val="17"/>
                <w:color w:val="auto"/>
              </w:rPr>
            </w:pPr>
          </w:p>
        </w:tc>
        <w:tc>
          <w:tcPr>
            <w:tcW w:w="900" w:type="dxa"/>
            <w:vAlign w:val="bottom"/>
            <w:tcBorders>
              <w:top w:val="single" w:sz="8" w:color="4D5259"/>
            </w:tcBorders>
          </w:tcPr>
          <w:p>
            <w:pPr>
              <w:jc w:val="right"/>
              <w:spacing w:after="0"/>
              <w:rPr>
                <w:sz w:val="20"/>
                <w:szCs w:val="20"/>
                <w:color w:val="auto"/>
              </w:rPr>
            </w:pPr>
            <w:r>
              <w:rPr>
                <w:rFonts w:ascii="Arial" w:cs="Arial" w:eastAsia="Arial" w:hAnsi="Arial"/>
                <w:sz w:val="14"/>
                <w:szCs w:val="14"/>
                <w:b w:val="1"/>
                <w:bCs w:val="1"/>
                <w:color w:val="auto"/>
              </w:rPr>
              <w:t>4.9 %</w:t>
            </w:r>
          </w:p>
        </w:tc>
        <w:tc>
          <w:tcPr>
            <w:tcW w:w="360" w:type="dxa"/>
            <w:vAlign w:val="bottom"/>
            <w:tcBorders>
              <w:top w:val="single" w:sz="8" w:color="4D5259"/>
            </w:tcBorders>
          </w:tcPr>
          <w:p>
            <w:pPr>
              <w:spacing w:after="0"/>
              <w:rPr>
                <w:sz w:val="17"/>
                <w:szCs w:val="17"/>
                <w:color w:val="auto"/>
              </w:rPr>
            </w:pPr>
          </w:p>
        </w:tc>
        <w:tc>
          <w:tcPr>
            <w:tcW w:w="880" w:type="dxa"/>
            <w:vAlign w:val="bottom"/>
            <w:tcBorders>
              <w:top w:val="single" w:sz="8" w:color="4D5259"/>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5.2 %</w:t>
            </w:r>
          </w:p>
        </w:tc>
        <w:tc>
          <w:tcPr>
            <w:tcW w:w="4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55"/>
        </w:trPr>
        <w:tc>
          <w:tcPr>
            <w:tcW w:w="5960" w:type="dxa"/>
            <w:vAlign w:val="bottom"/>
            <w:shd w:val="clear" w:color="auto" w:fill="F4F4F4"/>
          </w:tcPr>
          <w:p>
            <w:pPr>
              <w:spacing w:after="0"/>
              <w:rPr>
                <w:sz w:val="13"/>
                <w:szCs w:val="13"/>
                <w:color w:val="auto"/>
              </w:rPr>
            </w:pPr>
          </w:p>
        </w:tc>
        <w:tc>
          <w:tcPr>
            <w:tcW w:w="460" w:type="dxa"/>
            <w:vAlign w:val="bottom"/>
            <w:shd w:val="clear" w:color="auto" w:fill="F4F4F4"/>
          </w:tcPr>
          <w:p>
            <w:pPr>
              <w:spacing w:after="0"/>
              <w:rPr>
                <w:sz w:val="13"/>
                <w:szCs w:val="13"/>
                <w:color w:val="auto"/>
              </w:rPr>
            </w:pPr>
          </w:p>
        </w:tc>
        <w:tc>
          <w:tcPr>
            <w:tcW w:w="900" w:type="dxa"/>
            <w:vAlign w:val="bottom"/>
            <w:shd w:val="clear" w:color="auto" w:fill="F4F4F4"/>
          </w:tcPr>
          <w:p>
            <w:pPr>
              <w:spacing w:after="0"/>
              <w:rPr>
                <w:sz w:val="13"/>
                <w:szCs w:val="13"/>
                <w:color w:val="auto"/>
              </w:rPr>
            </w:pPr>
          </w:p>
        </w:tc>
        <w:tc>
          <w:tcPr>
            <w:tcW w:w="360" w:type="dxa"/>
            <w:vAlign w:val="bottom"/>
            <w:shd w:val="clear" w:color="auto" w:fill="F4F4F4"/>
          </w:tcPr>
          <w:p>
            <w:pPr>
              <w:spacing w:after="0"/>
              <w:rPr>
                <w:sz w:val="13"/>
                <w:szCs w:val="13"/>
                <w:color w:val="auto"/>
              </w:rPr>
            </w:pPr>
          </w:p>
        </w:tc>
        <w:tc>
          <w:tcPr>
            <w:tcW w:w="880" w:type="dxa"/>
            <w:vAlign w:val="bottom"/>
            <w:tcBorders>
              <w:right w:val="single" w:sz="8" w:color="F4F4F4"/>
            </w:tcBorders>
            <w:shd w:val="clear" w:color="auto" w:fill="F4F4F4"/>
          </w:tcPr>
          <w:p>
            <w:pPr>
              <w:spacing w:after="0"/>
              <w:rPr>
                <w:sz w:val="13"/>
                <w:szCs w:val="13"/>
                <w:color w:val="auto"/>
              </w:rPr>
            </w:pPr>
          </w:p>
        </w:tc>
        <w:tc>
          <w:tcPr>
            <w:tcW w:w="80" w:type="dxa"/>
            <w:vAlign w:val="bottom"/>
            <w:shd w:val="clear" w:color="auto" w:fill="F4F4F4"/>
          </w:tcPr>
          <w:p>
            <w:pPr>
              <w:spacing w:after="0"/>
              <w:rPr>
                <w:sz w:val="13"/>
                <w:szCs w:val="13"/>
                <w:color w:val="auto"/>
              </w:rPr>
            </w:pPr>
          </w:p>
        </w:tc>
        <w:tc>
          <w:tcPr>
            <w:tcW w:w="460" w:type="dxa"/>
            <w:vAlign w:val="bottom"/>
            <w:shd w:val="clear" w:color="auto" w:fill="F4F4F4"/>
          </w:tcPr>
          <w:p>
            <w:pPr>
              <w:spacing w:after="0"/>
              <w:rPr>
                <w:sz w:val="13"/>
                <w:szCs w:val="13"/>
                <w:color w:val="auto"/>
              </w:rPr>
            </w:pPr>
          </w:p>
        </w:tc>
        <w:tc>
          <w:tcPr>
            <w:tcW w:w="880" w:type="dxa"/>
            <w:vAlign w:val="bottom"/>
            <w:shd w:val="clear" w:color="auto" w:fill="F4F4F4"/>
          </w:tcPr>
          <w:p>
            <w:pPr>
              <w:spacing w:after="0"/>
              <w:rPr>
                <w:sz w:val="13"/>
                <w:szCs w:val="13"/>
                <w:color w:val="auto"/>
              </w:rPr>
            </w:pPr>
          </w:p>
        </w:tc>
        <w:tc>
          <w:tcPr>
            <w:tcW w:w="400" w:type="dxa"/>
            <w:vAlign w:val="bottom"/>
            <w:shd w:val="clear" w:color="auto" w:fill="F4F4F4"/>
          </w:tcPr>
          <w:p>
            <w:pPr>
              <w:spacing w:after="0"/>
              <w:rPr>
                <w:sz w:val="13"/>
                <w:szCs w:val="13"/>
                <w:color w:val="auto"/>
              </w:rPr>
            </w:pPr>
          </w:p>
        </w:tc>
        <w:tc>
          <w:tcPr>
            <w:tcW w:w="860" w:type="dxa"/>
            <w:vAlign w:val="bottom"/>
            <w:shd w:val="clear" w:color="auto" w:fill="F4F4F4"/>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5960" w:type="dxa"/>
            <w:vAlign w:val="bottom"/>
          </w:tcPr>
          <w:p>
            <w:pPr>
              <w:ind w:left="20"/>
              <w:spacing w:after="0"/>
              <w:rPr>
                <w:sz w:val="20"/>
                <w:szCs w:val="20"/>
                <w:color w:val="auto"/>
              </w:rPr>
            </w:pPr>
            <w:r>
              <w:rPr>
                <w:rFonts w:ascii="Arial" w:cs="Arial" w:eastAsia="Arial" w:hAnsi="Arial"/>
                <w:sz w:val="14"/>
                <w:szCs w:val="14"/>
                <w:color w:val="auto"/>
              </w:rPr>
              <w:t>GAAP recurring revenue</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252.5</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217.0</w:t>
            </w:r>
          </w:p>
        </w:tc>
        <w:tc>
          <w:tcPr>
            <w:tcW w:w="5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497.2</w:t>
            </w: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423.7</w:t>
            </w:r>
          </w:p>
        </w:tc>
        <w:tc>
          <w:tcPr>
            <w:tcW w:w="20" w:type="dxa"/>
            <w:vAlign w:val="bottom"/>
          </w:tcPr>
          <w:p>
            <w:pPr>
              <w:spacing w:after="0"/>
              <w:rPr>
                <w:sz w:val="18"/>
                <w:szCs w:val="18"/>
                <w:color w:val="auto"/>
              </w:rPr>
            </w:pPr>
          </w:p>
        </w:tc>
      </w:tr>
      <w:tr>
        <w:trPr>
          <w:trHeight w:val="222"/>
        </w:trPr>
        <w:tc>
          <w:tcPr>
            <w:tcW w:w="596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GAAP recurring revenue growth</w:t>
            </w:r>
          </w:p>
        </w:tc>
        <w:tc>
          <w:tcPr>
            <w:tcW w:w="46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4"/>
                <w:szCs w:val="14"/>
                <w:b w:val="1"/>
                <w:bCs w:val="1"/>
                <w:color w:val="auto"/>
              </w:rPr>
              <w:t>16.4 %</w:t>
            </w:r>
          </w:p>
        </w:tc>
        <w:tc>
          <w:tcPr>
            <w:tcW w:w="360" w:type="dxa"/>
            <w:vAlign w:val="bottom"/>
            <w:shd w:val="clear" w:color="auto" w:fill="F4F4F4"/>
          </w:tcPr>
          <w:p>
            <w:pPr>
              <w:spacing w:after="0"/>
              <w:rPr>
                <w:sz w:val="19"/>
                <w:szCs w:val="19"/>
                <w:color w:val="auto"/>
              </w:rPr>
            </w:pPr>
          </w:p>
        </w:tc>
        <w:tc>
          <w:tcPr>
            <w:tcW w:w="880" w:type="dxa"/>
            <w:vAlign w:val="bottom"/>
            <w:tcBorders>
              <w:right w:val="single" w:sz="8" w:color="F4F4F4"/>
            </w:tcBorders>
            <w:shd w:val="clear" w:color="auto" w:fill="F4F4F4"/>
          </w:tcPr>
          <w:p>
            <w:pPr>
              <w:spacing w:after="0"/>
              <w:rPr>
                <w:sz w:val="19"/>
                <w:szCs w:val="19"/>
                <w:color w:val="auto"/>
              </w:rPr>
            </w:pPr>
          </w:p>
        </w:tc>
        <w:tc>
          <w:tcPr>
            <w:tcW w:w="80" w:type="dxa"/>
            <w:vAlign w:val="bottom"/>
            <w:shd w:val="clear" w:color="auto" w:fill="F4F4F4"/>
          </w:tcPr>
          <w:p>
            <w:pPr>
              <w:spacing w:after="0"/>
              <w:rPr>
                <w:sz w:val="19"/>
                <w:szCs w:val="19"/>
                <w:color w:val="auto"/>
              </w:rPr>
            </w:pPr>
          </w:p>
        </w:tc>
        <w:tc>
          <w:tcPr>
            <w:tcW w:w="460" w:type="dxa"/>
            <w:vAlign w:val="bottom"/>
            <w:shd w:val="clear" w:color="auto" w:fill="F4F4F4"/>
          </w:tcPr>
          <w:p>
            <w:pPr>
              <w:spacing w:after="0"/>
              <w:rPr>
                <w:sz w:val="19"/>
                <w:szCs w:val="19"/>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4"/>
                <w:szCs w:val="14"/>
                <w:b w:val="1"/>
                <w:bCs w:val="1"/>
                <w:color w:val="auto"/>
              </w:rPr>
              <w:t>17.3 %</w:t>
            </w:r>
          </w:p>
        </w:tc>
        <w:tc>
          <w:tcPr>
            <w:tcW w:w="400" w:type="dxa"/>
            <w:vAlign w:val="bottom"/>
            <w:shd w:val="clear" w:color="auto" w:fill="F4F4F4"/>
          </w:tcPr>
          <w:p>
            <w:pPr>
              <w:spacing w:after="0"/>
              <w:rPr>
                <w:sz w:val="19"/>
                <w:szCs w:val="19"/>
                <w:color w:val="auto"/>
              </w:rPr>
            </w:pPr>
          </w:p>
        </w:tc>
        <w:tc>
          <w:tcPr>
            <w:tcW w:w="86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5960" w:type="dxa"/>
            <w:vAlign w:val="bottom"/>
            <w:tcBorders>
              <w:bottom w:val="single" w:sz="8" w:color="F4F4F4"/>
            </w:tcBorders>
          </w:tcPr>
          <w:p>
            <w:pPr>
              <w:ind w:left="140"/>
              <w:spacing w:after="0"/>
              <w:rPr>
                <w:sz w:val="20"/>
                <w:szCs w:val="20"/>
                <w:color w:val="auto"/>
              </w:rPr>
            </w:pPr>
            <w:r>
              <w:rPr>
                <w:rFonts w:ascii="Arial" w:cs="Arial" w:eastAsia="Arial" w:hAnsi="Arial"/>
                <w:sz w:val="14"/>
                <w:szCs w:val="14"/>
                <w:color w:val="auto"/>
              </w:rPr>
              <w:t>Add: Non-GAAP acquisition-related revenue</w:t>
            </w:r>
            <w:r>
              <w:rPr>
                <w:rFonts w:ascii="Arial" w:cs="Arial" w:eastAsia="Arial" w:hAnsi="Arial"/>
                <w:sz w:val="18"/>
                <w:szCs w:val="18"/>
                <w:color w:val="auto"/>
                <w:vertAlign w:val="superscript"/>
              </w:rPr>
              <w:t>(1)</w:t>
            </w:r>
          </w:p>
        </w:tc>
        <w:tc>
          <w:tcPr>
            <w:tcW w:w="460" w:type="dxa"/>
            <w:vAlign w:val="bottom"/>
            <w:tcBorders>
              <w:bottom w:val="single" w:sz="8" w:color="4D5259"/>
            </w:tcBorders>
          </w:tcPr>
          <w:p>
            <w:pPr>
              <w:spacing w:after="0"/>
              <w:rPr>
                <w:sz w:val="18"/>
                <w:szCs w:val="18"/>
                <w:color w:val="auto"/>
              </w:rPr>
            </w:pPr>
          </w:p>
        </w:tc>
        <w:tc>
          <w:tcPr>
            <w:tcW w:w="900" w:type="dxa"/>
            <w:vAlign w:val="bottom"/>
            <w:tcBorders>
              <w:bottom w:val="single" w:sz="8" w:color="4D5259"/>
            </w:tcBorders>
          </w:tcPr>
          <w:p>
            <w:pPr>
              <w:jc w:val="right"/>
              <w:ind w:right="1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4D5259"/>
            </w:tcBorders>
          </w:tcPr>
          <w:p>
            <w:pPr>
              <w:spacing w:after="0"/>
              <w:rPr>
                <w:sz w:val="18"/>
                <w:szCs w:val="18"/>
                <w:color w:val="auto"/>
              </w:rPr>
            </w:pPr>
          </w:p>
        </w:tc>
        <w:tc>
          <w:tcPr>
            <w:tcW w:w="880" w:type="dxa"/>
            <w:vAlign w:val="bottom"/>
            <w:tcBorders>
              <w:bottom w:val="single" w:sz="8" w:color="4D5259"/>
            </w:tcBorders>
          </w:tcPr>
          <w:p>
            <w:pPr>
              <w:jc w:val="right"/>
              <w:ind w:right="8"/>
              <w:spacing w:after="0"/>
              <w:rPr>
                <w:sz w:val="20"/>
                <w:szCs w:val="20"/>
                <w:color w:val="auto"/>
              </w:rPr>
            </w:pPr>
            <w:r>
              <w:rPr>
                <w:rFonts w:ascii="Arial" w:cs="Arial" w:eastAsia="Arial" w:hAnsi="Arial"/>
                <w:sz w:val="14"/>
                <w:szCs w:val="14"/>
                <w:color w:val="auto"/>
              </w:rPr>
              <w:t>23.2</w:t>
            </w:r>
          </w:p>
        </w:tc>
        <w:tc>
          <w:tcPr>
            <w:tcW w:w="80" w:type="dxa"/>
            <w:vAlign w:val="bottom"/>
            <w:tcBorders>
              <w:bottom w:val="single" w:sz="8" w:color="F4F4F4"/>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w:t>
            </w:r>
          </w:p>
        </w:tc>
        <w:tc>
          <w:tcPr>
            <w:tcW w:w="20" w:type="dxa"/>
            <w:vAlign w:val="bottom"/>
          </w:tcPr>
          <w:p>
            <w:pPr>
              <w:spacing w:after="0"/>
              <w:rPr>
                <w:sz w:val="18"/>
                <w:szCs w:val="18"/>
                <w:color w:val="auto"/>
              </w:rPr>
            </w:pPr>
          </w:p>
        </w:tc>
      </w:tr>
      <w:tr>
        <w:trPr>
          <w:trHeight w:val="203"/>
        </w:trPr>
        <w:tc>
          <w:tcPr>
            <w:tcW w:w="5960" w:type="dxa"/>
            <w:vAlign w:val="bottom"/>
            <w:shd w:val="clear" w:color="auto" w:fill="F4F4F4"/>
          </w:tcPr>
          <w:p>
            <w:pPr>
              <w:ind w:left="20"/>
              <w:spacing w:after="0"/>
              <w:rPr>
                <w:sz w:val="20"/>
                <w:szCs w:val="20"/>
                <w:color w:val="auto"/>
              </w:rPr>
            </w:pPr>
            <w:r>
              <w:rPr>
                <w:rFonts w:ascii="Arial" w:cs="Arial" w:eastAsia="Arial" w:hAnsi="Arial"/>
                <w:sz w:val="14"/>
                <w:szCs w:val="14"/>
                <w:color w:val="auto"/>
              </w:rPr>
              <w:t>Non-GAAP organic recurring revenue</w:t>
            </w:r>
          </w:p>
        </w:tc>
        <w:tc>
          <w:tcPr>
            <w:tcW w:w="460" w:type="dxa"/>
            <w:vAlign w:val="bottom"/>
            <w:shd w:val="clear" w:color="auto" w:fill="F4F4F4"/>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252.5</w:t>
            </w:r>
          </w:p>
        </w:tc>
        <w:tc>
          <w:tcPr>
            <w:tcW w:w="360" w:type="dxa"/>
            <w:vAlign w:val="bottom"/>
            <w:shd w:val="clear" w:color="auto" w:fill="F4F4F4"/>
          </w:tcPr>
          <w:p>
            <w:pPr>
              <w:jc w:val="right"/>
              <w:ind w:right="208"/>
              <w:spacing w:after="0"/>
              <w:rPr>
                <w:sz w:val="20"/>
                <w:szCs w:val="20"/>
                <w:color w:val="auto"/>
              </w:rPr>
            </w:pPr>
            <w:r>
              <w:rPr>
                <w:rFonts w:ascii="Arial" w:cs="Arial" w:eastAsia="Arial" w:hAnsi="Arial"/>
                <w:sz w:val="14"/>
                <w:szCs w:val="14"/>
                <w:color w:val="auto"/>
                <w:w w:val="76"/>
              </w:rPr>
              <w:t>$</w:t>
            </w:r>
          </w:p>
        </w:tc>
        <w:tc>
          <w:tcPr>
            <w:tcW w:w="880" w:type="dxa"/>
            <w:vAlign w:val="bottom"/>
            <w:tcBorders>
              <w:right w:val="single" w:sz="8" w:color="F4F4F4"/>
            </w:tcBorders>
            <w:shd w:val="clear" w:color="auto" w:fill="F4F4F4"/>
          </w:tcPr>
          <w:p>
            <w:pPr>
              <w:jc w:val="right"/>
              <w:ind w:right="8"/>
              <w:spacing w:after="0"/>
              <w:rPr>
                <w:sz w:val="20"/>
                <w:szCs w:val="20"/>
                <w:color w:val="auto"/>
              </w:rPr>
            </w:pPr>
            <w:r>
              <w:rPr>
                <w:rFonts w:ascii="Arial" w:cs="Arial" w:eastAsia="Arial" w:hAnsi="Arial"/>
                <w:sz w:val="14"/>
                <w:szCs w:val="14"/>
                <w:color w:val="auto"/>
              </w:rPr>
              <w:t>240.1</w:t>
            </w:r>
          </w:p>
        </w:tc>
        <w:tc>
          <w:tcPr>
            <w:tcW w:w="540" w:type="dxa"/>
            <w:vAlign w:val="bottom"/>
            <w:gridSpan w:val="2"/>
            <w:shd w:val="clear" w:color="auto" w:fill="F4F4F4"/>
          </w:tcPr>
          <w:p>
            <w:pPr>
              <w:jc w:val="right"/>
              <w:ind w:right="360"/>
              <w:spacing w:after="0"/>
              <w:rPr>
                <w:sz w:val="20"/>
                <w:szCs w:val="20"/>
                <w:color w:val="auto"/>
              </w:rPr>
            </w:pPr>
            <w:r>
              <w:rPr>
                <w:rFonts w:ascii="Arial" w:cs="Arial" w:eastAsia="Arial" w:hAnsi="Arial"/>
                <w:sz w:val="14"/>
                <w:szCs w:val="14"/>
                <w:color w:val="auto"/>
              </w:rPr>
              <w:t>$</w:t>
            </w:r>
          </w:p>
        </w:tc>
        <w:tc>
          <w:tcPr>
            <w:tcW w:w="8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497.2</w:t>
            </w:r>
          </w:p>
        </w:tc>
        <w:tc>
          <w:tcPr>
            <w:tcW w:w="400" w:type="dxa"/>
            <w:vAlign w:val="bottom"/>
            <w:shd w:val="clear" w:color="auto" w:fill="F4F4F4"/>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469.7</w:t>
            </w:r>
          </w:p>
        </w:tc>
        <w:tc>
          <w:tcPr>
            <w:tcW w:w="20" w:type="dxa"/>
            <w:vAlign w:val="bottom"/>
          </w:tcPr>
          <w:p>
            <w:pPr>
              <w:spacing w:after="0"/>
              <w:rPr>
                <w:sz w:val="17"/>
                <w:szCs w:val="17"/>
                <w:color w:val="auto"/>
              </w:rPr>
            </w:pPr>
          </w:p>
        </w:tc>
      </w:tr>
      <w:tr>
        <w:trPr>
          <w:trHeight w:val="210"/>
        </w:trPr>
        <w:tc>
          <w:tcPr>
            <w:tcW w:w="5960" w:type="dxa"/>
            <w:vAlign w:val="bottom"/>
            <w:tcBorders>
              <w:bottom w:val="single" w:sz="8" w:color="71BF43"/>
            </w:tcBorders>
          </w:tcPr>
          <w:p>
            <w:pPr>
              <w:ind w:left="20"/>
              <w:spacing w:after="0"/>
              <w:rPr>
                <w:sz w:val="20"/>
                <w:szCs w:val="20"/>
                <w:color w:val="auto"/>
              </w:rPr>
            </w:pPr>
            <w:r>
              <w:rPr>
                <w:rFonts w:ascii="Arial" w:cs="Arial" w:eastAsia="Arial" w:hAnsi="Arial"/>
                <w:sz w:val="14"/>
                <w:szCs w:val="14"/>
                <w:b w:val="1"/>
                <w:bCs w:val="1"/>
                <w:color w:val="auto"/>
              </w:rPr>
              <w:t>Non-GAAP organic recurring revenue growth</w:t>
            </w:r>
          </w:p>
        </w:tc>
        <w:tc>
          <w:tcPr>
            <w:tcW w:w="460" w:type="dxa"/>
            <w:vAlign w:val="bottom"/>
            <w:tcBorders>
              <w:top w:val="single" w:sz="8" w:color="4D5259"/>
              <w:bottom w:val="single" w:sz="8" w:color="71BF43"/>
            </w:tcBorders>
          </w:tcPr>
          <w:p>
            <w:pPr>
              <w:spacing w:after="0"/>
              <w:rPr>
                <w:sz w:val="18"/>
                <w:szCs w:val="18"/>
                <w:color w:val="auto"/>
              </w:rPr>
            </w:pPr>
          </w:p>
        </w:tc>
        <w:tc>
          <w:tcPr>
            <w:tcW w:w="900" w:type="dxa"/>
            <w:vAlign w:val="bottom"/>
            <w:tcBorders>
              <w:top w:val="single" w:sz="8" w:color="4D5259"/>
              <w:bottom w:val="single" w:sz="8" w:color="71BF43"/>
            </w:tcBorders>
          </w:tcPr>
          <w:p>
            <w:pPr>
              <w:jc w:val="right"/>
              <w:spacing w:after="0"/>
              <w:rPr>
                <w:sz w:val="20"/>
                <w:szCs w:val="20"/>
                <w:color w:val="auto"/>
              </w:rPr>
            </w:pPr>
            <w:r>
              <w:rPr>
                <w:rFonts w:ascii="Arial" w:cs="Arial" w:eastAsia="Arial" w:hAnsi="Arial"/>
                <w:sz w:val="14"/>
                <w:szCs w:val="14"/>
                <w:b w:val="1"/>
                <w:bCs w:val="1"/>
                <w:color w:val="auto"/>
              </w:rPr>
              <w:t>5.1 %</w:t>
            </w:r>
          </w:p>
        </w:tc>
        <w:tc>
          <w:tcPr>
            <w:tcW w:w="360" w:type="dxa"/>
            <w:vAlign w:val="bottom"/>
            <w:tcBorders>
              <w:top w:val="single" w:sz="8" w:color="4D5259"/>
              <w:bottom w:val="single" w:sz="8" w:color="71BF43"/>
            </w:tcBorders>
          </w:tcPr>
          <w:p>
            <w:pPr>
              <w:spacing w:after="0"/>
              <w:rPr>
                <w:sz w:val="18"/>
                <w:szCs w:val="18"/>
                <w:color w:val="auto"/>
              </w:rPr>
            </w:pPr>
          </w:p>
        </w:tc>
        <w:tc>
          <w:tcPr>
            <w:tcW w:w="880" w:type="dxa"/>
            <w:vAlign w:val="bottom"/>
            <w:tcBorders>
              <w:top w:val="single" w:sz="8" w:color="4D5259"/>
              <w:bottom w:val="single" w:sz="8" w:color="71BF43"/>
            </w:tcBorders>
          </w:tcPr>
          <w:p>
            <w:pPr>
              <w:spacing w:after="0"/>
              <w:rPr>
                <w:sz w:val="18"/>
                <w:szCs w:val="18"/>
                <w:color w:val="auto"/>
              </w:rPr>
            </w:pPr>
          </w:p>
        </w:tc>
        <w:tc>
          <w:tcPr>
            <w:tcW w:w="80" w:type="dxa"/>
            <w:vAlign w:val="bottom"/>
            <w:tcBorders>
              <w:bottom w:val="single" w:sz="8" w:color="71BF43"/>
            </w:tcBorders>
          </w:tcPr>
          <w:p>
            <w:pPr>
              <w:spacing w:after="0"/>
              <w:rPr>
                <w:sz w:val="18"/>
                <w:szCs w:val="18"/>
                <w:color w:val="auto"/>
              </w:rPr>
            </w:pPr>
          </w:p>
        </w:tc>
        <w:tc>
          <w:tcPr>
            <w:tcW w:w="460" w:type="dxa"/>
            <w:vAlign w:val="bottom"/>
            <w:tcBorders>
              <w:top w:val="single" w:sz="8" w:color="auto"/>
              <w:bottom w:val="single" w:sz="8" w:color="71BF43"/>
            </w:tcBorders>
          </w:tcPr>
          <w:p>
            <w:pPr>
              <w:spacing w:after="0"/>
              <w:rPr>
                <w:sz w:val="18"/>
                <w:szCs w:val="18"/>
                <w:color w:val="auto"/>
              </w:rPr>
            </w:pPr>
          </w:p>
        </w:tc>
        <w:tc>
          <w:tcPr>
            <w:tcW w:w="880" w:type="dxa"/>
            <w:vAlign w:val="bottom"/>
            <w:tcBorders>
              <w:top w:val="single" w:sz="8" w:color="auto"/>
              <w:bottom w:val="single" w:sz="8" w:color="71BF43"/>
            </w:tcBorders>
          </w:tcPr>
          <w:p>
            <w:pPr>
              <w:jc w:val="right"/>
              <w:spacing w:after="0"/>
              <w:rPr>
                <w:sz w:val="20"/>
                <w:szCs w:val="20"/>
                <w:color w:val="auto"/>
              </w:rPr>
            </w:pPr>
            <w:r>
              <w:rPr>
                <w:rFonts w:ascii="Arial" w:cs="Arial" w:eastAsia="Arial" w:hAnsi="Arial"/>
                <w:sz w:val="14"/>
                <w:szCs w:val="14"/>
                <w:b w:val="1"/>
                <w:bCs w:val="1"/>
                <w:color w:val="auto"/>
              </w:rPr>
              <w:t>5.9 %</w:t>
            </w:r>
          </w:p>
        </w:tc>
        <w:tc>
          <w:tcPr>
            <w:tcW w:w="400" w:type="dxa"/>
            <w:vAlign w:val="bottom"/>
            <w:tcBorders>
              <w:top w:val="single" w:sz="8" w:color="auto"/>
              <w:bottom w:val="single" w:sz="8" w:color="71BF43"/>
            </w:tcBorders>
          </w:tcPr>
          <w:p>
            <w:pPr>
              <w:spacing w:after="0"/>
              <w:rPr>
                <w:sz w:val="18"/>
                <w:szCs w:val="18"/>
                <w:color w:val="auto"/>
              </w:rPr>
            </w:pPr>
          </w:p>
        </w:tc>
        <w:tc>
          <w:tcPr>
            <w:tcW w:w="860" w:type="dxa"/>
            <w:vAlign w:val="bottom"/>
            <w:tcBorders>
              <w:top w:val="single" w:sz="8" w:color="auto"/>
              <w:bottom w:val="single" w:sz="8" w:color="71BF43"/>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-2407920</wp:posOffset>
            </wp:positionV>
            <wp:extent cx="33604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79" w:lineRule="exact"/>
        <w:rPr>
          <w:sz w:val="20"/>
          <w:szCs w:val="20"/>
          <w:color w:val="auto"/>
        </w:rPr>
      </w:pPr>
    </w:p>
    <w:p>
      <w:pPr>
        <w:jc w:val="both"/>
        <w:ind w:left="340" w:right="20" w:hanging="332"/>
        <w:spacing w:after="0" w:line="241" w:lineRule="auto"/>
        <w:tabs>
          <w:tab w:leader="none" w:pos="354" w:val="left"/>
        </w:tabs>
        <w:numPr>
          <w:ilvl w:val="0"/>
          <w:numId w:val="35"/>
        </w:numPr>
        <w:rPr>
          <w:rFonts w:ascii="Arial" w:cs="Arial" w:eastAsia="Arial" w:hAnsi="Arial"/>
          <w:sz w:val="14"/>
          <w:szCs w:val="14"/>
          <w:color w:val="auto"/>
        </w:rPr>
      </w:pPr>
      <w:r>
        <w:rPr>
          <w:rFonts w:ascii="Arial" w:cs="Arial" w:eastAsia="Arial" w:hAnsi="Arial"/>
          <w:sz w:val="14"/>
          <w:szCs w:val="14"/>
          <w:color w:val="auto"/>
        </w:rPr>
        <w:t>Non-GAAP acquisition-related revenue excludes incremental acquisition-related revenue calculated in accordance with GAAP that is attributable to companies acquired in the current fiscal year. For companies acquired in the immediately preceding fiscal year, non-GAAP acquisition-related revenue reflects presentation of full-year incremental non-GAAP revenue derived from such companies, as if they were combined throughout the prior period.</w:t>
      </w:r>
    </w:p>
    <w:p>
      <w:pPr>
        <w:spacing w:after="0" w:line="1" w:lineRule="exact"/>
        <w:rPr>
          <w:rFonts w:ascii="Arial" w:cs="Arial" w:eastAsia="Arial" w:hAnsi="Arial"/>
          <w:sz w:val="14"/>
          <w:szCs w:val="14"/>
          <w:color w:val="auto"/>
        </w:rPr>
      </w:pPr>
    </w:p>
    <w:p>
      <w:pPr>
        <w:ind w:left="340" w:right="40" w:hanging="332"/>
        <w:spacing w:after="0" w:line="241" w:lineRule="auto"/>
        <w:tabs>
          <w:tab w:leader="none" w:pos="354" w:val="left"/>
        </w:tabs>
        <w:numPr>
          <w:ilvl w:val="0"/>
          <w:numId w:val="35"/>
        </w:numPr>
        <w:rPr>
          <w:rFonts w:ascii="Arial" w:cs="Arial" w:eastAsia="Arial" w:hAnsi="Arial"/>
          <w:sz w:val="14"/>
          <w:szCs w:val="14"/>
          <w:color w:val="auto"/>
        </w:rPr>
      </w:pPr>
      <w:r>
        <w:rPr>
          <w:rFonts w:ascii="Arial" w:cs="Arial" w:eastAsia="Arial" w:hAnsi="Arial"/>
          <w:sz w:val="14"/>
          <w:szCs w:val="14"/>
          <w:color w:val="auto"/>
        </w:rPr>
        <w:t>Non-GAAP organic revenue for the prior year periods presented herein will not agree to non-GAAP organic revenue presented in the respective prior period quarterly financial information solely due to the manner in which non-GAAP organic revenue growth is calculated.</w:t>
      </w:r>
    </w:p>
    <w:p>
      <w:pPr>
        <w:jc w:val="both"/>
        <w:ind w:left="340" w:right="20" w:hanging="332"/>
        <w:spacing w:after="0" w:line="249" w:lineRule="auto"/>
        <w:tabs>
          <w:tab w:leader="none" w:pos="354" w:val="left"/>
        </w:tabs>
        <w:numPr>
          <w:ilvl w:val="0"/>
          <w:numId w:val="35"/>
        </w:numPr>
        <w:rPr>
          <w:rFonts w:ascii="Arial" w:cs="Arial" w:eastAsia="Arial" w:hAnsi="Arial"/>
          <w:sz w:val="14"/>
          <w:szCs w:val="14"/>
          <w:color w:val="auto"/>
        </w:rPr>
      </w:pPr>
      <w:r>
        <w:rPr>
          <w:rFonts w:ascii="Arial" w:cs="Arial" w:eastAsia="Arial" w:hAnsi="Arial"/>
          <w:sz w:val="14"/>
          <w:szCs w:val="14"/>
          <w:color w:val="auto"/>
        </w:rPr>
        <w:t>To determine non-GAAP organic revenue growth on a constant currency basis, revenues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210185</wp:posOffset>
            </wp:positionV>
            <wp:extent cx="659765"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480"/>
              <w:spacing w:after="0"/>
              <w:rPr>
                <w:sz w:val="20"/>
                <w:szCs w:val="20"/>
                <w:color w:val="auto"/>
              </w:rPr>
            </w:pPr>
            <w:r>
              <w:rPr>
                <w:rFonts w:ascii="Arial" w:cs="Arial" w:eastAsia="Arial" w:hAnsi="Arial"/>
                <w:sz w:val="14"/>
                <w:szCs w:val="14"/>
                <w:color w:val="auto"/>
              </w:rPr>
              <w:t>Second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330"/>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Rule of 40</w:t>
      </w:r>
    </w:p>
    <w:p>
      <w:pPr>
        <w:spacing w:after="0" w:line="189"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We previously defined Rule of 40 as non-GAAP organic revenue growth plus non-GAAP adjusted EBITDA margin. Non-GAAP adjusted EBITDA is defined as GAAP net income plus interest, net; income tax provision (benefit); depreciation; amortization of intangible assets from business combinations; amortization of software and content development costs; stock-based compensation; employee severance; acquisition and disposition-related costs; restructuring and other real estate activities; Security Incident-related costs, net of insurance; and impairment of capitalized software development costs. Beginning in the fiscal quarter ended June 30, 2022, we now also include in non-GAAP adjusted EBITDA impairment of capitalized software development costs because we believe it is not directly related to our operating performance in any particular period.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60" w:type="dxa"/>
            <w:vAlign w:val="bottom"/>
            <w:shd w:val="clear" w:color="auto" w:fill="ACACAC"/>
          </w:tcPr>
          <w:p>
            <w:pPr>
              <w:spacing w:after="0"/>
              <w:rPr>
                <w:sz w:val="16"/>
                <w:szCs w:val="16"/>
                <w:color w:val="auto"/>
              </w:rPr>
            </w:pPr>
          </w:p>
        </w:tc>
        <w:tc>
          <w:tcPr>
            <w:tcW w:w="420" w:type="dxa"/>
            <w:vAlign w:val="bottom"/>
            <w:shd w:val="clear" w:color="auto" w:fill="ACACAC"/>
          </w:tcPr>
          <w:p>
            <w:pPr>
              <w:spacing w:after="0"/>
              <w:rPr>
                <w:sz w:val="16"/>
                <w:szCs w:val="16"/>
                <w:color w:val="auto"/>
              </w:rPr>
            </w:pPr>
          </w:p>
        </w:tc>
        <w:tc>
          <w:tcPr>
            <w:tcW w:w="820" w:type="dxa"/>
            <w:vAlign w:val="bottom"/>
            <w:shd w:val="clear" w:color="auto" w:fill="ACACAC"/>
          </w:tcPr>
          <w:p>
            <w:pPr>
              <w:spacing w:after="0"/>
              <w:rPr>
                <w:sz w:val="16"/>
                <w:szCs w:val="16"/>
                <w:color w:val="auto"/>
              </w:rPr>
            </w:pPr>
          </w:p>
        </w:tc>
        <w:tc>
          <w:tcPr>
            <w:tcW w:w="440" w:type="dxa"/>
            <w:vAlign w:val="bottom"/>
            <w:shd w:val="clear" w:color="auto" w:fill="ACACAC"/>
          </w:tcPr>
          <w:p>
            <w:pPr>
              <w:spacing w:after="0"/>
              <w:rPr>
                <w:sz w:val="16"/>
                <w:szCs w:val="16"/>
                <w:color w:val="auto"/>
              </w:rPr>
            </w:pPr>
          </w:p>
        </w:tc>
        <w:tc>
          <w:tcPr>
            <w:tcW w:w="1800" w:type="dxa"/>
            <w:vAlign w:val="bottom"/>
            <w:tcBorders>
              <w:right w:val="single" w:sz="8" w:color="ACACAC"/>
            </w:tcBorders>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80" w:type="dxa"/>
            <w:vAlign w:val="bottom"/>
          </w:tcPr>
          <w:p>
            <w:pPr>
              <w:spacing w:after="0"/>
              <w:rPr>
                <w:sz w:val="16"/>
                <w:szCs w:val="16"/>
                <w:color w:val="auto"/>
              </w:rPr>
            </w:pPr>
          </w:p>
        </w:tc>
        <w:tc>
          <w:tcPr>
            <w:tcW w:w="400" w:type="dxa"/>
            <w:vAlign w:val="bottom"/>
            <w:shd w:val="clear" w:color="auto" w:fill="ACACAC"/>
          </w:tcPr>
          <w:p>
            <w:pPr>
              <w:spacing w:after="0"/>
              <w:rPr>
                <w:sz w:val="16"/>
                <w:szCs w:val="16"/>
                <w:color w:val="auto"/>
              </w:rPr>
            </w:pPr>
          </w:p>
        </w:tc>
        <w:tc>
          <w:tcPr>
            <w:tcW w:w="860" w:type="dxa"/>
            <w:vAlign w:val="bottom"/>
            <w:shd w:val="clear" w:color="auto" w:fill="ACACAC"/>
          </w:tcPr>
          <w:p>
            <w:pPr>
              <w:spacing w:after="0"/>
              <w:rPr>
                <w:sz w:val="16"/>
                <w:szCs w:val="16"/>
                <w:color w:val="auto"/>
              </w:rPr>
            </w:pPr>
          </w:p>
        </w:tc>
        <w:tc>
          <w:tcPr>
            <w:tcW w:w="420" w:type="dxa"/>
            <w:vAlign w:val="bottom"/>
            <w:shd w:val="clear" w:color="auto" w:fill="ACACAC"/>
          </w:tcPr>
          <w:p>
            <w:pPr>
              <w:spacing w:after="0"/>
              <w:rPr>
                <w:sz w:val="16"/>
                <w:szCs w:val="16"/>
                <w:color w:val="auto"/>
              </w:rPr>
            </w:pPr>
          </w:p>
        </w:tc>
        <w:tc>
          <w:tcPr>
            <w:tcW w:w="184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Six months ended</w:t>
            </w:r>
          </w:p>
        </w:tc>
        <w:tc>
          <w:tcPr>
            <w:tcW w:w="20" w:type="dxa"/>
            <w:vAlign w:val="bottom"/>
            <w:shd w:val="clear" w:color="auto" w:fill="ACACAC"/>
          </w:tcPr>
          <w:p>
            <w:pPr>
              <w:spacing w:after="0"/>
              <w:rPr>
                <w:sz w:val="16"/>
                <w:szCs w:val="16"/>
                <w:color w:val="auto"/>
              </w:rPr>
            </w:pPr>
          </w:p>
        </w:tc>
      </w:tr>
      <w:tr>
        <w:trPr>
          <w:trHeight w:val="190"/>
        </w:trPr>
        <w:tc>
          <w:tcPr>
            <w:tcW w:w="4160" w:type="dxa"/>
            <w:vAlign w:val="bottom"/>
            <w:shd w:val="clear" w:color="auto" w:fill="ACACAC"/>
          </w:tcPr>
          <w:p>
            <w:pPr>
              <w:spacing w:after="0"/>
              <w:rPr>
                <w:sz w:val="16"/>
                <w:szCs w:val="16"/>
                <w:color w:val="auto"/>
              </w:rPr>
            </w:pPr>
          </w:p>
        </w:tc>
        <w:tc>
          <w:tcPr>
            <w:tcW w:w="420" w:type="dxa"/>
            <w:vAlign w:val="bottom"/>
            <w:shd w:val="clear" w:color="auto" w:fill="ACACAC"/>
          </w:tcPr>
          <w:p>
            <w:pPr>
              <w:spacing w:after="0"/>
              <w:rPr>
                <w:sz w:val="16"/>
                <w:szCs w:val="16"/>
                <w:color w:val="auto"/>
              </w:rPr>
            </w:pPr>
          </w:p>
        </w:tc>
        <w:tc>
          <w:tcPr>
            <w:tcW w:w="820" w:type="dxa"/>
            <w:vAlign w:val="bottom"/>
            <w:shd w:val="clear" w:color="auto" w:fill="ACACAC"/>
          </w:tcPr>
          <w:p>
            <w:pPr>
              <w:spacing w:after="0"/>
              <w:rPr>
                <w:sz w:val="16"/>
                <w:szCs w:val="16"/>
                <w:color w:val="auto"/>
              </w:rPr>
            </w:pPr>
          </w:p>
        </w:tc>
        <w:tc>
          <w:tcPr>
            <w:tcW w:w="440" w:type="dxa"/>
            <w:vAlign w:val="bottom"/>
            <w:shd w:val="clear" w:color="auto" w:fill="ACACAC"/>
          </w:tcPr>
          <w:p>
            <w:pPr>
              <w:spacing w:after="0"/>
              <w:rPr>
                <w:sz w:val="16"/>
                <w:szCs w:val="16"/>
                <w:color w:val="auto"/>
              </w:rPr>
            </w:pPr>
          </w:p>
        </w:tc>
        <w:tc>
          <w:tcPr>
            <w:tcW w:w="680" w:type="dxa"/>
            <w:vAlign w:val="bottom"/>
            <w:shd w:val="clear" w:color="auto" w:fill="ACACAC"/>
          </w:tcPr>
          <w:p>
            <w:pPr>
              <w:spacing w:after="0"/>
              <w:rPr>
                <w:sz w:val="16"/>
                <w:szCs w:val="16"/>
                <w:color w:val="auto"/>
              </w:rPr>
            </w:pPr>
          </w:p>
        </w:tc>
        <w:tc>
          <w:tcPr>
            <w:tcW w:w="112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80" w:type="dxa"/>
            <w:vAlign w:val="bottom"/>
          </w:tcPr>
          <w:p>
            <w:pPr>
              <w:spacing w:after="0"/>
              <w:rPr>
                <w:sz w:val="16"/>
                <w:szCs w:val="16"/>
                <w:color w:val="auto"/>
              </w:rPr>
            </w:pPr>
          </w:p>
        </w:tc>
        <w:tc>
          <w:tcPr>
            <w:tcW w:w="400" w:type="dxa"/>
            <w:vAlign w:val="bottom"/>
            <w:shd w:val="clear" w:color="auto" w:fill="ACACAC"/>
          </w:tcPr>
          <w:p>
            <w:pPr>
              <w:spacing w:after="0"/>
              <w:rPr>
                <w:sz w:val="16"/>
                <w:szCs w:val="16"/>
                <w:color w:val="auto"/>
              </w:rPr>
            </w:pPr>
          </w:p>
        </w:tc>
        <w:tc>
          <w:tcPr>
            <w:tcW w:w="860" w:type="dxa"/>
            <w:vAlign w:val="bottom"/>
            <w:shd w:val="clear" w:color="auto" w:fill="ACACAC"/>
          </w:tcPr>
          <w:p>
            <w:pPr>
              <w:spacing w:after="0"/>
              <w:rPr>
                <w:sz w:val="16"/>
                <w:szCs w:val="16"/>
                <w:color w:val="auto"/>
              </w:rPr>
            </w:pPr>
          </w:p>
        </w:tc>
        <w:tc>
          <w:tcPr>
            <w:tcW w:w="420" w:type="dxa"/>
            <w:vAlign w:val="bottom"/>
            <w:shd w:val="clear" w:color="auto" w:fill="ACACAC"/>
          </w:tcPr>
          <w:p>
            <w:pPr>
              <w:spacing w:after="0"/>
              <w:rPr>
                <w:sz w:val="16"/>
                <w:szCs w:val="16"/>
                <w:color w:val="auto"/>
              </w:rPr>
            </w:pPr>
          </w:p>
        </w:tc>
        <w:tc>
          <w:tcPr>
            <w:tcW w:w="740" w:type="dxa"/>
            <w:vAlign w:val="bottom"/>
            <w:shd w:val="clear" w:color="auto" w:fill="ACACAC"/>
          </w:tcPr>
          <w:p>
            <w:pPr>
              <w:spacing w:after="0"/>
              <w:rPr>
                <w:sz w:val="16"/>
                <w:szCs w:val="16"/>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20" w:type="dxa"/>
            <w:vAlign w:val="bottom"/>
            <w:shd w:val="clear" w:color="auto" w:fill="ACACAC"/>
          </w:tcPr>
          <w:p>
            <w:pPr>
              <w:spacing w:after="0"/>
              <w:rPr>
                <w:sz w:val="16"/>
                <w:szCs w:val="16"/>
                <w:color w:val="auto"/>
              </w:rPr>
            </w:pPr>
          </w:p>
        </w:tc>
      </w:tr>
      <w:tr>
        <w:trPr>
          <w:trHeight w:val="235"/>
        </w:trPr>
        <w:tc>
          <w:tcPr>
            <w:tcW w:w="4160" w:type="dxa"/>
            <w:vAlign w:val="bottom"/>
            <w:tcBorders>
              <w:bottom w:val="single" w:sz="8" w:color="F4F4F4"/>
            </w:tcBorders>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millions)</w:t>
            </w:r>
          </w:p>
        </w:tc>
        <w:tc>
          <w:tcPr>
            <w:tcW w:w="420" w:type="dxa"/>
            <w:vAlign w:val="bottom"/>
            <w:tcBorders>
              <w:bottom w:val="single" w:sz="8" w:color="F4F4F4"/>
            </w:tcBorders>
            <w:shd w:val="clear" w:color="auto" w:fill="ACACAC"/>
          </w:tcPr>
          <w:p>
            <w:pPr>
              <w:spacing w:after="0"/>
              <w:rPr>
                <w:sz w:val="20"/>
                <w:szCs w:val="20"/>
                <w:color w:val="auto"/>
              </w:rPr>
            </w:pPr>
          </w:p>
        </w:tc>
        <w:tc>
          <w:tcPr>
            <w:tcW w:w="820" w:type="dxa"/>
            <w:vAlign w:val="bottom"/>
            <w:tcBorders>
              <w:bottom w:val="single" w:sz="8" w:color="F4F4F4"/>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440" w:type="dxa"/>
            <w:vAlign w:val="bottom"/>
            <w:tcBorders>
              <w:bottom w:val="single" w:sz="8" w:color="F4F4F4"/>
            </w:tcBorders>
            <w:shd w:val="clear" w:color="auto" w:fill="ACACAC"/>
          </w:tcPr>
          <w:p>
            <w:pPr>
              <w:spacing w:after="0"/>
              <w:rPr>
                <w:sz w:val="20"/>
                <w:szCs w:val="20"/>
                <w:color w:val="auto"/>
              </w:rPr>
            </w:pPr>
          </w:p>
        </w:tc>
        <w:tc>
          <w:tcPr>
            <w:tcW w:w="680" w:type="dxa"/>
            <w:vAlign w:val="bottom"/>
            <w:tcBorders>
              <w:bottom w:val="single" w:sz="8" w:color="F4F4F4"/>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120" w:type="dxa"/>
            <w:vAlign w:val="bottom"/>
            <w:tcBorders>
              <w:bottom w:val="single" w:sz="8" w:color="F4F4F4"/>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80" w:type="dxa"/>
            <w:vAlign w:val="bottom"/>
            <w:tcBorders>
              <w:bottom w:val="single" w:sz="8" w:color="F4F4F4"/>
            </w:tcBorders>
          </w:tcPr>
          <w:p>
            <w:pPr>
              <w:spacing w:after="0"/>
              <w:rPr>
                <w:sz w:val="20"/>
                <w:szCs w:val="20"/>
                <w:color w:val="auto"/>
              </w:rPr>
            </w:pPr>
          </w:p>
        </w:tc>
        <w:tc>
          <w:tcPr>
            <w:tcW w:w="400" w:type="dxa"/>
            <w:vAlign w:val="bottom"/>
            <w:tcBorders>
              <w:bottom w:val="single" w:sz="8" w:color="ACACAC"/>
            </w:tcBorders>
            <w:shd w:val="clear" w:color="auto" w:fill="ACACAC"/>
          </w:tcPr>
          <w:p>
            <w:pPr>
              <w:spacing w:after="0"/>
              <w:rPr>
                <w:sz w:val="20"/>
                <w:szCs w:val="20"/>
                <w:color w:val="auto"/>
              </w:rPr>
            </w:pPr>
          </w:p>
        </w:tc>
        <w:tc>
          <w:tcPr>
            <w:tcW w:w="8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420" w:type="dxa"/>
            <w:vAlign w:val="bottom"/>
            <w:tcBorders>
              <w:bottom w:val="single" w:sz="8" w:color="ACACAC"/>
            </w:tcBorders>
            <w:shd w:val="clear" w:color="auto" w:fill="ACACAC"/>
          </w:tcPr>
          <w:p>
            <w:pPr>
              <w:spacing w:after="0"/>
              <w:rPr>
                <w:sz w:val="20"/>
                <w:szCs w:val="20"/>
                <w:color w:val="auto"/>
              </w:rPr>
            </w:pPr>
          </w:p>
        </w:tc>
        <w:tc>
          <w:tcPr>
            <w:tcW w:w="7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1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16"/>
        </w:trPr>
        <w:tc>
          <w:tcPr>
            <w:tcW w:w="4160" w:type="dxa"/>
            <w:vAlign w:val="bottom"/>
            <w:shd w:val="clear" w:color="auto" w:fill="F4F4F4"/>
          </w:tcPr>
          <w:p>
            <w:pPr>
              <w:ind w:left="20"/>
              <w:spacing w:after="0"/>
              <w:rPr>
                <w:sz w:val="20"/>
                <w:szCs w:val="20"/>
                <w:color w:val="auto"/>
              </w:rPr>
            </w:pPr>
            <w:r>
              <w:rPr>
                <w:rFonts w:ascii="Arial" w:cs="Arial" w:eastAsia="Arial" w:hAnsi="Arial"/>
                <w:sz w:val="14"/>
                <w:szCs w:val="14"/>
                <w:color w:val="auto"/>
              </w:rPr>
              <w:t>GAAP net (loss) income</w:t>
            </w:r>
          </w:p>
        </w:tc>
        <w:tc>
          <w:tcPr>
            <w:tcW w:w="420" w:type="dxa"/>
            <w:vAlign w:val="bottom"/>
            <w:shd w:val="clear" w:color="auto" w:fill="F4F4F4"/>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4F4"/>
          </w:tcPr>
          <w:p>
            <w:pPr>
              <w:jc w:val="right"/>
              <w:ind w:right="88"/>
              <w:spacing w:after="0"/>
              <w:rPr>
                <w:sz w:val="20"/>
                <w:szCs w:val="20"/>
                <w:color w:val="auto"/>
              </w:rPr>
            </w:pPr>
            <w:r>
              <w:rPr>
                <w:rFonts w:ascii="Arial" w:cs="Arial" w:eastAsia="Arial" w:hAnsi="Arial"/>
                <w:sz w:val="14"/>
                <w:szCs w:val="14"/>
                <w:color w:val="auto"/>
              </w:rPr>
              <w:t>(3.4)</w:t>
            </w:r>
          </w:p>
        </w:tc>
        <w:tc>
          <w:tcPr>
            <w:tcW w:w="440" w:type="dxa"/>
            <w:vAlign w:val="bottom"/>
            <w:shd w:val="clear" w:color="auto" w:fill="F4F4F4"/>
          </w:tcPr>
          <w:p>
            <w:pPr>
              <w:jc w:val="right"/>
              <w:ind w:right="268"/>
              <w:spacing w:after="0"/>
              <w:rPr>
                <w:sz w:val="20"/>
                <w:szCs w:val="20"/>
                <w:color w:val="auto"/>
              </w:rPr>
            </w:pPr>
            <w:r>
              <w:rPr>
                <w:rFonts w:ascii="Arial" w:cs="Arial" w:eastAsia="Arial" w:hAnsi="Arial"/>
                <w:sz w:val="14"/>
                <w:szCs w:val="14"/>
                <w:color w:val="auto"/>
              </w:rPr>
              <w:t>$</w:t>
            </w:r>
          </w:p>
        </w:tc>
        <w:tc>
          <w:tcPr>
            <w:tcW w:w="68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rPr>
              <w:t>6.7</w:t>
            </w:r>
          </w:p>
        </w:tc>
        <w:tc>
          <w:tcPr>
            <w:tcW w:w="112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(150.8)%</w:t>
            </w:r>
          </w:p>
        </w:tc>
        <w:tc>
          <w:tcPr>
            <w:tcW w:w="480" w:type="dxa"/>
            <w:vAlign w:val="bottom"/>
            <w:gridSpan w:val="2"/>
            <w:shd w:val="clear" w:color="auto" w:fill="F4F4F4"/>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(13.8)</w:t>
            </w:r>
          </w:p>
        </w:tc>
        <w:tc>
          <w:tcPr>
            <w:tcW w:w="420" w:type="dxa"/>
            <w:vAlign w:val="bottom"/>
            <w:shd w:val="clear" w:color="auto" w:fill="F4F4F4"/>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rPr>
              <w:t>6.6</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(310.6)%</w:t>
            </w:r>
          </w:p>
        </w:tc>
        <w:tc>
          <w:tcPr>
            <w:tcW w:w="20" w:type="dxa"/>
            <w:vAlign w:val="bottom"/>
          </w:tcPr>
          <w:p>
            <w:pPr>
              <w:spacing w:after="0"/>
              <w:rPr>
                <w:sz w:val="18"/>
                <w:szCs w:val="18"/>
                <w:color w:val="auto"/>
              </w:rPr>
            </w:pPr>
          </w:p>
        </w:tc>
      </w:tr>
      <w:tr>
        <w:trPr>
          <w:trHeight w:val="210"/>
        </w:trPr>
        <w:tc>
          <w:tcPr>
            <w:tcW w:w="4160" w:type="dxa"/>
            <w:vAlign w:val="bottom"/>
          </w:tcPr>
          <w:p>
            <w:pPr>
              <w:ind w:left="20"/>
              <w:spacing w:after="0"/>
              <w:rPr>
                <w:sz w:val="20"/>
                <w:szCs w:val="20"/>
                <w:color w:val="auto"/>
              </w:rPr>
            </w:pPr>
            <w:r>
              <w:rPr>
                <w:rFonts w:ascii="Arial" w:cs="Arial" w:eastAsia="Arial" w:hAnsi="Arial"/>
                <w:sz w:val="14"/>
                <w:szCs w:val="14"/>
                <w:color w:val="auto"/>
              </w:rPr>
              <w:t>Non-GAAP adjustments:</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416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Interest, net</w:t>
            </w:r>
          </w:p>
        </w:tc>
        <w:tc>
          <w:tcPr>
            <w:tcW w:w="420" w:type="dxa"/>
            <w:vAlign w:val="bottom"/>
            <w:shd w:val="clear" w:color="auto" w:fill="F4F4F4"/>
          </w:tcPr>
          <w:p>
            <w:pPr>
              <w:spacing w:after="0"/>
              <w:rPr>
                <w:sz w:val="19"/>
                <w:szCs w:val="19"/>
                <w:color w:val="auto"/>
              </w:rPr>
            </w:pPr>
          </w:p>
        </w:tc>
        <w:tc>
          <w:tcPr>
            <w:tcW w:w="82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8.9</w:t>
            </w:r>
          </w:p>
        </w:tc>
        <w:tc>
          <w:tcPr>
            <w:tcW w:w="440" w:type="dxa"/>
            <w:vAlign w:val="bottom"/>
            <w:shd w:val="clear" w:color="auto" w:fill="F4F4F4"/>
          </w:tcPr>
          <w:p>
            <w:pPr>
              <w:spacing w:after="0"/>
              <w:rPr>
                <w:sz w:val="19"/>
                <w:szCs w:val="19"/>
                <w:color w:val="auto"/>
              </w:rPr>
            </w:pPr>
          </w:p>
        </w:tc>
        <w:tc>
          <w:tcPr>
            <w:tcW w:w="68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rPr>
              <w:t>5.0</w:t>
            </w:r>
          </w:p>
        </w:tc>
        <w:tc>
          <w:tcPr>
            <w:tcW w:w="112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78.1 %</w:t>
            </w:r>
          </w:p>
        </w:tc>
        <w:tc>
          <w:tcPr>
            <w:tcW w:w="80" w:type="dxa"/>
            <w:vAlign w:val="bottom"/>
            <w:shd w:val="clear" w:color="auto" w:fill="F4F4F4"/>
          </w:tcPr>
          <w:p>
            <w:pPr>
              <w:spacing w:after="0"/>
              <w:rPr>
                <w:sz w:val="19"/>
                <w:szCs w:val="19"/>
                <w:color w:val="auto"/>
              </w:rPr>
            </w:pPr>
          </w:p>
        </w:tc>
        <w:tc>
          <w:tcPr>
            <w:tcW w:w="400" w:type="dxa"/>
            <w:vAlign w:val="bottom"/>
            <w:shd w:val="clear" w:color="auto" w:fill="F4F4F4"/>
          </w:tcPr>
          <w:p>
            <w:pPr>
              <w:spacing w:after="0"/>
              <w:rPr>
                <w:sz w:val="19"/>
                <w:szCs w:val="19"/>
                <w:color w:val="auto"/>
              </w:rPr>
            </w:pPr>
          </w:p>
        </w:tc>
        <w:tc>
          <w:tcPr>
            <w:tcW w:w="86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16.3</w:t>
            </w:r>
          </w:p>
        </w:tc>
        <w:tc>
          <w:tcPr>
            <w:tcW w:w="420" w:type="dxa"/>
            <w:vAlign w:val="bottom"/>
            <w:shd w:val="clear" w:color="auto" w:fill="F4F4F4"/>
          </w:tcPr>
          <w:p>
            <w:pPr>
              <w:spacing w:after="0"/>
              <w:rPr>
                <w:sz w:val="19"/>
                <w:szCs w:val="19"/>
                <w:color w:val="auto"/>
              </w:rPr>
            </w:pPr>
          </w:p>
        </w:tc>
        <w:tc>
          <w:tcPr>
            <w:tcW w:w="74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rPr>
              <w:t>9.9</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64.4 %</w:t>
            </w:r>
          </w:p>
        </w:tc>
        <w:tc>
          <w:tcPr>
            <w:tcW w:w="20" w:type="dxa"/>
            <w:vAlign w:val="bottom"/>
          </w:tcPr>
          <w:p>
            <w:pPr>
              <w:spacing w:after="0"/>
              <w:rPr>
                <w:sz w:val="19"/>
                <w:szCs w:val="19"/>
                <w:color w:val="auto"/>
              </w:rPr>
            </w:pPr>
          </w:p>
        </w:tc>
      </w:tr>
      <w:tr>
        <w:trPr>
          <w:trHeight w:val="210"/>
        </w:trPr>
        <w:tc>
          <w:tcPr>
            <w:tcW w:w="4160" w:type="dxa"/>
            <w:vAlign w:val="bottom"/>
          </w:tcPr>
          <w:p>
            <w:pPr>
              <w:ind w:left="140"/>
              <w:spacing w:after="0"/>
              <w:rPr>
                <w:sz w:val="20"/>
                <w:szCs w:val="20"/>
                <w:color w:val="auto"/>
              </w:rPr>
            </w:pPr>
            <w:r>
              <w:rPr>
                <w:rFonts w:ascii="Arial" w:cs="Arial" w:eastAsia="Arial" w:hAnsi="Arial"/>
                <w:sz w:val="14"/>
                <w:szCs w:val="14"/>
                <w:color w:val="auto"/>
              </w:rPr>
              <w:t>Add: GAAP income tax (benefit) provision</w:t>
            </w:r>
          </w:p>
        </w:tc>
        <w:tc>
          <w:tcPr>
            <w:tcW w:w="42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(2.4)</w:t>
            </w:r>
          </w:p>
        </w:tc>
        <w:tc>
          <w:tcPr>
            <w:tcW w:w="44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120" w:type="dxa"/>
            <w:vAlign w:val="bottom"/>
          </w:tcPr>
          <w:p>
            <w:pPr>
              <w:jc w:val="right"/>
              <w:spacing w:after="0"/>
              <w:rPr>
                <w:sz w:val="20"/>
                <w:szCs w:val="20"/>
                <w:color w:val="auto"/>
              </w:rPr>
            </w:pPr>
            <w:r>
              <w:rPr>
                <w:rFonts w:ascii="Arial" w:cs="Arial" w:eastAsia="Arial" w:hAnsi="Arial"/>
                <w:sz w:val="14"/>
                <w:szCs w:val="14"/>
                <w:color w:val="auto"/>
              </w:rPr>
              <w:t>(235.6)%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(4.4)</w:t>
            </w:r>
          </w:p>
        </w:tc>
        <w:tc>
          <w:tcPr>
            <w:tcW w:w="4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100" w:type="dxa"/>
            <w:vAlign w:val="bottom"/>
          </w:tcPr>
          <w:p>
            <w:pPr>
              <w:jc w:val="right"/>
              <w:spacing w:after="0"/>
              <w:rPr>
                <w:sz w:val="20"/>
                <w:szCs w:val="20"/>
                <w:color w:val="auto"/>
              </w:rPr>
            </w:pPr>
            <w:r>
              <w:rPr>
                <w:rFonts w:ascii="Arial" w:cs="Arial" w:eastAsia="Arial" w:hAnsi="Arial"/>
                <w:sz w:val="14"/>
                <w:szCs w:val="14"/>
                <w:color w:val="auto"/>
              </w:rPr>
              <w:t>(281.8)%</w:t>
            </w:r>
          </w:p>
        </w:tc>
        <w:tc>
          <w:tcPr>
            <w:tcW w:w="20" w:type="dxa"/>
            <w:vAlign w:val="bottom"/>
          </w:tcPr>
          <w:p>
            <w:pPr>
              <w:spacing w:after="0"/>
              <w:rPr>
                <w:sz w:val="18"/>
                <w:szCs w:val="18"/>
                <w:color w:val="auto"/>
              </w:rPr>
            </w:pPr>
          </w:p>
        </w:tc>
      </w:tr>
      <w:tr>
        <w:trPr>
          <w:trHeight w:val="222"/>
        </w:trPr>
        <w:tc>
          <w:tcPr>
            <w:tcW w:w="416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Depreciation</w:t>
            </w:r>
          </w:p>
        </w:tc>
        <w:tc>
          <w:tcPr>
            <w:tcW w:w="420" w:type="dxa"/>
            <w:vAlign w:val="bottom"/>
            <w:shd w:val="clear" w:color="auto" w:fill="F4F4F4"/>
          </w:tcPr>
          <w:p>
            <w:pPr>
              <w:spacing w:after="0"/>
              <w:rPr>
                <w:sz w:val="19"/>
                <w:szCs w:val="19"/>
                <w:color w:val="auto"/>
              </w:rPr>
            </w:pPr>
          </w:p>
        </w:tc>
        <w:tc>
          <w:tcPr>
            <w:tcW w:w="82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3.6</w:t>
            </w:r>
          </w:p>
        </w:tc>
        <w:tc>
          <w:tcPr>
            <w:tcW w:w="440" w:type="dxa"/>
            <w:vAlign w:val="bottom"/>
            <w:shd w:val="clear" w:color="auto" w:fill="F4F4F4"/>
          </w:tcPr>
          <w:p>
            <w:pPr>
              <w:spacing w:after="0"/>
              <w:rPr>
                <w:sz w:val="19"/>
                <w:szCs w:val="19"/>
                <w:color w:val="auto"/>
              </w:rPr>
            </w:pPr>
          </w:p>
        </w:tc>
        <w:tc>
          <w:tcPr>
            <w:tcW w:w="68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rPr>
              <w:t>3.1</w:t>
            </w:r>
          </w:p>
        </w:tc>
        <w:tc>
          <w:tcPr>
            <w:tcW w:w="112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14.2 %</w:t>
            </w:r>
          </w:p>
        </w:tc>
        <w:tc>
          <w:tcPr>
            <w:tcW w:w="80" w:type="dxa"/>
            <w:vAlign w:val="bottom"/>
            <w:shd w:val="clear" w:color="auto" w:fill="F4F4F4"/>
          </w:tcPr>
          <w:p>
            <w:pPr>
              <w:spacing w:after="0"/>
              <w:rPr>
                <w:sz w:val="19"/>
                <w:szCs w:val="19"/>
                <w:color w:val="auto"/>
              </w:rPr>
            </w:pPr>
          </w:p>
        </w:tc>
        <w:tc>
          <w:tcPr>
            <w:tcW w:w="400" w:type="dxa"/>
            <w:vAlign w:val="bottom"/>
            <w:shd w:val="clear" w:color="auto" w:fill="F4F4F4"/>
          </w:tcPr>
          <w:p>
            <w:pPr>
              <w:spacing w:after="0"/>
              <w:rPr>
                <w:sz w:val="19"/>
                <w:szCs w:val="19"/>
                <w:color w:val="auto"/>
              </w:rPr>
            </w:pPr>
          </w:p>
        </w:tc>
        <w:tc>
          <w:tcPr>
            <w:tcW w:w="86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7.1</w:t>
            </w:r>
          </w:p>
        </w:tc>
        <w:tc>
          <w:tcPr>
            <w:tcW w:w="420" w:type="dxa"/>
            <w:vAlign w:val="bottom"/>
            <w:shd w:val="clear" w:color="auto" w:fill="F4F4F4"/>
          </w:tcPr>
          <w:p>
            <w:pPr>
              <w:spacing w:after="0"/>
              <w:rPr>
                <w:sz w:val="19"/>
                <w:szCs w:val="19"/>
                <w:color w:val="auto"/>
              </w:rPr>
            </w:pPr>
          </w:p>
        </w:tc>
        <w:tc>
          <w:tcPr>
            <w:tcW w:w="74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rPr>
              <w:t>6.4</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12.2 %</w:t>
            </w:r>
          </w:p>
        </w:tc>
        <w:tc>
          <w:tcPr>
            <w:tcW w:w="20" w:type="dxa"/>
            <w:vAlign w:val="bottom"/>
          </w:tcPr>
          <w:p>
            <w:pPr>
              <w:spacing w:after="0"/>
              <w:rPr>
                <w:sz w:val="19"/>
                <w:szCs w:val="19"/>
                <w:color w:val="auto"/>
              </w:rPr>
            </w:pPr>
          </w:p>
        </w:tc>
      </w:tr>
      <w:tr>
        <w:trPr>
          <w:trHeight w:val="210"/>
        </w:trPr>
        <w:tc>
          <w:tcPr>
            <w:tcW w:w="4160" w:type="dxa"/>
            <w:vAlign w:val="bottom"/>
          </w:tcPr>
          <w:p>
            <w:pPr>
              <w:ind w:left="140"/>
              <w:spacing w:after="0"/>
              <w:rPr>
                <w:sz w:val="20"/>
                <w:szCs w:val="20"/>
                <w:color w:val="auto"/>
              </w:rPr>
            </w:pPr>
            <w:r>
              <w:rPr>
                <w:rFonts w:ascii="Arial" w:cs="Arial" w:eastAsia="Arial" w:hAnsi="Arial"/>
                <w:sz w:val="14"/>
                <w:szCs w:val="14"/>
                <w:color w:val="auto"/>
              </w:rPr>
              <w:t>Add: Amortization of intangibles from business combinations</w:t>
            </w:r>
          </w:p>
        </w:tc>
        <w:tc>
          <w:tcPr>
            <w:tcW w:w="420" w:type="dxa"/>
            <w:vAlign w:val="bottom"/>
          </w:tcPr>
          <w:p>
            <w:pPr>
              <w:spacing w:after="0"/>
              <w:rPr>
                <w:sz w:val="18"/>
                <w:szCs w:val="18"/>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13.2</w:t>
            </w:r>
          </w:p>
        </w:tc>
        <w:tc>
          <w:tcPr>
            <w:tcW w:w="44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9.4</w:t>
            </w:r>
          </w:p>
        </w:tc>
        <w:tc>
          <w:tcPr>
            <w:tcW w:w="1120" w:type="dxa"/>
            <w:vAlign w:val="bottom"/>
          </w:tcPr>
          <w:p>
            <w:pPr>
              <w:jc w:val="right"/>
              <w:spacing w:after="0"/>
              <w:rPr>
                <w:sz w:val="20"/>
                <w:szCs w:val="20"/>
                <w:color w:val="auto"/>
              </w:rPr>
            </w:pPr>
            <w:r>
              <w:rPr>
                <w:rFonts w:ascii="Arial" w:cs="Arial" w:eastAsia="Arial" w:hAnsi="Arial"/>
                <w:sz w:val="14"/>
                <w:szCs w:val="14"/>
                <w:color w:val="auto"/>
              </w:rPr>
              <w:t>39.8 %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26.5</w:t>
            </w:r>
          </w:p>
        </w:tc>
        <w:tc>
          <w:tcPr>
            <w:tcW w:w="4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19.1</w:t>
            </w:r>
          </w:p>
        </w:tc>
        <w:tc>
          <w:tcPr>
            <w:tcW w:w="1100" w:type="dxa"/>
            <w:vAlign w:val="bottom"/>
          </w:tcPr>
          <w:p>
            <w:pPr>
              <w:jc w:val="right"/>
              <w:spacing w:after="0"/>
              <w:rPr>
                <w:sz w:val="20"/>
                <w:szCs w:val="20"/>
                <w:color w:val="auto"/>
              </w:rPr>
            </w:pPr>
            <w:r>
              <w:rPr>
                <w:rFonts w:ascii="Arial" w:cs="Arial" w:eastAsia="Arial" w:hAnsi="Arial"/>
                <w:sz w:val="14"/>
                <w:szCs w:val="14"/>
                <w:color w:val="auto"/>
              </w:rPr>
              <w:t>38.6 %</w:t>
            </w:r>
          </w:p>
        </w:tc>
        <w:tc>
          <w:tcPr>
            <w:tcW w:w="20" w:type="dxa"/>
            <w:vAlign w:val="bottom"/>
          </w:tcPr>
          <w:p>
            <w:pPr>
              <w:spacing w:after="0"/>
              <w:rPr>
                <w:sz w:val="18"/>
                <w:szCs w:val="18"/>
                <w:color w:val="auto"/>
              </w:rPr>
            </w:pPr>
          </w:p>
        </w:tc>
      </w:tr>
      <w:tr>
        <w:trPr>
          <w:trHeight w:val="191"/>
        </w:trPr>
        <w:tc>
          <w:tcPr>
            <w:tcW w:w="416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Amortization of software and content development</w:t>
            </w:r>
          </w:p>
        </w:tc>
        <w:tc>
          <w:tcPr>
            <w:tcW w:w="420" w:type="dxa"/>
            <w:vAlign w:val="bottom"/>
            <w:shd w:val="clear" w:color="auto" w:fill="F4F4F4"/>
          </w:tcPr>
          <w:p>
            <w:pPr>
              <w:spacing w:after="0"/>
              <w:rPr>
                <w:sz w:val="16"/>
                <w:szCs w:val="16"/>
                <w:color w:val="auto"/>
              </w:rPr>
            </w:pPr>
          </w:p>
        </w:tc>
        <w:tc>
          <w:tcPr>
            <w:tcW w:w="820" w:type="dxa"/>
            <w:vAlign w:val="bottom"/>
            <w:shd w:val="clear" w:color="auto" w:fill="F4F4F4"/>
          </w:tcPr>
          <w:p>
            <w:pPr>
              <w:spacing w:after="0"/>
              <w:rPr>
                <w:sz w:val="16"/>
                <w:szCs w:val="16"/>
                <w:color w:val="auto"/>
              </w:rPr>
            </w:pPr>
          </w:p>
        </w:tc>
        <w:tc>
          <w:tcPr>
            <w:tcW w:w="440" w:type="dxa"/>
            <w:vAlign w:val="bottom"/>
            <w:shd w:val="clear" w:color="auto" w:fill="F4F4F4"/>
          </w:tcPr>
          <w:p>
            <w:pPr>
              <w:spacing w:after="0"/>
              <w:rPr>
                <w:sz w:val="16"/>
                <w:szCs w:val="16"/>
                <w:color w:val="auto"/>
              </w:rPr>
            </w:pPr>
          </w:p>
        </w:tc>
        <w:tc>
          <w:tcPr>
            <w:tcW w:w="680" w:type="dxa"/>
            <w:vAlign w:val="bottom"/>
            <w:shd w:val="clear" w:color="auto" w:fill="F4F4F4"/>
          </w:tcPr>
          <w:p>
            <w:pPr>
              <w:spacing w:after="0"/>
              <w:rPr>
                <w:sz w:val="16"/>
                <w:szCs w:val="16"/>
                <w:color w:val="auto"/>
              </w:rPr>
            </w:pPr>
          </w:p>
        </w:tc>
        <w:tc>
          <w:tcPr>
            <w:tcW w:w="1120" w:type="dxa"/>
            <w:vAlign w:val="bottom"/>
            <w:tcBorders>
              <w:right w:val="single" w:sz="8" w:color="F4F4F4"/>
            </w:tcBorders>
            <w:shd w:val="clear" w:color="auto" w:fill="F4F4F4"/>
          </w:tcPr>
          <w:p>
            <w:pPr>
              <w:spacing w:after="0"/>
              <w:rPr>
                <w:sz w:val="16"/>
                <w:szCs w:val="16"/>
                <w:color w:val="auto"/>
              </w:rPr>
            </w:pPr>
          </w:p>
        </w:tc>
        <w:tc>
          <w:tcPr>
            <w:tcW w:w="80" w:type="dxa"/>
            <w:vAlign w:val="bottom"/>
            <w:shd w:val="clear" w:color="auto" w:fill="F4F4F4"/>
          </w:tcPr>
          <w:p>
            <w:pPr>
              <w:spacing w:after="0"/>
              <w:rPr>
                <w:sz w:val="16"/>
                <w:szCs w:val="16"/>
                <w:color w:val="auto"/>
              </w:rPr>
            </w:pPr>
          </w:p>
        </w:tc>
        <w:tc>
          <w:tcPr>
            <w:tcW w:w="400" w:type="dxa"/>
            <w:vAlign w:val="bottom"/>
            <w:shd w:val="clear" w:color="auto" w:fill="F4F4F4"/>
          </w:tcPr>
          <w:p>
            <w:pPr>
              <w:spacing w:after="0"/>
              <w:rPr>
                <w:sz w:val="16"/>
                <w:szCs w:val="16"/>
                <w:color w:val="auto"/>
              </w:rPr>
            </w:pPr>
          </w:p>
        </w:tc>
        <w:tc>
          <w:tcPr>
            <w:tcW w:w="860" w:type="dxa"/>
            <w:vAlign w:val="bottom"/>
            <w:shd w:val="clear" w:color="auto" w:fill="F4F4F4"/>
          </w:tcPr>
          <w:p>
            <w:pPr>
              <w:spacing w:after="0"/>
              <w:rPr>
                <w:sz w:val="16"/>
                <w:szCs w:val="16"/>
                <w:color w:val="auto"/>
              </w:rPr>
            </w:pPr>
          </w:p>
        </w:tc>
        <w:tc>
          <w:tcPr>
            <w:tcW w:w="420" w:type="dxa"/>
            <w:vAlign w:val="bottom"/>
            <w:shd w:val="clear" w:color="auto" w:fill="F4F4F4"/>
          </w:tcPr>
          <w:p>
            <w:pPr>
              <w:spacing w:after="0"/>
              <w:rPr>
                <w:sz w:val="16"/>
                <w:szCs w:val="16"/>
                <w:color w:val="auto"/>
              </w:rPr>
            </w:pPr>
          </w:p>
        </w:tc>
        <w:tc>
          <w:tcPr>
            <w:tcW w:w="740" w:type="dxa"/>
            <w:vAlign w:val="bottom"/>
            <w:shd w:val="clear" w:color="auto" w:fill="F4F4F4"/>
          </w:tcPr>
          <w:p>
            <w:pPr>
              <w:spacing w:after="0"/>
              <w:rPr>
                <w:sz w:val="16"/>
                <w:szCs w:val="16"/>
                <w:color w:val="auto"/>
              </w:rPr>
            </w:pPr>
          </w:p>
        </w:tc>
        <w:tc>
          <w:tcPr>
            <w:tcW w:w="1100" w:type="dxa"/>
            <w:vAlign w:val="bottom"/>
            <w:shd w:val="clear" w:color="auto" w:fill="F4F4F4"/>
          </w:tcPr>
          <w:p>
            <w:pPr>
              <w:spacing w:after="0"/>
              <w:rPr>
                <w:sz w:val="16"/>
                <w:szCs w:val="16"/>
                <w:color w:val="auto"/>
              </w:rPr>
            </w:pPr>
          </w:p>
        </w:tc>
        <w:tc>
          <w:tcPr>
            <w:tcW w:w="20" w:type="dxa"/>
            <w:vAlign w:val="bottom"/>
          </w:tcPr>
          <w:p>
            <w:pPr>
              <w:spacing w:after="0"/>
              <w:rPr>
                <w:sz w:val="16"/>
                <w:szCs w:val="16"/>
                <w:color w:val="auto"/>
              </w:rPr>
            </w:pPr>
          </w:p>
        </w:tc>
      </w:tr>
      <w:tr>
        <w:trPr>
          <w:trHeight w:val="193"/>
        </w:trPr>
        <w:tc>
          <w:tcPr>
            <w:tcW w:w="4160" w:type="dxa"/>
            <w:vAlign w:val="bottom"/>
            <w:shd w:val="clear" w:color="auto" w:fill="F4F4F4"/>
          </w:tcPr>
          <w:p>
            <w:pPr>
              <w:ind w:left="140"/>
              <w:spacing w:after="0" w:line="193" w:lineRule="exact"/>
              <w:rPr>
                <w:sz w:val="20"/>
                <w:szCs w:val="20"/>
                <w:color w:val="auto"/>
              </w:rPr>
            </w:pPr>
            <w:r>
              <w:rPr>
                <w:rFonts w:ascii="Arial" w:cs="Arial" w:eastAsia="Arial" w:hAnsi="Arial"/>
                <w:sz w:val="14"/>
                <w:szCs w:val="14"/>
                <w:color w:val="auto"/>
              </w:rPr>
              <w:t>costs</w:t>
            </w:r>
            <w:r>
              <w:rPr>
                <w:rFonts w:ascii="Arial" w:cs="Arial" w:eastAsia="Arial" w:hAnsi="Arial"/>
                <w:sz w:val="18"/>
                <w:szCs w:val="18"/>
                <w:color w:val="auto"/>
                <w:vertAlign w:val="superscript"/>
              </w:rPr>
              <w:t>(1)</w:t>
            </w:r>
          </w:p>
        </w:tc>
        <w:tc>
          <w:tcPr>
            <w:tcW w:w="420" w:type="dxa"/>
            <w:vAlign w:val="bottom"/>
            <w:tcBorders>
              <w:bottom w:val="single" w:sz="8" w:color="auto"/>
            </w:tcBorders>
            <w:shd w:val="clear" w:color="auto" w:fill="F4F4F4"/>
          </w:tcPr>
          <w:p>
            <w:pPr>
              <w:spacing w:after="0"/>
              <w:rPr>
                <w:sz w:val="16"/>
                <w:szCs w:val="16"/>
                <w:color w:val="auto"/>
              </w:rPr>
            </w:pPr>
          </w:p>
        </w:tc>
        <w:tc>
          <w:tcPr>
            <w:tcW w:w="82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9.5</w:t>
            </w:r>
          </w:p>
        </w:tc>
        <w:tc>
          <w:tcPr>
            <w:tcW w:w="440" w:type="dxa"/>
            <w:vAlign w:val="bottom"/>
            <w:tcBorders>
              <w:bottom w:val="single" w:sz="8" w:color="auto"/>
            </w:tcBorders>
            <w:shd w:val="clear" w:color="auto" w:fill="F4F4F4"/>
          </w:tcPr>
          <w:p>
            <w:pPr>
              <w:spacing w:after="0"/>
              <w:rPr>
                <w:sz w:val="16"/>
                <w:szCs w:val="16"/>
                <w:color w:val="auto"/>
              </w:rPr>
            </w:pPr>
          </w:p>
        </w:tc>
        <w:tc>
          <w:tcPr>
            <w:tcW w:w="680" w:type="dxa"/>
            <w:vAlign w:val="bottom"/>
            <w:tcBorders>
              <w:bottom w:val="single" w:sz="8" w:color="auto"/>
            </w:tcBorders>
            <w:shd w:val="clear" w:color="auto" w:fill="F4F4F4"/>
          </w:tcPr>
          <w:p>
            <w:pPr>
              <w:jc w:val="right"/>
              <w:ind w:right="8"/>
              <w:spacing w:after="0"/>
              <w:rPr>
                <w:sz w:val="20"/>
                <w:szCs w:val="20"/>
                <w:color w:val="auto"/>
              </w:rPr>
            </w:pPr>
            <w:r>
              <w:rPr>
                <w:rFonts w:ascii="Arial" w:cs="Arial" w:eastAsia="Arial" w:hAnsi="Arial"/>
                <w:sz w:val="14"/>
                <w:szCs w:val="14"/>
                <w:color w:val="auto"/>
              </w:rPr>
              <w:t>8.1</w:t>
            </w:r>
          </w:p>
        </w:tc>
        <w:tc>
          <w:tcPr>
            <w:tcW w:w="112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16.9 %</w:t>
            </w:r>
          </w:p>
        </w:tc>
        <w:tc>
          <w:tcPr>
            <w:tcW w:w="80" w:type="dxa"/>
            <w:vAlign w:val="bottom"/>
            <w:shd w:val="clear" w:color="auto" w:fill="F4F4F4"/>
          </w:tcPr>
          <w:p>
            <w:pPr>
              <w:spacing w:after="0"/>
              <w:rPr>
                <w:sz w:val="16"/>
                <w:szCs w:val="16"/>
                <w:color w:val="auto"/>
              </w:rPr>
            </w:pPr>
          </w:p>
        </w:tc>
        <w:tc>
          <w:tcPr>
            <w:tcW w:w="400" w:type="dxa"/>
            <w:vAlign w:val="bottom"/>
            <w:tcBorders>
              <w:bottom w:val="single" w:sz="8" w:color="auto"/>
            </w:tcBorders>
            <w:shd w:val="clear" w:color="auto" w:fill="F4F4F4"/>
          </w:tcPr>
          <w:p>
            <w:pPr>
              <w:spacing w:after="0"/>
              <w:rPr>
                <w:sz w:val="16"/>
                <w:szCs w:val="16"/>
                <w:color w:val="auto"/>
              </w:rPr>
            </w:pPr>
          </w:p>
        </w:tc>
        <w:tc>
          <w:tcPr>
            <w:tcW w:w="86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18.7</w:t>
            </w:r>
          </w:p>
        </w:tc>
        <w:tc>
          <w:tcPr>
            <w:tcW w:w="420" w:type="dxa"/>
            <w:vAlign w:val="bottom"/>
            <w:tcBorders>
              <w:bottom w:val="single" w:sz="8" w:color="auto"/>
            </w:tcBorders>
            <w:shd w:val="clear" w:color="auto" w:fill="F4F4F4"/>
          </w:tcPr>
          <w:p>
            <w:pPr>
              <w:spacing w:after="0"/>
              <w:rPr>
                <w:sz w:val="16"/>
                <w:szCs w:val="16"/>
                <w:color w:val="auto"/>
              </w:rPr>
            </w:pPr>
          </w:p>
        </w:tc>
        <w:tc>
          <w:tcPr>
            <w:tcW w:w="740" w:type="dxa"/>
            <w:vAlign w:val="bottom"/>
            <w:tcBorders>
              <w:bottom w:val="single" w:sz="8" w:color="auto"/>
            </w:tcBorders>
            <w:shd w:val="clear" w:color="auto" w:fill="F4F4F4"/>
          </w:tcPr>
          <w:p>
            <w:pPr>
              <w:jc w:val="right"/>
              <w:ind w:right="8"/>
              <w:spacing w:after="0"/>
              <w:rPr>
                <w:sz w:val="20"/>
                <w:szCs w:val="20"/>
                <w:color w:val="auto"/>
              </w:rPr>
            </w:pPr>
            <w:r>
              <w:rPr>
                <w:rFonts w:ascii="Arial" w:cs="Arial" w:eastAsia="Arial" w:hAnsi="Arial"/>
                <w:sz w:val="14"/>
                <w:szCs w:val="14"/>
                <w:color w:val="auto"/>
              </w:rPr>
              <w:t>16.1</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16.5 %</w:t>
            </w:r>
          </w:p>
        </w:tc>
        <w:tc>
          <w:tcPr>
            <w:tcW w:w="20" w:type="dxa"/>
            <w:vAlign w:val="bottom"/>
          </w:tcPr>
          <w:p>
            <w:pPr>
              <w:spacing w:after="0"/>
              <w:rPr>
                <w:sz w:val="16"/>
                <w:szCs w:val="16"/>
                <w:color w:val="auto"/>
              </w:rPr>
            </w:pPr>
          </w:p>
        </w:tc>
      </w:tr>
      <w:tr>
        <w:trPr>
          <w:trHeight w:val="209"/>
        </w:trPr>
        <w:tc>
          <w:tcPr>
            <w:tcW w:w="4160" w:type="dxa"/>
            <w:vAlign w:val="bottom"/>
            <w:tcBorders>
              <w:bottom w:val="single" w:sz="8" w:color="F4F4F4"/>
            </w:tcBorders>
          </w:tcPr>
          <w:p>
            <w:pPr>
              <w:ind w:left="240"/>
              <w:spacing w:after="0"/>
              <w:rPr>
                <w:sz w:val="20"/>
                <w:szCs w:val="20"/>
                <w:color w:val="auto"/>
              </w:rPr>
            </w:pPr>
            <w:r>
              <w:rPr>
                <w:rFonts w:ascii="Arial" w:cs="Arial" w:eastAsia="Arial" w:hAnsi="Arial"/>
                <w:sz w:val="14"/>
                <w:szCs w:val="14"/>
                <w:color w:val="auto"/>
              </w:rPr>
              <w:t>Subtotal</w:t>
            </w:r>
            <w:r>
              <w:rPr>
                <w:rFonts w:ascii="Arial" w:cs="Arial" w:eastAsia="Arial" w:hAnsi="Arial"/>
                <w:sz w:val="18"/>
                <w:szCs w:val="18"/>
                <w:color w:val="auto"/>
                <w:vertAlign w:val="superscript"/>
              </w:rPr>
              <w:t>(2)</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32.8</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27.4</w:t>
            </w:r>
          </w:p>
        </w:tc>
        <w:tc>
          <w:tcPr>
            <w:tcW w:w="112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19.5 %</w:t>
            </w:r>
          </w:p>
        </w:tc>
        <w:tc>
          <w:tcPr>
            <w:tcW w:w="80" w:type="dxa"/>
            <w:vAlign w:val="bottom"/>
            <w:tcBorders>
              <w:bottom w:val="single" w:sz="8" w:color="F4F4F4"/>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64.3</w:t>
            </w: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53.9</w:t>
            </w:r>
          </w:p>
        </w:tc>
        <w:tc>
          <w:tcPr>
            <w:tcW w:w="110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19.2 %</w:t>
            </w:r>
          </w:p>
        </w:tc>
        <w:tc>
          <w:tcPr>
            <w:tcW w:w="20" w:type="dxa"/>
            <w:vAlign w:val="bottom"/>
          </w:tcPr>
          <w:p>
            <w:pPr>
              <w:spacing w:after="0"/>
              <w:rPr>
                <w:sz w:val="18"/>
                <w:szCs w:val="18"/>
                <w:color w:val="auto"/>
              </w:rPr>
            </w:pPr>
          </w:p>
        </w:tc>
      </w:tr>
      <w:tr>
        <w:trPr>
          <w:trHeight w:val="210"/>
        </w:trPr>
        <w:tc>
          <w:tcPr>
            <w:tcW w:w="4160" w:type="dxa"/>
            <w:vAlign w:val="bottom"/>
            <w:shd w:val="clear" w:color="auto" w:fill="F4F4F4"/>
          </w:tcPr>
          <w:p>
            <w:pPr>
              <w:ind w:left="20"/>
              <w:spacing w:after="0"/>
              <w:rPr>
                <w:sz w:val="20"/>
                <w:szCs w:val="20"/>
                <w:color w:val="auto"/>
              </w:rPr>
            </w:pPr>
            <w:r>
              <w:rPr>
                <w:rFonts w:ascii="Arial" w:cs="Arial" w:eastAsia="Arial" w:hAnsi="Arial"/>
                <w:sz w:val="14"/>
                <w:szCs w:val="14"/>
                <w:color w:val="auto"/>
              </w:rPr>
              <w:t>Non-GAAP EBITDA</w:t>
            </w:r>
            <w:r>
              <w:rPr>
                <w:rFonts w:ascii="Arial" w:cs="Arial" w:eastAsia="Arial" w:hAnsi="Arial"/>
                <w:sz w:val="18"/>
                <w:szCs w:val="18"/>
                <w:color w:val="auto"/>
                <w:vertAlign w:val="superscript"/>
              </w:rPr>
              <w:t>(2)</w:t>
            </w:r>
          </w:p>
        </w:tc>
        <w:tc>
          <w:tcPr>
            <w:tcW w:w="420" w:type="dxa"/>
            <w:vAlign w:val="bottom"/>
            <w:shd w:val="clear" w:color="auto" w:fill="F4F4F4"/>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29.4</w:t>
            </w:r>
          </w:p>
        </w:tc>
        <w:tc>
          <w:tcPr>
            <w:tcW w:w="440" w:type="dxa"/>
            <w:vAlign w:val="bottom"/>
            <w:shd w:val="clear" w:color="auto" w:fill="F4F4F4"/>
          </w:tcPr>
          <w:p>
            <w:pPr>
              <w:jc w:val="right"/>
              <w:ind w:right="268"/>
              <w:spacing w:after="0"/>
              <w:rPr>
                <w:sz w:val="20"/>
                <w:szCs w:val="20"/>
                <w:color w:val="auto"/>
              </w:rPr>
            </w:pPr>
            <w:r>
              <w:rPr>
                <w:rFonts w:ascii="Arial" w:cs="Arial" w:eastAsia="Arial" w:hAnsi="Arial"/>
                <w:sz w:val="14"/>
                <w:szCs w:val="14"/>
                <w:color w:val="auto"/>
              </w:rPr>
              <w:t>$</w:t>
            </w:r>
          </w:p>
        </w:tc>
        <w:tc>
          <w:tcPr>
            <w:tcW w:w="68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rPr>
              <w:t>34.2</w:t>
            </w:r>
          </w:p>
        </w:tc>
        <w:tc>
          <w:tcPr>
            <w:tcW w:w="112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(14.1)%</w:t>
            </w:r>
          </w:p>
        </w:tc>
        <w:tc>
          <w:tcPr>
            <w:tcW w:w="480" w:type="dxa"/>
            <w:vAlign w:val="bottom"/>
            <w:gridSpan w:val="2"/>
            <w:shd w:val="clear" w:color="auto" w:fill="F4F4F4"/>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50.5</w:t>
            </w:r>
          </w:p>
        </w:tc>
        <w:tc>
          <w:tcPr>
            <w:tcW w:w="420" w:type="dxa"/>
            <w:vAlign w:val="bottom"/>
            <w:shd w:val="clear" w:color="auto" w:fill="F4F4F4"/>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rPr>
              <w:t>60.5</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(16.6)%</w:t>
            </w:r>
          </w:p>
        </w:tc>
        <w:tc>
          <w:tcPr>
            <w:tcW w:w="20" w:type="dxa"/>
            <w:vAlign w:val="bottom"/>
          </w:tcPr>
          <w:p>
            <w:pPr>
              <w:spacing w:after="0"/>
              <w:rPr>
                <w:sz w:val="18"/>
                <w:szCs w:val="18"/>
                <w:color w:val="auto"/>
              </w:rPr>
            </w:pPr>
          </w:p>
        </w:tc>
      </w:tr>
      <w:tr>
        <w:trPr>
          <w:trHeight w:val="203"/>
        </w:trPr>
        <w:tc>
          <w:tcPr>
            <w:tcW w:w="4160" w:type="dxa"/>
            <w:vAlign w:val="bottom"/>
          </w:tcPr>
          <w:p>
            <w:pPr>
              <w:ind w:left="140"/>
              <w:spacing w:after="0"/>
              <w:rPr>
                <w:sz w:val="20"/>
                <w:szCs w:val="20"/>
                <w:color w:val="auto"/>
              </w:rPr>
            </w:pPr>
            <w:r>
              <w:rPr>
                <w:rFonts w:ascii="Arial" w:cs="Arial" w:eastAsia="Arial" w:hAnsi="Arial"/>
                <w:sz w:val="14"/>
                <w:szCs w:val="14"/>
                <w:color w:val="auto"/>
              </w:rPr>
              <w:t>Non-GAAP EBITDA margin</w:t>
            </w:r>
          </w:p>
        </w:tc>
        <w:tc>
          <w:tcPr>
            <w:tcW w:w="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11.1 %</w:t>
            </w:r>
          </w:p>
        </w:tc>
        <w:tc>
          <w:tcPr>
            <w:tcW w:w="4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9.7 %</w:t>
            </w:r>
          </w:p>
        </w:tc>
        <w:tc>
          <w:tcPr>
            <w:tcW w:w="4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54"/>
        </w:trPr>
        <w:tc>
          <w:tcPr>
            <w:tcW w:w="4160" w:type="dxa"/>
            <w:vAlign w:val="bottom"/>
            <w:shd w:val="clear" w:color="auto" w:fill="F4F4F4"/>
          </w:tcPr>
          <w:p>
            <w:pPr>
              <w:spacing w:after="0"/>
              <w:rPr>
                <w:sz w:val="13"/>
                <w:szCs w:val="13"/>
                <w:color w:val="auto"/>
              </w:rPr>
            </w:pPr>
          </w:p>
        </w:tc>
        <w:tc>
          <w:tcPr>
            <w:tcW w:w="420" w:type="dxa"/>
            <w:vAlign w:val="bottom"/>
            <w:shd w:val="clear" w:color="auto" w:fill="F4F4F4"/>
          </w:tcPr>
          <w:p>
            <w:pPr>
              <w:spacing w:after="0"/>
              <w:rPr>
                <w:sz w:val="13"/>
                <w:szCs w:val="13"/>
                <w:color w:val="auto"/>
              </w:rPr>
            </w:pPr>
          </w:p>
        </w:tc>
        <w:tc>
          <w:tcPr>
            <w:tcW w:w="820" w:type="dxa"/>
            <w:vAlign w:val="bottom"/>
            <w:shd w:val="clear" w:color="auto" w:fill="F4F4F4"/>
          </w:tcPr>
          <w:p>
            <w:pPr>
              <w:spacing w:after="0"/>
              <w:rPr>
                <w:sz w:val="13"/>
                <w:szCs w:val="13"/>
                <w:color w:val="auto"/>
              </w:rPr>
            </w:pPr>
          </w:p>
        </w:tc>
        <w:tc>
          <w:tcPr>
            <w:tcW w:w="440" w:type="dxa"/>
            <w:vAlign w:val="bottom"/>
            <w:shd w:val="clear" w:color="auto" w:fill="F4F4F4"/>
          </w:tcPr>
          <w:p>
            <w:pPr>
              <w:spacing w:after="0"/>
              <w:rPr>
                <w:sz w:val="13"/>
                <w:szCs w:val="13"/>
                <w:color w:val="auto"/>
              </w:rPr>
            </w:pPr>
          </w:p>
        </w:tc>
        <w:tc>
          <w:tcPr>
            <w:tcW w:w="680" w:type="dxa"/>
            <w:vAlign w:val="bottom"/>
            <w:shd w:val="clear" w:color="auto" w:fill="F4F4F4"/>
          </w:tcPr>
          <w:p>
            <w:pPr>
              <w:spacing w:after="0"/>
              <w:rPr>
                <w:sz w:val="13"/>
                <w:szCs w:val="13"/>
                <w:color w:val="auto"/>
              </w:rPr>
            </w:pPr>
          </w:p>
        </w:tc>
        <w:tc>
          <w:tcPr>
            <w:tcW w:w="1120" w:type="dxa"/>
            <w:vAlign w:val="bottom"/>
            <w:tcBorders>
              <w:right w:val="single" w:sz="8" w:color="F4F4F4"/>
            </w:tcBorders>
            <w:shd w:val="clear" w:color="auto" w:fill="F4F4F4"/>
          </w:tcPr>
          <w:p>
            <w:pPr>
              <w:spacing w:after="0"/>
              <w:rPr>
                <w:sz w:val="13"/>
                <w:szCs w:val="13"/>
                <w:color w:val="auto"/>
              </w:rPr>
            </w:pPr>
          </w:p>
        </w:tc>
        <w:tc>
          <w:tcPr>
            <w:tcW w:w="80" w:type="dxa"/>
            <w:vAlign w:val="bottom"/>
            <w:shd w:val="clear" w:color="auto" w:fill="F4F4F4"/>
          </w:tcPr>
          <w:p>
            <w:pPr>
              <w:spacing w:after="0"/>
              <w:rPr>
                <w:sz w:val="13"/>
                <w:szCs w:val="13"/>
                <w:color w:val="auto"/>
              </w:rPr>
            </w:pPr>
          </w:p>
        </w:tc>
        <w:tc>
          <w:tcPr>
            <w:tcW w:w="400" w:type="dxa"/>
            <w:vAlign w:val="bottom"/>
            <w:shd w:val="clear" w:color="auto" w:fill="F4F4F4"/>
          </w:tcPr>
          <w:p>
            <w:pPr>
              <w:spacing w:after="0"/>
              <w:rPr>
                <w:sz w:val="13"/>
                <w:szCs w:val="13"/>
                <w:color w:val="auto"/>
              </w:rPr>
            </w:pPr>
          </w:p>
        </w:tc>
        <w:tc>
          <w:tcPr>
            <w:tcW w:w="860" w:type="dxa"/>
            <w:vAlign w:val="bottom"/>
            <w:shd w:val="clear" w:color="auto" w:fill="F4F4F4"/>
          </w:tcPr>
          <w:p>
            <w:pPr>
              <w:spacing w:after="0"/>
              <w:rPr>
                <w:sz w:val="13"/>
                <w:szCs w:val="13"/>
                <w:color w:val="auto"/>
              </w:rPr>
            </w:pPr>
          </w:p>
        </w:tc>
        <w:tc>
          <w:tcPr>
            <w:tcW w:w="420" w:type="dxa"/>
            <w:vAlign w:val="bottom"/>
            <w:shd w:val="clear" w:color="auto" w:fill="F4F4F4"/>
          </w:tcPr>
          <w:p>
            <w:pPr>
              <w:spacing w:after="0"/>
              <w:rPr>
                <w:sz w:val="13"/>
                <w:szCs w:val="13"/>
                <w:color w:val="auto"/>
              </w:rPr>
            </w:pPr>
          </w:p>
        </w:tc>
        <w:tc>
          <w:tcPr>
            <w:tcW w:w="740" w:type="dxa"/>
            <w:vAlign w:val="bottom"/>
            <w:shd w:val="clear" w:color="auto" w:fill="F4F4F4"/>
          </w:tcPr>
          <w:p>
            <w:pPr>
              <w:spacing w:after="0"/>
              <w:rPr>
                <w:sz w:val="13"/>
                <w:szCs w:val="13"/>
                <w:color w:val="auto"/>
              </w:rPr>
            </w:pPr>
          </w:p>
        </w:tc>
        <w:tc>
          <w:tcPr>
            <w:tcW w:w="1100" w:type="dxa"/>
            <w:vAlign w:val="bottom"/>
            <w:shd w:val="clear" w:color="auto" w:fill="F4F4F4"/>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4160" w:type="dxa"/>
            <w:vAlign w:val="bottom"/>
          </w:tcPr>
          <w:p>
            <w:pPr>
              <w:ind w:left="20"/>
              <w:spacing w:after="0"/>
              <w:rPr>
                <w:sz w:val="20"/>
                <w:szCs w:val="20"/>
                <w:color w:val="auto"/>
              </w:rPr>
            </w:pPr>
            <w:r>
              <w:rPr>
                <w:rFonts w:ascii="Arial" w:cs="Arial" w:eastAsia="Arial" w:hAnsi="Arial"/>
                <w:sz w:val="14"/>
                <w:szCs w:val="14"/>
                <w:color w:val="auto"/>
              </w:rPr>
              <w:t>Non-GAAP adjustments:</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416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Stock-based compensation expense</w:t>
            </w:r>
          </w:p>
        </w:tc>
        <w:tc>
          <w:tcPr>
            <w:tcW w:w="420" w:type="dxa"/>
            <w:vAlign w:val="bottom"/>
            <w:shd w:val="clear" w:color="auto" w:fill="F4F4F4"/>
          </w:tcPr>
          <w:p>
            <w:pPr>
              <w:spacing w:after="0"/>
              <w:rPr>
                <w:sz w:val="19"/>
                <w:szCs w:val="19"/>
                <w:color w:val="auto"/>
              </w:rPr>
            </w:pPr>
          </w:p>
        </w:tc>
        <w:tc>
          <w:tcPr>
            <w:tcW w:w="82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27.9</w:t>
            </w:r>
          </w:p>
        </w:tc>
        <w:tc>
          <w:tcPr>
            <w:tcW w:w="440" w:type="dxa"/>
            <w:vAlign w:val="bottom"/>
            <w:shd w:val="clear" w:color="auto" w:fill="F4F4F4"/>
          </w:tcPr>
          <w:p>
            <w:pPr>
              <w:spacing w:after="0"/>
              <w:rPr>
                <w:sz w:val="19"/>
                <w:szCs w:val="19"/>
                <w:color w:val="auto"/>
              </w:rPr>
            </w:pPr>
          </w:p>
        </w:tc>
        <w:tc>
          <w:tcPr>
            <w:tcW w:w="68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rPr>
              <w:t>30.5</w:t>
            </w:r>
          </w:p>
        </w:tc>
        <w:tc>
          <w:tcPr>
            <w:tcW w:w="112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(8.8)%</w:t>
            </w:r>
          </w:p>
        </w:tc>
        <w:tc>
          <w:tcPr>
            <w:tcW w:w="80" w:type="dxa"/>
            <w:vAlign w:val="bottom"/>
            <w:shd w:val="clear" w:color="auto" w:fill="F4F4F4"/>
          </w:tcPr>
          <w:p>
            <w:pPr>
              <w:spacing w:after="0"/>
              <w:rPr>
                <w:sz w:val="19"/>
                <w:szCs w:val="19"/>
                <w:color w:val="auto"/>
              </w:rPr>
            </w:pPr>
          </w:p>
        </w:tc>
        <w:tc>
          <w:tcPr>
            <w:tcW w:w="400" w:type="dxa"/>
            <w:vAlign w:val="bottom"/>
            <w:shd w:val="clear" w:color="auto" w:fill="F4F4F4"/>
          </w:tcPr>
          <w:p>
            <w:pPr>
              <w:spacing w:after="0"/>
              <w:rPr>
                <w:sz w:val="19"/>
                <w:szCs w:val="19"/>
                <w:color w:val="auto"/>
              </w:rPr>
            </w:pPr>
          </w:p>
        </w:tc>
        <w:tc>
          <w:tcPr>
            <w:tcW w:w="86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55.7</w:t>
            </w:r>
          </w:p>
        </w:tc>
        <w:tc>
          <w:tcPr>
            <w:tcW w:w="420" w:type="dxa"/>
            <w:vAlign w:val="bottom"/>
            <w:shd w:val="clear" w:color="auto" w:fill="F4F4F4"/>
          </w:tcPr>
          <w:p>
            <w:pPr>
              <w:spacing w:after="0"/>
              <w:rPr>
                <w:sz w:val="19"/>
                <w:szCs w:val="19"/>
                <w:color w:val="auto"/>
              </w:rPr>
            </w:pPr>
          </w:p>
        </w:tc>
        <w:tc>
          <w:tcPr>
            <w:tcW w:w="74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rPr>
              <w:t>60.6</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(8.0)%</w:t>
            </w:r>
          </w:p>
        </w:tc>
        <w:tc>
          <w:tcPr>
            <w:tcW w:w="20" w:type="dxa"/>
            <w:vAlign w:val="bottom"/>
          </w:tcPr>
          <w:p>
            <w:pPr>
              <w:spacing w:after="0"/>
              <w:rPr>
                <w:sz w:val="19"/>
                <w:szCs w:val="19"/>
                <w:color w:val="auto"/>
              </w:rPr>
            </w:pPr>
          </w:p>
        </w:tc>
      </w:tr>
      <w:tr>
        <w:trPr>
          <w:trHeight w:val="210"/>
        </w:trPr>
        <w:tc>
          <w:tcPr>
            <w:tcW w:w="4160" w:type="dxa"/>
            <w:vAlign w:val="bottom"/>
          </w:tcPr>
          <w:p>
            <w:pPr>
              <w:ind w:left="140"/>
              <w:spacing w:after="0"/>
              <w:rPr>
                <w:sz w:val="20"/>
                <w:szCs w:val="20"/>
                <w:color w:val="auto"/>
              </w:rPr>
            </w:pPr>
            <w:r>
              <w:rPr>
                <w:rFonts w:ascii="Arial" w:cs="Arial" w:eastAsia="Arial" w:hAnsi="Arial"/>
                <w:sz w:val="14"/>
                <w:szCs w:val="14"/>
                <w:color w:val="auto"/>
              </w:rPr>
              <w:t>Add: Employee severance</w:t>
            </w:r>
          </w:p>
        </w:tc>
        <w:tc>
          <w:tcPr>
            <w:tcW w:w="420" w:type="dxa"/>
            <w:vAlign w:val="bottom"/>
          </w:tcPr>
          <w:p>
            <w:pPr>
              <w:spacing w:after="0"/>
              <w:rPr>
                <w:sz w:val="18"/>
                <w:szCs w:val="18"/>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0.5</w:t>
            </w:r>
          </w:p>
        </w:tc>
        <w:tc>
          <w:tcPr>
            <w:tcW w:w="44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0.5</w:t>
            </w:r>
          </w:p>
        </w:tc>
        <w:tc>
          <w:tcPr>
            <w:tcW w:w="1120" w:type="dxa"/>
            <w:vAlign w:val="bottom"/>
          </w:tcPr>
          <w:p>
            <w:pPr>
              <w:jc w:val="right"/>
              <w:spacing w:after="0"/>
              <w:rPr>
                <w:sz w:val="20"/>
                <w:szCs w:val="20"/>
                <w:color w:val="auto"/>
              </w:rPr>
            </w:pPr>
            <w:r>
              <w:rPr>
                <w:rFonts w:ascii="Arial" w:cs="Arial" w:eastAsia="Arial" w:hAnsi="Arial"/>
                <w:sz w:val="14"/>
                <w:szCs w:val="14"/>
                <w:color w:val="auto"/>
              </w:rPr>
              <w:t>2.4 %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0.5</w:t>
            </w:r>
          </w:p>
        </w:tc>
        <w:tc>
          <w:tcPr>
            <w:tcW w:w="4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100" w:type="dxa"/>
            <w:vAlign w:val="bottom"/>
          </w:tcPr>
          <w:p>
            <w:pPr>
              <w:jc w:val="right"/>
              <w:spacing w:after="0"/>
              <w:rPr>
                <w:sz w:val="20"/>
                <w:szCs w:val="20"/>
                <w:color w:val="auto"/>
              </w:rPr>
            </w:pPr>
            <w:r>
              <w:rPr>
                <w:rFonts w:ascii="Arial" w:cs="Arial" w:eastAsia="Arial" w:hAnsi="Arial"/>
                <w:sz w:val="14"/>
                <w:szCs w:val="14"/>
                <w:color w:val="auto"/>
              </w:rPr>
              <w:t>(68.0)%</w:t>
            </w:r>
          </w:p>
        </w:tc>
        <w:tc>
          <w:tcPr>
            <w:tcW w:w="20" w:type="dxa"/>
            <w:vAlign w:val="bottom"/>
          </w:tcPr>
          <w:p>
            <w:pPr>
              <w:spacing w:after="0"/>
              <w:rPr>
                <w:sz w:val="18"/>
                <w:szCs w:val="18"/>
                <w:color w:val="auto"/>
              </w:rPr>
            </w:pPr>
          </w:p>
        </w:tc>
      </w:tr>
      <w:tr>
        <w:trPr>
          <w:trHeight w:val="222"/>
        </w:trPr>
        <w:tc>
          <w:tcPr>
            <w:tcW w:w="416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Acquisition and disposition-related costs</w:t>
            </w:r>
            <w:r>
              <w:rPr>
                <w:rFonts w:ascii="Arial" w:cs="Arial" w:eastAsia="Arial" w:hAnsi="Arial"/>
                <w:sz w:val="18"/>
                <w:szCs w:val="18"/>
                <w:color w:val="auto"/>
                <w:vertAlign w:val="superscript"/>
              </w:rPr>
              <w:t>(3)</w:t>
            </w:r>
          </w:p>
        </w:tc>
        <w:tc>
          <w:tcPr>
            <w:tcW w:w="420" w:type="dxa"/>
            <w:vAlign w:val="bottom"/>
            <w:shd w:val="clear" w:color="auto" w:fill="F4F4F4"/>
          </w:tcPr>
          <w:p>
            <w:pPr>
              <w:spacing w:after="0"/>
              <w:rPr>
                <w:sz w:val="19"/>
                <w:szCs w:val="19"/>
                <w:color w:val="auto"/>
              </w:rPr>
            </w:pPr>
          </w:p>
        </w:tc>
        <w:tc>
          <w:tcPr>
            <w:tcW w:w="82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2.3</w:t>
            </w:r>
          </w:p>
        </w:tc>
        <w:tc>
          <w:tcPr>
            <w:tcW w:w="440" w:type="dxa"/>
            <w:vAlign w:val="bottom"/>
            <w:shd w:val="clear" w:color="auto" w:fill="F4F4F4"/>
          </w:tcPr>
          <w:p>
            <w:pPr>
              <w:spacing w:after="0"/>
              <w:rPr>
                <w:sz w:val="19"/>
                <w:szCs w:val="19"/>
                <w:color w:val="auto"/>
              </w:rPr>
            </w:pPr>
          </w:p>
        </w:tc>
        <w:tc>
          <w:tcPr>
            <w:tcW w:w="68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rPr>
              <w:t>0.1</w:t>
            </w:r>
          </w:p>
        </w:tc>
        <w:tc>
          <w:tcPr>
            <w:tcW w:w="112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3,481.3 %</w:t>
            </w:r>
          </w:p>
        </w:tc>
        <w:tc>
          <w:tcPr>
            <w:tcW w:w="80" w:type="dxa"/>
            <w:vAlign w:val="bottom"/>
            <w:shd w:val="clear" w:color="auto" w:fill="F4F4F4"/>
          </w:tcPr>
          <w:p>
            <w:pPr>
              <w:spacing w:after="0"/>
              <w:rPr>
                <w:sz w:val="19"/>
                <w:szCs w:val="19"/>
                <w:color w:val="auto"/>
              </w:rPr>
            </w:pPr>
          </w:p>
        </w:tc>
        <w:tc>
          <w:tcPr>
            <w:tcW w:w="400" w:type="dxa"/>
            <w:vAlign w:val="bottom"/>
            <w:shd w:val="clear" w:color="auto" w:fill="F4F4F4"/>
          </w:tcPr>
          <w:p>
            <w:pPr>
              <w:spacing w:after="0"/>
              <w:rPr>
                <w:sz w:val="19"/>
                <w:szCs w:val="19"/>
                <w:color w:val="auto"/>
              </w:rPr>
            </w:pPr>
          </w:p>
        </w:tc>
        <w:tc>
          <w:tcPr>
            <w:tcW w:w="86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3.2</w:t>
            </w:r>
          </w:p>
        </w:tc>
        <w:tc>
          <w:tcPr>
            <w:tcW w:w="420" w:type="dxa"/>
            <w:vAlign w:val="bottom"/>
            <w:shd w:val="clear" w:color="auto" w:fill="F4F4F4"/>
          </w:tcPr>
          <w:p>
            <w:pPr>
              <w:spacing w:after="0"/>
              <w:rPr>
                <w:sz w:val="19"/>
                <w:szCs w:val="19"/>
                <w:color w:val="auto"/>
              </w:rPr>
            </w:pPr>
          </w:p>
        </w:tc>
        <w:tc>
          <w:tcPr>
            <w:tcW w:w="74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10,380.6 %</w:t>
            </w:r>
          </w:p>
        </w:tc>
        <w:tc>
          <w:tcPr>
            <w:tcW w:w="20" w:type="dxa"/>
            <w:vAlign w:val="bottom"/>
          </w:tcPr>
          <w:p>
            <w:pPr>
              <w:spacing w:after="0"/>
              <w:rPr>
                <w:sz w:val="19"/>
                <w:szCs w:val="19"/>
                <w:color w:val="auto"/>
              </w:rPr>
            </w:pPr>
          </w:p>
        </w:tc>
      </w:tr>
      <w:tr>
        <w:trPr>
          <w:trHeight w:val="210"/>
        </w:trPr>
        <w:tc>
          <w:tcPr>
            <w:tcW w:w="4160" w:type="dxa"/>
            <w:vAlign w:val="bottom"/>
          </w:tcPr>
          <w:p>
            <w:pPr>
              <w:ind w:left="140"/>
              <w:spacing w:after="0"/>
              <w:rPr>
                <w:sz w:val="20"/>
                <w:szCs w:val="20"/>
                <w:color w:val="auto"/>
              </w:rPr>
            </w:pPr>
            <w:r>
              <w:rPr>
                <w:rFonts w:ascii="Arial" w:cs="Arial" w:eastAsia="Arial" w:hAnsi="Arial"/>
                <w:sz w:val="14"/>
                <w:szCs w:val="14"/>
                <w:color w:val="auto"/>
              </w:rPr>
              <w:t>Add: Restructuring and other real estate activities</w:t>
            </w:r>
          </w:p>
        </w:tc>
        <w:tc>
          <w:tcPr>
            <w:tcW w:w="420" w:type="dxa"/>
            <w:vAlign w:val="bottom"/>
          </w:tcPr>
          <w:p>
            <w:pPr>
              <w:spacing w:after="0"/>
              <w:rPr>
                <w:sz w:val="18"/>
                <w:szCs w:val="18"/>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120" w:type="dxa"/>
            <w:vAlign w:val="bottom"/>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0.1</w:t>
            </w:r>
          </w:p>
        </w:tc>
        <w:tc>
          <w:tcPr>
            <w:tcW w:w="4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914.3 %</w:t>
            </w:r>
          </w:p>
        </w:tc>
        <w:tc>
          <w:tcPr>
            <w:tcW w:w="20" w:type="dxa"/>
            <w:vAlign w:val="bottom"/>
          </w:tcPr>
          <w:p>
            <w:pPr>
              <w:spacing w:after="0"/>
              <w:rPr>
                <w:sz w:val="18"/>
                <w:szCs w:val="18"/>
                <w:color w:val="auto"/>
              </w:rPr>
            </w:pPr>
          </w:p>
        </w:tc>
      </w:tr>
      <w:tr>
        <w:trPr>
          <w:trHeight w:val="222"/>
        </w:trPr>
        <w:tc>
          <w:tcPr>
            <w:tcW w:w="416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Security Incident-related costs, net of insurance</w:t>
            </w:r>
            <w:r>
              <w:rPr>
                <w:rFonts w:ascii="Arial" w:cs="Arial" w:eastAsia="Arial" w:hAnsi="Arial"/>
                <w:sz w:val="18"/>
                <w:szCs w:val="18"/>
                <w:color w:val="auto"/>
                <w:vertAlign w:val="superscript"/>
              </w:rPr>
              <w:t>(3)</w:t>
            </w:r>
          </w:p>
        </w:tc>
        <w:tc>
          <w:tcPr>
            <w:tcW w:w="420" w:type="dxa"/>
            <w:vAlign w:val="bottom"/>
            <w:shd w:val="clear" w:color="auto" w:fill="F4F4F4"/>
          </w:tcPr>
          <w:p>
            <w:pPr>
              <w:spacing w:after="0"/>
              <w:rPr>
                <w:sz w:val="19"/>
                <w:szCs w:val="19"/>
                <w:color w:val="auto"/>
              </w:rPr>
            </w:pPr>
          </w:p>
        </w:tc>
        <w:tc>
          <w:tcPr>
            <w:tcW w:w="82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8.3</w:t>
            </w:r>
          </w:p>
        </w:tc>
        <w:tc>
          <w:tcPr>
            <w:tcW w:w="440" w:type="dxa"/>
            <w:vAlign w:val="bottom"/>
            <w:shd w:val="clear" w:color="auto" w:fill="F4F4F4"/>
          </w:tcPr>
          <w:p>
            <w:pPr>
              <w:spacing w:after="0"/>
              <w:rPr>
                <w:sz w:val="19"/>
                <w:szCs w:val="19"/>
                <w:color w:val="auto"/>
              </w:rPr>
            </w:pPr>
          </w:p>
        </w:tc>
        <w:tc>
          <w:tcPr>
            <w:tcW w:w="68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rPr>
              <w:t>0.5</w:t>
            </w:r>
          </w:p>
        </w:tc>
        <w:tc>
          <w:tcPr>
            <w:tcW w:w="112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1,676.2 %</w:t>
            </w:r>
          </w:p>
        </w:tc>
        <w:tc>
          <w:tcPr>
            <w:tcW w:w="80" w:type="dxa"/>
            <w:vAlign w:val="bottom"/>
            <w:shd w:val="clear" w:color="auto" w:fill="F4F4F4"/>
          </w:tcPr>
          <w:p>
            <w:pPr>
              <w:spacing w:after="0"/>
              <w:rPr>
                <w:sz w:val="19"/>
                <w:szCs w:val="19"/>
                <w:color w:val="auto"/>
              </w:rPr>
            </w:pPr>
          </w:p>
        </w:tc>
        <w:tc>
          <w:tcPr>
            <w:tcW w:w="400" w:type="dxa"/>
            <w:vAlign w:val="bottom"/>
            <w:shd w:val="clear" w:color="auto" w:fill="F4F4F4"/>
          </w:tcPr>
          <w:p>
            <w:pPr>
              <w:spacing w:after="0"/>
              <w:rPr>
                <w:sz w:val="19"/>
                <w:szCs w:val="19"/>
                <w:color w:val="auto"/>
              </w:rPr>
            </w:pPr>
          </w:p>
        </w:tc>
        <w:tc>
          <w:tcPr>
            <w:tcW w:w="86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15.5</w:t>
            </w:r>
          </w:p>
        </w:tc>
        <w:tc>
          <w:tcPr>
            <w:tcW w:w="420" w:type="dxa"/>
            <w:vAlign w:val="bottom"/>
            <w:shd w:val="clear" w:color="auto" w:fill="F4F4F4"/>
          </w:tcPr>
          <w:p>
            <w:pPr>
              <w:spacing w:after="0"/>
              <w:rPr>
                <w:sz w:val="19"/>
                <w:szCs w:val="19"/>
                <w:color w:val="auto"/>
              </w:rPr>
            </w:pPr>
          </w:p>
        </w:tc>
        <w:tc>
          <w:tcPr>
            <w:tcW w:w="74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rPr>
              <w:t>0.5</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3,201.3 %</w:t>
            </w:r>
          </w:p>
        </w:tc>
        <w:tc>
          <w:tcPr>
            <w:tcW w:w="20" w:type="dxa"/>
            <w:vAlign w:val="bottom"/>
          </w:tcPr>
          <w:p>
            <w:pPr>
              <w:spacing w:after="0"/>
              <w:rPr>
                <w:sz w:val="19"/>
                <w:szCs w:val="19"/>
                <w:color w:val="auto"/>
              </w:rPr>
            </w:pPr>
          </w:p>
        </w:tc>
      </w:tr>
      <w:tr>
        <w:trPr>
          <w:trHeight w:val="210"/>
        </w:trPr>
        <w:tc>
          <w:tcPr>
            <w:tcW w:w="4160" w:type="dxa"/>
            <w:vAlign w:val="bottom"/>
            <w:tcBorders>
              <w:bottom w:val="single" w:sz="8" w:color="F4F4F4"/>
            </w:tcBorders>
          </w:tcPr>
          <w:p>
            <w:pPr>
              <w:ind w:left="140"/>
              <w:spacing w:after="0"/>
              <w:rPr>
                <w:sz w:val="20"/>
                <w:szCs w:val="20"/>
                <w:color w:val="auto"/>
              </w:rPr>
            </w:pPr>
            <w:r>
              <w:rPr>
                <w:rFonts w:ascii="Arial" w:cs="Arial" w:eastAsia="Arial" w:hAnsi="Arial"/>
                <w:sz w:val="14"/>
                <w:szCs w:val="14"/>
                <w:color w:val="auto"/>
              </w:rPr>
              <w:t>Add: Impairment of capitalized software development costs</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2.3</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Borders>
              <w:bottom w:val="single" w:sz="8" w:color="F4F4F4"/>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w:t>
            </w: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100.0 %</w:t>
            </w:r>
          </w:p>
        </w:tc>
        <w:tc>
          <w:tcPr>
            <w:tcW w:w="20" w:type="dxa"/>
            <w:vAlign w:val="bottom"/>
          </w:tcPr>
          <w:p>
            <w:pPr>
              <w:spacing w:after="0"/>
              <w:rPr>
                <w:sz w:val="18"/>
                <w:szCs w:val="18"/>
                <w:color w:val="auto"/>
              </w:rPr>
            </w:pPr>
          </w:p>
        </w:tc>
      </w:tr>
      <w:tr>
        <w:trPr>
          <w:trHeight w:val="216"/>
        </w:trPr>
        <w:tc>
          <w:tcPr>
            <w:tcW w:w="4160" w:type="dxa"/>
            <w:vAlign w:val="bottom"/>
            <w:shd w:val="clear" w:color="auto" w:fill="F4F4F4"/>
          </w:tcPr>
          <w:p>
            <w:pPr>
              <w:ind w:left="240"/>
              <w:spacing w:after="0"/>
              <w:rPr>
                <w:sz w:val="20"/>
                <w:szCs w:val="20"/>
                <w:color w:val="auto"/>
              </w:rPr>
            </w:pPr>
            <w:r>
              <w:rPr>
                <w:rFonts w:ascii="Arial" w:cs="Arial" w:eastAsia="Arial" w:hAnsi="Arial"/>
                <w:sz w:val="14"/>
                <w:szCs w:val="14"/>
                <w:color w:val="auto"/>
              </w:rPr>
              <w:t>Subtotal</w:t>
            </w:r>
            <w:r>
              <w:rPr>
                <w:rFonts w:ascii="Arial" w:cs="Arial" w:eastAsia="Arial" w:hAnsi="Arial"/>
                <w:sz w:val="18"/>
                <w:szCs w:val="18"/>
                <w:color w:val="auto"/>
                <w:vertAlign w:val="superscript"/>
              </w:rPr>
              <w:t>(2)</w:t>
            </w:r>
          </w:p>
        </w:tc>
        <w:tc>
          <w:tcPr>
            <w:tcW w:w="420" w:type="dxa"/>
            <w:vAlign w:val="bottom"/>
            <w:tcBorders>
              <w:bottom w:val="single" w:sz="8" w:color="auto"/>
            </w:tcBorders>
            <w:shd w:val="clear" w:color="auto" w:fill="F4F4F4"/>
          </w:tcPr>
          <w:p>
            <w:pPr>
              <w:spacing w:after="0"/>
              <w:rPr>
                <w:sz w:val="18"/>
                <w:szCs w:val="18"/>
                <w:color w:val="auto"/>
              </w:rPr>
            </w:pPr>
          </w:p>
        </w:tc>
        <w:tc>
          <w:tcPr>
            <w:tcW w:w="82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41.2</w:t>
            </w:r>
          </w:p>
        </w:tc>
        <w:tc>
          <w:tcPr>
            <w:tcW w:w="440" w:type="dxa"/>
            <w:vAlign w:val="bottom"/>
            <w:tcBorders>
              <w:bottom w:val="single" w:sz="8" w:color="auto"/>
            </w:tcBorders>
            <w:shd w:val="clear" w:color="auto" w:fill="F4F4F4"/>
          </w:tcPr>
          <w:p>
            <w:pPr>
              <w:spacing w:after="0"/>
              <w:rPr>
                <w:sz w:val="18"/>
                <w:szCs w:val="18"/>
                <w:color w:val="auto"/>
              </w:rPr>
            </w:pPr>
          </w:p>
        </w:tc>
        <w:tc>
          <w:tcPr>
            <w:tcW w:w="680" w:type="dxa"/>
            <w:vAlign w:val="bottom"/>
            <w:tcBorders>
              <w:bottom w:val="single" w:sz="8" w:color="auto"/>
            </w:tcBorders>
            <w:shd w:val="clear" w:color="auto" w:fill="F4F4F4"/>
          </w:tcPr>
          <w:p>
            <w:pPr>
              <w:jc w:val="right"/>
              <w:ind w:right="8"/>
              <w:spacing w:after="0"/>
              <w:rPr>
                <w:sz w:val="20"/>
                <w:szCs w:val="20"/>
                <w:color w:val="auto"/>
              </w:rPr>
            </w:pPr>
            <w:r>
              <w:rPr>
                <w:rFonts w:ascii="Arial" w:cs="Arial" w:eastAsia="Arial" w:hAnsi="Arial"/>
                <w:sz w:val="14"/>
                <w:szCs w:val="14"/>
                <w:color w:val="auto"/>
              </w:rPr>
              <w:t>31.7</w:t>
            </w:r>
          </w:p>
        </w:tc>
        <w:tc>
          <w:tcPr>
            <w:tcW w:w="112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30.2 %</w:t>
            </w:r>
          </w:p>
        </w:tc>
        <w:tc>
          <w:tcPr>
            <w:tcW w:w="80" w:type="dxa"/>
            <w:vAlign w:val="bottom"/>
            <w:shd w:val="clear" w:color="auto" w:fill="F4F4F4"/>
          </w:tcPr>
          <w:p>
            <w:pPr>
              <w:spacing w:after="0"/>
              <w:rPr>
                <w:sz w:val="18"/>
                <w:szCs w:val="18"/>
                <w:color w:val="auto"/>
              </w:rPr>
            </w:pPr>
          </w:p>
        </w:tc>
        <w:tc>
          <w:tcPr>
            <w:tcW w:w="400" w:type="dxa"/>
            <w:vAlign w:val="bottom"/>
            <w:tcBorders>
              <w:bottom w:val="single" w:sz="8" w:color="auto"/>
            </w:tcBorders>
            <w:shd w:val="clear" w:color="auto" w:fill="F4F4F4"/>
          </w:tcPr>
          <w:p>
            <w:pPr>
              <w:spacing w:after="0"/>
              <w:rPr>
                <w:sz w:val="18"/>
                <w:szCs w:val="18"/>
                <w:color w:val="auto"/>
              </w:rPr>
            </w:pPr>
          </w:p>
        </w:tc>
        <w:tc>
          <w:tcPr>
            <w:tcW w:w="86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77.3</w:t>
            </w:r>
          </w:p>
        </w:tc>
        <w:tc>
          <w:tcPr>
            <w:tcW w:w="420" w:type="dxa"/>
            <w:vAlign w:val="bottom"/>
            <w:tcBorders>
              <w:bottom w:val="single" w:sz="8" w:color="auto"/>
            </w:tcBorders>
            <w:shd w:val="clear" w:color="auto" w:fill="F4F4F4"/>
          </w:tcPr>
          <w:p>
            <w:pPr>
              <w:spacing w:after="0"/>
              <w:rPr>
                <w:sz w:val="18"/>
                <w:szCs w:val="18"/>
                <w:color w:val="auto"/>
              </w:rPr>
            </w:pPr>
          </w:p>
        </w:tc>
        <w:tc>
          <w:tcPr>
            <w:tcW w:w="740" w:type="dxa"/>
            <w:vAlign w:val="bottom"/>
            <w:tcBorders>
              <w:bottom w:val="single" w:sz="8" w:color="auto"/>
            </w:tcBorders>
            <w:shd w:val="clear" w:color="auto" w:fill="F4F4F4"/>
          </w:tcPr>
          <w:p>
            <w:pPr>
              <w:jc w:val="right"/>
              <w:ind w:right="8"/>
              <w:spacing w:after="0"/>
              <w:rPr>
                <w:sz w:val="20"/>
                <w:szCs w:val="20"/>
                <w:color w:val="auto"/>
              </w:rPr>
            </w:pPr>
            <w:r>
              <w:rPr>
                <w:rFonts w:ascii="Arial" w:cs="Arial" w:eastAsia="Arial" w:hAnsi="Arial"/>
                <w:sz w:val="14"/>
                <w:szCs w:val="14"/>
                <w:color w:val="auto"/>
              </w:rPr>
              <w:t>62.5</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23.7 %</w:t>
            </w:r>
          </w:p>
        </w:tc>
        <w:tc>
          <w:tcPr>
            <w:tcW w:w="20" w:type="dxa"/>
            <w:vAlign w:val="bottom"/>
          </w:tcPr>
          <w:p>
            <w:pPr>
              <w:spacing w:after="0"/>
              <w:rPr>
                <w:sz w:val="18"/>
                <w:szCs w:val="18"/>
                <w:color w:val="auto"/>
              </w:rPr>
            </w:pPr>
          </w:p>
        </w:tc>
      </w:tr>
      <w:tr>
        <w:trPr>
          <w:trHeight w:val="209"/>
        </w:trPr>
        <w:tc>
          <w:tcPr>
            <w:tcW w:w="4160" w:type="dxa"/>
            <w:vAlign w:val="bottom"/>
          </w:tcPr>
          <w:p>
            <w:pPr>
              <w:ind w:left="20"/>
              <w:spacing w:after="0"/>
              <w:rPr>
                <w:sz w:val="20"/>
                <w:szCs w:val="20"/>
                <w:color w:val="auto"/>
              </w:rPr>
            </w:pPr>
            <w:r>
              <w:rPr>
                <w:rFonts w:ascii="Arial" w:cs="Arial" w:eastAsia="Arial" w:hAnsi="Arial"/>
                <w:sz w:val="14"/>
                <w:szCs w:val="14"/>
                <w:color w:val="auto"/>
              </w:rPr>
              <w:t>Non-GAAP Adjusted EBITDA</w:t>
            </w:r>
            <w:r>
              <w:rPr>
                <w:rFonts w:ascii="Arial" w:cs="Arial" w:eastAsia="Arial" w:hAnsi="Arial"/>
                <w:sz w:val="18"/>
                <w:szCs w:val="18"/>
                <w:color w:val="auto"/>
                <w:vertAlign w:val="superscript"/>
              </w:rPr>
              <w:t>(2)</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70.6</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65.8</w:t>
            </w:r>
          </w:p>
        </w:tc>
        <w:tc>
          <w:tcPr>
            <w:tcW w:w="1120" w:type="dxa"/>
            <w:vAlign w:val="bottom"/>
          </w:tcPr>
          <w:p>
            <w:pPr>
              <w:jc w:val="right"/>
              <w:spacing w:after="0"/>
              <w:rPr>
                <w:sz w:val="20"/>
                <w:szCs w:val="20"/>
                <w:color w:val="auto"/>
              </w:rPr>
            </w:pPr>
            <w:r>
              <w:rPr>
                <w:rFonts w:ascii="Arial" w:cs="Arial" w:eastAsia="Arial" w:hAnsi="Arial"/>
                <w:sz w:val="14"/>
                <w:szCs w:val="14"/>
                <w:color w:val="auto"/>
              </w:rPr>
              <w:t>7.2 %</w:t>
            </w:r>
          </w:p>
        </w:tc>
        <w:tc>
          <w:tcPr>
            <w:tcW w:w="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127.8</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123.0</w:t>
            </w:r>
          </w:p>
        </w:tc>
        <w:tc>
          <w:tcPr>
            <w:tcW w:w="1100" w:type="dxa"/>
            <w:vAlign w:val="bottom"/>
          </w:tcPr>
          <w:p>
            <w:pPr>
              <w:jc w:val="right"/>
              <w:spacing w:after="0"/>
              <w:rPr>
                <w:sz w:val="20"/>
                <w:szCs w:val="20"/>
                <w:color w:val="auto"/>
              </w:rPr>
            </w:pPr>
            <w:r>
              <w:rPr>
                <w:rFonts w:ascii="Arial" w:cs="Arial" w:eastAsia="Arial" w:hAnsi="Arial"/>
                <w:sz w:val="14"/>
                <w:szCs w:val="14"/>
                <w:color w:val="auto"/>
              </w:rPr>
              <w:t>3.9 %</w:t>
            </w:r>
          </w:p>
        </w:tc>
        <w:tc>
          <w:tcPr>
            <w:tcW w:w="20" w:type="dxa"/>
            <w:vAlign w:val="bottom"/>
          </w:tcPr>
          <w:p>
            <w:pPr>
              <w:spacing w:after="0"/>
              <w:rPr>
                <w:sz w:val="18"/>
                <w:szCs w:val="18"/>
                <w:color w:val="auto"/>
              </w:rPr>
            </w:pPr>
          </w:p>
        </w:tc>
      </w:tr>
      <w:tr>
        <w:trPr>
          <w:trHeight w:val="210"/>
        </w:trPr>
        <w:tc>
          <w:tcPr>
            <w:tcW w:w="4160" w:type="dxa"/>
            <w:vAlign w:val="bottom"/>
            <w:tcBorders>
              <w:top w:val="single" w:sz="8" w:color="F4F4F4"/>
            </w:tcBorders>
            <w:shd w:val="clear" w:color="auto" w:fill="F4F4F4"/>
          </w:tcPr>
          <w:p>
            <w:pPr>
              <w:ind w:left="140"/>
              <w:spacing w:after="0"/>
              <w:rPr>
                <w:sz w:val="20"/>
                <w:szCs w:val="20"/>
                <w:color w:val="auto"/>
              </w:rPr>
            </w:pPr>
            <w:r>
              <w:rPr>
                <w:rFonts w:ascii="Arial" w:cs="Arial" w:eastAsia="Arial" w:hAnsi="Arial"/>
                <w:sz w:val="14"/>
                <w:szCs w:val="14"/>
                <w:b w:val="1"/>
                <w:bCs w:val="1"/>
                <w:color w:val="auto"/>
              </w:rPr>
              <w:t>Non-GAAP Adjusted EBITDA margin</w:t>
            </w:r>
          </w:p>
        </w:tc>
        <w:tc>
          <w:tcPr>
            <w:tcW w:w="420" w:type="dxa"/>
            <w:vAlign w:val="bottom"/>
            <w:tcBorders>
              <w:top w:val="single" w:sz="8" w:color="auto"/>
            </w:tcBorders>
            <w:shd w:val="clear" w:color="auto" w:fill="F4F4F4"/>
          </w:tcPr>
          <w:p>
            <w:pPr>
              <w:spacing w:after="0"/>
              <w:rPr>
                <w:sz w:val="18"/>
                <w:szCs w:val="18"/>
                <w:color w:val="auto"/>
              </w:rPr>
            </w:pPr>
          </w:p>
        </w:tc>
        <w:tc>
          <w:tcPr>
            <w:tcW w:w="82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b w:val="1"/>
                <w:bCs w:val="1"/>
                <w:color w:val="auto"/>
              </w:rPr>
              <w:t>26.6 %</w:t>
            </w:r>
          </w:p>
        </w:tc>
        <w:tc>
          <w:tcPr>
            <w:tcW w:w="440" w:type="dxa"/>
            <w:vAlign w:val="bottom"/>
            <w:tcBorders>
              <w:top w:val="single" w:sz="8" w:color="auto"/>
            </w:tcBorders>
            <w:shd w:val="clear" w:color="auto" w:fill="F4F4F4"/>
          </w:tcPr>
          <w:p>
            <w:pPr>
              <w:spacing w:after="0"/>
              <w:rPr>
                <w:sz w:val="18"/>
                <w:szCs w:val="18"/>
                <w:color w:val="auto"/>
              </w:rPr>
            </w:pPr>
          </w:p>
        </w:tc>
        <w:tc>
          <w:tcPr>
            <w:tcW w:w="680" w:type="dxa"/>
            <w:vAlign w:val="bottom"/>
            <w:tcBorders>
              <w:top w:val="single" w:sz="8" w:color="auto"/>
            </w:tcBorders>
            <w:shd w:val="clear" w:color="auto" w:fill="F4F4F4"/>
          </w:tcPr>
          <w:p>
            <w:pPr>
              <w:spacing w:after="0"/>
              <w:rPr>
                <w:sz w:val="18"/>
                <w:szCs w:val="18"/>
                <w:color w:val="auto"/>
              </w:rPr>
            </w:pPr>
          </w:p>
        </w:tc>
        <w:tc>
          <w:tcPr>
            <w:tcW w:w="1120" w:type="dxa"/>
            <w:vAlign w:val="bottom"/>
            <w:tcBorders>
              <w:top w:val="single" w:sz="8" w:color="F4F4F4"/>
              <w:right w:val="single" w:sz="8" w:color="F4F4F4"/>
            </w:tcBorders>
            <w:shd w:val="clear" w:color="auto" w:fill="F4F4F4"/>
          </w:tcPr>
          <w:p>
            <w:pPr>
              <w:spacing w:after="0"/>
              <w:rPr>
                <w:sz w:val="18"/>
                <w:szCs w:val="18"/>
                <w:color w:val="auto"/>
              </w:rPr>
            </w:pPr>
          </w:p>
        </w:tc>
        <w:tc>
          <w:tcPr>
            <w:tcW w:w="80" w:type="dxa"/>
            <w:vAlign w:val="bottom"/>
            <w:tcBorders>
              <w:top w:val="single" w:sz="8" w:color="F4F4F4"/>
            </w:tcBorders>
            <w:shd w:val="clear" w:color="auto" w:fill="F4F4F4"/>
          </w:tcPr>
          <w:p>
            <w:pPr>
              <w:spacing w:after="0"/>
              <w:rPr>
                <w:sz w:val="18"/>
                <w:szCs w:val="18"/>
                <w:color w:val="auto"/>
              </w:rPr>
            </w:pPr>
          </w:p>
        </w:tc>
        <w:tc>
          <w:tcPr>
            <w:tcW w:w="400" w:type="dxa"/>
            <w:vAlign w:val="bottom"/>
            <w:tcBorders>
              <w:top w:val="single" w:sz="8" w:color="auto"/>
            </w:tcBorders>
            <w:shd w:val="clear" w:color="auto" w:fill="F4F4F4"/>
          </w:tcPr>
          <w:p>
            <w:pPr>
              <w:spacing w:after="0"/>
              <w:rPr>
                <w:sz w:val="18"/>
                <w:szCs w:val="18"/>
                <w:color w:val="auto"/>
              </w:rPr>
            </w:pPr>
          </w:p>
        </w:tc>
        <w:tc>
          <w:tcPr>
            <w:tcW w:w="86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b w:val="1"/>
                <w:bCs w:val="1"/>
                <w:color w:val="auto"/>
              </w:rPr>
              <w:t>24.5 %</w:t>
            </w:r>
          </w:p>
        </w:tc>
        <w:tc>
          <w:tcPr>
            <w:tcW w:w="420" w:type="dxa"/>
            <w:vAlign w:val="bottom"/>
            <w:tcBorders>
              <w:top w:val="single" w:sz="8" w:color="auto"/>
            </w:tcBorders>
            <w:shd w:val="clear" w:color="auto" w:fill="F4F4F4"/>
          </w:tcPr>
          <w:p>
            <w:pPr>
              <w:spacing w:after="0"/>
              <w:rPr>
                <w:sz w:val="18"/>
                <w:szCs w:val="18"/>
                <w:color w:val="auto"/>
              </w:rPr>
            </w:pPr>
          </w:p>
        </w:tc>
        <w:tc>
          <w:tcPr>
            <w:tcW w:w="740" w:type="dxa"/>
            <w:vAlign w:val="bottom"/>
            <w:tcBorders>
              <w:top w:val="single" w:sz="8" w:color="auto"/>
            </w:tcBorders>
            <w:shd w:val="clear" w:color="auto" w:fill="F4F4F4"/>
          </w:tcPr>
          <w:p>
            <w:pPr>
              <w:spacing w:after="0"/>
              <w:rPr>
                <w:sz w:val="18"/>
                <w:szCs w:val="18"/>
                <w:color w:val="auto"/>
              </w:rPr>
            </w:pPr>
          </w:p>
        </w:tc>
        <w:tc>
          <w:tcPr>
            <w:tcW w:w="1100" w:type="dxa"/>
            <w:vAlign w:val="bottom"/>
            <w:tcBorders>
              <w:top w:val="single" w:sz="8" w:color="F4F4F4"/>
            </w:tcBorders>
            <w:shd w:val="clear" w:color="auto" w:fill="F4F4F4"/>
          </w:tcPr>
          <w:p>
            <w:pPr>
              <w:spacing w:after="0"/>
              <w:rPr>
                <w:sz w:val="18"/>
                <w:szCs w:val="18"/>
                <w:color w:val="auto"/>
              </w:rPr>
            </w:pPr>
          </w:p>
        </w:tc>
        <w:tc>
          <w:tcPr>
            <w:tcW w:w="20" w:type="dxa"/>
            <w:vAlign w:val="bottom"/>
          </w:tcPr>
          <w:p>
            <w:pPr>
              <w:spacing w:after="0"/>
              <w:rPr>
                <w:sz w:val="18"/>
                <w:szCs w:val="18"/>
                <w:color w:val="auto"/>
              </w:rPr>
            </w:pPr>
          </w:p>
        </w:tc>
      </w:tr>
      <w:tr>
        <w:trPr>
          <w:trHeight w:val="148"/>
        </w:trPr>
        <w:tc>
          <w:tcPr>
            <w:tcW w:w="4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416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Rule of 40</w:t>
            </w:r>
            <w:r>
              <w:rPr>
                <w:rFonts w:ascii="Arial" w:cs="Arial" w:eastAsia="Arial" w:hAnsi="Arial"/>
                <w:sz w:val="18"/>
                <w:szCs w:val="18"/>
                <w:b w:val="1"/>
                <w:bCs w:val="1"/>
                <w:color w:val="auto"/>
                <w:vertAlign w:val="superscript"/>
              </w:rPr>
              <w:t>(4)</w:t>
            </w:r>
          </w:p>
        </w:tc>
        <w:tc>
          <w:tcPr>
            <w:tcW w:w="420" w:type="dxa"/>
            <w:vAlign w:val="bottom"/>
            <w:shd w:val="clear" w:color="auto" w:fill="F4F4F4"/>
          </w:tcPr>
          <w:p>
            <w:pPr>
              <w:spacing w:after="0"/>
              <w:rPr>
                <w:sz w:val="18"/>
                <w:szCs w:val="18"/>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4"/>
                <w:szCs w:val="14"/>
                <w:b w:val="1"/>
                <w:bCs w:val="1"/>
                <w:color w:val="auto"/>
              </w:rPr>
              <w:t>30.4 %</w:t>
            </w:r>
          </w:p>
        </w:tc>
        <w:tc>
          <w:tcPr>
            <w:tcW w:w="440" w:type="dxa"/>
            <w:vAlign w:val="bottom"/>
            <w:shd w:val="clear" w:color="auto" w:fill="F4F4F4"/>
          </w:tcPr>
          <w:p>
            <w:pPr>
              <w:spacing w:after="0"/>
              <w:rPr>
                <w:sz w:val="18"/>
                <w:szCs w:val="18"/>
                <w:color w:val="auto"/>
              </w:rPr>
            </w:pPr>
          </w:p>
        </w:tc>
        <w:tc>
          <w:tcPr>
            <w:tcW w:w="680" w:type="dxa"/>
            <w:vAlign w:val="bottom"/>
            <w:shd w:val="clear" w:color="auto" w:fill="F4F4F4"/>
          </w:tcPr>
          <w:p>
            <w:pPr>
              <w:spacing w:after="0"/>
              <w:rPr>
                <w:sz w:val="18"/>
                <w:szCs w:val="18"/>
                <w:color w:val="auto"/>
              </w:rPr>
            </w:pPr>
          </w:p>
        </w:tc>
        <w:tc>
          <w:tcPr>
            <w:tcW w:w="1120" w:type="dxa"/>
            <w:vAlign w:val="bottom"/>
            <w:tcBorders>
              <w:right w:val="single" w:sz="8" w:color="F4F4F4"/>
            </w:tcBorders>
            <w:shd w:val="clear" w:color="auto" w:fill="F4F4F4"/>
          </w:tcPr>
          <w:p>
            <w:pPr>
              <w:spacing w:after="0"/>
              <w:rPr>
                <w:sz w:val="18"/>
                <w:szCs w:val="18"/>
                <w:color w:val="auto"/>
              </w:rPr>
            </w:pPr>
          </w:p>
        </w:tc>
        <w:tc>
          <w:tcPr>
            <w:tcW w:w="80" w:type="dxa"/>
            <w:vAlign w:val="bottom"/>
            <w:shd w:val="clear" w:color="auto" w:fill="F4F4F4"/>
          </w:tcPr>
          <w:p>
            <w:pPr>
              <w:spacing w:after="0"/>
              <w:rPr>
                <w:sz w:val="18"/>
                <w:szCs w:val="18"/>
                <w:color w:val="auto"/>
              </w:rPr>
            </w:pPr>
          </w:p>
        </w:tc>
        <w:tc>
          <w:tcPr>
            <w:tcW w:w="400" w:type="dxa"/>
            <w:vAlign w:val="bottom"/>
            <w:shd w:val="clear" w:color="auto" w:fill="F4F4F4"/>
          </w:tcPr>
          <w:p>
            <w:pPr>
              <w:spacing w:after="0"/>
              <w:rPr>
                <w:sz w:val="18"/>
                <w:szCs w:val="18"/>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4"/>
                <w:szCs w:val="14"/>
                <w:b w:val="1"/>
                <w:bCs w:val="1"/>
                <w:color w:val="auto"/>
              </w:rPr>
              <w:t>29.0 %</w:t>
            </w:r>
          </w:p>
        </w:tc>
        <w:tc>
          <w:tcPr>
            <w:tcW w:w="420" w:type="dxa"/>
            <w:vAlign w:val="bottom"/>
            <w:shd w:val="clear" w:color="auto" w:fill="F4F4F4"/>
          </w:tcPr>
          <w:p>
            <w:pPr>
              <w:spacing w:after="0"/>
              <w:rPr>
                <w:sz w:val="18"/>
                <w:szCs w:val="18"/>
                <w:color w:val="auto"/>
              </w:rPr>
            </w:pPr>
          </w:p>
        </w:tc>
        <w:tc>
          <w:tcPr>
            <w:tcW w:w="740" w:type="dxa"/>
            <w:vAlign w:val="bottom"/>
            <w:shd w:val="clear" w:color="auto" w:fill="F4F4F4"/>
          </w:tcPr>
          <w:p>
            <w:pPr>
              <w:spacing w:after="0"/>
              <w:rPr>
                <w:sz w:val="18"/>
                <w:szCs w:val="18"/>
                <w:color w:val="auto"/>
              </w:rPr>
            </w:pPr>
          </w:p>
        </w:tc>
        <w:tc>
          <w:tcPr>
            <w:tcW w:w="1100" w:type="dxa"/>
            <w:vAlign w:val="bottom"/>
            <w:shd w:val="clear" w:color="auto" w:fill="F4F4F4"/>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60" w:type="dxa"/>
            <w:vAlign w:val="bottom"/>
            <w:shd w:val="clear" w:color="auto" w:fill="F4F4F4"/>
          </w:tcPr>
          <w:p>
            <w:pPr>
              <w:ind w:left="20"/>
              <w:spacing w:after="0"/>
              <w:rPr>
                <w:sz w:val="20"/>
                <w:szCs w:val="20"/>
                <w:color w:val="auto"/>
              </w:rPr>
            </w:pPr>
            <w:r>
              <w:rPr>
                <w:rFonts w:ascii="Arial" w:cs="Arial" w:eastAsia="Arial" w:hAnsi="Arial"/>
                <w:sz w:val="14"/>
                <w:szCs w:val="14"/>
                <w:color w:val="auto"/>
              </w:rPr>
              <w:t>Non-GAAP adjusted EBITDA</w:t>
            </w:r>
          </w:p>
        </w:tc>
        <w:tc>
          <w:tcPr>
            <w:tcW w:w="420" w:type="dxa"/>
            <w:vAlign w:val="bottom"/>
            <w:shd w:val="clear" w:color="auto" w:fill="F4F4F4"/>
          </w:tcPr>
          <w:p>
            <w:pPr>
              <w:spacing w:after="0"/>
              <w:rPr>
                <w:sz w:val="18"/>
                <w:szCs w:val="18"/>
                <w:color w:val="auto"/>
              </w:rPr>
            </w:pPr>
          </w:p>
        </w:tc>
        <w:tc>
          <w:tcPr>
            <w:tcW w:w="82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70.6</w:t>
            </w:r>
          </w:p>
        </w:tc>
        <w:tc>
          <w:tcPr>
            <w:tcW w:w="440" w:type="dxa"/>
            <w:vAlign w:val="bottom"/>
            <w:shd w:val="clear" w:color="auto" w:fill="F4F4F4"/>
          </w:tcPr>
          <w:p>
            <w:pPr>
              <w:spacing w:after="0"/>
              <w:rPr>
                <w:sz w:val="18"/>
                <w:szCs w:val="18"/>
                <w:color w:val="auto"/>
              </w:rPr>
            </w:pPr>
          </w:p>
        </w:tc>
        <w:tc>
          <w:tcPr>
            <w:tcW w:w="68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rPr>
              <w:t>65.8</w:t>
            </w:r>
          </w:p>
        </w:tc>
        <w:tc>
          <w:tcPr>
            <w:tcW w:w="112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7.2 %</w:t>
            </w:r>
          </w:p>
        </w:tc>
        <w:tc>
          <w:tcPr>
            <w:tcW w:w="80" w:type="dxa"/>
            <w:vAlign w:val="bottom"/>
            <w:shd w:val="clear" w:color="auto" w:fill="F4F4F4"/>
          </w:tcPr>
          <w:p>
            <w:pPr>
              <w:spacing w:after="0"/>
              <w:rPr>
                <w:sz w:val="18"/>
                <w:szCs w:val="18"/>
                <w:color w:val="auto"/>
              </w:rPr>
            </w:pPr>
          </w:p>
        </w:tc>
        <w:tc>
          <w:tcPr>
            <w:tcW w:w="400" w:type="dxa"/>
            <w:vAlign w:val="bottom"/>
            <w:shd w:val="clear" w:color="auto" w:fill="F4F4F4"/>
          </w:tcPr>
          <w:p>
            <w:pPr>
              <w:spacing w:after="0"/>
              <w:rPr>
                <w:sz w:val="18"/>
                <w:szCs w:val="18"/>
                <w:color w:val="auto"/>
              </w:rPr>
            </w:pPr>
          </w:p>
        </w:tc>
        <w:tc>
          <w:tcPr>
            <w:tcW w:w="86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127.8</w:t>
            </w:r>
          </w:p>
        </w:tc>
        <w:tc>
          <w:tcPr>
            <w:tcW w:w="420" w:type="dxa"/>
            <w:vAlign w:val="bottom"/>
            <w:shd w:val="clear" w:color="auto" w:fill="F4F4F4"/>
          </w:tcPr>
          <w:p>
            <w:pPr>
              <w:spacing w:after="0"/>
              <w:rPr>
                <w:sz w:val="18"/>
                <w:szCs w:val="18"/>
                <w:color w:val="auto"/>
              </w:rPr>
            </w:pPr>
          </w:p>
        </w:tc>
        <w:tc>
          <w:tcPr>
            <w:tcW w:w="74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rPr>
              <w:t>123.0</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3.9 %</w:t>
            </w:r>
          </w:p>
        </w:tc>
        <w:tc>
          <w:tcPr>
            <w:tcW w:w="20" w:type="dxa"/>
            <w:vAlign w:val="bottom"/>
          </w:tcPr>
          <w:p>
            <w:pPr>
              <w:spacing w:after="0"/>
              <w:rPr>
                <w:sz w:val="18"/>
                <w:szCs w:val="18"/>
                <w:color w:val="auto"/>
              </w:rPr>
            </w:pPr>
          </w:p>
        </w:tc>
      </w:tr>
      <w:tr>
        <w:trPr>
          <w:trHeight w:val="216"/>
        </w:trPr>
        <w:tc>
          <w:tcPr>
            <w:tcW w:w="4160" w:type="dxa"/>
            <w:vAlign w:val="bottom"/>
            <w:tcBorders>
              <w:bottom w:val="single" w:sz="8" w:color="F4F4F4"/>
            </w:tcBorders>
          </w:tcPr>
          <w:p>
            <w:pPr>
              <w:ind w:left="140"/>
              <w:spacing w:after="0"/>
              <w:rPr>
                <w:sz w:val="20"/>
                <w:szCs w:val="20"/>
                <w:color w:val="auto"/>
              </w:rPr>
            </w:pPr>
            <w:r>
              <w:rPr>
                <w:rFonts w:ascii="Arial" w:cs="Arial" w:eastAsia="Arial" w:hAnsi="Arial"/>
                <w:sz w:val="14"/>
                <w:szCs w:val="14"/>
                <w:color w:val="auto"/>
              </w:rPr>
              <w:t>Foreign currency impact on Non-GAAP adjusted EBITDA</w:t>
            </w:r>
            <w:r>
              <w:rPr>
                <w:rFonts w:ascii="Arial" w:cs="Arial" w:eastAsia="Arial" w:hAnsi="Arial"/>
                <w:sz w:val="18"/>
                <w:szCs w:val="18"/>
                <w:color w:val="auto"/>
                <w:vertAlign w:val="superscript"/>
              </w:rPr>
              <w:t>(5)</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12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(195.7)%</w:t>
            </w:r>
          </w:p>
        </w:tc>
        <w:tc>
          <w:tcPr>
            <w:tcW w:w="80" w:type="dxa"/>
            <w:vAlign w:val="bottom"/>
            <w:tcBorders>
              <w:bottom w:val="single" w:sz="8" w:color="F4F4F4"/>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w:t>
            </w: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10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(196.5)%</w:t>
            </w:r>
          </w:p>
        </w:tc>
        <w:tc>
          <w:tcPr>
            <w:tcW w:w="20" w:type="dxa"/>
            <w:vAlign w:val="bottom"/>
          </w:tcPr>
          <w:p>
            <w:pPr>
              <w:spacing w:after="0"/>
              <w:rPr>
                <w:sz w:val="18"/>
                <w:szCs w:val="18"/>
                <w:color w:val="auto"/>
              </w:rPr>
            </w:pPr>
          </w:p>
        </w:tc>
      </w:tr>
      <w:tr>
        <w:trPr>
          <w:trHeight w:val="210"/>
        </w:trPr>
        <w:tc>
          <w:tcPr>
            <w:tcW w:w="4160" w:type="dxa"/>
            <w:vAlign w:val="bottom"/>
            <w:shd w:val="clear" w:color="auto" w:fill="F4F4F4"/>
          </w:tcPr>
          <w:p>
            <w:pPr>
              <w:ind w:left="20"/>
              <w:spacing w:after="0"/>
              <w:rPr>
                <w:sz w:val="20"/>
                <w:szCs w:val="20"/>
                <w:color w:val="auto"/>
              </w:rPr>
            </w:pPr>
            <w:r>
              <w:rPr>
                <w:rFonts w:ascii="Arial" w:cs="Arial" w:eastAsia="Arial" w:hAnsi="Arial"/>
                <w:sz w:val="14"/>
                <w:szCs w:val="14"/>
                <w:color w:val="auto"/>
              </w:rPr>
              <w:t>Non-GAAP adjusted EBITDA on constant currency basis</w:t>
            </w:r>
            <w:r>
              <w:rPr>
                <w:rFonts w:ascii="Arial" w:cs="Arial" w:eastAsia="Arial" w:hAnsi="Arial"/>
                <w:sz w:val="18"/>
                <w:szCs w:val="18"/>
                <w:color w:val="auto"/>
                <w:vertAlign w:val="superscript"/>
              </w:rPr>
              <w:t>(5)</w:t>
            </w:r>
          </w:p>
        </w:tc>
        <w:tc>
          <w:tcPr>
            <w:tcW w:w="420" w:type="dxa"/>
            <w:vAlign w:val="bottom"/>
            <w:shd w:val="clear" w:color="auto" w:fill="F4F4F4"/>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72.2</w:t>
            </w:r>
          </w:p>
        </w:tc>
        <w:tc>
          <w:tcPr>
            <w:tcW w:w="440" w:type="dxa"/>
            <w:vAlign w:val="bottom"/>
            <w:shd w:val="clear" w:color="auto" w:fill="F4F4F4"/>
          </w:tcPr>
          <w:p>
            <w:pPr>
              <w:jc w:val="right"/>
              <w:ind w:right="268"/>
              <w:spacing w:after="0"/>
              <w:rPr>
                <w:sz w:val="20"/>
                <w:szCs w:val="20"/>
                <w:color w:val="auto"/>
              </w:rPr>
            </w:pPr>
            <w:r>
              <w:rPr>
                <w:rFonts w:ascii="Arial" w:cs="Arial" w:eastAsia="Arial" w:hAnsi="Arial"/>
                <w:sz w:val="14"/>
                <w:szCs w:val="14"/>
                <w:color w:val="auto"/>
              </w:rPr>
              <w:t>$</w:t>
            </w:r>
          </w:p>
        </w:tc>
        <w:tc>
          <w:tcPr>
            <w:tcW w:w="68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rPr>
              <w:t>64.1</w:t>
            </w:r>
          </w:p>
        </w:tc>
        <w:tc>
          <w:tcPr>
            <w:tcW w:w="112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12.7 %</w:t>
            </w:r>
          </w:p>
        </w:tc>
        <w:tc>
          <w:tcPr>
            <w:tcW w:w="480" w:type="dxa"/>
            <w:vAlign w:val="bottom"/>
            <w:gridSpan w:val="2"/>
            <w:shd w:val="clear" w:color="auto" w:fill="F4F4F4"/>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129.9</w:t>
            </w:r>
          </w:p>
        </w:tc>
        <w:tc>
          <w:tcPr>
            <w:tcW w:w="420" w:type="dxa"/>
            <w:vAlign w:val="bottom"/>
            <w:shd w:val="clear" w:color="auto" w:fill="F4F4F4"/>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rPr>
              <w:t>120.8</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7.6 %</w:t>
            </w:r>
          </w:p>
        </w:tc>
        <w:tc>
          <w:tcPr>
            <w:tcW w:w="20" w:type="dxa"/>
            <w:vAlign w:val="bottom"/>
          </w:tcPr>
          <w:p>
            <w:pPr>
              <w:spacing w:after="0"/>
              <w:rPr>
                <w:sz w:val="18"/>
                <w:szCs w:val="18"/>
                <w:color w:val="auto"/>
              </w:rPr>
            </w:pPr>
          </w:p>
        </w:tc>
      </w:tr>
      <w:tr>
        <w:trPr>
          <w:trHeight w:val="156"/>
        </w:trPr>
        <w:tc>
          <w:tcPr>
            <w:tcW w:w="4160" w:type="dxa"/>
            <w:vAlign w:val="bottom"/>
          </w:tcPr>
          <w:p>
            <w:pPr>
              <w:ind w:left="140"/>
              <w:spacing w:after="0" w:line="156" w:lineRule="exact"/>
              <w:rPr>
                <w:sz w:val="20"/>
                <w:szCs w:val="20"/>
                <w:color w:val="auto"/>
              </w:rPr>
            </w:pPr>
            <w:r>
              <w:rPr>
                <w:rFonts w:ascii="Arial" w:cs="Arial" w:eastAsia="Arial" w:hAnsi="Arial"/>
                <w:sz w:val="14"/>
                <w:szCs w:val="14"/>
                <w:b w:val="1"/>
                <w:bCs w:val="1"/>
                <w:color w:val="auto"/>
              </w:rPr>
              <w:t>Non-GAAP adjusted EBITDA margin on constant currency</w:t>
            </w:r>
          </w:p>
        </w:tc>
        <w:tc>
          <w:tcPr>
            <w:tcW w:w="4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6"/>
        </w:trPr>
        <w:tc>
          <w:tcPr>
            <w:tcW w:w="4160" w:type="dxa"/>
            <w:vAlign w:val="bottom"/>
          </w:tcPr>
          <w:p>
            <w:pPr>
              <w:ind w:left="140"/>
              <w:spacing w:after="0"/>
              <w:rPr>
                <w:sz w:val="20"/>
                <w:szCs w:val="20"/>
                <w:color w:val="auto"/>
              </w:rPr>
            </w:pPr>
            <w:r>
              <w:rPr>
                <w:rFonts w:ascii="Arial" w:cs="Arial" w:eastAsia="Arial" w:hAnsi="Arial"/>
                <w:sz w:val="14"/>
                <w:szCs w:val="14"/>
                <w:b w:val="1"/>
                <w:bCs w:val="1"/>
                <w:color w:val="auto"/>
              </w:rPr>
              <w:t>basis</w:t>
            </w: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27.0 %</w:t>
            </w: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24.7 %</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55"/>
        </w:trPr>
        <w:tc>
          <w:tcPr>
            <w:tcW w:w="4160" w:type="dxa"/>
            <w:vAlign w:val="bottom"/>
            <w:shd w:val="clear" w:color="auto" w:fill="F4F4F4"/>
          </w:tcPr>
          <w:p>
            <w:pPr>
              <w:spacing w:after="0"/>
              <w:rPr>
                <w:sz w:val="13"/>
                <w:szCs w:val="13"/>
                <w:color w:val="auto"/>
              </w:rPr>
            </w:pPr>
          </w:p>
        </w:tc>
        <w:tc>
          <w:tcPr>
            <w:tcW w:w="420" w:type="dxa"/>
            <w:vAlign w:val="bottom"/>
            <w:shd w:val="clear" w:color="auto" w:fill="F4F4F4"/>
          </w:tcPr>
          <w:p>
            <w:pPr>
              <w:spacing w:after="0"/>
              <w:rPr>
                <w:sz w:val="13"/>
                <w:szCs w:val="13"/>
                <w:color w:val="auto"/>
              </w:rPr>
            </w:pPr>
          </w:p>
        </w:tc>
        <w:tc>
          <w:tcPr>
            <w:tcW w:w="820" w:type="dxa"/>
            <w:vAlign w:val="bottom"/>
            <w:shd w:val="clear" w:color="auto" w:fill="F4F4F4"/>
          </w:tcPr>
          <w:p>
            <w:pPr>
              <w:spacing w:after="0"/>
              <w:rPr>
                <w:sz w:val="13"/>
                <w:szCs w:val="13"/>
                <w:color w:val="auto"/>
              </w:rPr>
            </w:pPr>
          </w:p>
        </w:tc>
        <w:tc>
          <w:tcPr>
            <w:tcW w:w="440" w:type="dxa"/>
            <w:vAlign w:val="bottom"/>
            <w:shd w:val="clear" w:color="auto" w:fill="F4F4F4"/>
          </w:tcPr>
          <w:p>
            <w:pPr>
              <w:spacing w:after="0"/>
              <w:rPr>
                <w:sz w:val="13"/>
                <w:szCs w:val="13"/>
                <w:color w:val="auto"/>
              </w:rPr>
            </w:pPr>
          </w:p>
        </w:tc>
        <w:tc>
          <w:tcPr>
            <w:tcW w:w="680" w:type="dxa"/>
            <w:vAlign w:val="bottom"/>
            <w:shd w:val="clear" w:color="auto" w:fill="F4F4F4"/>
          </w:tcPr>
          <w:p>
            <w:pPr>
              <w:spacing w:after="0"/>
              <w:rPr>
                <w:sz w:val="13"/>
                <w:szCs w:val="13"/>
                <w:color w:val="auto"/>
              </w:rPr>
            </w:pPr>
          </w:p>
        </w:tc>
        <w:tc>
          <w:tcPr>
            <w:tcW w:w="1120" w:type="dxa"/>
            <w:vAlign w:val="bottom"/>
            <w:tcBorders>
              <w:right w:val="single" w:sz="8" w:color="F4F4F4"/>
            </w:tcBorders>
            <w:shd w:val="clear" w:color="auto" w:fill="F4F4F4"/>
          </w:tcPr>
          <w:p>
            <w:pPr>
              <w:spacing w:after="0"/>
              <w:rPr>
                <w:sz w:val="13"/>
                <w:szCs w:val="13"/>
                <w:color w:val="auto"/>
              </w:rPr>
            </w:pPr>
          </w:p>
        </w:tc>
        <w:tc>
          <w:tcPr>
            <w:tcW w:w="80" w:type="dxa"/>
            <w:vAlign w:val="bottom"/>
            <w:shd w:val="clear" w:color="auto" w:fill="F4F4F4"/>
          </w:tcPr>
          <w:p>
            <w:pPr>
              <w:spacing w:after="0"/>
              <w:rPr>
                <w:sz w:val="13"/>
                <w:szCs w:val="13"/>
                <w:color w:val="auto"/>
              </w:rPr>
            </w:pPr>
          </w:p>
        </w:tc>
        <w:tc>
          <w:tcPr>
            <w:tcW w:w="400" w:type="dxa"/>
            <w:vAlign w:val="bottom"/>
            <w:shd w:val="clear" w:color="auto" w:fill="F4F4F4"/>
          </w:tcPr>
          <w:p>
            <w:pPr>
              <w:spacing w:after="0"/>
              <w:rPr>
                <w:sz w:val="13"/>
                <w:szCs w:val="13"/>
                <w:color w:val="auto"/>
              </w:rPr>
            </w:pPr>
          </w:p>
        </w:tc>
        <w:tc>
          <w:tcPr>
            <w:tcW w:w="860" w:type="dxa"/>
            <w:vAlign w:val="bottom"/>
            <w:shd w:val="clear" w:color="auto" w:fill="F4F4F4"/>
          </w:tcPr>
          <w:p>
            <w:pPr>
              <w:spacing w:after="0"/>
              <w:rPr>
                <w:sz w:val="13"/>
                <w:szCs w:val="13"/>
                <w:color w:val="auto"/>
              </w:rPr>
            </w:pPr>
          </w:p>
        </w:tc>
        <w:tc>
          <w:tcPr>
            <w:tcW w:w="420" w:type="dxa"/>
            <w:vAlign w:val="bottom"/>
            <w:shd w:val="clear" w:color="auto" w:fill="F4F4F4"/>
          </w:tcPr>
          <w:p>
            <w:pPr>
              <w:spacing w:after="0"/>
              <w:rPr>
                <w:sz w:val="13"/>
                <w:szCs w:val="13"/>
                <w:color w:val="auto"/>
              </w:rPr>
            </w:pPr>
          </w:p>
        </w:tc>
        <w:tc>
          <w:tcPr>
            <w:tcW w:w="740" w:type="dxa"/>
            <w:vAlign w:val="bottom"/>
            <w:shd w:val="clear" w:color="auto" w:fill="F4F4F4"/>
          </w:tcPr>
          <w:p>
            <w:pPr>
              <w:spacing w:after="0"/>
              <w:rPr>
                <w:sz w:val="13"/>
                <w:szCs w:val="13"/>
                <w:color w:val="auto"/>
              </w:rPr>
            </w:pPr>
          </w:p>
        </w:tc>
        <w:tc>
          <w:tcPr>
            <w:tcW w:w="1100" w:type="dxa"/>
            <w:vAlign w:val="bottom"/>
            <w:shd w:val="clear" w:color="auto" w:fill="F4F4F4"/>
          </w:tcPr>
          <w:p>
            <w:pPr>
              <w:spacing w:after="0"/>
              <w:rPr>
                <w:sz w:val="13"/>
                <w:szCs w:val="13"/>
                <w:color w:val="auto"/>
              </w:rPr>
            </w:pPr>
          </w:p>
        </w:tc>
        <w:tc>
          <w:tcPr>
            <w:tcW w:w="20" w:type="dxa"/>
            <w:vAlign w:val="bottom"/>
          </w:tcPr>
          <w:p>
            <w:pPr>
              <w:spacing w:after="0"/>
              <w:rPr>
                <w:sz w:val="13"/>
                <w:szCs w:val="13"/>
                <w:color w:val="auto"/>
              </w:rPr>
            </w:pPr>
          </w:p>
        </w:tc>
      </w:tr>
      <w:tr>
        <w:trPr>
          <w:trHeight w:val="216"/>
        </w:trPr>
        <w:tc>
          <w:tcPr>
            <w:tcW w:w="4160" w:type="dxa"/>
            <w:vAlign w:val="bottom"/>
            <w:tcBorders>
              <w:bottom w:val="single" w:sz="8" w:color="71BF43"/>
            </w:tcBorders>
          </w:tcPr>
          <w:p>
            <w:pPr>
              <w:ind w:left="20"/>
              <w:spacing w:after="0"/>
              <w:rPr>
                <w:sz w:val="20"/>
                <w:szCs w:val="20"/>
                <w:color w:val="auto"/>
              </w:rPr>
            </w:pPr>
            <w:r>
              <w:rPr>
                <w:rFonts w:ascii="Arial" w:cs="Arial" w:eastAsia="Arial" w:hAnsi="Arial"/>
                <w:sz w:val="14"/>
                <w:szCs w:val="14"/>
                <w:b w:val="1"/>
                <w:bCs w:val="1"/>
                <w:color w:val="auto"/>
              </w:rPr>
              <w:t>Rule of 40 on constant currency basis</w:t>
            </w:r>
            <w:r>
              <w:rPr>
                <w:rFonts w:ascii="Arial" w:cs="Arial" w:eastAsia="Arial" w:hAnsi="Arial"/>
                <w:sz w:val="18"/>
                <w:szCs w:val="18"/>
                <w:b w:val="1"/>
                <w:bCs w:val="1"/>
                <w:color w:val="auto"/>
                <w:vertAlign w:val="superscript"/>
              </w:rPr>
              <w:t>(6)</w:t>
            </w:r>
          </w:p>
        </w:tc>
        <w:tc>
          <w:tcPr>
            <w:tcW w:w="420" w:type="dxa"/>
            <w:vAlign w:val="bottom"/>
            <w:tcBorders>
              <w:bottom w:val="single" w:sz="8" w:color="71BF43"/>
            </w:tcBorders>
          </w:tcPr>
          <w:p>
            <w:pPr>
              <w:spacing w:after="0"/>
              <w:rPr>
                <w:sz w:val="18"/>
                <w:szCs w:val="18"/>
                <w:color w:val="auto"/>
              </w:rPr>
            </w:pPr>
          </w:p>
        </w:tc>
        <w:tc>
          <w:tcPr>
            <w:tcW w:w="820" w:type="dxa"/>
            <w:vAlign w:val="bottom"/>
            <w:tcBorders>
              <w:bottom w:val="single" w:sz="8" w:color="71BF43"/>
            </w:tcBorders>
          </w:tcPr>
          <w:p>
            <w:pPr>
              <w:jc w:val="right"/>
              <w:spacing w:after="0"/>
              <w:rPr>
                <w:sz w:val="20"/>
                <w:szCs w:val="20"/>
                <w:color w:val="auto"/>
              </w:rPr>
            </w:pPr>
            <w:r>
              <w:rPr>
                <w:rFonts w:ascii="Arial" w:cs="Arial" w:eastAsia="Arial" w:hAnsi="Arial"/>
                <w:sz w:val="14"/>
                <w:szCs w:val="14"/>
                <w:b w:val="1"/>
                <w:bCs w:val="1"/>
                <w:color w:val="auto"/>
              </w:rPr>
              <w:t>31.9 %</w:t>
            </w:r>
          </w:p>
        </w:tc>
        <w:tc>
          <w:tcPr>
            <w:tcW w:w="440" w:type="dxa"/>
            <w:vAlign w:val="bottom"/>
            <w:tcBorders>
              <w:bottom w:val="single" w:sz="8" w:color="71BF43"/>
            </w:tcBorders>
          </w:tcPr>
          <w:p>
            <w:pPr>
              <w:spacing w:after="0"/>
              <w:rPr>
                <w:sz w:val="18"/>
                <w:szCs w:val="18"/>
                <w:color w:val="auto"/>
              </w:rPr>
            </w:pPr>
          </w:p>
        </w:tc>
        <w:tc>
          <w:tcPr>
            <w:tcW w:w="680" w:type="dxa"/>
            <w:vAlign w:val="bottom"/>
            <w:tcBorders>
              <w:bottom w:val="single" w:sz="8" w:color="71BF43"/>
            </w:tcBorders>
          </w:tcPr>
          <w:p>
            <w:pPr>
              <w:spacing w:after="0"/>
              <w:rPr>
                <w:sz w:val="18"/>
                <w:szCs w:val="18"/>
                <w:color w:val="auto"/>
              </w:rPr>
            </w:pPr>
          </w:p>
        </w:tc>
        <w:tc>
          <w:tcPr>
            <w:tcW w:w="1120" w:type="dxa"/>
            <w:vAlign w:val="bottom"/>
            <w:tcBorders>
              <w:bottom w:val="single" w:sz="8" w:color="71BF43"/>
            </w:tcBorders>
          </w:tcPr>
          <w:p>
            <w:pPr>
              <w:spacing w:after="0"/>
              <w:rPr>
                <w:sz w:val="18"/>
                <w:szCs w:val="18"/>
                <w:color w:val="auto"/>
              </w:rPr>
            </w:pPr>
          </w:p>
        </w:tc>
        <w:tc>
          <w:tcPr>
            <w:tcW w:w="80" w:type="dxa"/>
            <w:vAlign w:val="bottom"/>
            <w:tcBorders>
              <w:bottom w:val="single" w:sz="8" w:color="71BF43"/>
            </w:tcBorders>
          </w:tcPr>
          <w:p>
            <w:pPr>
              <w:spacing w:after="0"/>
              <w:rPr>
                <w:sz w:val="18"/>
                <w:szCs w:val="18"/>
                <w:color w:val="auto"/>
              </w:rPr>
            </w:pPr>
          </w:p>
        </w:tc>
        <w:tc>
          <w:tcPr>
            <w:tcW w:w="400" w:type="dxa"/>
            <w:vAlign w:val="bottom"/>
            <w:tcBorders>
              <w:bottom w:val="single" w:sz="8" w:color="71BF43"/>
            </w:tcBorders>
          </w:tcPr>
          <w:p>
            <w:pPr>
              <w:spacing w:after="0"/>
              <w:rPr>
                <w:sz w:val="18"/>
                <w:szCs w:val="18"/>
                <w:color w:val="auto"/>
              </w:rPr>
            </w:pPr>
          </w:p>
        </w:tc>
        <w:tc>
          <w:tcPr>
            <w:tcW w:w="860" w:type="dxa"/>
            <w:vAlign w:val="bottom"/>
            <w:tcBorders>
              <w:bottom w:val="single" w:sz="8" w:color="71BF43"/>
            </w:tcBorders>
          </w:tcPr>
          <w:p>
            <w:pPr>
              <w:jc w:val="right"/>
              <w:spacing w:after="0"/>
              <w:rPr>
                <w:sz w:val="20"/>
                <w:szCs w:val="20"/>
                <w:color w:val="auto"/>
              </w:rPr>
            </w:pPr>
            <w:r>
              <w:rPr>
                <w:rFonts w:ascii="Arial" w:cs="Arial" w:eastAsia="Arial" w:hAnsi="Arial"/>
                <w:sz w:val="14"/>
                <w:szCs w:val="14"/>
                <w:b w:val="1"/>
                <w:bCs w:val="1"/>
                <w:color w:val="auto"/>
              </w:rPr>
              <w:t>29.9 %</w:t>
            </w:r>
          </w:p>
        </w:tc>
        <w:tc>
          <w:tcPr>
            <w:tcW w:w="420" w:type="dxa"/>
            <w:vAlign w:val="bottom"/>
            <w:tcBorders>
              <w:bottom w:val="single" w:sz="8" w:color="71BF43"/>
            </w:tcBorders>
          </w:tcPr>
          <w:p>
            <w:pPr>
              <w:spacing w:after="0"/>
              <w:rPr>
                <w:sz w:val="18"/>
                <w:szCs w:val="18"/>
                <w:color w:val="auto"/>
              </w:rPr>
            </w:pPr>
          </w:p>
        </w:tc>
        <w:tc>
          <w:tcPr>
            <w:tcW w:w="740" w:type="dxa"/>
            <w:vAlign w:val="bottom"/>
            <w:tcBorders>
              <w:bottom w:val="single" w:sz="8" w:color="71BF43"/>
            </w:tcBorders>
          </w:tcPr>
          <w:p>
            <w:pPr>
              <w:spacing w:after="0"/>
              <w:rPr>
                <w:sz w:val="18"/>
                <w:szCs w:val="18"/>
                <w:color w:val="auto"/>
              </w:rPr>
            </w:pPr>
          </w:p>
        </w:tc>
        <w:tc>
          <w:tcPr>
            <w:tcW w:w="1100" w:type="dxa"/>
            <w:vAlign w:val="bottom"/>
            <w:tcBorders>
              <w:bottom w:val="single" w:sz="8" w:color="71BF43"/>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-4413885</wp:posOffset>
            </wp:positionV>
            <wp:extent cx="45091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509135" cy="8890"/>
                    </a:xfrm>
                    <a:prstGeom prst="rect">
                      <a:avLst/>
                    </a:prstGeom>
                    <a:noFill/>
                  </pic:spPr>
                </pic:pic>
              </a:graphicData>
            </a:graphic>
          </wp:anchor>
        </w:drawing>
      </w:r>
    </w:p>
    <w:p>
      <w:pPr>
        <w:spacing w:after="0" w:line="79"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amortization expense related to software development costs and amortization expense from capitalized cloud computing implementation costs.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individual amounts for each year may not sum to subtotal, non-GAAP EBITDA or non-GAAP adjusted EBITDA due to rounding.</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See additional details in the reconciliation of GAAP to Non-GAAP operating income above.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Measured by non-GAAP organic revenue growth plus non-GAAP adjusted EBITDA margin. See Non-GAAP organic revenue growth table above.</w:t>
      </w:r>
    </w:p>
    <w:p>
      <w:pPr>
        <w:spacing w:after="0" w:line="1" w:lineRule="exact"/>
        <w:rPr>
          <w:rFonts w:ascii="Arial" w:cs="Arial" w:eastAsia="Arial" w:hAnsi="Arial"/>
          <w:sz w:val="14"/>
          <w:szCs w:val="14"/>
          <w:color w:val="auto"/>
        </w:rPr>
      </w:pPr>
    </w:p>
    <w:p>
      <w:pPr>
        <w:jc w:val="both"/>
        <w:ind w:left="340" w:right="20" w:hanging="332"/>
        <w:spacing w:after="0" w:line="241" w:lineRule="auto"/>
        <w:tabs>
          <w:tab w:leader="none" w:pos="354" w:val="left"/>
        </w:tabs>
        <w:numPr>
          <w:ilvl w:val="0"/>
          <w:numId w:val="36"/>
        </w:numPr>
        <w:rPr>
          <w:rFonts w:ascii="Arial" w:cs="Arial" w:eastAsia="Arial" w:hAnsi="Arial"/>
          <w:sz w:val="14"/>
          <w:szCs w:val="14"/>
          <w:color w:val="auto"/>
        </w:rPr>
      </w:pPr>
      <w:r>
        <w:rPr>
          <w:rFonts w:ascii="Arial" w:cs="Arial" w:eastAsia="Arial" w:hAnsi="Arial"/>
          <w:sz w:val="14"/>
          <w:szCs w:val="14"/>
          <w:color w:val="auto"/>
        </w:rPr>
        <w:t>To determine non-GAAP adjusted EBITDA on a constant currency basis, non-GAAP adjusted EBITDA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Measured by non-GAAP organic revenue growth on constant currency basis plus non-GAAP adjusted EBITDA margin on constant currency basis.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40</w:t>
      </w:r>
      <w:r>
        <w:rPr>
          <w:sz w:val="20"/>
          <w:szCs w:val="20"/>
          <w:color w:val="auto"/>
        </w:rPr>
        <w:tab/>
      </w:r>
      <w:r>
        <w:rPr>
          <w:sz w:val="1"/>
          <w:szCs w:val="1"/>
          <w:color w:val="auto"/>
        </w:rPr>
        <w:drawing>
          <wp:inline distT="0" distB="0" distL="0" distR="0">
            <wp:extent cx="651510" cy="17145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free cash flow and non-GAAP adjusted free cash flow</w:t>
      </w:r>
    </w:p>
    <w:p>
      <w:pPr>
        <w:spacing w:after="0" w:line="18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Non-GAAP free cash flow is defined as operating cash flow less capital expenditures, including costs required to be capitalized for software development, and capital expenditures for property and equipment.</w:t>
      </w:r>
    </w:p>
    <w:p>
      <w:pPr>
        <w:spacing w:after="0" w:line="14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Non-GAAP adjusted free cash flow is defined as operating cash flow less capital expenditures, including costs required to be capitalized for software development and capital expenditures for property and equipment, plus cash outflows, net of insurance, related to the Security Incident.</w:t>
      </w:r>
    </w:p>
    <w:p>
      <w:pPr>
        <w:spacing w:after="0" w:line="14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believe non-GAAP free cash flow and non-GAAP adjusted free cash flow provides useful measures of the company's operating performance. Non-GAAP adjusted free cash flow is not intended to represent and should not be viewed as the amount of residual cash flow available for discretionary expenditures.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shd w:val="clear" w:color="auto" w:fill="ACACAC"/>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740" w:type="dxa"/>
            <w:vAlign w:val="bottom"/>
            <w:shd w:val="clear" w:color="auto" w:fill="ACACAC"/>
          </w:tcPr>
          <w:p>
            <w:pPr>
              <w:spacing w:after="0"/>
              <w:rPr>
                <w:sz w:val="16"/>
                <w:szCs w:val="16"/>
                <w:color w:val="auto"/>
              </w:rPr>
            </w:pPr>
          </w:p>
        </w:tc>
        <w:tc>
          <w:tcPr>
            <w:tcW w:w="440" w:type="dxa"/>
            <w:vAlign w:val="bottom"/>
            <w:shd w:val="clear" w:color="auto" w:fill="ACACAC"/>
          </w:tcPr>
          <w:p>
            <w:pPr>
              <w:spacing w:after="0"/>
              <w:rPr>
                <w:sz w:val="16"/>
                <w:szCs w:val="16"/>
                <w:color w:val="auto"/>
              </w:rPr>
            </w:pPr>
          </w:p>
        </w:tc>
        <w:tc>
          <w:tcPr>
            <w:tcW w:w="740" w:type="dxa"/>
            <w:vAlign w:val="bottom"/>
            <w:shd w:val="clear" w:color="auto" w:fill="ACACAC"/>
          </w:tcPr>
          <w:p>
            <w:pPr>
              <w:spacing w:after="0"/>
              <w:rPr>
                <w:sz w:val="16"/>
                <w:szCs w:val="16"/>
                <w:color w:val="auto"/>
              </w:rPr>
            </w:pPr>
          </w:p>
        </w:tc>
        <w:tc>
          <w:tcPr>
            <w:tcW w:w="12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Six months ended</w:t>
            </w:r>
          </w:p>
        </w:tc>
        <w:tc>
          <w:tcPr>
            <w:tcW w:w="20" w:type="dxa"/>
            <w:vAlign w:val="bottom"/>
            <w:shd w:val="clear" w:color="auto" w:fill="ACACAC"/>
          </w:tcPr>
          <w:p>
            <w:pPr>
              <w:spacing w:after="0"/>
              <w:rPr>
                <w:sz w:val="16"/>
                <w:szCs w:val="16"/>
                <w:color w:val="auto"/>
              </w:rPr>
            </w:pPr>
          </w:p>
        </w:tc>
      </w:tr>
      <w:tr>
        <w:trPr>
          <w:trHeight w:val="190"/>
        </w:trPr>
        <w:tc>
          <w:tcPr>
            <w:tcW w:w="7600" w:type="dxa"/>
            <w:vAlign w:val="bottom"/>
            <w:shd w:val="clear" w:color="auto" w:fill="ACACAC"/>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740" w:type="dxa"/>
            <w:vAlign w:val="bottom"/>
            <w:shd w:val="clear" w:color="auto" w:fill="ACACAC"/>
          </w:tcPr>
          <w:p>
            <w:pPr>
              <w:spacing w:after="0"/>
              <w:rPr>
                <w:sz w:val="16"/>
                <w:szCs w:val="16"/>
                <w:color w:val="auto"/>
              </w:rPr>
            </w:pPr>
          </w:p>
        </w:tc>
        <w:tc>
          <w:tcPr>
            <w:tcW w:w="440" w:type="dxa"/>
            <w:vAlign w:val="bottom"/>
            <w:shd w:val="clear" w:color="auto" w:fill="ACACAC"/>
          </w:tcPr>
          <w:p>
            <w:pPr>
              <w:spacing w:after="0"/>
              <w:rPr>
                <w:sz w:val="16"/>
                <w:szCs w:val="16"/>
                <w:color w:val="auto"/>
              </w:rPr>
            </w:pPr>
          </w:p>
        </w:tc>
        <w:tc>
          <w:tcPr>
            <w:tcW w:w="740" w:type="dxa"/>
            <w:vAlign w:val="bottom"/>
            <w:shd w:val="clear" w:color="auto" w:fill="ACACAC"/>
          </w:tcPr>
          <w:p>
            <w:pPr>
              <w:spacing w:after="0"/>
              <w:rPr>
                <w:sz w:val="16"/>
                <w:szCs w:val="16"/>
                <w:color w:val="auto"/>
              </w:rPr>
            </w:pPr>
          </w:p>
        </w:tc>
        <w:tc>
          <w:tcPr>
            <w:tcW w:w="12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20" w:type="dxa"/>
            <w:vAlign w:val="bottom"/>
            <w:shd w:val="clear" w:color="auto" w:fill="ACACAC"/>
          </w:tcPr>
          <w:p>
            <w:pPr>
              <w:spacing w:after="0"/>
              <w:rPr>
                <w:sz w:val="16"/>
                <w:szCs w:val="16"/>
                <w:color w:val="auto"/>
              </w:rPr>
            </w:pPr>
          </w:p>
        </w:tc>
      </w:tr>
      <w:tr>
        <w:trPr>
          <w:trHeight w:val="235"/>
        </w:trPr>
        <w:tc>
          <w:tcPr>
            <w:tcW w:w="760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60" w:type="dxa"/>
            <w:vAlign w:val="bottom"/>
            <w:tcBorders>
              <w:bottom w:val="single" w:sz="8" w:color="ACACAC"/>
            </w:tcBorders>
            <w:shd w:val="clear" w:color="auto" w:fill="ACACAC"/>
          </w:tcPr>
          <w:p>
            <w:pPr>
              <w:spacing w:after="0"/>
              <w:rPr>
                <w:sz w:val="20"/>
                <w:szCs w:val="20"/>
                <w:color w:val="auto"/>
              </w:rPr>
            </w:pPr>
          </w:p>
        </w:tc>
        <w:tc>
          <w:tcPr>
            <w:tcW w:w="7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440" w:type="dxa"/>
            <w:vAlign w:val="bottom"/>
            <w:tcBorders>
              <w:bottom w:val="single" w:sz="8" w:color="ACACAC"/>
            </w:tcBorders>
            <w:shd w:val="clear" w:color="auto" w:fill="ACACAC"/>
          </w:tcPr>
          <w:p>
            <w:pPr>
              <w:spacing w:after="0"/>
              <w:rPr>
                <w:sz w:val="20"/>
                <w:szCs w:val="20"/>
                <w:color w:val="auto"/>
              </w:rPr>
            </w:pPr>
          </w:p>
        </w:tc>
        <w:tc>
          <w:tcPr>
            <w:tcW w:w="7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2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16"/>
        </w:trPr>
        <w:tc>
          <w:tcPr>
            <w:tcW w:w="760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GAAP net cash provided by operating activities</w:t>
            </w:r>
          </w:p>
        </w:tc>
        <w:tc>
          <w:tcPr>
            <w:tcW w:w="460" w:type="dxa"/>
            <w:vAlign w:val="bottom"/>
            <w:shd w:val="clear" w:color="auto" w:fill="F4F4F4"/>
          </w:tcPr>
          <w:p>
            <w:pPr>
              <w:jc w:val="right"/>
              <w:ind w:right="288"/>
              <w:spacing w:after="0"/>
              <w:rPr>
                <w:sz w:val="20"/>
                <w:szCs w:val="20"/>
                <w:color w:val="auto"/>
              </w:rPr>
            </w:pPr>
            <w:r>
              <w:rPr>
                <w:rFonts w:ascii="Arial" w:cs="Arial" w:eastAsia="Arial" w:hAnsi="Arial"/>
                <w:sz w:val="14"/>
                <w:szCs w:val="14"/>
                <w:color w:val="auto"/>
              </w:rPr>
              <w:t>$</w:t>
            </w:r>
          </w:p>
        </w:tc>
        <w:tc>
          <w:tcPr>
            <w:tcW w:w="74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rPr>
              <w:t>81.8</w:t>
            </w:r>
          </w:p>
        </w:tc>
        <w:tc>
          <w:tcPr>
            <w:tcW w:w="440" w:type="dxa"/>
            <w:vAlign w:val="bottom"/>
            <w:shd w:val="clear" w:color="auto" w:fill="F4F4F4"/>
          </w:tcPr>
          <w:p>
            <w:pPr>
              <w:jc w:val="right"/>
              <w:ind w:right="268"/>
              <w:spacing w:after="0"/>
              <w:rPr>
                <w:sz w:val="20"/>
                <w:szCs w:val="20"/>
                <w:color w:val="auto"/>
              </w:rPr>
            </w:pPr>
            <w:r>
              <w:rPr>
                <w:rFonts w:ascii="Arial" w:cs="Arial" w:eastAsia="Arial" w:hAnsi="Arial"/>
                <w:sz w:val="14"/>
                <w:szCs w:val="14"/>
                <w:color w:val="auto"/>
              </w:rPr>
              <w:t>$</w:t>
            </w:r>
          </w:p>
        </w:tc>
        <w:tc>
          <w:tcPr>
            <w:tcW w:w="7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99.9</w:t>
            </w:r>
          </w:p>
        </w:tc>
        <w:tc>
          <w:tcPr>
            <w:tcW w:w="12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(18.2)%</w:t>
            </w:r>
          </w:p>
        </w:tc>
        <w:tc>
          <w:tcPr>
            <w:tcW w:w="20" w:type="dxa"/>
            <w:vAlign w:val="bottom"/>
          </w:tcPr>
          <w:p>
            <w:pPr>
              <w:spacing w:after="0"/>
              <w:rPr>
                <w:sz w:val="18"/>
                <w:szCs w:val="18"/>
                <w:color w:val="auto"/>
              </w:rPr>
            </w:pPr>
          </w:p>
        </w:tc>
      </w:tr>
      <w:tr>
        <w:trPr>
          <w:trHeight w:val="210"/>
        </w:trPr>
        <w:tc>
          <w:tcPr>
            <w:tcW w:w="7600" w:type="dxa"/>
            <w:vAlign w:val="bottom"/>
          </w:tcPr>
          <w:p>
            <w:pPr>
              <w:ind w:left="140"/>
              <w:spacing w:after="0"/>
              <w:rPr>
                <w:sz w:val="20"/>
                <w:szCs w:val="20"/>
                <w:color w:val="auto"/>
              </w:rPr>
            </w:pPr>
            <w:r>
              <w:rPr>
                <w:rFonts w:ascii="Arial" w:cs="Arial" w:eastAsia="Arial" w:hAnsi="Arial"/>
                <w:sz w:val="14"/>
                <w:szCs w:val="14"/>
                <w:color w:val="auto"/>
              </w:rPr>
              <w:t>Less: purchase of property and equipment</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w:t>
            </w:r>
          </w:p>
        </w:tc>
        <w:tc>
          <w:tcPr>
            <w:tcW w:w="1260" w:type="dxa"/>
            <w:vAlign w:val="bottom"/>
          </w:tcPr>
          <w:p>
            <w:pPr>
              <w:jc w:val="right"/>
              <w:spacing w:after="0"/>
              <w:rPr>
                <w:sz w:val="20"/>
                <w:szCs w:val="20"/>
                <w:color w:val="auto"/>
              </w:rPr>
            </w:pPr>
            <w:r>
              <w:rPr>
                <w:rFonts w:ascii="Arial" w:cs="Arial" w:eastAsia="Arial" w:hAnsi="Arial"/>
                <w:sz w:val="14"/>
                <w:szCs w:val="14"/>
                <w:color w:val="auto"/>
              </w:rPr>
              <w:t>22.7 %</w:t>
            </w:r>
          </w:p>
        </w:tc>
        <w:tc>
          <w:tcPr>
            <w:tcW w:w="20" w:type="dxa"/>
            <w:vAlign w:val="bottom"/>
          </w:tcPr>
          <w:p>
            <w:pPr>
              <w:spacing w:after="0"/>
              <w:rPr>
                <w:sz w:val="18"/>
                <w:szCs w:val="18"/>
                <w:color w:val="auto"/>
              </w:rPr>
            </w:pPr>
          </w:p>
        </w:tc>
      </w:tr>
      <w:tr>
        <w:trPr>
          <w:trHeight w:val="222"/>
        </w:trPr>
        <w:tc>
          <w:tcPr>
            <w:tcW w:w="7600" w:type="dxa"/>
            <w:vAlign w:val="bottom"/>
            <w:shd w:val="clear" w:color="auto" w:fill="F4F4F4"/>
          </w:tcPr>
          <w:p>
            <w:pPr>
              <w:ind w:left="140"/>
              <w:spacing w:after="0"/>
              <w:rPr>
                <w:sz w:val="20"/>
                <w:szCs w:val="20"/>
                <w:color w:val="auto"/>
              </w:rPr>
            </w:pPr>
            <w:r>
              <w:rPr>
                <w:rFonts w:ascii="Arial" w:cs="Arial" w:eastAsia="Arial" w:hAnsi="Arial"/>
                <w:sz w:val="14"/>
                <w:szCs w:val="14"/>
                <w:color w:val="auto"/>
              </w:rPr>
              <w:t>Less: capitalized software and content development costs</w:t>
            </w:r>
          </w:p>
        </w:tc>
        <w:tc>
          <w:tcPr>
            <w:tcW w:w="460" w:type="dxa"/>
            <w:vAlign w:val="bottom"/>
            <w:tcBorders>
              <w:bottom w:val="single" w:sz="8" w:color="auto"/>
            </w:tcBorders>
            <w:shd w:val="clear" w:color="auto" w:fill="F4F4F4"/>
          </w:tcPr>
          <w:p>
            <w:pPr>
              <w:spacing w:after="0"/>
              <w:rPr>
                <w:sz w:val="19"/>
                <w:szCs w:val="19"/>
                <w:color w:val="auto"/>
              </w:rPr>
            </w:pPr>
          </w:p>
        </w:tc>
        <w:tc>
          <w:tcPr>
            <w:tcW w:w="7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(27.2)</w:t>
            </w:r>
          </w:p>
        </w:tc>
        <w:tc>
          <w:tcPr>
            <w:tcW w:w="440" w:type="dxa"/>
            <w:vAlign w:val="bottom"/>
            <w:tcBorders>
              <w:bottom w:val="single" w:sz="8" w:color="auto"/>
            </w:tcBorders>
            <w:shd w:val="clear" w:color="auto" w:fill="F4F4F4"/>
          </w:tcPr>
          <w:p>
            <w:pPr>
              <w:spacing w:after="0"/>
              <w:rPr>
                <w:sz w:val="19"/>
                <w:szCs w:val="19"/>
                <w:color w:val="auto"/>
              </w:rPr>
            </w:pPr>
          </w:p>
        </w:tc>
        <w:tc>
          <w:tcPr>
            <w:tcW w:w="7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(19.9)</w:t>
            </w:r>
          </w:p>
        </w:tc>
        <w:tc>
          <w:tcPr>
            <w:tcW w:w="12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36.9 %</w:t>
            </w:r>
          </w:p>
        </w:tc>
        <w:tc>
          <w:tcPr>
            <w:tcW w:w="20" w:type="dxa"/>
            <w:vAlign w:val="bottom"/>
          </w:tcPr>
          <w:p>
            <w:pPr>
              <w:spacing w:after="0"/>
              <w:rPr>
                <w:sz w:val="19"/>
                <w:szCs w:val="19"/>
                <w:color w:val="auto"/>
              </w:rPr>
            </w:pPr>
          </w:p>
        </w:tc>
      </w:tr>
      <w:tr>
        <w:trPr>
          <w:trHeight w:val="209"/>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Non-GAAP free cash flow</w:t>
            </w:r>
            <w:r>
              <w:rPr>
                <w:rFonts w:ascii="Arial" w:cs="Arial" w:eastAsia="Arial" w:hAnsi="Arial"/>
                <w:sz w:val="18"/>
                <w:szCs w:val="18"/>
                <w:b w:val="1"/>
                <w:bCs w:val="1"/>
                <w:color w:val="auto"/>
                <w:vertAlign w:val="superscript"/>
              </w:rPr>
              <w:t>(1)</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47.1</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73.9</w:t>
            </w:r>
          </w:p>
        </w:tc>
        <w:tc>
          <w:tcPr>
            <w:tcW w:w="1260" w:type="dxa"/>
            <w:vAlign w:val="bottom"/>
          </w:tcPr>
          <w:p>
            <w:pPr>
              <w:jc w:val="right"/>
              <w:spacing w:after="0"/>
              <w:rPr>
                <w:sz w:val="20"/>
                <w:szCs w:val="20"/>
                <w:color w:val="auto"/>
              </w:rPr>
            </w:pPr>
            <w:r>
              <w:rPr>
                <w:rFonts w:ascii="Arial" w:cs="Arial" w:eastAsia="Arial" w:hAnsi="Arial"/>
                <w:sz w:val="14"/>
                <w:szCs w:val="14"/>
                <w:color w:val="auto"/>
              </w:rPr>
              <w:t>(36.3)%</w:t>
            </w:r>
          </w:p>
        </w:tc>
        <w:tc>
          <w:tcPr>
            <w:tcW w:w="20" w:type="dxa"/>
            <w:vAlign w:val="bottom"/>
          </w:tcPr>
          <w:p>
            <w:pPr>
              <w:spacing w:after="0"/>
              <w:rPr>
                <w:sz w:val="18"/>
                <w:szCs w:val="18"/>
                <w:color w:val="auto"/>
              </w:rPr>
            </w:pPr>
          </w:p>
        </w:tc>
      </w:tr>
      <w:tr>
        <w:trPr>
          <w:trHeight w:val="216"/>
        </w:trPr>
        <w:tc>
          <w:tcPr>
            <w:tcW w:w="760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Security Incident-related cash flows, net of insurance</w:t>
            </w:r>
          </w:p>
        </w:tc>
        <w:tc>
          <w:tcPr>
            <w:tcW w:w="460" w:type="dxa"/>
            <w:vAlign w:val="bottom"/>
            <w:tcBorders>
              <w:bottom w:val="single" w:sz="8" w:color="auto"/>
            </w:tcBorders>
            <w:shd w:val="clear" w:color="auto" w:fill="F4F4F4"/>
          </w:tcPr>
          <w:p>
            <w:pPr>
              <w:spacing w:after="0"/>
              <w:rPr>
                <w:sz w:val="18"/>
                <w:szCs w:val="18"/>
                <w:color w:val="auto"/>
              </w:rPr>
            </w:pPr>
          </w:p>
        </w:tc>
        <w:tc>
          <w:tcPr>
            <w:tcW w:w="740" w:type="dxa"/>
            <w:vAlign w:val="bottom"/>
            <w:tcBorders>
              <w:bottom w:val="single" w:sz="8" w:color="auto"/>
            </w:tcBorders>
            <w:shd w:val="clear" w:color="auto" w:fill="F4F4F4"/>
          </w:tcPr>
          <w:p>
            <w:pPr>
              <w:jc w:val="right"/>
              <w:ind w:right="8"/>
              <w:spacing w:after="0"/>
              <w:rPr>
                <w:sz w:val="20"/>
                <w:szCs w:val="20"/>
                <w:color w:val="auto"/>
              </w:rPr>
            </w:pPr>
            <w:r>
              <w:rPr>
                <w:rFonts w:ascii="Arial" w:cs="Arial" w:eastAsia="Arial" w:hAnsi="Arial"/>
                <w:sz w:val="14"/>
                <w:szCs w:val="14"/>
                <w:color w:val="auto"/>
              </w:rPr>
              <w:t>5.2</w:t>
            </w:r>
          </w:p>
        </w:tc>
        <w:tc>
          <w:tcPr>
            <w:tcW w:w="440" w:type="dxa"/>
            <w:vAlign w:val="bottom"/>
            <w:tcBorders>
              <w:bottom w:val="single" w:sz="8" w:color="auto"/>
            </w:tcBorders>
            <w:shd w:val="clear" w:color="auto" w:fill="F4F4F4"/>
          </w:tcPr>
          <w:p>
            <w:pPr>
              <w:spacing w:after="0"/>
              <w:rPr>
                <w:sz w:val="18"/>
                <w:szCs w:val="18"/>
                <w:color w:val="auto"/>
              </w:rPr>
            </w:pPr>
          </w:p>
        </w:tc>
        <w:tc>
          <w:tcPr>
            <w:tcW w:w="7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3.8</w:t>
            </w:r>
          </w:p>
        </w:tc>
        <w:tc>
          <w:tcPr>
            <w:tcW w:w="12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36.1 %</w:t>
            </w:r>
          </w:p>
        </w:tc>
        <w:tc>
          <w:tcPr>
            <w:tcW w:w="20" w:type="dxa"/>
            <w:vAlign w:val="bottom"/>
          </w:tcPr>
          <w:p>
            <w:pPr>
              <w:spacing w:after="0"/>
              <w:rPr>
                <w:sz w:val="18"/>
                <w:szCs w:val="18"/>
                <w:color w:val="auto"/>
              </w:rPr>
            </w:pPr>
          </w:p>
        </w:tc>
      </w:tr>
      <w:tr>
        <w:trPr>
          <w:trHeight w:val="210"/>
        </w:trPr>
        <w:tc>
          <w:tcPr>
            <w:tcW w:w="7600" w:type="dxa"/>
            <w:vAlign w:val="bottom"/>
            <w:tcBorders>
              <w:bottom w:val="single" w:sz="8" w:color="71BF43"/>
            </w:tcBorders>
          </w:tcPr>
          <w:p>
            <w:pPr>
              <w:ind w:left="20"/>
              <w:spacing w:after="0"/>
              <w:rPr>
                <w:sz w:val="20"/>
                <w:szCs w:val="20"/>
                <w:color w:val="auto"/>
              </w:rPr>
            </w:pPr>
            <w:r>
              <w:rPr>
                <w:rFonts w:ascii="Arial" w:cs="Arial" w:eastAsia="Arial" w:hAnsi="Arial"/>
                <w:sz w:val="14"/>
                <w:szCs w:val="14"/>
                <w:b w:val="1"/>
                <w:bCs w:val="1"/>
                <w:color w:val="auto"/>
              </w:rPr>
              <w:t>Non-GAAP adjusted free cash flow</w:t>
            </w:r>
            <w:r>
              <w:rPr>
                <w:rFonts w:ascii="Arial" w:cs="Arial" w:eastAsia="Arial" w:hAnsi="Arial"/>
                <w:sz w:val="18"/>
                <w:szCs w:val="18"/>
                <w:b w:val="1"/>
                <w:bCs w:val="1"/>
                <w:color w:val="auto"/>
                <w:vertAlign w:val="superscript"/>
              </w:rPr>
              <w:t>(1)</w:t>
            </w:r>
          </w:p>
        </w:tc>
        <w:tc>
          <w:tcPr>
            <w:tcW w:w="460" w:type="dxa"/>
            <w:vAlign w:val="bottom"/>
            <w:tcBorders>
              <w:bottom w:val="single" w:sz="8" w:color="71BF43"/>
            </w:tcBorders>
          </w:tcPr>
          <w:p>
            <w:pPr>
              <w:jc w:val="right"/>
              <w:ind w:right="2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71BF43"/>
            </w:tcBorders>
          </w:tcPr>
          <w:p>
            <w:pPr>
              <w:jc w:val="right"/>
              <w:ind w:right="8"/>
              <w:spacing w:after="0"/>
              <w:rPr>
                <w:sz w:val="20"/>
                <w:szCs w:val="20"/>
                <w:color w:val="auto"/>
              </w:rPr>
            </w:pPr>
            <w:r>
              <w:rPr>
                <w:rFonts w:ascii="Arial" w:cs="Arial" w:eastAsia="Arial" w:hAnsi="Arial"/>
                <w:sz w:val="14"/>
                <w:szCs w:val="14"/>
                <w:color w:val="auto"/>
              </w:rPr>
              <w:t>52.2</w:t>
            </w:r>
          </w:p>
        </w:tc>
        <w:tc>
          <w:tcPr>
            <w:tcW w:w="440" w:type="dxa"/>
            <w:vAlign w:val="bottom"/>
            <w:tcBorders>
              <w:bottom w:val="single" w:sz="8" w:color="71BF43"/>
            </w:tcBorders>
          </w:tcPr>
          <w:p>
            <w:pPr>
              <w:jc w:val="right"/>
              <w:ind w:right="2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71BF43"/>
            </w:tcBorders>
          </w:tcPr>
          <w:p>
            <w:pPr>
              <w:jc w:val="right"/>
              <w:spacing w:after="0"/>
              <w:rPr>
                <w:sz w:val="20"/>
                <w:szCs w:val="20"/>
                <w:color w:val="auto"/>
              </w:rPr>
            </w:pPr>
            <w:r>
              <w:rPr>
                <w:rFonts w:ascii="Arial" w:cs="Arial" w:eastAsia="Arial" w:hAnsi="Arial"/>
                <w:sz w:val="14"/>
                <w:szCs w:val="14"/>
                <w:color w:val="auto"/>
              </w:rPr>
              <w:t>77.7</w:t>
            </w:r>
          </w:p>
        </w:tc>
        <w:tc>
          <w:tcPr>
            <w:tcW w:w="1260" w:type="dxa"/>
            <w:vAlign w:val="bottom"/>
            <w:tcBorders>
              <w:bottom w:val="single" w:sz="8" w:color="71BF43"/>
            </w:tcBorders>
          </w:tcPr>
          <w:p>
            <w:pPr>
              <w:jc w:val="right"/>
              <w:spacing w:after="0"/>
              <w:rPr>
                <w:sz w:val="20"/>
                <w:szCs w:val="20"/>
                <w:color w:val="auto"/>
              </w:rPr>
            </w:pPr>
            <w:r>
              <w:rPr>
                <w:rFonts w:ascii="Arial" w:cs="Arial" w:eastAsia="Arial" w:hAnsi="Arial"/>
                <w:sz w:val="14"/>
                <w:szCs w:val="14"/>
                <w:color w:val="auto"/>
              </w:rPr>
              <w:t>(32.8)%</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-1002665</wp:posOffset>
            </wp:positionV>
            <wp:extent cx="231457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79"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individual amounts for each year may not sum to non-GAAP free cash flow or non-GAAP adjusted free cash flow due to rounding.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93"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Our revenues normally fluctuate as a result of certain seasonal variations in our business. Our first quarter has historically been the seasonal low for bookings, with the second and fourth quarters historically being seasonally higher, and our bookings tend to be back-end loaded within individual quarters given our quarterly quota plans. Transactional revenue is non-contractual and less predictable given the susceptibility to certain drivers such as timing and number of events and marketing campaigns, as well as fluctuations in donation volumes and tuition payments. Our transactional revenue has historically been at its lowest in the first quarter due to the timing of customer fundraising initiatives and events. We have historically experienced seasonal highs during the fourth quarter due to year-end giving campaigns and during the second quarter when a large number of events are held. Our revenue from professional services has historically been lower in the first quarter when many of those services commence and in the fourth quarter due to the holiday season. As a result of these and other factors, our total revenue has historically been lower in the first quarter than in the remainder of our fiscal year, with the fourth quarter historically achieving the highest total revenue. Our expenses, other than transaction-based costs related to our payments services, do not vary significantly as a result of these factors, but do fluctuate on a quarterly basis due to varying timing of expenditures.</w:t>
      </w:r>
    </w:p>
    <w:p>
      <w:pPr>
        <w:spacing w:after="0" w:line="157"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Our cash flow from operations normally fluctuates quarterly due to the combination of the timing of customer contract renewals including renewals associated with customers of acquired companies, delivery of professional services and occurrence of customer events, as well as merit-based salary increases, among other factors. Historically, due to lower revenues in our first quarter, combined with the payment of certain annual vendor contracts, our cash flow from operations has been lowest in our first quarter. Due to the timing of customer contract renewals and student enrollments, many of which take place at or near the beginning of our third quarter, our cash flow from operations has been lower in our second quarter as compared to our third and fourth quarters. Partially, offsetting these favorable drivers of cash flow from operations in our third and fourth quarters are base salary merit increases, which occur in July. In addition, deferred revenues can vary on a seasonal basis due to the timing of customer contract renewals and student enrollments. Our cash flow from financing is negatively impacted in our first quarter when most of our equity awards vest, as we pay taxes on behalf of our employees related to the settlement or exercise of equity awards. These patterns may change as a result of the continued shift to online giving, growth in volume of transactions for which we process payments, or as a result of acquisitions, new market opportunities, new solution introductions, the COVID-19 pandemic or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219710</wp:posOffset>
            </wp:positionV>
            <wp:extent cx="659765"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480"/>
              <w:spacing w:after="0"/>
              <w:rPr>
                <w:sz w:val="20"/>
                <w:szCs w:val="20"/>
                <w:color w:val="auto"/>
              </w:rPr>
            </w:pPr>
            <w:r>
              <w:rPr>
                <w:rFonts w:ascii="Arial" w:cs="Arial" w:eastAsia="Arial" w:hAnsi="Arial"/>
                <w:sz w:val="14"/>
                <w:szCs w:val="14"/>
                <w:color w:val="auto"/>
              </w:rPr>
              <w:t>Second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information about our financial position: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20" w:type="dxa"/>
            <w:vAlign w:val="bottom"/>
            <w:shd w:val="clear" w:color="auto" w:fill="ACACAC"/>
          </w:tcPr>
          <w:p>
            <w:pPr>
              <w:spacing w:after="0"/>
              <w:rPr>
                <w:sz w:val="16"/>
                <w:szCs w:val="16"/>
                <w:color w:val="auto"/>
              </w:rPr>
            </w:pPr>
          </w:p>
        </w:tc>
        <w:tc>
          <w:tcPr>
            <w:tcW w:w="420" w:type="dxa"/>
            <w:vAlign w:val="bottom"/>
            <w:shd w:val="clear" w:color="auto" w:fill="ACACAC"/>
          </w:tcPr>
          <w:p>
            <w:pPr>
              <w:spacing w:after="0"/>
              <w:rPr>
                <w:sz w:val="16"/>
                <w:szCs w:val="16"/>
                <w:color w:val="auto"/>
              </w:rPr>
            </w:pPr>
          </w:p>
        </w:tc>
        <w:tc>
          <w:tcPr>
            <w:tcW w:w="9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240" w:type="dxa"/>
            <w:vAlign w:val="bottom"/>
            <w:shd w:val="clear" w:color="auto" w:fill="ACACAC"/>
          </w:tcPr>
          <w:p>
            <w:pPr>
              <w:spacing w:after="0"/>
              <w:rPr>
                <w:sz w:val="16"/>
                <w:szCs w:val="16"/>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148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r>
      <w:tr>
        <w:trPr>
          <w:trHeight w:val="196"/>
        </w:trPr>
        <w:tc>
          <w:tcPr>
            <w:tcW w:w="712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20" w:type="dxa"/>
            <w:vAlign w:val="bottom"/>
            <w:tcBorders>
              <w:bottom w:val="single" w:sz="8" w:color="ACACAC"/>
            </w:tcBorders>
            <w:shd w:val="clear" w:color="auto" w:fill="ACACAC"/>
          </w:tcPr>
          <w:p>
            <w:pPr>
              <w:spacing w:after="0"/>
              <w:rPr>
                <w:sz w:val="17"/>
                <w:szCs w:val="17"/>
                <w:color w:val="auto"/>
              </w:rPr>
            </w:pPr>
          </w:p>
        </w:tc>
        <w:tc>
          <w:tcPr>
            <w:tcW w:w="9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240" w:type="dxa"/>
            <w:vAlign w:val="bottom"/>
            <w:tcBorders>
              <w:bottom w:val="single" w:sz="8" w:color="ACACAC"/>
            </w:tcBorders>
            <w:shd w:val="clear" w:color="auto" w:fill="ACACAC"/>
          </w:tcPr>
          <w:p>
            <w:pPr>
              <w:spacing w:after="0"/>
              <w:rPr>
                <w:sz w:val="17"/>
                <w:szCs w:val="17"/>
                <w:color w:val="auto"/>
              </w:rPr>
            </w:pPr>
          </w:p>
        </w:tc>
        <w:tc>
          <w:tcPr>
            <w:tcW w:w="10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4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50"/>
        </w:trPr>
        <w:tc>
          <w:tcPr>
            <w:tcW w:w="71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bottom w:val="single" w:sz="8" w:color="F4F4F4"/>
            </w:tcBorders>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29.0</w:t>
            </w:r>
          </w:p>
        </w:tc>
        <w:tc>
          <w:tcPr>
            <w:tcW w:w="240" w:type="dxa"/>
            <w:vAlign w:val="bottom"/>
            <w:tcBorders>
              <w:bottom w:val="single" w:sz="8" w:color="F4F4F4"/>
            </w:tcBorders>
            <w:shd w:val="clear" w:color="auto" w:fill="F4F4F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55.1</w:t>
            </w:r>
          </w:p>
        </w:tc>
        <w:tc>
          <w:tcPr>
            <w:tcW w:w="14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(47.4)%</w:t>
            </w:r>
          </w:p>
        </w:tc>
        <w:tc>
          <w:tcPr>
            <w:tcW w:w="20" w:type="dxa"/>
            <w:vAlign w:val="bottom"/>
          </w:tcPr>
          <w:p>
            <w:pPr>
              <w:spacing w:after="0"/>
              <w:rPr>
                <w:sz w:val="21"/>
                <w:szCs w:val="21"/>
                <w:color w:val="auto"/>
              </w:rPr>
            </w:pP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111.9</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111.4</w:t>
            </w:r>
          </w:p>
        </w:tc>
        <w:tc>
          <w:tcPr>
            <w:tcW w:w="1480" w:type="dxa"/>
            <w:vAlign w:val="bottom"/>
          </w:tcPr>
          <w:p>
            <w:pPr>
              <w:jc w:val="right"/>
              <w:spacing w:after="0"/>
              <w:rPr>
                <w:sz w:val="20"/>
                <w:szCs w:val="20"/>
                <w:color w:val="auto"/>
              </w:rPr>
            </w:pPr>
            <w:r>
              <w:rPr>
                <w:rFonts w:ascii="Arial" w:cs="Arial" w:eastAsia="Arial" w:hAnsi="Arial"/>
                <w:sz w:val="18"/>
                <w:szCs w:val="18"/>
                <w:color w:val="auto"/>
              </w:rPr>
              <w:t>0.4 %</w:t>
            </w:r>
          </w:p>
        </w:tc>
        <w:tc>
          <w:tcPr>
            <w:tcW w:w="20" w:type="dxa"/>
            <w:vAlign w:val="bottom"/>
          </w:tcPr>
          <w:p>
            <w:pPr>
              <w:spacing w:after="0"/>
              <w:rPr>
                <w:sz w:val="21"/>
                <w:szCs w:val="21"/>
                <w:color w:val="auto"/>
              </w:rPr>
            </w:pPr>
          </w:p>
        </w:tc>
      </w:tr>
      <w:tr>
        <w:trPr>
          <w:trHeight w:val="27"/>
        </w:trPr>
        <w:tc>
          <w:tcPr>
            <w:tcW w:w="7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1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Software and content development costs, net</w:t>
            </w:r>
          </w:p>
        </w:tc>
        <w:tc>
          <w:tcPr>
            <w:tcW w:w="420" w:type="dxa"/>
            <w:vAlign w:val="bottom"/>
            <w:tcBorders>
              <w:bottom w:val="single" w:sz="8" w:color="F4F4F4"/>
            </w:tcBorders>
            <w:shd w:val="clear" w:color="auto" w:fill="F4F4F4"/>
          </w:tcPr>
          <w:p>
            <w:pPr>
              <w:spacing w:after="0"/>
              <w:rPr>
                <w:sz w:val="21"/>
                <w:szCs w:val="21"/>
                <w:color w:val="auto"/>
              </w:rPr>
            </w:pP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130.3</w:t>
            </w:r>
          </w:p>
        </w:tc>
        <w:tc>
          <w:tcPr>
            <w:tcW w:w="24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121.4</w:t>
            </w:r>
          </w:p>
        </w:tc>
        <w:tc>
          <w:tcPr>
            <w:tcW w:w="14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7.4 %</w:t>
            </w:r>
          </w:p>
        </w:tc>
        <w:tc>
          <w:tcPr>
            <w:tcW w:w="20" w:type="dxa"/>
            <w:vAlign w:val="bottom"/>
          </w:tcPr>
          <w:p>
            <w:pPr>
              <w:spacing w:after="0"/>
              <w:rPr>
                <w:sz w:val="21"/>
                <w:szCs w:val="21"/>
                <w:color w:val="auto"/>
              </w:rPr>
            </w:pP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Total carrying value of debt</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939.8</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956.2</w:t>
            </w:r>
          </w:p>
        </w:tc>
        <w:tc>
          <w:tcPr>
            <w:tcW w:w="14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r>
      <w:tr>
        <w:trPr>
          <w:trHeight w:val="27"/>
        </w:trPr>
        <w:tc>
          <w:tcPr>
            <w:tcW w:w="7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71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Working capital</w:t>
            </w:r>
          </w:p>
        </w:tc>
        <w:tc>
          <w:tcPr>
            <w:tcW w:w="420" w:type="dxa"/>
            <w:vAlign w:val="bottom"/>
            <w:tcBorders>
              <w:bottom w:val="single" w:sz="8" w:color="F4F4F4"/>
            </w:tcBorders>
            <w:shd w:val="clear" w:color="auto" w:fill="F4F4F4"/>
          </w:tcPr>
          <w:p>
            <w:pPr>
              <w:spacing w:after="0"/>
              <w:rPr>
                <w:sz w:val="23"/>
                <w:szCs w:val="23"/>
                <w:color w:val="auto"/>
              </w:rPr>
            </w:pP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(267.3)</w:t>
            </w:r>
          </w:p>
        </w:tc>
        <w:tc>
          <w:tcPr>
            <w:tcW w:w="240" w:type="dxa"/>
            <w:vAlign w:val="bottom"/>
            <w:tcBorders>
              <w:bottom w:val="single" w:sz="8" w:color="F4F4F4"/>
            </w:tcBorders>
            <w:shd w:val="clear" w:color="auto" w:fill="F4F4F4"/>
          </w:tcPr>
          <w:p>
            <w:pPr>
              <w:spacing w:after="0"/>
              <w:rPr>
                <w:sz w:val="23"/>
                <w:szCs w:val="23"/>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(258.7)</w:t>
            </w:r>
          </w:p>
        </w:tc>
        <w:tc>
          <w:tcPr>
            <w:tcW w:w="14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3"/>
                <w:szCs w:val="23"/>
                <w:color w:val="auto"/>
              </w:rPr>
            </w:pPr>
          </w:p>
        </w:tc>
      </w:tr>
      <w:tr>
        <w:trPr>
          <w:trHeight w:val="453"/>
        </w:trPr>
        <w:tc>
          <w:tcPr>
            <w:tcW w:w="7120" w:type="dxa"/>
            <w:vAlign w:val="bottom"/>
            <w:tcBorders>
              <w:top w:val="single" w:sz="8" w:color="71BF43"/>
            </w:tcBorders>
          </w:tcPr>
          <w:p>
            <w:pPr>
              <w:spacing w:after="0"/>
              <w:rPr>
                <w:sz w:val="20"/>
                <w:szCs w:val="20"/>
                <w:color w:val="auto"/>
              </w:rPr>
            </w:pPr>
            <w:r>
              <w:rPr>
                <w:rFonts w:ascii="Arial" w:cs="Arial" w:eastAsia="Arial" w:hAnsi="Arial"/>
                <w:sz w:val="18"/>
                <w:szCs w:val="18"/>
                <w:color w:val="auto"/>
              </w:rPr>
              <w:t>The following table presents selected financial information about our cash flows:</w:t>
            </w:r>
          </w:p>
        </w:tc>
        <w:tc>
          <w:tcPr>
            <w:tcW w:w="420" w:type="dxa"/>
            <w:vAlign w:val="bottom"/>
            <w:tcBorders>
              <w:top w:val="single" w:sz="8" w:color="71BF43"/>
            </w:tcBorders>
          </w:tcPr>
          <w:p>
            <w:pPr>
              <w:spacing w:after="0"/>
              <w:rPr>
                <w:sz w:val="24"/>
                <w:szCs w:val="24"/>
                <w:color w:val="auto"/>
              </w:rPr>
            </w:pPr>
          </w:p>
        </w:tc>
        <w:tc>
          <w:tcPr>
            <w:tcW w:w="900" w:type="dxa"/>
            <w:vAlign w:val="bottom"/>
            <w:tcBorders>
              <w:top w:val="single" w:sz="8" w:color="71BF43"/>
            </w:tcBorders>
          </w:tcPr>
          <w:p>
            <w:pPr>
              <w:spacing w:after="0"/>
              <w:rPr>
                <w:sz w:val="24"/>
                <w:szCs w:val="24"/>
                <w:color w:val="auto"/>
              </w:rPr>
            </w:pPr>
          </w:p>
        </w:tc>
        <w:tc>
          <w:tcPr>
            <w:tcW w:w="240" w:type="dxa"/>
            <w:vAlign w:val="bottom"/>
            <w:tcBorders>
              <w:top w:val="single" w:sz="8" w:color="71BF43"/>
            </w:tcBorders>
          </w:tcPr>
          <w:p>
            <w:pPr>
              <w:spacing w:after="0"/>
              <w:rPr>
                <w:sz w:val="24"/>
                <w:szCs w:val="24"/>
                <w:color w:val="auto"/>
              </w:rPr>
            </w:pPr>
          </w:p>
        </w:tc>
        <w:tc>
          <w:tcPr>
            <w:tcW w:w="1080" w:type="dxa"/>
            <w:vAlign w:val="bottom"/>
            <w:tcBorders>
              <w:top w:val="single" w:sz="8" w:color="71BF43"/>
            </w:tcBorders>
          </w:tcPr>
          <w:p>
            <w:pPr>
              <w:spacing w:after="0"/>
              <w:rPr>
                <w:sz w:val="24"/>
                <w:szCs w:val="24"/>
                <w:color w:val="auto"/>
              </w:rPr>
            </w:pPr>
          </w:p>
        </w:tc>
        <w:tc>
          <w:tcPr>
            <w:tcW w:w="1480" w:type="dxa"/>
            <w:vAlign w:val="bottom"/>
            <w:tcBorders>
              <w:top w:val="single" w:sz="8" w:color="71BF43"/>
            </w:tcBorders>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7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560" w:type="dxa"/>
            <w:vAlign w:val="bottom"/>
            <w:gridSpan w:val="2"/>
          </w:tcPr>
          <w:p>
            <w:pPr>
              <w:spacing w:after="0"/>
              <w:rPr>
                <w:sz w:val="7"/>
                <w:szCs w:val="7"/>
                <w:color w:val="auto"/>
              </w:rPr>
            </w:pPr>
          </w:p>
        </w:tc>
        <w:tc>
          <w:tcPr>
            <w:tcW w:w="20" w:type="dxa"/>
            <w:vAlign w:val="bottom"/>
          </w:tcPr>
          <w:p>
            <w:pPr>
              <w:spacing w:after="0"/>
              <w:rPr>
                <w:sz w:val="7"/>
                <w:szCs w:val="7"/>
                <w:color w:val="auto"/>
              </w:rPr>
            </w:pPr>
          </w:p>
        </w:tc>
      </w:tr>
      <w:tr>
        <w:trPr>
          <w:trHeight w:val="218"/>
        </w:trPr>
        <w:tc>
          <w:tcPr>
            <w:tcW w:w="7120" w:type="dxa"/>
            <w:vAlign w:val="bottom"/>
            <w:shd w:val="clear" w:color="auto" w:fill="ACACAC"/>
          </w:tcPr>
          <w:p>
            <w:pPr>
              <w:spacing w:after="0"/>
              <w:rPr>
                <w:sz w:val="18"/>
                <w:szCs w:val="18"/>
                <w:color w:val="auto"/>
              </w:rPr>
            </w:pPr>
          </w:p>
        </w:tc>
        <w:tc>
          <w:tcPr>
            <w:tcW w:w="420" w:type="dxa"/>
            <w:vAlign w:val="bottom"/>
            <w:shd w:val="clear" w:color="auto" w:fill="ACACAC"/>
          </w:tcPr>
          <w:p>
            <w:pPr>
              <w:spacing w:after="0"/>
              <w:rPr>
                <w:sz w:val="18"/>
                <w:szCs w:val="18"/>
                <w:color w:val="auto"/>
              </w:rPr>
            </w:pPr>
          </w:p>
        </w:tc>
        <w:tc>
          <w:tcPr>
            <w:tcW w:w="900" w:type="dxa"/>
            <w:vAlign w:val="bottom"/>
            <w:shd w:val="clear" w:color="auto" w:fill="ACACAC"/>
          </w:tcPr>
          <w:p>
            <w:pPr>
              <w:spacing w:after="0"/>
              <w:rPr>
                <w:sz w:val="18"/>
                <w:szCs w:val="18"/>
                <w:color w:val="auto"/>
              </w:rPr>
            </w:pPr>
          </w:p>
        </w:tc>
        <w:tc>
          <w:tcPr>
            <w:tcW w:w="240" w:type="dxa"/>
            <w:vAlign w:val="bottom"/>
            <w:shd w:val="clear" w:color="auto" w:fill="ACACAC"/>
          </w:tcPr>
          <w:p>
            <w:pPr>
              <w:spacing w:after="0"/>
              <w:rPr>
                <w:sz w:val="18"/>
                <w:szCs w:val="18"/>
                <w:color w:val="auto"/>
              </w:rPr>
            </w:pPr>
          </w:p>
        </w:tc>
        <w:tc>
          <w:tcPr>
            <w:tcW w:w="256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Six months ended June 30,</w:t>
            </w:r>
          </w:p>
        </w:tc>
        <w:tc>
          <w:tcPr>
            <w:tcW w:w="20" w:type="dxa"/>
            <w:vAlign w:val="bottom"/>
            <w:shd w:val="clear" w:color="auto" w:fill="ACACAC"/>
          </w:tcPr>
          <w:p>
            <w:pPr>
              <w:spacing w:after="0"/>
              <w:rPr>
                <w:sz w:val="18"/>
                <w:szCs w:val="18"/>
                <w:color w:val="auto"/>
              </w:rPr>
            </w:pPr>
          </w:p>
        </w:tc>
      </w:tr>
      <w:tr>
        <w:trPr>
          <w:trHeight w:val="235"/>
        </w:trPr>
        <w:tc>
          <w:tcPr>
            <w:tcW w:w="712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20" w:type="dxa"/>
            <w:vAlign w:val="bottom"/>
            <w:tcBorders>
              <w:bottom w:val="single" w:sz="8" w:color="ACACAC"/>
            </w:tcBorders>
            <w:shd w:val="clear" w:color="auto" w:fill="ACACAC"/>
          </w:tcPr>
          <w:p>
            <w:pPr>
              <w:spacing w:after="0"/>
              <w:rPr>
                <w:sz w:val="20"/>
                <w:szCs w:val="20"/>
                <w:color w:val="auto"/>
              </w:rPr>
            </w:pPr>
          </w:p>
        </w:tc>
        <w:tc>
          <w:tcPr>
            <w:tcW w:w="9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240" w:type="dxa"/>
            <w:vAlign w:val="bottom"/>
            <w:tcBorders>
              <w:bottom w:val="single" w:sz="8" w:color="ACACAC"/>
            </w:tcBorders>
            <w:shd w:val="clear" w:color="auto" w:fill="ACACAC"/>
          </w:tcPr>
          <w:p>
            <w:pPr>
              <w:spacing w:after="0"/>
              <w:rPr>
                <w:sz w:val="20"/>
                <w:szCs w:val="20"/>
                <w:color w:val="auto"/>
              </w:rPr>
            </w:pPr>
          </w:p>
        </w:tc>
        <w:tc>
          <w:tcPr>
            <w:tcW w:w="10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4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50"/>
        </w:trPr>
        <w:tc>
          <w:tcPr>
            <w:tcW w:w="71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bottom w:val="single" w:sz="8" w:color="F4F4F4"/>
            </w:tcBorders>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81.8</w:t>
            </w:r>
          </w:p>
        </w:tc>
        <w:tc>
          <w:tcPr>
            <w:tcW w:w="240" w:type="dxa"/>
            <w:vAlign w:val="bottom"/>
            <w:tcBorders>
              <w:bottom w:val="single" w:sz="8" w:color="F4F4F4"/>
            </w:tcBorders>
            <w:shd w:val="clear" w:color="auto" w:fill="F4F4F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99.9</w:t>
            </w:r>
          </w:p>
        </w:tc>
        <w:tc>
          <w:tcPr>
            <w:tcW w:w="14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21"/>
                <w:szCs w:val="21"/>
                <w:color w:val="auto"/>
              </w:rPr>
            </w:pP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(53.7)</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(26.0)</w:t>
            </w:r>
          </w:p>
        </w:tc>
        <w:tc>
          <w:tcPr>
            <w:tcW w:w="1480" w:type="dxa"/>
            <w:vAlign w:val="bottom"/>
          </w:tcPr>
          <w:p>
            <w:pPr>
              <w:jc w:val="right"/>
              <w:spacing w:after="0"/>
              <w:rPr>
                <w:sz w:val="20"/>
                <w:szCs w:val="20"/>
                <w:color w:val="auto"/>
              </w:rPr>
            </w:pPr>
            <w:r>
              <w:rPr>
                <w:rFonts w:ascii="Arial" w:cs="Arial" w:eastAsia="Arial" w:hAnsi="Arial"/>
                <w:sz w:val="18"/>
                <w:szCs w:val="18"/>
                <w:color w:val="auto"/>
              </w:rPr>
              <w:t>106.7 %</w:t>
            </w:r>
          </w:p>
        </w:tc>
        <w:tc>
          <w:tcPr>
            <w:tcW w:w="20" w:type="dxa"/>
            <w:vAlign w:val="bottom"/>
          </w:tcPr>
          <w:p>
            <w:pPr>
              <w:spacing w:after="0"/>
              <w:rPr>
                <w:sz w:val="21"/>
                <w:szCs w:val="21"/>
                <w:color w:val="auto"/>
              </w:rPr>
            </w:pPr>
          </w:p>
        </w:tc>
      </w:tr>
      <w:tr>
        <w:trPr>
          <w:trHeight w:val="27"/>
        </w:trPr>
        <w:tc>
          <w:tcPr>
            <w:tcW w:w="7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1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Net cash used in financing activities</w:t>
            </w:r>
          </w:p>
        </w:tc>
        <w:tc>
          <w:tcPr>
            <w:tcW w:w="420" w:type="dxa"/>
            <w:vAlign w:val="bottom"/>
            <w:tcBorders>
              <w:bottom w:val="single" w:sz="8" w:color="F4F4F4"/>
            </w:tcBorders>
            <w:shd w:val="clear" w:color="auto" w:fill="F4F4F4"/>
          </w:tcPr>
          <w:p>
            <w:pPr>
              <w:spacing w:after="0"/>
              <w:rPr>
                <w:sz w:val="21"/>
                <w:szCs w:val="21"/>
                <w:color w:val="auto"/>
              </w:rPr>
            </w:pP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(194.1)</w:t>
            </w:r>
          </w:p>
        </w:tc>
        <w:tc>
          <w:tcPr>
            <w:tcW w:w="24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(257.0)</w:t>
            </w:r>
          </w:p>
        </w:tc>
        <w:tc>
          <w:tcPr>
            <w:tcW w:w="14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21"/>
                <w:szCs w:val="21"/>
                <w:color w:val="auto"/>
              </w:rPr>
            </w:pPr>
          </w:p>
        </w:tc>
      </w:tr>
      <w:tr>
        <w:trPr>
          <w:trHeight w:val="20"/>
        </w:trPr>
        <w:tc>
          <w:tcPr>
            <w:tcW w:w="7120" w:type="dxa"/>
            <w:vAlign w:val="bottom"/>
            <w:shd w:val="clear" w:color="auto" w:fill="71BF43"/>
          </w:tcPr>
          <w:p>
            <w:pPr>
              <w:spacing w:after="0" w:line="20" w:lineRule="exact"/>
              <w:rPr>
                <w:sz w:val="1"/>
                <w:szCs w:val="1"/>
                <w:color w:val="auto"/>
              </w:rPr>
            </w:pPr>
          </w:p>
        </w:tc>
        <w:tc>
          <w:tcPr>
            <w:tcW w:w="420" w:type="dxa"/>
            <w:vAlign w:val="bottom"/>
            <w:shd w:val="clear" w:color="auto" w:fill="71BF43"/>
          </w:tcPr>
          <w:p>
            <w:pPr>
              <w:spacing w:after="0" w:line="20" w:lineRule="exact"/>
              <w:rPr>
                <w:sz w:val="1"/>
                <w:szCs w:val="1"/>
                <w:color w:val="auto"/>
              </w:rPr>
            </w:pPr>
          </w:p>
        </w:tc>
        <w:tc>
          <w:tcPr>
            <w:tcW w:w="900" w:type="dxa"/>
            <w:vAlign w:val="bottom"/>
            <w:shd w:val="clear" w:color="auto" w:fill="71BF43"/>
          </w:tcPr>
          <w:p>
            <w:pPr>
              <w:spacing w:after="0" w:line="20" w:lineRule="exact"/>
              <w:rPr>
                <w:sz w:val="1"/>
                <w:szCs w:val="1"/>
                <w:color w:val="auto"/>
              </w:rPr>
            </w:pPr>
          </w:p>
        </w:tc>
        <w:tc>
          <w:tcPr>
            <w:tcW w:w="240" w:type="dxa"/>
            <w:vAlign w:val="bottom"/>
            <w:shd w:val="clear" w:color="auto" w:fill="71BF43"/>
          </w:tcPr>
          <w:p>
            <w:pPr>
              <w:spacing w:after="0" w:line="20" w:lineRule="exact"/>
              <w:rPr>
                <w:sz w:val="1"/>
                <w:szCs w:val="1"/>
                <w:color w:val="auto"/>
              </w:rPr>
            </w:pPr>
          </w:p>
        </w:tc>
        <w:tc>
          <w:tcPr>
            <w:tcW w:w="1080" w:type="dxa"/>
            <w:vAlign w:val="bottom"/>
            <w:shd w:val="clear" w:color="auto" w:fill="71BF43"/>
          </w:tcPr>
          <w:p>
            <w:pPr>
              <w:spacing w:after="0" w:line="20" w:lineRule="exact"/>
              <w:rPr>
                <w:sz w:val="1"/>
                <w:szCs w:val="1"/>
                <w:color w:val="auto"/>
              </w:rPr>
            </w:pPr>
          </w:p>
        </w:tc>
        <w:tc>
          <w:tcPr>
            <w:tcW w:w="148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-676910</wp:posOffset>
            </wp:positionV>
            <wp:extent cx="262318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236"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Our principal sources of liquidity are our operating cash flow, funds available under the 2020 Credit Facility and cash on hand. Our operating cash flow depends on continued customer renewal of our subscription and maintenance arrangements, market acceptance of our solutions and services and our customers' ability to pay. Based on current estimates of revenue and expenses, we believe that the currently available sources of funds and anticipated cash flows from operations will be adequate for at least the next twelve months to finance our operations, fund anticipated capital expenditures and meet our debt obligations. We also believe that we will be able to continue to meet our long-term cash requirements due to our anticipated cash flow from operations, solid financial position and ability to access capital from financial markets. To the extent we undertake future material acquisitions or, investments or unanticipated capital or operating expenditures, including in connection with the Security Incident, we may require additional capital. In that context, we regularly evaluate opportunities to enhance our capital structure, including through potential debt or equity issuances.</w:t>
      </w:r>
    </w:p>
    <w:p>
      <w:pPr>
        <w:spacing w:after="0" w:line="158"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As a well-known seasoned issuer, we filed an automatic shelf registration statement for an undetermined amount of debt and equity securities with the SEC on January 14, 2022. Under this universal shelf registration statement we may offer and sell, from time to time, debt securities, common stock, preferred stock, depositary shares, warrants, stock purchase contracts and stock purchase units. Subject to certain conditions, this registration statement will be effective through January 13, 2024.</w:t>
      </w:r>
    </w:p>
    <w:p>
      <w:pPr>
        <w:spacing w:after="0" w:line="150"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At June 30, 2022, our total cash and cash equivalents balance included approximately $17.4 million of cash that was held by operations outside the U.S. While these funds may not be needed to fund our U.S. operations for at least the next twelve months, if we need these funds, we may be required to accrue and pay taxes to repatriate the funds. We currently do not intend nor anticipate a need to repatriate our cash held outside the U.S.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193"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Our cash flows from operations are derived principally from: (i) our earnings from on-going operations prior to non-cash expenses such as depreciation, amortization, stock-based compensation, deferred taxes, amortization of deferred financing costs and debt discount and adjustments to our provision for credit losses and sales returns; and (ii) changes in our working capital.</w:t>
      </w:r>
    </w:p>
    <w:p>
      <w:pPr>
        <w:spacing w:after="0" w:line="308"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42</w:t>
      </w:r>
      <w:r>
        <w:rPr>
          <w:sz w:val="20"/>
          <w:szCs w:val="20"/>
          <w:color w:val="auto"/>
        </w:rPr>
        <w:tab/>
      </w:r>
      <w:r>
        <w:rPr>
          <w:sz w:val="1"/>
          <w:szCs w:val="1"/>
          <w:color w:val="auto"/>
        </w:rPr>
        <w:drawing>
          <wp:inline distT="0" distB="0" distL="0" distR="0">
            <wp:extent cx="651510" cy="17145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Working capital changes are composed of changes in accounts receivable, prepaid expenses and other assets, trade accounts payable, accrued expenses and other liabilities, and deferred revenue.</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provided by operating activities decreased by $18.1 million during the six months ended June 30, 2022, when compared to the same period in 2021, primarily due to a $27.9 million decrease in net income adjusted for non-cash expenses and a $9.8 million increase in cash flow from operations associated with working capital.</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increase in cash flow from operations associated with working capital during the six months ended June 30, 2022, when compared to the same period in 2021, was primarily due to:</w:t>
      </w:r>
    </w:p>
    <w:p>
      <w:pPr>
        <w:spacing w:after="0" w:line="144" w:lineRule="exact"/>
        <w:rPr>
          <w:sz w:val="20"/>
          <w:szCs w:val="20"/>
          <w:color w:val="auto"/>
        </w:rPr>
      </w:pPr>
    </w:p>
    <w:p>
      <w:pPr>
        <w:ind w:left="620" w:hanging="288"/>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fluctuations in the timing of vendor payments; and</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increase in taxes payable; partially offset by</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timing associated with customer contract renewal billings and the collection of those amounts; and</w:t>
      </w:r>
    </w:p>
    <w:p>
      <w:pPr>
        <w:spacing w:after="0" w:line="171" w:lineRule="exact"/>
        <w:rPr>
          <w:rFonts w:ascii="Arial" w:cs="Arial" w:eastAsia="Arial" w:hAnsi="Arial"/>
          <w:sz w:val="18"/>
          <w:szCs w:val="18"/>
          <w:color w:val="auto"/>
        </w:rPr>
      </w:pPr>
    </w:p>
    <w:p>
      <w:pPr>
        <w:ind w:right="1580" w:firstLine="332"/>
        <w:spacing w:after="0" w:line="438" w:lineRule="auto"/>
        <w:tabs>
          <w:tab w:leader="none" w:pos="616"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payment of assumed EVERFI accrued bonuses and other payroll-related liabilities during the first quarter of 2022. </w:t>
      </w:r>
      <w:r>
        <w:rPr>
          <w:rFonts w:ascii="Arial" w:cs="Arial" w:eastAsia="Arial" w:hAnsi="Arial"/>
          <w:sz w:val="18"/>
          <w:szCs w:val="18"/>
          <w:u w:val="single" w:color="auto"/>
          <w:color w:val="auto"/>
        </w:rPr>
        <w:t>Security Incident update</w:t>
      </w:r>
    </w:p>
    <w:p>
      <w:pPr>
        <w:spacing w:after="0" w:line="1" w:lineRule="exact"/>
        <w:rPr>
          <w:sz w:val="20"/>
          <w:szCs w:val="20"/>
          <w:color w:val="auto"/>
        </w:rPr>
      </w:pPr>
    </w:p>
    <w:p>
      <w:pPr>
        <w:jc w:val="both"/>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As discussed in Note 10 to our unaudited, condensed consolidated financial statements included in this report, total costs related to the Security Incident that we expect will be recoverable has exceeded the limit of our insurance coverage. Accordingly, we expect that the Security Incident will continue to negatively impact our GAAP profitability and GAAP cash flow for the foreseeable future (see discussion regarding our non-GAAP financial measures beginning on page </w:t>
      </w:r>
      <w:hyperlink w:anchor="page37">
        <w:r>
          <w:rPr>
            <w:rFonts w:ascii="Arial" w:cs="Arial" w:eastAsia="Arial" w:hAnsi="Arial"/>
            <w:sz w:val="18"/>
            <w:szCs w:val="18"/>
            <w:color w:val="auto"/>
          </w:rPr>
          <w:t>36)</w:t>
        </w:r>
      </w:hyperlink>
      <w:r>
        <w:rPr>
          <w:rFonts w:ascii="Arial" w:cs="Arial" w:eastAsia="Arial" w:hAnsi="Arial"/>
          <w:sz w:val="18"/>
          <w:szCs w:val="18"/>
          <w:color w:val="auto"/>
        </w:rPr>
        <w:t>. For full year 2022, we currently expect net pre-tax expense of approximately $ 30 million to $35 million for ongoing legal fees related to the Security Incident. In line with our policy, legal fees are expensed as incurred. For full year 2022, we currently expect net cash outlays of approximately $ 15 million to $25 million for ongoing legal fees related to the Security Incident. We have not recorded a liability for a loss contingency related to the Security Incident as of June 30, 2022 because we are unable at this time to reasonably estimate the possible loss or range of loss.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19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Net cash used in investing activities of $53.7 million increased by $27.7 million during the six months ended June 30, 2022, when compared to the same period in 2021.</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six months ended June 30, 2022, we used $19.0 million for our acquisition of EVERFI comprised primarily of (i) $17.4 million that had not been paid by EVERFI to its former option holders as of December 31, 2021, solely due to the timing of the acquisition on the last day of 2021; and (ii) $2.6 million that was paid to a number of EVERFI's selling shareholders after determining they would be paid in cash, rather than shares of our common stock.</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used $ 27.2 million for software development costs, which was up $7.3 million from cash spent during the same period in 2021, primarily due to the inclusion of EVERFI's software and content development activities. We also spent $7.5 million of cash for purchases of property and equipment during the six months ended June 30, 2022, which was an increase of $1.4 million when compared to the same period in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2022, we had a net decrease in borrowings of $16.3 million.</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paid $ 35.6 million to satisfy tax obligations of employees upon settlement of equity awards during the six months ended June 30, 2022 compared to $38.7 million during the same period in 2021. The amount of taxes paid by us on behalf of employees related to the settlement of equity awards varies from period to period based upon the timing of grants and vesting, as well as the market price for shares of our common stock at the time of settlement. Most of our equity awards currently vest in our first quarter.</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six months ended June 30, 2022, cash flow from financing activities associated with changes in restricted cash due to customers decreased $141.0 million, compared to a decrease of $170.1 million during the same period in 2021. This line in the statement of cash flows represents the change in the amount of restricted cash held and payable by us to customers from one period to the next.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213995</wp:posOffset>
            </wp:positionV>
            <wp:extent cx="659765"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480"/>
              <w:spacing w:after="0"/>
              <w:rPr>
                <w:sz w:val="20"/>
                <w:szCs w:val="20"/>
                <w:color w:val="auto"/>
              </w:rPr>
            </w:pPr>
            <w:r>
              <w:rPr>
                <w:rFonts w:ascii="Arial" w:cs="Arial" w:eastAsia="Arial" w:hAnsi="Arial"/>
                <w:sz w:val="14"/>
                <w:szCs w:val="14"/>
                <w:color w:val="auto"/>
              </w:rPr>
              <w:t>Second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repurchase program</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December 2021, our Board of Directors reauthorized and replenished our stock repurchase program that authorizes us to purchase up to $250.0 million of our outstanding shares of common stock. The program does not have an expiration date. Under the stock repurchase program, we are authorized to repurchase shares from time to time in accordance with applicable laws both on the open market, including under trading plans established pursuant to Rule 10b5-1 under the Securities Exchange Act of 1934, as amended, and in privately negotiated transactions. The timing and amount of repurchases depends on several factors, including market and business conditions, the trading price of our common stock and the nature of other investment opportunities. The repurchase program may be limited, suspended or discontinued at any time without prior notice. During the three and six months ended June 30, 2022, we did not purchase any shares. The remaining amount available to purchase stock under the stock repurchase program was $250.0 million as of June 30, 2022.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Credit Facility</w:t>
      </w:r>
    </w:p>
    <w:p>
      <w:pPr>
        <w:spacing w:after="0" w:line="17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Historically, we have drawn on our credit facility from time to time to help us meet financial needs, primarily due to the seasonality of our cash flows from operations and financing for business acquisitions. At June 30, 2022, our available borrowing capacity under the 2020 Credit Facility was $245.2 million. The 2020 Credit Facility matures in October 2025.</w:t>
      </w:r>
    </w:p>
    <w:p>
      <w:pPr>
        <w:spacing w:after="0" w:line="14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At June 30, 2022, the carrying amount of our debt under the 2020 Credit Facility was $880.9 million. Our average daily borrowings during the three and six months ended June 30, 2022 were $917.3 million and $913.4 million,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financial covenants under the 2020 Credit Facility: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9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Financial covenant</w:t>
            </w:r>
          </w:p>
        </w:tc>
        <w:tc>
          <w:tcPr>
            <w:tcW w:w="2860" w:type="dxa"/>
            <w:vAlign w:val="bottom"/>
            <w:tcBorders>
              <w:bottom w:val="single" w:sz="8" w:color="ACACAC"/>
            </w:tcBorders>
            <w:shd w:val="clear" w:color="auto" w:fill="ACACAC"/>
          </w:tcPr>
          <w:p>
            <w:pPr>
              <w:jc w:val="center"/>
              <w:spacing w:after="0"/>
              <w:rPr>
                <w:sz w:val="20"/>
                <w:szCs w:val="20"/>
                <w:color w:val="auto"/>
              </w:rPr>
            </w:pPr>
            <w:r>
              <w:rPr>
                <w:rFonts w:ascii="Arial" w:cs="Arial" w:eastAsia="Arial" w:hAnsi="Arial"/>
                <w:sz w:val="14"/>
                <w:szCs w:val="14"/>
                <w:b w:val="1"/>
                <w:bCs w:val="1"/>
                <w:color w:val="FFFFFF"/>
              </w:rPr>
              <w:t>Requirement</w:t>
            </w:r>
          </w:p>
        </w:tc>
        <w:tc>
          <w:tcPr>
            <w:tcW w:w="3370" w:type="dxa"/>
            <w:vAlign w:val="bottom"/>
            <w:tcBorders>
              <w:bottom w:val="single" w:sz="8" w:color="ACACAC"/>
            </w:tcBorders>
            <w:shd w:val="clear" w:color="auto" w:fill="ACACAC"/>
          </w:tcPr>
          <w:p>
            <w:pPr>
              <w:jc w:val="center"/>
              <w:spacing w:after="0"/>
              <w:rPr>
                <w:sz w:val="20"/>
                <w:szCs w:val="20"/>
                <w:color w:val="auto"/>
              </w:rPr>
            </w:pPr>
            <w:r>
              <w:rPr>
                <w:rFonts w:ascii="Arial" w:cs="Arial" w:eastAsia="Arial" w:hAnsi="Arial"/>
                <w:sz w:val="14"/>
                <w:szCs w:val="14"/>
                <w:b w:val="1"/>
                <w:bCs w:val="1"/>
                <w:color w:val="FFFFFF"/>
              </w:rPr>
              <w:t>Ratio as of June 30, 2022</w:t>
            </w:r>
          </w:p>
        </w:tc>
      </w:tr>
      <w:tr>
        <w:trPr>
          <w:trHeight w:val="324"/>
        </w:trPr>
        <w:tc>
          <w:tcPr>
            <w:tcW w:w="4990" w:type="dxa"/>
            <w:vAlign w:val="bottom"/>
            <w:shd w:val="clear" w:color="auto" w:fill="F4F4F4"/>
          </w:tcPr>
          <w:p>
            <w:pPr>
              <w:ind w:left="20"/>
              <w:spacing w:after="0"/>
              <w:rPr>
                <w:sz w:val="20"/>
                <w:szCs w:val="20"/>
                <w:color w:val="auto"/>
              </w:rPr>
            </w:pPr>
            <w:r>
              <w:rPr>
                <w:rFonts w:ascii="Arial" w:cs="Arial" w:eastAsia="Arial" w:hAnsi="Arial"/>
                <w:sz w:val="18"/>
                <w:szCs w:val="18"/>
                <w:color w:val="auto"/>
              </w:rPr>
              <w:t>Net leverage ratio</w:t>
            </w:r>
            <w:r>
              <w:rPr>
                <w:rFonts w:ascii="Arial" w:cs="Arial" w:eastAsia="Arial" w:hAnsi="Arial"/>
                <w:sz w:val="23"/>
                <w:szCs w:val="23"/>
                <w:color w:val="auto"/>
                <w:vertAlign w:val="superscript"/>
              </w:rPr>
              <w:t>(1)</w:t>
            </w:r>
          </w:p>
        </w:tc>
        <w:tc>
          <w:tcPr>
            <w:tcW w:w="2860" w:type="dxa"/>
            <w:vAlign w:val="bottom"/>
            <w:shd w:val="clear" w:color="auto" w:fill="F4F4F4"/>
          </w:tcPr>
          <w:p>
            <w:pPr>
              <w:jc w:val="center"/>
              <w:spacing w:after="0"/>
              <w:rPr>
                <w:sz w:val="20"/>
                <w:szCs w:val="20"/>
                <w:color w:val="auto"/>
              </w:rPr>
            </w:pPr>
            <w:r>
              <w:rPr>
                <w:rFonts w:ascii="Arial" w:cs="Arial" w:eastAsia="Arial" w:hAnsi="Arial"/>
                <w:sz w:val="18"/>
                <w:szCs w:val="18"/>
                <w:color w:val="auto"/>
                <w:w w:val="99"/>
              </w:rPr>
              <w:t>≤ 4.25 to 1.00</w:t>
            </w:r>
          </w:p>
        </w:tc>
        <w:tc>
          <w:tcPr>
            <w:tcW w:w="3370" w:type="dxa"/>
            <w:vAlign w:val="bottom"/>
            <w:shd w:val="clear" w:color="auto" w:fill="F4F4F4"/>
          </w:tcPr>
          <w:p>
            <w:pPr>
              <w:jc w:val="center"/>
              <w:spacing w:after="0"/>
              <w:rPr>
                <w:sz w:val="20"/>
                <w:szCs w:val="20"/>
                <w:color w:val="auto"/>
              </w:rPr>
            </w:pPr>
            <w:r>
              <w:rPr>
                <w:rFonts w:ascii="Arial" w:cs="Arial" w:eastAsia="Arial" w:hAnsi="Arial"/>
                <w:sz w:val="18"/>
                <w:szCs w:val="18"/>
                <w:color w:val="auto"/>
                <w:w w:val="98"/>
              </w:rPr>
              <w:t>3.42 to 1.00</w:t>
            </w:r>
          </w:p>
        </w:tc>
      </w:tr>
      <w:tr>
        <w:trPr>
          <w:trHeight w:val="243"/>
        </w:trPr>
        <w:tc>
          <w:tcPr>
            <w:tcW w:w="4990" w:type="dxa"/>
            <w:vAlign w:val="bottom"/>
          </w:tcPr>
          <w:p>
            <w:pPr>
              <w:ind w:left="20"/>
              <w:spacing w:after="0"/>
              <w:rPr>
                <w:sz w:val="20"/>
                <w:szCs w:val="20"/>
                <w:color w:val="auto"/>
              </w:rPr>
            </w:pPr>
            <w:r>
              <w:rPr>
                <w:rFonts w:ascii="Arial" w:cs="Arial" w:eastAsia="Arial" w:hAnsi="Arial"/>
                <w:sz w:val="18"/>
                <w:szCs w:val="18"/>
                <w:color w:val="auto"/>
              </w:rPr>
              <w:t>Interest coverage ratio</w:t>
            </w:r>
          </w:p>
        </w:tc>
        <w:tc>
          <w:tcPr>
            <w:tcW w:w="2860" w:type="dxa"/>
            <w:vAlign w:val="bottom"/>
          </w:tcPr>
          <w:p>
            <w:pPr>
              <w:jc w:val="center"/>
              <w:spacing w:after="0"/>
              <w:rPr>
                <w:sz w:val="20"/>
                <w:szCs w:val="20"/>
                <w:color w:val="auto"/>
              </w:rPr>
            </w:pPr>
            <w:r>
              <w:rPr>
                <w:rFonts w:ascii="Arial" w:cs="Arial" w:eastAsia="Arial" w:hAnsi="Arial"/>
                <w:sz w:val="18"/>
                <w:szCs w:val="18"/>
                <w:color w:val="auto"/>
                <w:w w:val="99"/>
              </w:rPr>
              <w:t>≥ 2.50 to 1.00</w:t>
            </w:r>
          </w:p>
        </w:tc>
        <w:tc>
          <w:tcPr>
            <w:tcW w:w="3370" w:type="dxa"/>
            <w:vAlign w:val="bottom"/>
          </w:tcPr>
          <w:p>
            <w:pPr>
              <w:jc w:val="center"/>
              <w:spacing w:after="0"/>
              <w:rPr>
                <w:sz w:val="20"/>
                <w:szCs w:val="20"/>
                <w:color w:val="auto"/>
              </w:rPr>
            </w:pPr>
            <w:r>
              <w:rPr>
                <w:rFonts w:ascii="Arial" w:cs="Arial" w:eastAsia="Arial" w:hAnsi="Arial"/>
                <w:sz w:val="18"/>
                <w:szCs w:val="18"/>
                <w:color w:val="auto"/>
              </w:rPr>
              <w:t>11.91 to 1.00</w:t>
            </w:r>
          </w:p>
        </w:tc>
      </w:tr>
      <w:tr>
        <w:trPr>
          <w:trHeight w:val="27"/>
        </w:trPr>
        <w:tc>
          <w:tcPr>
            <w:tcW w:w="4990" w:type="dxa"/>
            <w:vAlign w:val="bottom"/>
            <w:tcBorders>
              <w:bottom w:val="single" w:sz="8" w:color="71BF43"/>
            </w:tcBorders>
          </w:tcPr>
          <w:p>
            <w:pPr>
              <w:spacing w:after="0"/>
              <w:rPr>
                <w:sz w:val="2"/>
                <w:szCs w:val="2"/>
                <w:color w:val="auto"/>
              </w:rPr>
            </w:pPr>
          </w:p>
        </w:tc>
        <w:tc>
          <w:tcPr>
            <w:tcW w:w="2860" w:type="dxa"/>
            <w:vAlign w:val="bottom"/>
            <w:tcBorders>
              <w:bottom w:val="single" w:sz="8" w:color="71BF43"/>
            </w:tcBorders>
          </w:tcPr>
          <w:p>
            <w:pPr>
              <w:spacing w:after="0"/>
              <w:rPr>
                <w:sz w:val="2"/>
                <w:szCs w:val="2"/>
                <w:color w:val="auto"/>
              </w:rPr>
            </w:pPr>
          </w:p>
        </w:tc>
        <w:tc>
          <w:tcPr>
            <w:tcW w:w="3370" w:type="dxa"/>
            <w:vAlign w:val="bottom"/>
            <w:tcBorders>
              <w:bottom w:val="single" w:sz="8" w:color="71BF43"/>
            </w:tcBorders>
          </w:tcPr>
          <w:p>
            <w:pPr>
              <w:spacing w:after="0"/>
              <w:rPr>
                <w:sz w:val="2"/>
                <w:szCs w:val="2"/>
                <w:color w:val="auto"/>
              </w:rPr>
            </w:pPr>
          </w:p>
        </w:tc>
      </w:tr>
    </w:tbl>
    <w:p>
      <w:pPr>
        <w:spacing w:after="0" w:line="99" w:lineRule="exact"/>
        <w:rPr>
          <w:sz w:val="20"/>
          <w:szCs w:val="20"/>
          <w:color w:val="auto"/>
        </w:rPr>
      </w:pPr>
    </w:p>
    <w:p>
      <w:pPr>
        <w:ind w:left="340" w:hanging="332"/>
        <w:spacing w:after="0" w:line="258" w:lineRule="auto"/>
        <w:tabs>
          <w:tab w:leader="none" w:pos="354" w:val="left"/>
        </w:tabs>
        <w:numPr>
          <w:ilvl w:val="0"/>
          <w:numId w:val="39"/>
        </w:numPr>
        <w:rPr>
          <w:rFonts w:ascii="Arial" w:cs="Arial" w:eastAsia="Arial" w:hAnsi="Arial"/>
          <w:sz w:val="14"/>
          <w:szCs w:val="14"/>
          <w:color w:val="auto"/>
        </w:rPr>
      </w:pPr>
      <w:r>
        <w:rPr>
          <w:rFonts w:ascii="Arial" w:cs="Arial" w:eastAsia="Arial" w:hAnsi="Arial"/>
          <w:sz w:val="14"/>
          <w:szCs w:val="14"/>
          <w:color w:val="auto"/>
        </w:rPr>
        <w:t>Under the terms of the 2020 Credit Facility, the Net Leverage Ratio requirement may be increased by up to 0.50 provided we satisfy certain requirements, including a permitted business acquisition, and provided that the maximum Net Leverage Ratio shall not exceed 4.25 to 1.00.</w:t>
      </w:r>
    </w:p>
    <w:p>
      <w:pPr>
        <w:spacing w:after="0" w:line="1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the 2020 Credit Facility, we also have restrictions on our ability to declare and pay dividends and our ability to repurchase shares of our common stock. In order to pay any cash dividends and/or repurchase shares of stock: (i) no default or event of default shall have occurred and be continuing under the 2020 Credit Facility, and (ii) our pro forma net leverage ratio, as set forth in the 2020 Credit Facility, must be 0.25 less than the net leverage ratio requirement at the time of dividend declaration or share repurchase. At June 30, 2022, we were in compliance with our debt covenants under the 2020 Credit Facility. See Note 8 to our unaudited, condensed consolidated financial statements included in this report for additional information regarding the 2020 Credit Facility.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40" w:type="dxa"/>
            <w:vAlign w:val="bottom"/>
            <w:shd w:val="clear" w:color="auto" w:fill="ACACAC"/>
          </w:tcPr>
          <w:p>
            <w:pPr>
              <w:spacing w:after="0"/>
              <w:rPr>
                <w:sz w:val="18"/>
                <w:szCs w:val="18"/>
                <w:color w:val="auto"/>
              </w:rPr>
            </w:pPr>
          </w:p>
        </w:tc>
        <w:tc>
          <w:tcPr>
            <w:tcW w:w="380" w:type="dxa"/>
            <w:vAlign w:val="bottom"/>
            <w:shd w:val="clear" w:color="auto" w:fill="ACACAC"/>
          </w:tcPr>
          <w:p>
            <w:pPr>
              <w:spacing w:after="0"/>
              <w:rPr>
                <w:sz w:val="18"/>
                <w:szCs w:val="18"/>
                <w:color w:val="auto"/>
              </w:rPr>
            </w:pPr>
          </w:p>
        </w:tc>
        <w:tc>
          <w:tcPr>
            <w:tcW w:w="2700" w:type="dxa"/>
            <w:vAlign w:val="bottom"/>
            <w:gridSpan w:val="4"/>
            <w:shd w:val="clear" w:color="auto" w:fill="ACACAC"/>
          </w:tcPr>
          <w:p>
            <w:pPr>
              <w:jc w:val="right"/>
              <w:ind w:right="170"/>
              <w:spacing w:after="0"/>
              <w:rPr>
                <w:sz w:val="20"/>
                <w:szCs w:val="20"/>
                <w:color w:val="auto"/>
              </w:rPr>
            </w:pPr>
            <w:r>
              <w:rPr>
                <w:rFonts w:ascii="Arial" w:cs="Arial" w:eastAsia="Arial" w:hAnsi="Arial"/>
                <w:sz w:val="14"/>
                <w:szCs w:val="14"/>
                <w:b w:val="1"/>
                <w:bCs w:val="1"/>
                <w:color w:val="FFFFFF"/>
              </w:rPr>
              <w:t>Payments due by period</w:t>
            </w:r>
          </w:p>
        </w:tc>
        <w:tc>
          <w:tcPr>
            <w:tcW w:w="920" w:type="dxa"/>
            <w:vAlign w:val="bottom"/>
            <w:shd w:val="clear" w:color="auto" w:fill="ACACAC"/>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240" w:type="dxa"/>
            <w:vAlign w:val="bottom"/>
            <w:shd w:val="clear" w:color="auto" w:fill="ACACAC"/>
          </w:tcPr>
          <w:p>
            <w:pPr>
              <w:spacing w:after="0"/>
              <w:rPr>
                <w:sz w:val="16"/>
                <w:szCs w:val="16"/>
                <w:color w:val="auto"/>
              </w:rPr>
            </w:pPr>
          </w:p>
        </w:tc>
        <w:tc>
          <w:tcPr>
            <w:tcW w:w="380" w:type="dxa"/>
            <w:vAlign w:val="bottom"/>
            <w:shd w:val="clear" w:color="auto" w:fill="ACACAC"/>
          </w:tcPr>
          <w:p>
            <w:pPr>
              <w:spacing w:after="0"/>
              <w:rPr>
                <w:sz w:val="16"/>
                <w:szCs w:val="16"/>
                <w:color w:val="auto"/>
              </w:rPr>
            </w:pPr>
          </w:p>
        </w:tc>
        <w:tc>
          <w:tcPr>
            <w:tcW w:w="9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Less than</w:t>
            </w:r>
          </w:p>
        </w:tc>
        <w:tc>
          <w:tcPr>
            <w:tcW w:w="380" w:type="dxa"/>
            <w:vAlign w:val="bottom"/>
            <w:shd w:val="clear" w:color="auto" w:fill="ACACAC"/>
          </w:tcPr>
          <w:p>
            <w:pPr>
              <w:spacing w:after="0"/>
              <w:rPr>
                <w:sz w:val="16"/>
                <w:szCs w:val="16"/>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More than</w:t>
            </w:r>
          </w:p>
        </w:tc>
        <w:tc>
          <w:tcPr>
            <w:tcW w:w="420" w:type="dxa"/>
            <w:vAlign w:val="bottom"/>
            <w:shd w:val="clear" w:color="auto" w:fill="ACACAC"/>
          </w:tcPr>
          <w:p>
            <w:pPr>
              <w:spacing w:after="0"/>
              <w:rPr>
                <w:sz w:val="16"/>
                <w:szCs w:val="16"/>
                <w:color w:val="auto"/>
              </w:rPr>
            </w:pPr>
          </w:p>
        </w:tc>
        <w:tc>
          <w:tcPr>
            <w:tcW w:w="92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r>
              <w:rPr>
                <w:rFonts w:ascii="Arial" w:cs="Arial" w:eastAsia="Arial" w:hAnsi="Arial"/>
                <w:sz w:val="18"/>
                <w:szCs w:val="18"/>
                <w:b w:val="1"/>
                <w:bCs w:val="1"/>
                <w:color w:val="FFFFFF"/>
                <w:vertAlign w:val="superscript"/>
              </w:rPr>
              <w:t>(1)</w:t>
            </w:r>
          </w:p>
        </w:tc>
        <w:tc>
          <w:tcPr>
            <w:tcW w:w="0" w:type="dxa"/>
            <w:vAlign w:val="bottom"/>
          </w:tcPr>
          <w:p>
            <w:pPr>
              <w:spacing w:after="0"/>
              <w:rPr>
                <w:sz w:val="1"/>
                <w:szCs w:val="1"/>
                <w:color w:val="auto"/>
              </w:rPr>
            </w:pPr>
          </w:p>
        </w:tc>
      </w:tr>
      <w:tr>
        <w:trPr>
          <w:trHeight w:val="202"/>
        </w:trPr>
        <w:tc>
          <w:tcPr>
            <w:tcW w:w="724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(in millions)</w:t>
            </w:r>
          </w:p>
        </w:tc>
        <w:tc>
          <w:tcPr>
            <w:tcW w:w="380" w:type="dxa"/>
            <w:vAlign w:val="bottom"/>
            <w:shd w:val="clear" w:color="auto" w:fill="ACACAC"/>
          </w:tcPr>
          <w:p>
            <w:pPr>
              <w:spacing w:after="0"/>
              <w:rPr>
                <w:sz w:val="17"/>
                <w:szCs w:val="17"/>
                <w:color w:val="auto"/>
              </w:rPr>
            </w:pPr>
          </w:p>
        </w:tc>
        <w:tc>
          <w:tcPr>
            <w:tcW w:w="9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1 year</w:t>
            </w:r>
          </w:p>
        </w:tc>
        <w:tc>
          <w:tcPr>
            <w:tcW w:w="380" w:type="dxa"/>
            <w:vAlign w:val="bottom"/>
            <w:shd w:val="clear" w:color="auto" w:fill="ACACAC"/>
          </w:tcPr>
          <w:p>
            <w:pPr>
              <w:spacing w:after="0"/>
              <w:rPr>
                <w:sz w:val="17"/>
                <w:szCs w:val="17"/>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1 year</w:t>
            </w:r>
          </w:p>
        </w:tc>
        <w:tc>
          <w:tcPr>
            <w:tcW w:w="420" w:type="dxa"/>
            <w:vAlign w:val="bottom"/>
            <w:shd w:val="clear" w:color="auto" w:fill="ACACAC"/>
          </w:tcPr>
          <w:p>
            <w:pPr>
              <w:spacing w:after="0"/>
              <w:rPr>
                <w:sz w:val="17"/>
                <w:szCs w:val="17"/>
                <w:color w:val="auto"/>
              </w:rPr>
            </w:pPr>
          </w:p>
        </w:tc>
        <w:tc>
          <w:tcPr>
            <w:tcW w:w="920" w:type="dxa"/>
            <w:vAlign w:val="bottom"/>
            <w:vMerge w:val="continue"/>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Recorded contractual obligations:</w:t>
            </w:r>
          </w:p>
        </w:tc>
        <w:tc>
          <w:tcPr>
            <w:tcW w:w="38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380" w:type="dxa"/>
            <w:vAlign w:val="bottom"/>
            <w:tcBorders>
              <w:bottom w:val="single" w:sz="8" w:color="F4F4F4"/>
            </w:tcBorders>
            <w:shd w:val="clear" w:color="auto" w:fill="F4F4F4"/>
          </w:tcPr>
          <w:p>
            <w:pPr>
              <w:spacing w:after="0"/>
              <w:rPr>
                <w:sz w:val="21"/>
                <w:szCs w:val="21"/>
                <w:color w:val="auto"/>
              </w:rPr>
            </w:pPr>
          </w:p>
        </w:tc>
        <w:tc>
          <w:tcPr>
            <w:tcW w:w="960" w:type="dxa"/>
            <w:vAlign w:val="bottom"/>
            <w:tcBorders>
              <w:bottom w:val="single" w:sz="8" w:color="F4F4F4"/>
            </w:tcBorders>
            <w:shd w:val="clear" w:color="auto" w:fill="F4F4F4"/>
          </w:tcPr>
          <w:p>
            <w:pPr>
              <w:spacing w:after="0"/>
              <w:rPr>
                <w:sz w:val="21"/>
                <w:szCs w:val="21"/>
                <w:color w:val="auto"/>
              </w:rPr>
            </w:pPr>
          </w:p>
        </w:tc>
        <w:tc>
          <w:tcPr>
            <w:tcW w:w="420" w:type="dxa"/>
            <w:vAlign w:val="bottom"/>
            <w:tcBorders>
              <w:bottom w:val="single" w:sz="8" w:color="F4F4F4"/>
            </w:tcBorders>
            <w:shd w:val="clear" w:color="auto" w:fill="F4F4F4"/>
          </w:tcPr>
          <w:p>
            <w:pPr>
              <w:spacing w:after="0"/>
              <w:rPr>
                <w:sz w:val="21"/>
                <w:szCs w:val="21"/>
                <w:color w:val="auto"/>
              </w:rPr>
            </w:pPr>
          </w:p>
        </w:tc>
        <w:tc>
          <w:tcPr>
            <w:tcW w:w="920" w:type="dxa"/>
            <w:vAlign w:val="bottom"/>
            <w:tcBorders>
              <w:bottom w:val="single" w:sz="8" w:color="F4F4F4"/>
            </w:tcBorders>
            <w:shd w:val="clear" w:color="auto" w:fill="F4F4F4"/>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140"/>
              <w:spacing w:after="0"/>
              <w:rPr>
                <w:sz w:val="20"/>
                <w:szCs w:val="20"/>
                <w:color w:val="auto"/>
              </w:rPr>
            </w:pPr>
            <w:r>
              <w:rPr>
                <w:rFonts w:ascii="Arial" w:cs="Arial" w:eastAsia="Arial" w:hAnsi="Arial"/>
                <w:sz w:val="18"/>
                <w:szCs w:val="18"/>
                <w:color w:val="auto"/>
              </w:rPr>
              <w:t>Debt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18.2</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925.5</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943.7</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Operating leases</w:t>
            </w:r>
          </w:p>
        </w:tc>
        <w:tc>
          <w:tcPr>
            <w:tcW w:w="38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10.9</w:t>
            </w:r>
          </w:p>
        </w:tc>
        <w:tc>
          <w:tcPr>
            <w:tcW w:w="380" w:type="dxa"/>
            <w:vAlign w:val="bottom"/>
            <w:tcBorders>
              <w:bottom w:val="single" w:sz="8" w:color="F4F4F4"/>
            </w:tcBorders>
            <w:shd w:val="clear" w:color="auto" w:fill="F4F4F4"/>
          </w:tcPr>
          <w:p>
            <w:pPr>
              <w:spacing w:after="0"/>
              <w:rPr>
                <w:sz w:val="21"/>
                <w:szCs w:val="21"/>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58.1</w:t>
            </w:r>
          </w:p>
        </w:tc>
        <w:tc>
          <w:tcPr>
            <w:tcW w:w="420" w:type="dxa"/>
            <w:vAlign w:val="bottom"/>
            <w:tcBorders>
              <w:bottom w:val="single" w:sz="8" w:color="F4F4F4"/>
            </w:tcBorders>
            <w:shd w:val="clear" w:color="auto" w:fill="F4F4F4"/>
          </w:tcPr>
          <w:p>
            <w:pPr>
              <w:spacing w:after="0"/>
              <w:rPr>
                <w:sz w:val="21"/>
                <w:szCs w:val="21"/>
                <w:color w:val="auto"/>
              </w:rPr>
            </w:pP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Unrecorded contractual obligations:</w:t>
            </w: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Purchase obligations</w:t>
            </w:r>
          </w:p>
        </w:tc>
        <w:tc>
          <w:tcPr>
            <w:tcW w:w="38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52.1</w:t>
            </w:r>
          </w:p>
        </w:tc>
        <w:tc>
          <w:tcPr>
            <w:tcW w:w="380" w:type="dxa"/>
            <w:vAlign w:val="bottom"/>
            <w:tcBorders>
              <w:bottom w:val="single" w:sz="8" w:color="F4F4F4"/>
            </w:tcBorders>
            <w:shd w:val="clear" w:color="auto" w:fill="F4F4F4"/>
          </w:tcPr>
          <w:p>
            <w:pPr>
              <w:spacing w:after="0"/>
              <w:rPr>
                <w:sz w:val="21"/>
                <w:szCs w:val="21"/>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189.2</w:t>
            </w:r>
          </w:p>
        </w:tc>
        <w:tc>
          <w:tcPr>
            <w:tcW w:w="420" w:type="dxa"/>
            <w:vAlign w:val="bottom"/>
            <w:tcBorders>
              <w:bottom w:val="single" w:sz="8" w:color="F4F4F4"/>
            </w:tcBorders>
            <w:shd w:val="clear" w:color="auto" w:fill="F4F4F4"/>
          </w:tcPr>
          <w:p>
            <w:pPr>
              <w:spacing w:after="0"/>
              <w:rPr>
                <w:sz w:val="21"/>
                <w:szCs w:val="21"/>
                <w:color w:val="auto"/>
              </w:rPr>
            </w:pP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43"/>
        </w:trPr>
        <w:tc>
          <w:tcPr>
            <w:tcW w:w="7240" w:type="dxa"/>
            <w:vAlign w:val="bottom"/>
          </w:tcPr>
          <w:p>
            <w:pPr>
              <w:ind w:left="140"/>
              <w:spacing w:after="0"/>
              <w:rPr>
                <w:sz w:val="20"/>
                <w:szCs w:val="20"/>
                <w:color w:val="auto"/>
              </w:rPr>
            </w:pPr>
            <w:r>
              <w:rPr>
                <w:rFonts w:ascii="Arial" w:cs="Arial" w:eastAsia="Arial" w:hAnsi="Arial"/>
                <w:sz w:val="18"/>
                <w:szCs w:val="18"/>
                <w:color w:val="auto"/>
              </w:rPr>
              <w:t>Interest payments on debt</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35.2</w:t>
            </w: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108.7</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7"/>
        </w:trPr>
        <w:tc>
          <w:tcPr>
            <w:tcW w:w="7240" w:type="dxa"/>
            <w:vAlign w:val="bottom"/>
            <w:tcBorders>
              <w:bottom w:val="single" w:sz="8" w:color="F4F4F4"/>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724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Total contractual obligations</w:t>
            </w:r>
            <w:r>
              <w:rPr>
                <w:rFonts w:ascii="Arial" w:cs="Arial" w:eastAsia="Arial" w:hAnsi="Arial"/>
                <w:sz w:val="23"/>
                <w:szCs w:val="23"/>
                <w:b w:val="1"/>
                <w:bCs w:val="1"/>
                <w:color w:val="auto"/>
                <w:vertAlign w:val="superscript"/>
              </w:rPr>
              <w:t>(1)</w:t>
            </w:r>
          </w:p>
        </w:tc>
        <w:tc>
          <w:tcPr>
            <w:tcW w:w="380" w:type="dxa"/>
            <w:vAlign w:val="bottom"/>
            <w:tcBorders>
              <w:bottom w:val="single" w:sz="8" w:color="71BF43"/>
            </w:tcBorders>
            <w:shd w:val="clear" w:color="auto" w:fill="F4F4F4"/>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116.4</w:t>
            </w:r>
          </w:p>
        </w:tc>
        <w:tc>
          <w:tcPr>
            <w:tcW w:w="380" w:type="dxa"/>
            <w:vAlign w:val="bottom"/>
            <w:tcBorders>
              <w:bottom w:val="single" w:sz="8" w:color="71BF43"/>
            </w:tcBorders>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1,281.6</w:t>
            </w:r>
          </w:p>
        </w:tc>
        <w:tc>
          <w:tcPr>
            <w:tcW w:w="420" w:type="dxa"/>
            <w:vAlign w:val="bottom"/>
            <w:tcBorders>
              <w:bottom w:val="single" w:sz="8" w:color="71BF43"/>
            </w:tcBorders>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1,398.0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-1490980</wp:posOffset>
            </wp:positionV>
            <wp:extent cx="254571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66"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individual amounts may not sum to the total due to rounding.</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44</w:t>
      </w:r>
      <w:r>
        <w:rPr>
          <w:sz w:val="20"/>
          <w:szCs w:val="20"/>
          <w:color w:val="auto"/>
        </w:rPr>
        <w:tab/>
      </w:r>
      <w:r>
        <w:rPr>
          <w:sz w:val="1"/>
          <w:szCs w:val="1"/>
          <w:color w:val="auto"/>
        </w:rPr>
        <w:drawing>
          <wp:inline distT="0" distB="0" distL="0" distR="0">
            <wp:extent cx="651510" cy="17145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June 30, 2022, we had total remaining principal payments of $943.7 million. These payments represent principal payments only, under the following assumptions: (i) that the amounts outstanding under the 2020 Credit Facility, our real estate loans and our other debt at June 30, 2022 will remain outstanding until maturity, with minimum payments occurring as currently scheduled, and (ii) that there are no assumed future borrowings on the 2020 Revolving Facility for the purposes of determining minimum commitment amounts. See Note 8 to our unaudited, condensed consolidated financial statements in this report for more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payments on debt</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principal payments, as of June 30, 2022, we expect to pay interest expense over the life of our debt obligations of approximately $144.0 million. These payments represent our estimated future interest payments on debt using our debt balances and the related weighted average effective interest rates as of June 30, 2022, which includes the effect of interest rate swap agreements. The actual interest expense recognized in our consolidated statements of comprehensive income will depend on the amount of debt, the length of time the debt is outstanding and the interest rate, which could be different from our assumptions on our remaining principal payments described above.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June 30, 2022, we had remaining operating lease payments of $69.0 million. These payments have not been reduced by sublease income, incentive payments, reimbursement of leasehold improvements or the amount representing imputed interest of $11.9 million. Our operating leases are generally for corporate offices, subleased offices and certain equipment and furniture. Given our remote-first workforce strategy and real estate footprint optimization efforts, as discussed above, we do not anticipate entering any new, material operating leases for offices for the foreseeable future. See Note 10 to our unaudited, condensed consolidated financial statements in this report for more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obligations</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June 30, 2022, we had remaining purchase obligations of $241.3 million. These purchase obligations are for third-party technology used in our solutions and for other services we purchase as part of our normal operations. In certain cases, these arrangements require a minimum annual purchase commitment by us. Our purchase obligations are not recorded as liabilities on our consolidated balance sheets as of June 30, 2022, as we had not received the related services. See Note 10 to our unaudited, condensed consolidated financial statements in this report for more information.</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total liability for uncertain tax positions as of June 30, 2022 and December 31, 2021, was $3.9 million and $3.7 million, respectively. Our accrued interest and penalties related to tax positions taken on our tax returns was insignificant as of June 30,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212090</wp:posOffset>
            </wp:positionV>
            <wp:extent cx="659765"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480"/>
              <w:spacing w:after="0"/>
              <w:rPr>
                <w:sz w:val="20"/>
                <w:szCs w:val="20"/>
                <w:color w:val="auto"/>
              </w:rPr>
            </w:pPr>
            <w:r>
              <w:rPr>
                <w:rFonts w:ascii="Arial" w:cs="Arial" w:eastAsia="Arial" w:hAnsi="Arial"/>
                <w:sz w:val="14"/>
                <w:szCs w:val="14"/>
                <w:color w:val="auto"/>
              </w:rPr>
              <w:t>Second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Approximately 16% of our total revenue for the six months ended June 30, 2022 was generated from operations outside the U.S. We do not have significant operations in countries in which the economy is considered to be highly inflationary. Our consolidated financial statements are denominated in U.S. dollars and, accordingly, changes in the exchange rate between foreign currencies and the U.S. dollar will affect the translation of our subsidiaries’ financial results into U.S. dollars for purposes of reporting our consolidated financial results. The accumulated currency translation adjustment, recorded within accumulated other comprehensive income (loss) as a component of stockholders’ equity, was a loss of $11.3 million as of June 30, 2022 and income of $1.3 million as of December 31, 2021.</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vast majority of our contracts are entered into by our U.S. or U.K. entities. The contracts entered into by the U.S. entity are almost always denominated in U.S. dollars or Canadian dollars, and contracts entered into by our U.K., Australian and Irish subsidiaries are generally denominated in British Pounds, Australian dollars and Euros, respectively. Historically, as the U.S. dollar weakened, foreign currency translation resulted in an increase in our revenues and expenses denominated in non-U.S. currencies. Conversely, as the U.S. dollar strengthened, foreign currency translation resulted in a decrease in our revenue and expenses denominated in non-U.S. currencies. During the six months ended June 30, 2022, foreign translation resulted in decreases in our revenues and expenses denominated in non-U.S. currencies. Though we have exposure to fluctuations in currency exchange rates, primarily those between the U.S. dollar and both the British Pound and Canadian dollar, the impact has generally not been material to our consolidated results of operations or financial position. However, we currently expect that fluctuations in foreign currency exchange rates will have a significant negative impact on our total revenue for the full year 2022. For the six months ended June 30, 2022, the fluctuation in foreign currency exchange rates reduced our total revenue and our income from operations by $3.8 million and $0.9 million, respectively. We will continue monitoring such exposure and take action as appropriate. To determine the impacts on revenue (or income from operations) from fluctuations in currency exchange rates, current period revenues (or income from operations) from entities reporting in foreign currencies were translated into U.S. dollars using the comparable prior year period's weighted average foreign currency exchange rates. These impacts are non-GAAP financial information and are not in accordance with, or an alternative to, information prepared in accordance with GAAP.</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significant changes in our critical accounting policies and estimates during the six months ended June 30, 2022 as compared to those disclosed in “Management’s Discussion and Analysis of Financial Condition and Results of Operations” included in our Annual Report on Form 10-K for the fiscal year ended December 31, 2021.</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Recently Issued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a discussion of the impact that recently issued accounting pronouncements are expected to have on our financial position and results of operations when adopted in the future, see Note 2 to our unaudited, condensed consolidated financial statements in this report.</w:t>
      </w:r>
    </w:p>
    <w:p>
      <w:pPr>
        <w:spacing w:after="0" w:line="304"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46</w:t>
      </w:r>
      <w:r>
        <w:rPr>
          <w:sz w:val="20"/>
          <w:szCs w:val="20"/>
          <w:color w:val="auto"/>
        </w:rPr>
        <w:tab/>
      </w:r>
      <w:r>
        <w:rPr>
          <w:sz w:val="1"/>
          <w:szCs w:val="1"/>
          <w:color w:val="auto"/>
        </w:rPr>
        <w:drawing>
          <wp:inline distT="0" distB="0" distL="0" distR="0">
            <wp:extent cx="651510" cy="17145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8"/>
          <w:szCs w:val="28"/>
          <w:b w:val="1"/>
          <w:bCs w:val="1"/>
          <w:color w:val="71BF43"/>
        </w:rPr>
        <w:t>ITEM 3. QUANTITATIVE AND QUALITATIVE DISCLOSURES ABOUT MARKET RISK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We have market rate sensitivity for interest rates and foreign currency exchange rates.</w:t>
      </w:r>
    </w:p>
    <w:p>
      <w:pPr>
        <w:spacing w:after="0" w:line="26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Interest Rate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variable rate debt is our primary financial instrument with market risk exposure for changing interest rates. We manage our variable rate interest rate risk through a combination of short-term and long-term borrowings and the use of derivative instruments entered into for hedging purposes. Our interest rate exposure includes LIBOR and SOFR rates. The Financial Conduct Authority in the U.K. has stated that it plans to phase out all tenors of LIBOR by June 2023. We do not currently anticipate a significant impact to our financial position or results of operations as a result of this action as we expect that our financial contracts currently indexed to LIBOR will either expire or be modified without significant financial impact before the phase out occurs. Due to the nature of our debt, the materiality of the fair values of the derivative instruments and the highly liquid, short-term nature and level of our cash and cash equivalents as of June 30, 2022, we believe that the risk of exposure to changing interest rates for those positions is immaterial. There were no significant changes in how we manage interest rate risk between December 31, 2021 and June 30, 2022.</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Foreign Currency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a discussion of our exposure to foreign currency exchange rate fluctuations, see “Management’s Discussion and Analysis of Financial Condition and Results of Operations — Foreign Currency Exchange Rates” in this report.</w:t>
      </w:r>
    </w:p>
    <w:p>
      <w:pPr>
        <w:spacing w:after="0" w:line="213"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4. CONTROLS AND PROCEDURES</w:t>
      </w:r>
    </w:p>
    <w:p>
      <w:pPr>
        <w:spacing w:after="0" w:line="29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Disclosure controls and procedures (as defined in Securities Exchange Act Rule 13a-15(e) and 15d-15(e)) are designed only to provide reasonable assurance that they will meet their objectives. As of the end of the period covered by this report, we carried out an evaluation, under the supervision and with the participation of our management, including our Chief Executive Officer (principal executive officer) and Chief Financial Officer (principal financial and accounting officer), of the effectiveness of our disclosure controls and procedures (as defined in Rule 13a-15(e) and 15d-15(e)) pursuant to Securities Exchange Act Rule 13a-15(b). Based upon that evaluation, our Chief Executive Officer and Chief Financial Officer have concluded that our disclosure controls and procedures are effective to provide the reasonable assurance discussed above.</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Although we do not believe it materially affected, or is reasonably likely to materially affect, our internal control over financial reporting, our evaluation of the effectiveness of internal control over financial reporting as of June 30, 2022 excluded EVERFI as permitted by the guidance issued by the Office of the Chief Accountant of the Securities and Exchange Commission (not to extend more than one year beyond the date of the acquisition or for more than one annual reporting period). The acquisition of EVERFI was completed on December 31, 2021. As of and for the quarter ended June 30, 2022, EVERFI's assets represented approximately 3% of our consolidated total assets and its revenue represented approximately 10% of our consolidated total revenue. We are working to integrate EVERFI into our overall internal control over financial reporting processes.</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 changes in internal control over financial reporting occurred during the most recent fiscal quarter ended June 30, 2022 with respect to our operations, which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212090</wp:posOffset>
            </wp:positionV>
            <wp:extent cx="659765"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480"/>
              <w:spacing w:after="0"/>
              <w:rPr>
                <w:sz w:val="20"/>
                <w:szCs w:val="20"/>
                <w:color w:val="auto"/>
              </w:rPr>
            </w:pPr>
            <w:r>
              <w:rPr>
                <w:rFonts w:ascii="Arial" w:cs="Arial" w:eastAsia="Arial" w:hAnsi="Arial"/>
                <w:sz w:val="14"/>
                <w:szCs w:val="14"/>
                <w:color w:val="auto"/>
              </w:rPr>
              <w:t>Second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80"/>
        <w:spacing w:after="0"/>
        <w:rPr>
          <w:sz w:val="20"/>
          <w:szCs w:val="20"/>
          <w:color w:val="auto"/>
        </w:rPr>
      </w:pPr>
      <w:r>
        <w:rPr>
          <w:rFonts w:ascii="Arial" w:cs="Arial" w:eastAsia="Arial" w:hAnsi="Arial"/>
          <w:sz w:val="40"/>
          <w:szCs w:val="40"/>
          <w:b w:val="1"/>
          <w:bCs w:val="1"/>
          <w:color w:val="50535A"/>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-263525</wp:posOffset>
            </wp:positionV>
            <wp:extent cx="171450" cy="2146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1450" cy="214630"/>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 LEGAL PROCEEDINGS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our legal proceedings, see Note 10 to our unaudited, condensed consolidated financial statements in this report.</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1A. RISK FACTORS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supplementing Item 1A. Risk Factors in our Annual Report on Form 10-K for the year ended December 31, 2021, as filed with the Securities and Exchange Commission on March 1, 2022 (the “Annual Report”). The following risk factors should be read in conjunction with the risk factors set forth in that Annual Report.</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Operational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The Security Incident has had, and may continue to have numerous adverse effects on our business, results of operations, financial condition and cash flows.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previously disclosed, on July 16, 2020, we contacted certain customers to inform them about the Security Incident, including that in May 2020 we discovered and stopped a ransomware attack. Prior to our successfully preventing the cybercriminal from blocking our system access and fully encrypting files, and ultimately expelling them from our system with no significant disruption to our operations, the cybercriminal removed a copy of a subset of data from our self-hosted environment. Although the nature of the incident, our research and third party (including law enforcement) investigation have provided no reason to believe that any data went beyond the cybercriminal, was or will be misused, or will be disseminated or otherwise made available publicly, our investigation into the Security Incident remains ongoing and may provide additional information.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 date, we have received approximately 260 Customer Reimbursement Requests and approximately 400 reservations of the right to seek expense recovery in the future from customers or their attorneys in the U.S., U.K. and Canada related to the Security Incident (none of which have as yet been filed in court). In June 2022, we also received notice of a proposed claim on behalf of a number of U.K. data subjects, which we are reviewing. In addition, insurance companies representing various customers’ interests through subrogation claims have contacted us. Customer and insurer subrogation claims generally seek reimbursement of their costs and expenses associated with notifying their own customers of the Security Incident and taking steps to assure that personal information has not been compromised as a result of the Security Incident. In addition, presently, we are a defendant in 19 putative consumer class action cases [17 in U.S. federal courts (which have been consolidated under multi district litigation to a single federal court) and 2 in Canadian courts] alleging harm from the Security Incident. The plaintiffs in these cases, who generally purport to represent various classes of individual constituents of our customers, generally claim to have been harmed by alleged actions and/or omissions by us in connection with the Security Incident and assert a variety of common law and statutory claims seeking monetary damages, injunctive relief, costs and attorneys’ fees, and other related relief. To date, we also have received a consolidated, multi-state Civil Investigative Demand issued on behalf of 49 state Attorneys General and the District of Columbia and a separate Civil Investigative Demand from the office of the California Attorney General relating to the Security Incident. In addition, we are subject to pending governmental actions or investigations by the U.S. Federal Trade Commission, the U.S. Department of Health and Human Services, the SEC, the Office of the Australian Information Commissioner and the Office of the Privacy Commissioner of Canada. (See Note 10 to our unaudited, condensed consolidated financial statements included in this report for a more detailed description of the Security Incident and related matters.)</w:t>
      </w:r>
    </w:p>
    <w:p>
      <w:pPr>
        <w:spacing w:after="0" w:line="328"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48</w:t>
      </w:r>
      <w:r>
        <w:rPr>
          <w:sz w:val="20"/>
          <w:szCs w:val="20"/>
          <w:color w:val="auto"/>
        </w:rPr>
        <w:tab/>
      </w:r>
      <w:r>
        <w:rPr>
          <w:sz w:val="1"/>
          <w:szCs w:val="1"/>
          <w:color w:val="auto"/>
        </w:rPr>
        <w:drawing>
          <wp:inline distT="0" distB="0" distL="0" distR="0">
            <wp:extent cx="651510" cy="17145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be named as a party in additional lawsuits, other claims may be asserted by or on behalf of our customers or their constituents, and we may be subject to additional governmental inquires, requests or investigations. Responding to and resolving these current and any future lawsuits, claims and/or investigations could result in material remedial and other expenses that will not be covered by insurance. Governmental authorities also may seek to impose undertakings, injunctive relief, consent decrees, or other civil or criminal penalties, which could, among other things, materially increase our data security costs or otherwise require us to alter how we operate our business. Although we intend to defend ourselves vigorously against the claims asserted against us, we cannot predict the potential outcomes, cost and expenses associated with current and any future claims, lawsuits, inquiries and investigations.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any legislative or regulatory changes adopted in reaction to the Security Incident or other companies’ data breaches could require us to make modifications to the operation of our business that could have an adverse effect and/or increase or accelerate our compliance costs.</w:t>
      </w:r>
    </w:p>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Significant management time and Company resources have been, and are expected to continue to be, devoted to the Security Incident. For example, we currently expect net cash outlays of approximately $15 million to $25 million for ongoing legal fees related to the Security Incident for full year 2022. For full year 2022, we currently expect net pre-tax expense of approximately $30 million to $35 million for ongoing legal fees related to the Security Incident. Although we carry insurance against certain losses related to the Security Incident, we have exceeded the limit of that insurance coverage. As a result, we will be responsible for all expenses or other losses (including penalties, fines or other judgments) or all types of claims that may arise in connection with the Security Incident, which could materially and adversely affect our liquidity and results of operations. (See Note 10 to our unaudited, condensed consolidated financial statements included in this report.) If any such fines or penalties were great enough that we could not pay them through funds generated from operating activities and/or cause a default under our credit facility, we may be forced to renegotiate or obtain a waiver under our credit facility and/or seek additional debt or equity financing. Such renegotiation or financing may not be available on acceptable terms, or at all. In these circumstances, if we were unable to obtain sufficient financing, we may not be able to meet our obligations as they come due.</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publicity or developments related to the Security Incident could in the future have a range of other adverse effects on our business or prospects, including causing or contributing to loss of customer confidence, reduced customer demand, reduced customer retention, strategic growth opportunities, and associated retention and recruiting difficulties, some or all of which could be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213995</wp:posOffset>
            </wp:positionV>
            <wp:extent cx="659765" cy="1714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480"/>
              <w:spacing w:after="0"/>
              <w:rPr>
                <w:sz w:val="20"/>
                <w:szCs w:val="20"/>
                <w:color w:val="auto"/>
              </w:rPr>
            </w:pPr>
            <w:r>
              <w:rPr>
                <w:rFonts w:ascii="Arial" w:cs="Arial" w:eastAsia="Arial" w:hAnsi="Arial"/>
                <w:sz w:val="14"/>
                <w:szCs w:val="14"/>
                <w:color w:val="auto"/>
              </w:rPr>
              <w:t>Second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330"/>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540"/>
        <w:spacing w:after="0" w:line="278" w:lineRule="auto"/>
        <w:rPr>
          <w:sz w:val="20"/>
          <w:szCs w:val="20"/>
          <w:color w:val="auto"/>
        </w:rPr>
      </w:pPr>
      <w:r>
        <w:rPr>
          <w:rFonts w:ascii="Arial" w:cs="Arial" w:eastAsia="Arial" w:hAnsi="Arial"/>
          <w:sz w:val="29"/>
          <w:szCs w:val="29"/>
          <w:b w:val="1"/>
          <w:bCs w:val="1"/>
          <w:color w:val="71BF43"/>
        </w:rPr>
        <w:t>ITEM 2. UNREGISTERED SALES OF EQUITY SECURITIES AND USE OF PROCEEDS</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following table provides information about shares of common stock acquired or repurchased during the three months ended June 30, 2022 under the stock repurchase program then in effect, as well as common stock withheld by us to satisfy the minimum tax obligations of employees due upon vesting of restricted stock awards and units.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shd w:val="clear" w:color="auto" w:fill="ACACAC"/>
          </w:tcPr>
          <w:p>
            <w:pPr>
              <w:spacing w:after="0"/>
              <w:rPr>
                <w:sz w:val="16"/>
                <w:szCs w:val="16"/>
                <w:color w:val="auto"/>
              </w:rPr>
            </w:pPr>
          </w:p>
        </w:tc>
        <w:tc>
          <w:tcPr>
            <w:tcW w:w="1360" w:type="dxa"/>
            <w:vAlign w:val="bottom"/>
            <w:shd w:val="clear" w:color="auto" w:fill="ACACAC"/>
          </w:tcPr>
          <w:p>
            <w:pPr>
              <w:spacing w:after="0"/>
              <w:rPr>
                <w:sz w:val="16"/>
                <w:szCs w:val="16"/>
                <w:color w:val="auto"/>
              </w:rPr>
            </w:pPr>
          </w:p>
        </w:tc>
        <w:tc>
          <w:tcPr>
            <w:tcW w:w="100" w:type="dxa"/>
            <w:vAlign w:val="bottom"/>
            <w:shd w:val="clear" w:color="auto" w:fill="ACACAC"/>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920" w:type="dxa"/>
            <w:vAlign w:val="bottom"/>
            <w:shd w:val="clear" w:color="auto" w:fill="ACACAC"/>
          </w:tcPr>
          <w:p>
            <w:pPr>
              <w:spacing w:after="0"/>
              <w:rPr>
                <w:sz w:val="16"/>
                <w:szCs w:val="16"/>
                <w:color w:val="auto"/>
              </w:rPr>
            </w:pPr>
          </w:p>
        </w:tc>
        <w:tc>
          <w:tcPr>
            <w:tcW w:w="120" w:type="dxa"/>
            <w:vAlign w:val="bottom"/>
            <w:shd w:val="clear" w:color="auto" w:fill="ACACAC"/>
          </w:tcPr>
          <w:p>
            <w:pPr>
              <w:spacing w:after="0"/>
              <w:rPr>
                <w:sz w:val="16"/>
                <w:szCs w:val="16"/>
                <w:color w:val="auto"/>
              </w:rPr>
            </w:pPr>
          </w:p>
        </w:tc>
        <w:tc>
          <w:tcPr>
            <w:tcW w:w="1360" w:type="dxa"/>
            <w:vAlign w:val="bottom"/>
            <w:shd w:val="clear" w:color="auto" w:fill="ACACAC"/>
          </w:tcPr>
          <w:p>
            <w:pPr>
              <w:spacing w:after="0"/>
              <w:rPr>
                <w:sz w:val="16"/>
                <w:szCs w:val="16"/>
                <w:color w:val="auto"/>
              </w:rPr>
            </w:pPr>
          </w:p>
        </w:tc>
        <w:tc>
          <w:tcPr>
            <w:tcW w:w="100" w:type="dxa"/>
            <w:vAlign w:val="bottom"/>
            <w:shd w:val="clear" w:color="auto" w:fill="ACACAC"/>
          </w:tcPr>
          <w:p>
            <w:pPr>
              <w:spacing w:after="0"/>
              <w:rPr>
                <w:sz w:val="16"/>
                <w:szCs w:val="16"/>
                <w:color w:val="auto"/>
              </w:rPr>
            </w:pPr>
          </w:p>
        </w:tc>
        <w:tc>
          <w:tcPr>
            <w:tcW w:w="240" w:type="dxa"/>
            <w:vAlign w:val="bottom"/>
            <w:shd w:val="clear" w:color="auto" w:fill="ACACAC"/>
          </w:tcPr>
          <w:p>
            <w:pPr>
              <w:spacing w:after="0"/>
              <w:rPr>
                <w:sz w:val="16"/>
                <w:szCs w:val="16"/>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Approximate</w:t>
            </w:r>
          </w:p>
        </w:tc>
        <w:tc>
          <w:tcPr>
            <w:tcW w:w="20" w:type="dxa"/>
            <w:vAlign w:val="bottom"/>
            <w:shd w:val="clear" w:color="auto" w:fill="ACACAC"/>
          </w:tcPr>
          <w:p>
            <w:pPr>
              <w:spacing w:after="0"/>
              <w:rPr>
                <w:sz w:val="16"/>
                <w:szCs w:val="16"/>
                <w:color w:val="auto"/>
              </w:rPr>
            </w:pPr>
          </w:p>
        </w:tc>
      </w:tr>
      <w:tr>
        <w:trPr>
          <w:trHeight w:val="162"/>
        </w:trPr>
        <w:tc>
          <w:tcPr>
            <w:tcW w:w="5440" w:type="dxa"/>
            <w:vAlign w:val="bottom"/>
            <w:shd w:val="clear" w:color="auto" w:fill="ACACAC"/>
          </w:tcPr>
          <w:p>
            <w:pPr>
              <w:spacing w:after="0"/>
              <w:rPr>
                <w:sz w:val="14"/>
                <w:szCs w:val="14"/>
                <w:color w:val="auto"/>
              </w:rPr>
            </w:pPr>
          </w:p>
        </w:tc>
        <w:tc>
          <w:tcPr>
            <w:tcW w:w="136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920" w:type="dxa"/>
            <w:vAlign w:val="bottom"/>
            <w:shd w:val="clear" w:color="auto" w:fill="ACACAC"/>
          </w:tcPr>
          <w:p>
            <w:pPr>
              <w:spacing w:after="0"/>
              <w:rPr>
                <w:sz w:val="14"/>
                <w:szCs w:val="14"/>
                <w:color w:val="auto"/>
              </w:rPr>
            </w:pPr>
          </w:p>
        </w:tc>
        <w:tc>
          <w:tcPr>
            <w:tcW w:w="12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Total number</w:t>
            </w:r>
          </w:p>
        </w:tc>
        <w:tc>
          <w:tcPr>
            <w:tcW w:w="100" w:type="dxa"/>
            <w:vAlign w:val="bottom"/>
            <w:shd w:val="clear" w:color="auto" w:fill="ACACAC"/>
          </w:tcPr>
          <w:p>
            <w:pPr>
              <w:spacing w:after="0"/>
              <w:rPr>
                <w:sz w:val="14"/>
                <w:szCs w:val="14"/>
                <w:color w:val="auto"/>
              </w:rPr>
            </w:pPr>
          </w:p>
        </w:tc>
        <w:tc>
          <w:tcPr>
            <w:tcW w:w="24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dollar value</w:t>
            </w:r>
          </w:p>
        </w:tc>
        <w:tc>
          <w:tcPr>
            <w:tcW w:w="20" w:type="dxa"/>
            <w:vAlign w:val="bottom"/>
            <w:shd w:val="clear" w:color="auto" w:fill="ACACAC"/>
          </w:tcPr>
          <w:p>
            <w:pPr>
              <w:spacing w:after="0"/>
              <w:rPr>
                <w:sz w:val="14"/>
                <w:szCs w:val="14"/>
                <w:color w:val="auto"/>
              </w:rPr>
            </w:pPr>
          </w:p>
        </w:tc>
      </w:tr>
      <w:tr>
        <w:trPr>
          <w:trHeight w:val="162"/>
        </w:trPr>
        <w:tc>
          <w:tcPr>
            <w:tcW w:w="5440" w:type="dxa"/>
            <w:vAlign w:val="bottom"/>
            <w:shd w:val="clear" w:color="auto" w:fill="ACACAC"/>
          </w:tcPr>
          <w:p>
            <w:pPr>
              <w:spacing w:after="0"/>
              <w:rPr>
                <w:sz w:val="14"/>
                <w:szCs w:val="14"/>
                <w:color w:val="auto"/>
              </w:rPr>
            </w:pPr>
          </w:p>
        </w:tc>
        <w:tc>
          <w:tcPr>
            <w:tcW w:w="136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920" w:type="dxa"/>
            <w:vAlign w:val="bottom"/>
            <w:shd w:val="clear" w:color="auto" w:fill="ACACAC"/>
          </w:tcPr>
          <w:p>
            <w:pPr>
              <w:spacing w:after="0"/>
              <w:rPr>
                <w:sz w:val="14"/>
                <w:szCs w:val="14"/>
                <w:color w:val="auto"/>
              </w:rPr>
            </w:pPr>
          </w:p>
        </w:tc>
        <w:tc>
          <w:tcPr>
            <w:tcW w:w="12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of shares</w:t>
            </w:r>
          </w:p>
        </w:tc>
        <w:tc>
          <w:tcPr>
            <w:tcW w:w="100" w:type="dxa"/>
            <w:vAlign w:val="bottom"/>
            <w:shd w:val="clear" w:color="auto" w:fill="ACACAC"/>
          </w:tcPr>
          <w:p>
            <w:pPr>
              <w:spacing w:after="0"/>
              <w:rPr>
                <w:sz w:val="14"/>
                <w:szCs w:val="14"/>
                <w:color w:val="auto"/>
              </w:rPr>
            </w:pPr>
          </w:p>
        </w:tc>
        <w:tc>
          <w:tcPr>
            <w:tcW w:w="24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of shares</w:t>
            </w:r>
          </w:p>
        </w:tc>
        <w:tc>
          <w:tcPr>
            <w:tcW w:w="20" w:type="dxa"/>
            <w:vAlign w:val="bottom"/>
            <w:shd w:val="clear" w:color="auto" w:fill="ACACAC"/>
          </w:tcPr>
          <w:p>
            <w:pPr>
              <w:spacing w:after="0"/>
              <w:rPr>
                <w:sz w:val="14"/>
                <w:szCs w:val="14"/>
                <w:color w:val="auto"/>
              </w:rPr>
            </w:pPr>
          </w:p>
        </w:tc>
      </w:tr>
      <w:tr>
        <w:trPr>
          <w:trHeight w:val="162"/>
        </w:trPr>
        <w:tc>
          <w:tcPr>
            <w:tcW w:w="5440" w:type="dxa"/>
            <w:vAlign w:val="bottom"/>
            <w:shd w:val="clear" w:color="auto" w:fill="ACACAC"/>
          </w:tcPr>
          <w:p>
            <w:pPr>
              <w:spacing w:after="0"/>
              <w:rPr>
                <w:sz w:val="14"/>
                <w:szCs w:val="14"/>
                <w:color w:val="auto"/>
              </w:rPr>
            </w:pPr>
          </w:p>
        </w:tc>
        <w:tc>
          <w:tcPr>
            <w:tcW w:w="136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920" w:type="dxa"/>
            <w:vAlign w:val="bottom"/>
            <w:shd w:val="clear" w:color="auto" w:fill="ACACAC"/>
          </w:tcPr>
          <w:p>
            <w:pPr>
              <w:spacing w:after="0"/>
              <w:rPr>
                <w:sz w:val="14"/>
                <w:szCs w:val="14"/>
                <w:color w:val="auto"/>
              </w:rPr>
            </w:pPr>
          </w:p>
        </w:tc>
        <w:tc>
          <w:tcPr>
            <w:tcW w:w="12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purchased as</w:t>
            </w:r>
          </w:p>
        </w:tc>
        <w:tc>
          <w:tcPr>
            <w:tcW w:w="100" w:type="dxa"/>
            <w:vAlign w:val="bottom"/>
            <w:shd w:val="clear" w:color="auto" w:fill="ACACAC"/>
          </w:tcPr>
          <w:p>
            <w:pPr>
              <w:spacing w:after="0"/>
              <w:rPr>
                <w:sz w:val="14"/>
                <w:szCs w:val="14"/>
                <w:color w:val="auto"/>
              </w:rPr>
            </w:pPr>
          </w:p>
        </w:tc>
        <w:tc>
          <w:tcPr>
            <w:tcW w:w="24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that may yet</w:t>
            </w:r>
          </w:p>
        </w:tc>
        <w:tc>
          <w:tcPr>
            <w:tcW w:w="20" w:type="dxa"/>
            <w:vAlign w:val="bottom"/>
            <w:shd w:val="clear" w:color="auto" w:fill="ACACAC"/>
          </w:tcPr>
          <w:p>
            <w:pPr>
              <w:spacing w:after="0"/>
              <w:rPr>
                <w:sz w:val="14"/>
                <w:szCs w:val="14"/>
                <w:color w:val="auto"/>
              </w:rPr>
            </w:pPr>
          </w:p>
        </w:tc>
      </w:tr>
      <w:tr>
        <w:trPr>
          <w:trHeight w:val="162"/>
        </w:trPr>
        <w:tc>
          <w:tcPr>
            <w:tcW w:w="5440" w:type="dxa"/>
            <w:vAlign w:val="bottom"/>
            <w:shd w:val="clear" w:color="auto" w:fill="ACACAC"/>
          </w:tcPr>
          <w:p>
            <w:pPr>
              <w:spacing w:after="0"/>
              <w:rPr>
                <w:sz w:val="14"/>
                <w:szCs w:val="14"/>
                <w:color w:val="auto"/>
              </w:rPr>
            </w:pPr>
          </w:p>
        </w:tc>
        <w:tc>
          <w:tcPr>
            <w:tcW w:w="136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Average</w:t>
            </w:r>
          </w:p>
        </w:tc>
        <w:tc>
          <w:tcPr>
            <w:tcW w:w="12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part of</w:t>
            </w:r>
          </w:p>
        </w:tc>
        <w:tc>
          <w:tcPr>
            <w:tcW w:w="100" w:type="dxa"/>
            <w:vAlign w:val="bottom"/>
            <w:shd w:val="clear" w:color="auto" w:fill="ACACAC"/>
          </w:tcPr>
          <w:p>
            <w:pPr>
              <w:spacing w:after="0"/>
              <w:rPr>
                <w:sz w:val="14"/>
                <w:szCs w:val="14"/>
                <w:color w:val="auto"/>
              </w:rPr>
            </w:pPr>
          </w:p>
        </w:tc>
        <w:tc>
          <w:tcPr>
            <w:tcW w:w="24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be purchased</w:t>
            </w:r>
          </w:p>
        </w:tc>
        <w:tc>
          <w:tcPr>
            <w:tcW w:w="20" w:type="dxa"/>
            <w:vAlign w:val="bottom"/>
            <w:shd w:val="clear" w:color="auto" w:fill="ACACAC"/>
          </w:tcPr>
          <w:p>
            <w:pPr>
              <w:spacing w:after="0"/>
              <w:rPr>
                <w:sz w:val="14"/>
                <w:szCs w:val="14"/>
                <w:color w:val="auto"/>
              </w:rPr>
            </w:pPr>
          </w:p>
        </w:tc>
      </w:tr>
      <w:tr>
        <w:trPr>
          <w:trHeight w:val="162"/>
        </w:trPr>
        <w:tc>
          <w:tcPr>
            <w:tcW w:w="544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p>
        </w:tc>
        <w:tc>
          <w:tcPr>
            <w:tcW w:w="10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price</w:t>
            </w:r>
          </w:p>
        </w:tc>
        <w:tc>
          <w:tcPr>
            <w:tcW w:w="12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publicly</w:t>
            </w:r>
          </w:p>
        </w:tc>
        <w:tc>
          <w:tcPr>
            <w:tcW w:w="100" w:type="dxa"/>
            <w:vAlign w:val="bottom"/>
            <w:shd w:val="clear" w:color="auto" w:fill="ACACAC"/>
          </w:tcPr>
          <w:p>
            <w:pPr>
              <w:spacing w:after="0"/>
              <w:rPr>
                <w:sz w:val="14"/>
                <w:szCs w:val="14"/>
                <w:color w:val="auto"/>
              </w:rPr>
            </w:pPr>
          </w:p>
        </w:tc>
        <w:tc>
          <w:tcPr>
            <w:tcW w:w="24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under the</w:t>
            </w:r>
          </w:p>
        </w:tc>
        <w:tc>
          <w:tcPr>
            <w:tcW w:w="20" w:type="dxa"/>
            <w:vAlign w:val="bottom"/>
            <w:shd w:val="clear" w:color="auto" w:fill="ACACAC"/>
          </w:tcPr>
          <w:p>
            <w:pPr>
              <w:spacing w:after="0"/>
              <w:rPr>
                <w:sz w:val="14"/>
                <w:szCs w:val="14"/>
                <w:color w:val="auto"/>
              </w:rPr>
            </w:pPr>
          </w:p>
        </w:tc>
      </w:tr>
      <w:tr>
        <w:trPr>
          <w:trHeight w:val="162"/>
        </w:trPr>
        <w:tc>
          <w:tcPr>
            <w:tcW w:w="544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number</w:t>
            </w:r>
          </w:p>
        </w:tc>
        <w:tc>
          <w:tcPr>
            <w:tcW w:w="10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paid</w:t>
            </w:r>
          </w:p>
        </w:tc>
        <w:tc>
          <w:tcPr>
            <w:tcW w:w="12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announced</w:t>
            </w:r>
          </w:p>
        </w:tc>
        <w:tc>
          <w:tcPr>
            <w:tcW w:w="100" w:type="dxa"/>
            <w:vAlign w:val="bottom"/>
            <w:shd w:val="clear" w:color="auto" w:fill="ACACAC"/>
          </w:tcPr>
          <w:p>
            <w:pPr>
              <w:spacing w:after="0"/>
              <w:rPr>
                <w:sz w:val="14"/>
                <w:szCs w:val="14"/>
                <w:color w:val="auto"/>
              </w:rPr>
            </w:pPr>
          </w:p>
        </w:tc>
        <w:tc>
          <w:tcPr>
            <w:tcW w:w="24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plans or</w:t>
            </w:r>
          </w:p>
        </w:tc>
        <w:tc>
          <w:tcPr>
            <w:tcW w:w="20" w:type="dxa"/>
            <w:vAlign w:val="bottom"/>
            <w:shd w:val="clear" w:color="auto" w:fill="ACACAC"/>
          </w:tcPr>
          <w:p>
            <w:pPr>
              <w:spacing w:after="0"/>
              <w:rPr>
                <w:sz w:val="14"/>
                <w:szCs w:val="14"/>
                <w:color w:val="auto"/>
              </w:rPr>
            </w:pPr>
          </w:p>
        </w:tc>
      </w:tr>
      <w:tr>
        <w:trPr>
          <w:trHeight w:val="162"/>
        </w:trPr>
        <w:tc>
          <w:tcPr>
            <w:tcW w:w="544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of shares</w:t>
            </w:r>
          </w:p>
        </w:tc>
        <w:tc>
          <w:tcPr>
            <w:tcW w:w="10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per</w:t>
            </w:r>
          </w:p>
        </w:tc>
        <w:tc>
          <w:tcPr>
            <w:tcW w:w="12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plans or</w:t>
            </w:r>
          </w:p>
        </w:tc>
        <w:tc>
          <w:tcPr>
            <w:tcW w:w="100" w:type="dxa"/>
            <w:vAlign w:val="bottom"/>
            <w:shd w:val="clear" w:color="auto" w:fill="ACACAC"/>
          </w:tcPr>
          <w:p>
            <w:pPr>
              <w:spacing w:after="0"/>
              <w:rPr>
                <w:sz w:val="14"/>
                <w:szCs w:val="14"/>
                <w:color w:val="auto"/>
              </w:rPr>
            </w:pPr>
          </w:p>
        </w:tc>
        <w:tc>
          <w:tcPr>
            <w:tcW w:w="24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programs</w:t>
            </w:r>
          </w:p>
        </w:tc>
        <w:tc>
          <w:tcPr>
            <w:tcW w:w="20" w:type="dxa"/>
            <w:vAlign w:val="bottom"/>
            <w:shd w:val="clear" w:color="auto" w:fill="ACACAC"/>
          </w:tcPr>
          <w:p>
            <w:pPr>
              <w:spacing w:after="0"/>
              <w:rPr>
                <w:sz w:val="14"/>
                <w:szCs w:val="14"/>
                <w:color w:val="auto"/>
              </w:rPr>
            </w:pPr>
          </w:p>
        </w:tc>
      </w:tr>
      <w:tr>
        <w:trPr>
          <w:trHeight w:val="216"/>
        </w:trPr>
        <w:tc>
          <w:tcPr>
            <w:tcW w:w="544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Period</w:t>
            </w:r>
          </w:p>
        </w:tc>
        <w:tc>
          <w:tcPr>
            <w:tcW w:w="1360" w:type="dxa"/>
            <w:vAlign w:val="bottom"/>
            <w:shd w:val="clear" w:color="auto" w:fill="ACACAC"/>
          </w:tcPr>
          <w:p>
            <w:pPr>
              <w:jc w:val="right"/>
              <w:spacing w:after="0" w:line="202" w:lineRule="exact"/>
              <w:rPr>
                <w:sz w:val="20"/>
                <w:szCs w:val="20"/>
                <w:color w:val="auto"/>
              </w:rPr>
            </w:pPr>
            <w:r>
              <w:rPr>
                <w:rFonts w:ascii="Arial" w:cs="Arial" w:eastAsia="Arial" w:hAnsi="Arial"/>
                <w:sz w:val="14"/>
                <w:szCs w:val="14"/>
                <w:b w:val="1"/>
                <w:bCs w:val="1"/>
                <w:color w:val="FFFFFF"/>
              </w:rPr>
              <w:t>purchased</w:t>
            </w:r>
            <w:r>
              <w:rPr>
                <w:rFonts w:ascii="Arial" w:cs="Arial" w:eastAsia="Arial" w:hAnsi="Arial"/>
                <w:sz w:val="18"/>
                <w:szCs w:val="18"/>
                <w:b w:val="1"/>
                <w:bCs w:val="1"/>
                <w:color w:val="FFFFFF"/>
                <w:vertAlign w:val="superscript"/>
              </w:rPr>
              <w:t>(1)</w:t>
            </w:r>
          </w:p>
        </w:tc>
        <w:tc>
          <w:tcPr>
            <w:tcW w:w="100" w:type="dxa"/>
            <w:vAlign w:val="bottom"/>
            <w:shd w:val="clear" w:color="auto" w:fill="ACACAC"/>
          </w:tcPr>
          <w:p>
            <w:pPr>
              <w:spacing w:after="0"/>
              <w:rPr>
                <w:sz w:val="18"/>
                <w:szCs w:val="18"/>
                <w:color w:val="auto"/>
              </w:rPr>
            </w:pPr>
          </w:p>
        </w:tc>
        <w:tc>
          <w:tcPr>
            <w:tcW w:w="460" w:type="dxa"/>
            <w:vAlign w:val="bottom"/>
            <w:shd w:val="clear" w:color="auto" w:fill="ACACAC"/>
          </w:tcPr>
          <w:p>
            <w:pPr>
              <w:spacing w:after="0"/>
              <w:rPr>
                <w:sz w:val="18"/>
                <w:szCs w:val="18"/>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share</w:t>
            </w:r>
          </w:p>
        </w:tc>
        <w:tc>
          <w:tcPr>
            <w:tcW w:w="120" w:type="dxa"/>
            <w:vAlign w:val="bottom"/>
            <w:shd w:val="clear" w:color="auto" w:fill="ACACAC"/>
          </w:tcPr>
          <w:p>
            <w:pPr>
              <w:spacing w:after="0"/>
              <w:rPr>
                <w:sz w:val="18"/>
                <w:szCs w:val="18"/>
                <w:color w:val="auto"/>
              </w:rPr>
            </w:pPr>
          </w:p>
        </w:tc>
        <w:tc>
          <w:tcPr>
            <w:tcW w:w="1360" w:type="dxa"/>
            <w:vAlign w:val="bottom"/>
            <w:shd w:val="clear" w:color="auto" w:fill="ACACAC"/>
          </w:tcPr>
          <w:p>
            <w:pPr>
              <w:jc w:val="right"/>
              <w:spacing w:after="0" w:line="202" w:lineRule="exact"/>
              <w:rPr>
                <w:sz w:val="20"/>
                <w:szCs w:val="20"/>
                <w:color w:val="auto"/>
              </w:rPr>
            </w:pPr>
            <w:r>
              <w:rPr>
                <w:rFonts w:ascii="Arial" w:cs="Arial" w:eastAsia="Arial" w:hAnsi="Arial"/>
                <w:sz w:val="14"/>
                <w:szCs w:val="14"/>
                <w:b w:val="1"/>
                <w:bCs w:val="1"/>
                <w:color w:val="FFFFFF"/>
              </w:rPr>
              <w:t>programs</w:t>
            </w:r>
            <w:r>
              <w:rPr>
                <w:rFonts w:ascii="Arial" w:cs="Arial" w:eastAsia="Arial" w:hAnsi="Arial"/>
                <w:sz w:val="18"/>
                <w:szCs w:val="18"/>
                <w:b w:val="1"/>
                <w:bCs w:val="1"/>
                <w:color w:val="FFFFFF"/>
                <w:vertAlign w:val="superscript"/>
              </w:rPr>
              <w:t>(2)</w:t>
            </w:r>
          </w:p>
        </w:tc>
        <w:tc>
          <w:tcPr>
            <w:tcW w:w="100" w:type="dxa"/>
            <w:vAlign w:val="bottom"/>
            <w:shd w:val="clear" w:color="auto" w:fill="ACACAC"/>
          </w:tcPr>
          <w:p>
            <w:pPr>
              <w:spacing w:after="0"/>
              <w:rPr>
                <w:sz w:val="18"/>
                <w:szCs w:val="18"/>
                <w:color w:val="auto"/>
              </w:rPr>
            </w:pPr>
          </w:p>
        </w:tc>
        <w:tc>
          <w:tcPr>
            <w:tcW w:w="240" w:type="dxa"/>
            <w:vAlign w:val="bottom"/>
            <w:shd w:val="clear" w:color="auto" w:fill="ACACAC"/>
          </w:tcPr>
          <w:p>
            <w:pPr>
              <w:spacing w:after="0"/>
              <w:rPr>
                <w:sz w:val="18"/>
                <w:szCs w:val="18"/>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(in thousands)</w:t>
            </w:r>
          </w:p>
        </w:tc>
        <w:tc>
          <w:tcPr>
            <w:tcW w:w="20" w:type="dxa"/>
            <w:vAlign w:val="bottom"/>
            <w:shd w:val="clear" w:color="auto" w:fill="ACACAC"/>
          </w:tcPr>
          <w:p>
            <w:pPr>
              <w:spacing w:after="0"/>
              <w:rPr>
                <w:sz w:val="18"/>
                <w:szCs w:val="18"/>
                <w:color w:val="auto"/>
              </w:rPr>
            </w:pPr>
          </w:p>
        </w:tc>
      </w:tr>
      <w:tr>
        <w:trPr>
          <w:trHeight w:val="250"/>
        </w:trPr>
        <w:tc>
          <w:tcPr>
            <w:tcW w:w="54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Beginning balance, April 1, 2022</w:t>
            </w:r>
          </w:p>
        </w:tc>
        <w:tc>
          <w:tcPr>
            <w:tcW w:w="136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460" w:type="dxa"/>
            <w:vAlign w:val="bottom"/>
            <w:tcBorders>
              <w:bottom w:val="single" w:sz="8" w:color="F4F4F4"/>
            </w:tcBorders>
            <w:shd w:val="clear" w:color="auto" w:fill="F4F4F4"/>
          </w:tcPr>
          <w:p>
            <w:pPr>
              <w:spacing w:after="0"/>
              <w:rPr>
                <w:sz w:val="21"/>
                <w:szCs w:val="21"/>
                <w:color w:val="auto"/>
              </w:rPr>
            </w:pPr>
          </w:p>
        </w:tc>
        <w:tc>
          <w:tcPr>
            <w:tcW w:w="920" w:type="dxa"/>
            <w:vAlign w:val="bottom"/>
            <w:tcBorders>
              <w:bottom w:val="single" w:sz="8" w:color="F4F4F4"/>
            </w:tcBorders>
            <w:shd w:val="clear" w:color="auto" w:fill="F4F4F4"/>
          </w:tcPr>
          <w:p>
            <w:pPr>
              <w:spacing w:after="0"/>
              <w:rPr>
                <w:sz w:val="21"/>
                <w:szCs w:val="21"/>
                <w:color w:val="auto"/>
              </w:rPr>
            </w:pPr>
          </w:p>
        </w:tc>
        <w:tc>
          <w:tcPr>
            <w:tcW w:w="120" w:type="dxa"/>
            <w:vAlign w:val="bottom"/>
            <w:tcBorders>
              <w:bottom w:val="single" w:sz="8" w:color="F4F4F4"/>
            </w:tcBorders>
            <w:shd w:val="clear" w:color="auto" w:fill="F4F4F4"/>
          </w:tcPr>
          <w:p>
            <w:pPr>
              <w:spacing w:after="0"/>
              <w:rPr>
                <w:sz w:val="21"/>
                <w:szCs w:val="21"/>
                <w:color w:val="auto"/>
              </w:rPr>
            </w:pPr>
          </w:p>
        </w:tc>
        <w:tc>
          <w:tcPr>
            <w:tcW w:w="136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240" w:type="dxa"/>
            <w:vAlign w:val="bottom"/>
            <w:tcBorders>
              <w:bottom w:val="single" w:sz="8" w:color="F4F4F4"/>
            </w:tcBorders>
            <w:shd w:val="clear" w:color="auto" w:fill="F4F4F4"/>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F4F4F4"/>
            </w:tcBorders>
            <w:shd w:val="clear" w:color="auto" w:fill="F4F4F4"/>
          </w:tcPr>
          <w:p>
            <w:pPr>
              <w:jc w:val="right"/>
              <w:ind w:right="2"/>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April 1, 2022 through April 30, 2022</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May 1, 2022 through May 31, 2022</w:t>
            </w:r>
          </w:p>
        </w:tc>
        <w:tc>
          <w:tcPr>
            <w:tcW w:w="13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15,540</w:t>
            </w:r>
          </w:p>
        </w:tc>
        <w:tc>
          <w:tcPr>
            <w:tcW w:w="100" w:type="dxa"/>
            <w:vAlign w:val="bottom"/>
            <w:tcBorders>
              <w:bottom w:val="single" w:sz="8" w:color="F4F4F4"/>
            </w:tcBorders>
            <w:shd w:val="clear" w:color="auto" w:fill="F4F4F4"/>
          </w:tcPr>
          <w:p>
            <w:pPr>
              <w:spacing w:after="0"/>
              <w:rPr>
                <w:sz w:val="21"/>
                <w:szCs w:val="21"/>
                <w:color w:val="auto"/>
              </w:rPr>
            </w:pPr>
          </w:p>
        </w:tc>
        <w:tc>
          <w:tcPr>
            <w:tcW w:w="460" w:type="dxa"/>
            <w:vAlign w:val="bottom"/>
            <w:tcBorders>
              <w:bottom w:val="single" w:sz="8" w:color="F4F4F4"/>
            </w:tcBorders>
            <w:shd w:val="clear" w:color="auto" w:fill="F4F4F4"/>
          </w:tcPr>
          <w:p>
            <w:pPr>
              <w:spacing w:after="0"/>
              <w:rPr>
                <w:sz w:val="21"/>
                <w:szCs w:val="21"/>
                <w:color w:val="auto"/>
              </w:rPr>
            </w:pP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59.57</w:t>
            </w:r>
          </w:p>
        </w:tc>
        <w:tc>
          <w:tcPr>
            <w:tcW w:w="120" w:type="dxa"/>
            <w:vAlign w:val="bottom"/>
            <w:tcBorders>
              <w:bottom w:val="single" w:sz="8" w:color="F4F4F4"/>
            </w:tcBorders>
            <w:shd w:val="clear" w:color="auto" w:fill="F4F4F4"/>
          </w:tcPr>
          <w:p>
            <w:pPr>
              <w:spacing w:after="0"/>
              <w:rPr>
                <w:sz w:val="21"/>
                <w:szCs w:val="21"/>
                <w:color w:val="auto"/>
              </w:rPr>
            </w:pPr>
          </w:p>
        </w:tc>
        <w:tc>
          <w:tcPr>
            <w:tcW w:w="1460" w:type="dxa"/>
            <w:vAlign w:val="bottom"/>
            <w:tcBorders>
              <w:bottom w:val="single" w:sz="8" w:color="F4F4F4"/>
            </w:tcBorders>
            <w:gridSpan w:val="2"/>
            <w:shd w:val="clear" w:color="auto" w:fill="F4F4F4"/>
          </w:tcPr>
          <w:p>
            <w:pPr>
              <w:ind w:left="1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F4F4F4"/>
            </w:tcBorders>
            <w:shd w:val="clear" w:color="auto" w:fill="F4F4F4"/>
          </w:tcPr>
          <w:p>
            <w:pPr>
              <w:spacing w:after="0"/>
              <w:rPr>
                <w:sz w:val="21"/>
                <w:szCs w:val="21"/>
                <w:color w:val="auto"/>
              </w:rPr>
            </w:pPr>
          </w:p>
        </w:tc>
        <w:tc>
          <w:tcPr>
            <w:tcW w:w="1140" w:type="dxa"/>
            <w:vAlign w:val="bottom"/>
            <w:tcBorders>
              <w:bottom w:val="single" w:sz="8" w:color="F4F4F4"/>
            </w:tcBorders>
            <w:shd w:val="clear" w:color="auto" w:fill="F4F4F4"/>
          </w:tcPr>
          <w:p>
            <w:pPr>
              <w:jc w:val="right"/>
              <w:ind w:right="2"/>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June 1, 2022 through June 30, 2022</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21"/>
                <w:szCs w:val="21"/>
                <w:color w:val="auto"/>
              </w:rPr>
            </w:pPr>
          </w:p>
        </w:tc>
      </w:tr>
      <w:tr>
        <w:trPr>
          <w:trHeight w:val="27"/>
        </w:trPr>
        <w:tc>
          <w:tcPr>
            <w:tcW w:w="5440" w:type="dxa"/>
            <w:vAlign w:val="bottom"/>
            <w:tcBorders>
              <w:bottom w:val="single" w:sz="8" w:color="F4F4F4"/>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F4F4F4"/>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54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15,540</w:t>
            </w:r>
          </w:p>
        </w:tc>
        <w:tc>
          <w:tcPr>
            <w:tcW w:w="100" w:type="dxa"/>
            <w:vAlign w:val="bottom"/>
            <w:tcBorders>
              <w:bottom w:val="single" w:sz="8" w:color="F4F4F4"/>
            </w:tcBorders>
            <w:shd w:val="clear" w:color="auto" w:fill="F4F4F4"/>
          </w:tcPr>
          <w:p>
            <w:pPr>
              <w:spacing w:after="0"/>
              <w:rPr>
                <w:sz w:val="21"/>
                <w:szCs w:val="21"/>
                <w:color w:val="auto"/>
              </w:rPr>
            </w:pPr>
          </w:p>
        </w:tc>
        <w:tc>
          <w:tcPr>
            <w:tcW w:w="460" w:type="dxa"/>
            <w:vAlign w:val="bottom"/>
            <w:tcBorders>
              <w:bottom w:val="single" w:sz="8" w:color="F4F4F4"/>
            </w:tcBorders>
            <w:shd w:val="clear" w:color="auto" w:fill="F4F4F4"/>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59.57</w:t>
            </w:r>
          </w:p>
        </w:tc>
        <w:tc>
          <w:tcPr>
            <w:tcW w:w="120" w:type="dxa"/>
            <w:vAlign w:val="bottom"/>
            <w:tcBorders>
              <w:bottom w:val="single" w:sz="8" w:color="F4F4F4"/>
            </w:tcBorders>
            <w:shd w:val="clear" w:color="auto" w:fill="F4F4F4"/>
          </w:tcPr>
          <w:p>
            <w:pPr>
              <w:spacing w:after="0"/>
              <w:rPr>
                <w:sz w:val="21"/>
                <w:szCs w:val="21"/>
                <w:color w:val="auto"/>
              </w:rPr>
            </w:pPr>
          </w:p>
        </w:tc>
        <w:tc>
          <w:tcPr>
            <w:tcW w:w="1460" w:type="dxa"/>
            <w:vAlign w:val="bottom"/>
            <w:tcBorders>
              <w:bottom w:val="single" w:sz="8" w:color="F4F4F4"/>
            </w:tcBorders>
            <w:gridSpan w:val="2"/>
            <w:shd w:val="clear" w:color="auto" w:fill="F4F4F4"/>
          </w:tcPr>
          <w:p>
            <w:pPr>
              <w:ind w:left="1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F4F4F4"/>
            </w:tcBorders>
            <w:shd w:val="clear" w:color="auto" w:fill="F4F4F4"/>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F4F4F4"/>
            </w:tcBorders>
            <w:shd w:val="clear" w:color="auto" w:fill="F4F4F4"/>
          </w:tcPr>
          <w:p>
            <w:pPr>
              <w:jc w:val="right"/>
              <w:ind w:right="2"/>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21"/>
                <w:szCs w:val="21"/>
                <w:color w:val="auto"/>
              </w:rPr>
            </w:pPr>
          </w:p>
        </w:tc>
      </w:tr>
      <w:tr>
        <w:trPr>
          <w:trHeight w:val="20"/>
        </w:trPr>
        <w:tc>
          <w:tcPr>
            <w:tcW w:w="5440" w:type="dxa"/>
            <w:vAlign w:val="bottom"/>
            <w:shd w:val="clear" w:color="auto" w:fill="71BF43"/>
          </w:tcPr>
          <w:p>
            <w:pPr>
              <w:spacing w:after="0" w:line="20" w:lineRule="exact"/>
              <w:rPr>
                <w:sz w:val="1"/>
                <w:szCs w:val="1"/>
                <w:color w:val="auto"/>
              </w:rPr>
            </w:pPr>
          </w:p>
        </w:tc>
        <w:tc>
          <w:tcPr>
            <w:tcW w:w="1360" w:type="dxa"/>
            <w:vAlign w:val="bottom"/>
            <w:shd w:val="clear" w:color="auto" w:fill="71BF43"/>
          </w:tcPr>
          <w:p>
            <w:pPr>
              <w:spacing w:after="0" w:line="20" w:lineRule="exact"/>
              <w:rPr>
                <w:sz w:val="1"/>
                <w:szCs w:val="1"/>
                <w:color w:val="auto"/>
              </w:rPr>
            </w:pPr>
          </w:p>
        </w:tc>
        <w:tc>
          <w:tcPr>
            <w:tcW w:w="100" w:type="dxa"/>
            <w:vAlign w:val="bottom"/>
            <w:shd w:val="clear" w:color="auto" w:fill="71BF43"/>
          </w:tcPr>
          <w:p>
            <w:pPr>
              <w:spacing w:after="0" w:line="20" w:lineRule="exact"/>
              <w:rPr>
                <w:sz w:val="1"/>
                <w:szCs w:val="1"/>
                <w:color w:val="auto"/>
              </w:rPr>
            </w:pPr>
          </w:p>
        </w:tc>
        <w:tc>
          <w:tcPr>
            <w:tcW w:w="460" w:type="dxa"/>
            <w:vAlign w:val="bottom"/>
            <w:shd w:val="clear" w:color="auto" w:fill="71BF43"/>
          </w:tcPr>
          <w:p>
            <w:pPr>
              <w:spacing w:after="0" w:line="20" w:lineRule="exact"/>
              <w:rPr>
                <w:sz w:val="1"/>
                <w:szCs w:val="1"/>
                <w:color w:val="auto"/>
              </w:rPr>
            </w:pPr>
          </w:p>
        </w:tc>
        <w:tc>
          <w:tcPr>
            <w:tcW w:w="920" w:type="dxa"/>
            <w:vAlign w:val="bottom"/>
            <w:shd w:val="clear" w:color="auto" w:fill="71BF43"/>
          </w:tcPr>
          <w:p>
            <w:pPr>
              <w:spacing w:after="0" w:line="20" w:lineRule="exact"/>
              <w:rPr>
                <w:sz w:val="1"/>
                <w:szCs w:val="1"/>
                <w:color w:val="auto"/>
              </w:rPr>
            </w:pPr>
          </w:p>
        </w:tc>
        <w:tc>
          <w:tcPr>
            <w:tcW w:w="120" w:type="dxa"/>
            <w:vAlign w:val="bottom"/>
            <w:shd w:val="clear" w:color="auto" w:fill="71BF43"/>
          </w:tcPr>
          <w:p>
            <w:pPr>
              <w:spacing w:after="0" w:line="20" w:lineRule="exact"/>
              <w:rPr>
                <w:sz w:val="1"/>
                <w:szCs w:val="1"/>
                <w:color w:val="auto"/>
              </w:rPr>
            </w:pPr>
          </w:p>
        </w:tc>
        <w:tc>
          <w:tcPr>
            <w:tcW w:w="1360" w:type="dxa"/>
            <w:vAlign w:val="bottom"/>
            <w:shd w:val="clear" w:color="auto" w:fill="71BF43"/>
          </w:tcPr>
          <w:p>
            <w:pPr>
              <w:spacing w:after="0" w:line="20" w:lineRule="exact"/>
              <w:rPr>
                <w:sz w:val="1"/>
                <w:szCs w:val="1"/>
                <w:color w:val="auto"/>
              </w:rPr>
            </w:pPr>
          </w:p>
        </w:tc>
        <w:tc>
          <w:tcPr>
            <w:tcW w:w="100" w:type="dxa"/>
            <w:vAlign w:val="bottom"/>
            <w:shd w:val="clear" w:color="auto" w:fill="71BF43"/>
          </w:tcPr>
          <w:p>
            <w:pPr>
              <w:spacing w:after="0" w:line="20" w:lineRule="exact"/>
              <w:rPr>
                <w:sz w:val="1"/>
                <w:szCs w:val="1"/>
                <w:color w:val="auto"/>
              </w:rPr>
            </w:pPr>
          </w:p>
        </w:tc>
        <w:tc>
          <w:tcPr>
            <w:tcW w:w="240" w:type="dxa"/>
            <w:vAlign w:val="bottom"/>
            <w:shd w:val="clear" w:color="auto" w:fill="71BF43"/>
          </w:tcPr>
          <w:p>
            <w:pPr>
              <w:spacing w:after="0" w:line="20" w:lineRule="exact"/>
              <w:rPr>
                <w:sz w:val="1"/>
                <w:szCs w:val="1"/>
                <w:color w:val="auto"/>
              </w:rPr>
            </w:pPr>
          </w:p>
        </w:tc>
        <w:tc>
          <w:tcPr>
            <w:tcW w:w="114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6" w:lineRule="exact"/>
        <w:rPr>
          <w:sz w:val="20"/>
          <w:szCs w:val="20"/>
          <w:color w:val="auto"/>
        </w:rPr>
      </w:pPr>
    </w:p>
    <w:p>
      <w:pPr>
        <w:ind w:left="340" w:right="40" w:hanging="332"/>
        <w:spacing w:after="0" w:line="241" w:lineRule="auto"/>
        <w:tabs>
          <w:tab w:leader="none" w:pos="354"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15,540 shares in May withheld by us to satisfy the minimum tax obligations of employees due upon vesting of restricted stock awards and units. The level of this acquisition activity varies from period to period based upon the timing of award grants and vesting.</w:t>
      </w:r>
    </w:p>
    <w:p>
      <w:pPr>
        <w:ind w:left="340" w:right="40" w:hanging="332"/>
        <w:spacing w:after="0" w:line="258" w:lineRule="auto"/>
        <w:tabs>
          <w:tab w:leader="none" w:pos="354"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 December 2021, our Board of Directors reauthorized and replenished our stock repurchase program to authorize us to purchase up to $250.0 million of our outstanding shares of common stock. The program does not have an expiration date.</w:t>
      </w:r>
    </w:p>
    <w:p>
      <w:pPr>
        <w:spacing w:after="0" w:line="308"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50</w:t>
      </w:r>
      <w:r>
        <w:rPr>
          <w:sz w:val="20"/>
          <w:szCs w:val="20"/>
          <w:color w:val="auto"/>
        </w:rPr>
        <w:tab/>
      </w:r>
      <w:r>
        <w:rPr>
          <w:sz w:val="1"/>
          <w:szCs w:val="1"/>
          <w:color w:val="auto"/>
        </w:rPr>
        <w:drawing>
          <wp:inline distT="0" distB="0" distL="0" distR="0">
            <wp:extent cx="651510" cy="17145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6. EXHIBITS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filed or incorporated by reference as part of this Quarterly Report on Form 10-Q:</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20" w:type="dxa"/>
            <w:vAlign w:val="bottom"/>
            <w:shd w:val="clear" w:color="auto" w:fill="ACACAC"/>
          </w:tcPr>
          <w:p>
            <w:pPr>
              <w:spacing w:after="0"/>
              <w:rPr>
                <w:sz w:val="18"/>
                <w:szCs w:val="18"/>
                <w:color w:val="auto"/>
              </w:rPr>
            </w:pPr>
          </w:p>
        </w:tc>
        <w:tc>
          <w:tcPr>
            <w:tcW w:w="460" w:type="dxa"/>
            <w:vAlign w:val="bottom"/>
            <w:shd w:val="clear" w:color="auto" w:fill="ACACAC"/>
          </w:tcPr>
          <w:p>
            <w:pPr>
              <w:spacing w:after="0"/>
              <w:rPr>
                <w:sz w:val="18"/>
                <w:szCs w:val="18"/>
                <w:color w:val="auto"/>
              </w:rPr>
            </w:pPr>
          </w:p>
        </w:tc>
        <w:tc>
          <w:tcPr>
            <w:tcW w:w="140" w:type="dxa"/>
            <w:vAlign w:val="bottom"/>
            <w:shd w:val="clear" w:color="auto" w:fill="ACACAC"/>
          </w:tcPr>
          <w:p>
            <w:pPr>
              <w:spacing w:after="0"/>
              <w:rPr>
                <w:sz w:val="18"/>
                <w:szCs w:val="18"/>
                <w:color w:val="auto"/>
              </w:rPr>
            </w:pPr>
          </w:p>
        </w:tc>
        <w:tc>
          <w:tcPr>
            <w:tcW w:w="2340" w:type="dxa"/>
            <w:vAlign w:val="bottom"/>
            <w:shd w:val="clear" w:color="auto" w:fill="ACACAC"/>
          </w:tcPr>
          <w:p>
            <w:pPr>
              <w:spacing w:after="0"/>
              <w:rPr>
                <w:sz w:val="18"/>
                <w:szCs w:val="18"/>
                <w:color w:val="auto"/>
              </w:rPr>
            </w:pPr>
          </w:p>
        </w:tc>
        <w:tc>
          <w:tcPr>
            <w:tcW w:w="2180" w:type="dxa"/>
            <w:vAlign w:val="bottom"/>
            <w:shd w:val="clear" w:color="auto" w:fill="ACACAC"/>
          </w:tcPr>
          <w:p>
            <w:pPr>
              <w:spacing w:after="0"/>
              <w:rPr>
                <w:sz w:val="18"/>
                <w:szCs w:val="18"/>
                <w:color w:val="auto"/>
              </w:rPr>
            </w:pPr>
          </w:p>
        </w:tc>
        <w:tc>
          <w:tcPr>
            <w:tcW w:w="860" w:type="dxa"/>
            <w:vAlign w:val="bottom"/>
            <w:shd w:val="clear" w:color="auto" w:fill="ACACAC"/>
          </w:tcPr>
          <w:p>
            <w:pPr>
              <w:spacing w:after="0"/>
              <w:rPr>
                <w:sz w:val="18"/>
                <w:szCs w:val="18"/>
                <w:color w:val="auto"/>
              </w:rPr>
            </w:pPr>
          </w:p>
        </w:tc>
        <w:tc>
          <w:tcPr>
            <w:tcW w:w="1045" w:type="dxa"/>
            <w:vAlign w:val="bottom"/>
            <w:shd w:val="clear" w:color="auto" w:fill="ACACAC"/>
          </w:tcPr>
          <w:p>
            <w:pPr>
              <w:spacing w:after="0"/>
              <w:rPr>
                <w:sz w:val="18"/>
                <w:szCs w:val="18"/>
                <w:color w:val="auto"/>
              </w:rPr>
            </w:pPr>
          </w:p>
        </w:tc>
        <w:tc>
          <w:tcPr>
            <w:tcW w:w="1015" w:type="dxa"/>
            <w:vAlign w:val="bottom"/>
            <w:shd w:val="clear" w:color="auto" w:fill="ACACAC"/>
          </w:tcPr>
          <w:p>
            <w:pPr>
              <w:spacing w:after="0"/>
              <w:rPr>
                <w:sz w:val="18"/>
                <w:szCs w:val="18"/>
                <w:color w:val="auto"/>
              </w:rPr>
            </w:pPr>
          </w:p>
        </w:tc>
        <w:tc>
          <w:tcPr>
            <w:tcW w:w="1480" w:type="dxa"/>
            <w:vAlign w:val="bottom"/>
            <w:shd w:val="clear" w:color="auto" w:fill="ACACAC"/>
          </w:tcPr>
          <w:p>
            <w:pPr>
              <w:spacing w:after="0"/>
              <w:rPr>
                <w:sz w:val="20"/>
                <w:szCs w:val="20"/>
                <w:color w:val="auto"/>
              </w:rPr>
            </w:pPr>
            <w:r>
              <w:rPr>
                <w:rFonts w:ascii="Arial" w:cs="Arial" w:eastAsia="Arial" w:hAnsi="Arial"/>
                <w:sz w:val="14"/>
                <w:szCs w:val="14"/>
                <w:b w:val="1"/>
                <w:bCs w:val="1"/>
                <w:color w:val="FFFFFF"/>
              </w:rPr>
              <w:t>Filed In</w:t>
            </w:r>
          </w:p>
        </w:tc>
        <w:tc>
          <w:tcPr>
            <w:tcW w:w="1100" w:type="dxa"/>
            <w:vAlign w:val="bottom"/>
            <w:shd w:val="clear" w:color="auto" w:fill="ACACAC"/>
          </w:tcPr>
          <w:p>
            <w:pPr>
              <w:spacing w:after="0"/>
              <w:rPr>
                <w:sz w:val="18"/>
                <w:szCs w:val="18"/>
                <w:color w:val="auto"/>
              </w:rPr>
            </w:pPr>
          </w:p>
        </w:tc>
        <w:tc>
          <w:tcPr>
            <w:tcW w:w="20" w:type="dxa"/>
            <w:vAlign w:val="bottom"/>
            <w:shd w:val="clear" w:color="auto" w:fill="ACACAC"/>
          </w:tcPr>
          <w:p>
            <w:pPr>
              <w:spacing w:after="0"/>
              <w:rPr>
                <w:sz w:val="18"/>
                <w:szCs w:val="18"/>
                <w:color w:val="auto"/>
              </w:rPr>
            </w:pPr>
          </w:p>
        </w:tc>
      </w:tr>
      <w:tr>
        <w:trPr>
          <w:trHeight w:val="201"/>
        </w:trPr>
        <w:tc>
          <w:tcPr>
            <w:tcW w:w="108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Exhibit</w:t>
            </w:r>
          </w:p>
        </w:tc>
        <w:tc>
          <w:tcPr>
            <w:tcW w:w="140" w:type="dxa"/>
            <w:vAlign w:val="bottom"/>
            <w:shd w:val="clear" w:color="auto" w:fill="ACACAC"/>
          </w:tcPr>
          <w:p>
            <w:pPr>
              <w:spacing w:after="0"/>
              <w:rPr>
                <w:sz w:val="17"/>
                <w:szCs w:val="17"/>
                <w:color w:val="auto"/>
              </w:rPr>
            </w:pPr>
          </w:p>
        </w:tc>
        <w:tc>
          <w:tcPr>
            <w:tcW w:w="2340" w:type="dxa"/>
            <w:vAlign w:val="bottom"/>
            <w:shd w:val="clear" w:color="auto" w:fill="ACACAC"/>
          </w:tcPr>
          <w:p>
            <w:pPr>
              <w:spacing w:after="0"/>
              <w:rPr>
                <w:sz w:val="17"/>
                <w:szCs w:val="17"/>
                <w:color w:val="auto"/>
              </w:rPr>
            </w:pPr>
          </w:p>
        </w:tc>
        <w:tc>
          <w:tcPr>
            <w:tcW w:w="2180" w:type="dxa"/>
            <w:vAlign w:val="bottom"/>
            <w:shd w:val="clear" w:color="auto" w:fill="ACACAC"/>
          </w:tcPr>
          <w:p>
            <w:pPr>
              <w:spacing w:after="0"/>
              <w:rPr>
                <w:sz w:val="17"/>
                <w:szCs w:val="17"/>
                <w:color w:val="auto"/>
              </w:rPr>
            </w:pPr>
          </w:p>
        </w:tc>
        <w:tc>
          <w:tcPr>
            <w:tcW w:w="860" w:type="dxa"/>
            <w:vAlign w:val="bottom"/>
            <w:shd w:val="clear" w:color="auto" w:fill="ACACAC"/>
          </w:tcPr>
          <w:p>
            <w:pPr>
              <w:spacing w:after="0"/>
              <w:rPr>
                <w:sz w:val="17"/>
                <w:szCs w:val="17"/>
                <w:color w:val="auto"/>
              </w:rPr>
            </w:pPr>
          </w:p>
        </w:tc>
        <w:tc>
          <w:tcPr>
            <w:tcW w:w="1045" w:type="dxa"/>
            <w:vAlign w:val="bottom"/>
            <w:shd w:val="clear" w:color="auto" w:fill="ACACAC"/>
          </w:tcPr>
          <w:p>
            <w:pPr>
              <w:jc w:val="center"/>
              <w:ind w:right="33"/>
              <w:spacing w:after="0"/>
              <w:rPr>
                <w:sz w:val="20"/>
                <w:szCs w:val="20"/>
                <w:color w:val="auto"/>
              </w:rPr>
            </w:pPr>
            <w:r>
              <w:rPr>
                <w:rFonts w:ascii="Arial" w:cs="Arial" w:eastAsia="Arial" w:hAnsi="Arial"/>
                <w:sz w:val="14"/>
                <w:szCs w:val="14"/>
                <w:b w:val="1"/>
                <w:bCs w:val="1"/>
                <w:color w:val="FFFFFF"/>
              </w:rPr>
              <w:t>Filed</w:t>
            </w:r>
          </w:p>
        </w:tc>
        <w:tc>
          <w:tcPr>
            <w:tcW w:w="1015" w:type="dxa"/>
            <w:vAlign w:val="bottom"/>
            <w:shd w:val="clear" w:color="auto" w:fill="ACACAC"/>
          </w:tcPr>
          <w:p>
            <w:pPr>
              <w:spacing w:after="0"/>
              <w:rPr>
                <w:sz w:val="17"/>
                <w:szCs w:val="17"/>
                <w:color w:val="auto"/>
              </w:rPr>
            </w:pPr>
          </w:p>
        </w:tc>
        <w:tc>
          <w:tcPr>
            <w:tcW w:w="1480" w:type="dxa"/>
            <w:vAlign w:val="bottom"/>
            <w:shd w:val="clear" w:color="auto" w:fill="ACACAC"/>
          </w:tcPr>
          <w:p>
            <w:pPr>
              <w:spacing w:after="0"/>
              <w:rPr>
                <w:sz w:val="17"/>
                <w:szCs w:val="17"/>
                <w:color w:val="auto"/>
              </w:rPr>
            </w:pPr>
          </w:p>
        </w:tc>
        <w:tc>
          <w:tcPr>
            <w:tcW w:w="1100" w:type="dxa"/>
            <w:vAlign w:val="bottom"/>
            <w:shd w:val="clear" w:color="auto" w:fill="ACACAC"/>
          </w:tcPr>
          <w:p>
            <w:pPr>
              <w:spacing w:after="0"/>
              <w:rPr>
                <w:sz w:val="17"/>
                <w:szCs w:val="17"/>
                <w:color w:val="auto"/>
              </w:rPr>
            </w:pPr>
          </w:p>
        </w:tc>
        <w:tc>
          <w:tcPr>
            <w:tcW w:w="20" w:type="dxa"/>
            <w:vAlign w:val="bottom"/>
            <w:shd w:val="clear" w:color="auto" w:fill="ACACAC"/>
          </w:tcPr>
          <w:p>
            <w:pPr>
              <w:spacing w:after="0"/>
              <w:rPr>
                <w:sz w:val="17"/>
                <w:szCs w:val="17"/>
                <w:color w:val="auto"/>
              </w:rPr>
            </w:pPr>
          </w:p>
        </w:tc>
      </w:tr>
      <w:tr>
        <w:trPr>
          <w:trHeight w:val="216"/>
        </w:trPr>
        <w:tc>
          <w:tcPr>
            <w:tcW w:w="108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Number</w:t>
            </w:r>
          </w:p>
        </w:tc>
        <w:tc>
          <w:tcPr>
            <w:tcW w:w="140" w:type="dxa"/>
            <w:vAlign w:val="bottom"/>
            <w:shd w:val="clear" w:color="auto" w:fill="ACACAC"/>
          </w:tcPr>
          <w:p>
            <w:pPr>
              <w:spacing w:after="0"/>
              <w:rPr>
                <w:sz w:val="18"/>
                <w:szCs w:val="18"/>
                <w:color w:val="auto"/>
              </w:rPr>
            </w:pPr>
          </w:p>
        </w:tc>
        <w:tc>
          <w:tcPr>
            <w:tcW w:w="5380" w:type="dxa"/>
            <w:vAlign w:val="bottom"/>
            <w:gridSpan w:val="3"/>
            <w:shd w:val="clear" w:color="auto" w:fill="ACACAC"/>
          </w:tcPr>
          <w:p>
            <w:pPr>
              <w:ind w:left="1760"/>
              <w:spacing w:after="0"/>
              <w:rPr>
                <w:sz w:val="20"/>
                <w:szCs w:val="20"/>
                <w:color w:val="auto"/>
              </w:rPr>
            </w:pPr>
            <w:r>
              <w:rPr>
                <w:rFonts w:ascii="Arial" w:cs="Arial" w:eastAsia="Arial" w:hAnsi="Arial"/>
                <w:sz w:val="14"/>
                <w:szCs w:val="14"/>
                <w:b w:val="1"/>
                <w:bCs w:val="1"/>
                <w:color w:val="FFFFFF"/>
              </w:rPr>
              <w:t>Description of Document</w:t>
            </w:r>
          </w:p>
        </w:tc>
        <w:tc>
          <w:tcPr>
            <w:tcW w:w="1045" w:type="dxa"/>
            <w:vAlign w:val="bottom"/>
            <w:shd w:val="clear" w:color="auto" w:fill="ACACAC"/>
          </w:tcPr>
          <w:p>
            <w:pPr>
              <w:jc w:val="center"/>
              <w:ind w:right="13"/>
              <w:spacing w:after="0"/>
              <w:rPr>
                <w:sz w:val="20"/>
                <w:szCs w:val="20"/>
                <w:color w:val="auto"/>
              </w:rPr>
            </w:pPr>
            <w:r>
              <w:rPr>
                <w:rFonts w:ascii="Arial" w:cs="Arial" w:eastAsia="Arial" w:hAnsi="Arial"/>
                <w:sz w:val="14"/>
                <w:szCs w:val="14"/>
                <w:b w:val="1"/>
                <w:bCs w:val="1"/>
                <w:color w:val="FFFFFF"/>
              </w:rPr>
              <w:t>Herewith</w:t>
            </w:r>
          </w:p>
        </w:tc>
        <w:tc>
          <w:tcPr>
            <w:tcW w:w="1015" w:type="dxa"/>
            <w:vAlign w:val="bottom"/>
            <w:shd w:val="clear" w:color="auto" w:fill="ACACAC"/>
          </w:tcPr>
          <w:p>
            <w:pPr>
              <w:jc w:val="center"/>
              <w:spacing w:after="0"/>
              <w:rPr>
                <w:sz w:val="20"/>
                <w:szCs w:val="20"/>
                <w:color w:val="auto"/>
              </w:rPr>
            </w:pPr>
            <w:r>
              <w:rPr>
                <w:rFonts w:ascii="Arial" w:cs="Arial" w:eastAsia="Arial" w:hAnsi="Arial"/>
                <w:sz w:val="14"/>
                <w:szCs w:val="14"/>
                <w:b w:val="1"/>
                <w:bCs w:val="1"/>
                <w:color w:val="FFFFFF"/>
              </w:rPr>
              <w:t>Form</w:t>
            </w:r>
          </w:p>
        </w:tc>
        <w:tc>
          <w:tcPr>
            <w:tcW w:w="1480" w:type="dxa"/>
            <w:vAlign w:val="bottom"/>
            <w:shd w:val="clear" w:color="auto" w:fill="ACACAC"/>
          </w:tcPr>
          <w:p>
            <w:pPr>
              <w:jc w:val="center"/>
              <w:spacing w:after="0"/>
              <w:rPr>
                <w:sz w:val="20"/>
                <w:szCs w:val="20"/>
                <w:color w:val="auto"/>
              </w:rPr>
            </w:pPr>
            <w:r>
              <w:rPr>
                <w:rFonts w:ascii="Arial" w:cs="Arial" w:eastAsia="Arial" w:hAnsi="Arial"/>
                <w:sz w:val="14"/>
                <w:szCs w:val="14"/>
                <w:b w:val="1"/>
                <w:bCs w:val="1"/>
                <w:color w:val="FFFFFF"/>
              </w:rPr>
              <w:t>Exhibit Number</w:t>
            </w:r>
          </w:p>
        </w:tc>
        <w:tc>
          <w:tcPr>
            <w:tcW w:w="1100" w:type="dxa"/>
            <w:vAlign w:val="bottom"/>
            <w:shd w:val="clear" w:color="auto" w:fill="ACACAC"/>
          </w:tcPr>
          <w:p>
            <w:pPr>
              <w:jc w:val="center"/>
              <w:spacing w:after="0"/>
              <w:rPr>
                <w:sz w:val="20"/>
                <w:szCs w:val="20"/>
                <w:color w:val="auto"/>
              </w:rPr>
            </w:pPr>
            <w:r>
              <w:rPr>
                <w:rFonts w:ascii="Arial" w:cs="Arial" w:eastAsia="Arial" w:hAnsi="Arial"/>
                <w:sz w:val="14"/>
                <w:szCs w:val="14"/>
                <w:b w:val="1"/>
                <w:bCs w:val="1"/>
                <w:color w:val="FFFFFF"/>
              </w:rPr>
              <w:t>Filing Date</w:t>
            </w:r>
          </w:p>
        </w:tc>
        <w:tc>
          <w:tcPr>
            <w:tcW w:w="20" w:type="dxa"/>
            <w:vAlign w:val="bottom"/>
            <w:shd w:val="clear" w:color="auto" w:fill="ACACAC"/>
          </w:tcPr>
          <w:p>
            <w:pPr>
              <w:spacing w:after="0"/>
              <w:rPr>
                <w:sz w:val="18"/>
                <w:szCs w:val="18"/>
                <w:color w:val="auto"/>
              </w:rPr>
            </w:pPr>
          </w:p>
        </w:tc>
      </w:tr>
      <w:tr>
        <w:trPr>
          <w:trHeight w:val="256"/>
        </w:trPr>
        <w:tc>
          <w:tcPr>
            <w:tcW w:w="620" w:type="dxa"/>
            <w:vAlign w:val="bottom"/>
            <w:tcBorders>
              <w:bottom w:val="single" w:sz="8" w:color="F4F4F4"/>
            </w:tcBorders>
            <w:shd w:val="clear" w:color="auto" w:fill="F4F4F4"/>
          </w:tcPr>
          <w:p>
            <w:pPr>
              <w:spacing w:after="0"/>
              <w:rPr>
                <w:sz w:val="22"/>
                <w:szCs w:val="22"/>
                <w:color w:val="auto"/>
              </w:rPr>
            </w:pPr>
          </w:p>
        </w:tc>
        <w:tc>
          <w:tcPr>
            <w:tcW w:w="460" w:type="dxa"/>
            <w:vAlign w:val="bottom"/>
            <w:tcBorders>
              <w:bottom w:val="single" w:sz="8" w:color="0000FF"/>
            </w:tcBorders>
            <w:shd w:val="clear" w:color="auto" w:fill="F4F4F4"/>
          </w:tcPr>
          <w:p>
            <w:pPr>
              <w:jc w:val="right"/>
              <w:spacing w:after="0"/>
              <w:rPr>
                <w:rFonts w:ascii="Arial" w:cs="Arial" w:eastAsia="Arial" w:hAnsi="Arial"/>
                <w:sz w:val="18"/>
                <w:szCs w:val="18"/>
                <w:color w:val="0000FF"/>
                <w:w w:val="97"/>
              </w:rPr>
            </w:pPr>
            <w:hyperlink r:id="rId218">
              <w:r>
                <w:rPr>
                  <w:rFonts w:ascii="Arial" w:cs="Arial" w:eastAsia="Arial" w:hAnsi="Arial"/>
                  <w:sz w:val="18"/>
                  <w:szCs w:val="18"/>
                  <w:color w:val="0000FF"/>
                  <w:w w:val="97"/>
                </w:rPr>
                <w:t>10.01</w:t>
              </w:r>
            </w:hyperlink>
          </w:p>
        </w:tc>
        <w:tc>
          <w:tcPr>
            <w:tcW w:w="140" w:type="dxa"/>
            <w:vAlign w:val="bottom"/>
            <w:tcBorders>
              <w:bottom w:val="single" w:sz="8" w:color="F4F4F4"/>
            </w:tcBorders>
            <w:shd w:val="clear" w:color="auto" w:fill="F4F4F4"/>
          </w:tcPr>
          <w:p>
            <w:pPr>
              <w:spacing w:after="0"/>
              <w:rPr>
                <w:sz w:val="22"/>
                <w:szCs w:val="22"/>
                <w:color w:val="auto"/>
              </w:rPr>
            </w:pPr>
          </w:p>
        </w:tc>
        <w:tc>
          <w:tcPr>
            <w:tcW w:w="4520" w:type="dxa"/>
            <w:vAlign w:val="bottom"/>
            <w:tcBorders>
              <w:bottom w:val="single" w:sz="8" w:color="0000FF"/>
            </w:tcBorders>
            <w:gridSpan w:val="2"/>
            <w:shd w:val="clear" w:color="auto" w:fill="F4F4F4"/>
          </w:tcPr>
          <w:p>
            <w:pPr>
              <w:spacing w:after="0"/>
              <w:rPr>
                <w:rFonts w:ascii="Arial" w:cs="Arial" w:eastAsia="Arial" w:hAnsi="Arial"/>
                <w:sz w:val="18"/>
                <w:szCs w:val="18"/>
                <w:color w:val="0000FF"/>
                <w:w w:val="99"/>
              </w:rPr>
            </w:pPr>
            <w:hyperlink r:id="rId218">
              <w:r>
                <w:rPr>
                  <w:rFonts w:ascii="Arial" w:cs="Arial" w:eastAsia="Arial" w:hAnsi="Arial"/>
                  <w:sz w:val="18"/>
                  <w:szCs w:val="18"/>
                  <w:color w:val="0000FF"/>
                  <w:w w:val="99"/>
                </w:rPr>
                <w:t>Amended and Restated Blackbaud, Inc. 2016 Equity and</w:t>
              </w:r>
            </w:hyperlink>
          </w:p>
        </w:tc>
        <w:tc>
          <w:tcPr>
            <w:tcW w:w="860" w:type="dxa"/>
            <w:vAlign w:val="bottom"/>
            <w:tcBorders>
              <w:bottom w:val="single" w:sz="8" w:color="F4F4F4"/>
            </w:tcBorders>
            <w:shd w:val="clear" w:color="auto" w:fill="F4F4F4"/>
          </w:tcPr>
          <w:p>
            <w:pPr>
              <w:spacing w:after="0"/>
              <w:rPr>
                <w:sz w:val="22"/>
                <w:szCs w:val="22"/>
                <w:color w:val="auto"/>
              </w:rPr>
            </w:pPr>
          </w:p>
        </w:tc>
        <w:tc>
          <w:tcPr>
            <w:tcW w:w="1045" w:type="dxa"/>
            <w:vAlign w:val="bottom"/>
            <w:tcBorders>
              <w:bottom w:val="single" w:sz="8" w:color="F4F4F4"/>
            </w:tcBorders>
            <w:shd w:val="clear" w:color="auto" w:fill="F4F4F4"/>
          </w:tcPr>
          <w:p>
            <w:pPr>
              <w:spacing w:after="0"/>
              <w:rPr>
                <w:sz w:val="22"/>
                <w:szCs w:val="22"/>
                <w:color w:val="auto"/>
              </w:rPr>
            </w:pPr>
          </w:p>
        </w:tc>
        <w:tc>
          <w:tcPr>
            <w:tcW w:w="1015" w:type="dxa"/>
            <w:vAlign w:val="bottom"/>
            <w:tcBorders>
              <w:bottom w:val="single" w:sz="8" w:color="F4F4F4"/>
            </w:tcBorders>
            <w:shd w:val="clear" w:color="auto" w:fill="F4F4F4"/>
          </w:tcPr>
          <w:p>
            <w:pPr>
              <w:jc w:val="center"/>
              <w:spacing w:after="0"/>
              <w:rPr>
                <w:sz w:val="20"/>
                <w:szCs w:val="20"/>
                <w:color w:val="auto"/>
              </w:rPr>
            </w:pPr>
            <w:r>
              <w:rPr>
                <w:rFonts w:ascii="Arial" w:cs="Arial" w:eastAsia="Arial" w:hAnsi="Arial"/>
                <w:sz w:val="18"/>
                <w:szCs w:val="18"/>
                <w:color w:val="auto"/>
                <w:w w:val="98"/>
              </w:rPr>
              <w:t>DEF 14A</w:t>
            </w:r>
          </w:p>
        </w:tc>
        <w:tc>
          <w:tcPr>
            <w:tcW w:w="1480" w:type="dxa"/>
            <w:vAlign w:val="bottom"/>
            <w:tcBorders>
              <w:bottom w:val="single" w:sz="8" w:color="F4F4F4"/>
            </w:tcBorders>
            <w:shd w:val="clear" w:color="auto" w:fill="F4F4F4"/>
          </w:tcPr>
          <w:p>
            <w:pPr>
              <w:jc w:val="center"/>
              <w:spacing w:after="0"/>
              <w:rPr>
                <w:sz w:val="20"/>
                <w:szCs w:val="20"/>
                <w:color w:val="auto"/>
              </w:rPr>
            </w:pPr>
            <w:r>
              <w:rPr>
                <w:rFonts w:ascii="Arial" w:cs="Arial" w:eastAsia="Arial" w:hAnsi="Arial"/>
                <w:sz w:val="18"/>
                <w:szCs w:val="18"/>
                <w:color w:val="auto"/>
                <w:w w:val="99"/>
              </w:rPr>
              <w:t>Appendix B</w:t>
            </w:r>
          </w:p>
        </w:tc>
        <w:tc>
          <w:tcPr>
            <w:tcW w:w="1100" w:type="dxa"/>
            <w:vAlign w:val="bottom"/>
            <w:tcBorders>
              <w:bottom w:val="single" w:sz="8" w:color="F4F4F4"/>
            </w:tcBorders>
            <w:shd w:val="clear" w:color="auto" w:fill="F4F4F4"/>
          </w:tcPr>
          <w:p>
            <w:pPr>
              <w:jc w:val="right"/>
              <w:ind w:right="79"/>
              <w:spacing w:after="0"/>
              <w:rPr>
                <w:sz w:val="20"/>
                <w:szCs w:val="20"/>
                <w:color w:val="auto"/>
              </w:rPr>
            </w:pPr>
            <w:r>
              <w:rPr>
                <w:rFonts w:ascii="Arial" w:cs="Arial" w:eastAsia="Arial" w:hAnsi="Arial"/>
                <w:sz w:val="18"/>
                <w:szCs w:val="18"/>
                <w:color w:val="auto"/>
              </w:rPr>
              <w:t>4/19/2022</w:t>
            </w:r>
          </w:p>
        </w:tc>
        <w:tc>
          <w:tcPr>
            <w:tcW w:w="20" w:type="dxa"/>
            <w:vAlign w:val="bottom"/>
          </w:tcPr>
          <w:p>
            <w:pPr>
              <w:spacing w:after="0"/>
              <w:rPr>
                <w:sz w:val="22"/>
                <w:szCs w:val="22"/>
                <w:color w:val="auto"/>
              </w:rPr>
            </w:pPr>
          </w:p>
        </w:tc>
      </w:tr>
      <w:tr>
        <w:trPr>
          <w:trHeight w:val="196"/>
        </w:trPr>
        <w:tc>
          <w:tcPr>
            <w:tcW w:w="620" w:type="dxa"/>
            <w:vAlign w:val="bottom"/>
            <w:shd w:val="clear" w:color="auto" w:fill="F4F4F4"/>
          </w:tcPr>
          <w:p>
            <w:pPr>
              <w:spacing w:after="0"/>
              <w:rPr>
                <w:sz w:val="17"/>
                <w:szCs w:val="17"/>
                <w:color w:val="auto"/>
              </w:rPr>
            </w:pPr>
          </w:p>
        </w:tc>
        <w:tc>
          <w:tcPr>
            <w:tcW w:w="460" w:type="dxa"/>
            <w:vAlign w:val="bottom"/>
            <w:shd w:val="clear" w:color="auto" w:fill="F4F4F4"/>
          </w:tcPr>
          <w:p>
            <w:pPr>
              <w:spacing w:after="0"/>
              <w:rPr>
                <w:sz w:val="17"/>
                <w:szCs w:val="17"/>
                <w:color w:val="auto"/>
              </w:rPr>
            </w:pPr>
          </w:p>
        </w:tc>
        <w:tc>
          <w:tcPr>
            <w:tcW w:w="140" w:type="dxa"/>
            <w:vAlign w:val="bottom"/>
            <w:shd w:val="clear" w:color="auto" w:fill="F4F4F4"/>
          </w:tcPr>
          <w:p>
            <w:pPr>
              <w:spacing w:after="0"/>
              <w:rPr>
                <w:sz w:val="17"/>
                <w:szCs w:val="17"/>
                <w:color w:val="auto"/>
              </w:rPr>
            </w:pPr>
          </w:p>
        </w:tc>
        <w:tc>
          <w:tcPr>
            <w:tcW w:w="5380" w:type="dxa"/>
            <w:vAlign w:val="bottom"/>
            <w:gridSpan w:val="3"/>
            <w:shd w:val="clear" w:color="auto" w:fill="F4F4F4"/>
          </w:tcPr>
          <w:p>
            <w:pPr>
              <w:spacing w:after="0" w:line="196" w:lineRule="exact"/>
              <w:rPr>
                <w:rFonts w:ascii="Arial" w:cs="Arial" w:eastAsia="Arial" w:hAnsi="Arial"/>
                <w:sz w:val="18"/>
                <w:szCs w:val="18"/>
                <w:color w:val="0000FF"/>
              </w:rPr>
            </w:pPr>
            <w:hyperlink r:id="rId218">
              <w:r>
                <w:rPr>
                  <w:rFonts w:ascii="Arial" w:cs="Arial" w:eastAsia="Arial" w:hAnsi="Arial"/>
                  <w:sz w:val="18"/>
                  <w:szCs w:val="18"/>
                  <w:color w:val="0000FF"/>
                </w:rPr>
                <w:t>Incentive Compensation Plan</w:t>
              </w:r>
            </w:hyperlink>
          </w:p>
        </w:tc>
        <w:tc>
          <w:tcPr>
            <w:tcW w:w="1045" w:type="dxa"/>
            <w:vAlign w:val="bottom"/>
            <w:shd w:val="clear" w:color="auto" w:fill="F4F4F4"/>
          </w:tcPr>
          <w:p>
            <w:pPr>
              <w:spacing w:after="0"/>
              <w:rPr>
                <w:sz w:val="17"/>
                <w:szCs w:val="17"/>
                <w:color w:val="auto"/>
              </w:rPr>
            </w:pPr>
          </w:p>
        </w:tc>
        <w:tc>
          <w:tcPr>
            <w:tcW w:w="1015" w:type="dxa"/>
            <w:vAlign w:val="bottom"/>
            <w:shd w:val="clear" w:color="auto" w:fill="F4F4F4"/>
          </w:tcPr>
          <w:p>
            <w:pPr>
              <w:spacing w:after="0"/>
              <w:rPr>
                <w:sz w:val="17"/>
                <w:szCs w:val="17"/>
                <w:color w:val="auto"/>
              </w:rPr>
            </w:pPr>
          </w:p>
        </w:tc>
        <w:tc>
          <w:tcPr>
            <w:tcW w:w="1480" w:type="dxa"/>
            <w:vAlign w:val="bottom"/>
            <w:shd w:val="clear" w:color="auto" w:fill="F4F4F4"/>
          </w:tcPr>
          <w:p>
            <w:pPr>
              <w:spacing w:after="0"/>
              <w:rPr>
                <w:sz w:val="17"/>
                <w:szCs w:val="17"/>
                <w:color w:val="auto"/>
              </w:rPr>
            </w:pPr>
          </w:p>
        </w:tc>
        <w:tc>
          <w:tcPr>
            <w:tcW w:w="1100" w:type="dxa"/>
            <w:vAlign w:val="bottom"/>
            <w:shd w:val="clear" w:color="auto" w:fill="F4F4F4"/>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620" w:type="dxa"/>
            <w:vAlign w:val="bottom"/>
            <w:tcBorders>
              <w:top w:val="single" w:sz="8" w:color="F4F4F4"/>
            </w:tcBorders>
            <w:shd w:val="clear" w:color="auto" w:fill="F4F4F4"/>
          </w:tcPr>
          <w:p>
            <w:pPr>
              <w:spacing w:after="0"/>
              <w:rPr>
                <w:sz w:val="4"/>
                <w:szCs w:val="4"/>
                <w:color w:val="auto"/>
              </w:rPr>
            </w:pPr>
          </w:p>
        </w:tc>
        <w:tc>
          <w:tcPr>
            <w:tcW w:w="460" w:type="dxa"/>
            <w:vAlign w:val="bottom"/>
            <w:tcBorders>
              <w:top w:val="single" w:sz="8" w:color="F4F4F4"/>
            </w:tcBorders>
            <w:shd w:val="clear" w:color="auto" w:fill="F4F4F4"/>
          </w:tcPr>
          <w:p>
            <w:pPr>
              <w:spacing w:after="0"/>
              <w:rPr>
                <w:sz w:val="4"/>
                <w:szCs w:val="4"/>
                <w:color w:val="auto"/>
              </w:rPr>
            </w:pPr>
          </w:p>
        </w:tc>
        <w:tc>
          <w:tcPr>
            <w:tcW w:w="140" w:type="dxa"/>
            <w:vAlign w:val="bottom"/>
            <w:tcBorders>
              <w:top w:val="single" w:sz="8" w:color="F4F4F4"/>
            </w:tcBorders>
            <w:shd w:val="clear" w:color="auto" w:fill="F4F4F4"/>
          </w:tcPr>
          <w:p>
            <w:pPr>
              <w:spacing w:after="0"/>
              <w:rPr>
                <w:sz w:val="4"/>
                <w:szCs w:val="4"/>
                <w:color w:val="auto"/>
              </w:rPr>
            </w:pPr>
          </w:p>
        </w:tc>
        <w:tc>
          <w:tcPr>
            <w:tcW w:w="2340" w:type="dxa"/>
            <w:vAlign w:val="bottom"/>
            <w:tcBorders>
              <w:top w:val="single" w:sz="8" w:color="0000FF"/>
            </w:tcBorders>
            <w:shd w:val="clear" w:color="auto" w:fill="F4F4F4"/>
          </w:tcPr>
          <w:p>
            <w:pPr>
              <w:spacing w:after="0"/>
              <w:rPr>
                <w:sz w:val="4"/>
                <w:szCs w:val="4"/>
                <w:color w:val="auto"/>
              </w:rPr>
            </w:pPr>
          </w:p>
        </w:tc>
        <w:tc>
          <w:tcPr>
            <w:tcW w:w="2180" w:type="dxa"/>
            <w:vAlign w:val="bottom"/>
            <w:tcBorders>
              <w:top w:val="single" w:sz="8" w:color="F4F4F4"/>
            </w:tcBorders>
            <w:shd w:val="clear" w:color="auto" w:fill="F4F4F4"/>
          </w:tcPr>
          <w:p>
            <w:pPr>
              <w:spacing w:after="0"/>
              <w:rPr>
                <w:sz w:val="4"/>
                <w:szCs w:val="4"/>
                <w:color w:val="auto"/>
              </w:rPr>
            </w:pPr>
          </w:p>
        </w:tc>
        <w:tc>
          <w:tcPr>
            <w:tcW w:w="860" w:type="dxa"/>
            <w:vAlign w:val="bottom"/>
            <w:tcBorders>
              <w:top w:val="single" w:sz="8" w:color="F4F4F4"/>
            </w:tcBorders>
            <w:shd w:val="clear" w:color="auto" w:fill="F4F4F4"/>
          </w:tcPr>
          <w:p>
            <w:pPr>
              <w:spacing w:after="0"/>
              <w:rPr>
                <w:sz w:val="4"/>
                <w:szCs w:val="4"/>
                <w:color w:val="auto"/>
              </w:rPr>
            </w:pPr>
          </w:p>
        </w:tc>
        <w:tc>
          <w:tcPr>
            <w:tcW w:w="1045" w:type="dxa"/>
            <w:vAlign w:val="bottom"/>
            <w:tcBorders>
              <w:top w:val="single" w:sz="8" w:color="F4F4F4"/>
            </w:tcBorders>
            <w:shd w:val="clear" w:color="auto" w:fill="F4F4F4"/>
          </w:tcPr>
          <w:p>
            <w:pPr>
              <w:spacing w:after="0"/>
              <w:rPr>
                <w:sz w:val="4"/>
                <w:szCs w:val="4"/>
                <w:color w:val="auto"/>
              </w:rPr>
            </w:pPr>
          </w:p>
        </w:tc>
        <w:tc>
          <w:tcPr>
            <w:tcW w:w="1015" w:type="dxa"/>
            <w:vAlign w:val="bottom"/>
            <w:tcBorders>
              <w:top w:val="single" w:sz="8" w:color="F4F4F4"/>
            </w:tcBorders>
            <w:shd w:val="clear" w:color="auto" w:fill="F4F4F4"/>
          </w:tcPr>
          <w:p>
            <w:pPr>
              <w:spacing w:after="0"/>
              <w:rPr>
                <w:sz w:val="4"/>
                <w:szCs w:val="4"/>
                <w:color w:val="auto"/>
              </w:rPr>
            </w:pPr>
          </w:p>
        </w:tc>
        <w:tc>
          <w:tcPr>
            <w:tcW w:w="1480" w:type="dxa"/>
            <w:vAlign w:val="bottom"/>
            <w:tcBorders>
              <w:top w:val="single" w:sz="8" w:color="F4F4F4"/>
            </w:tcBorders>
            <w:shd w:val="clear" w:color="auto" w:fill="F4F4F4"/>
          </w:tcPr>
          <w:p>
            <w:pPr>
              <w:spacing w:after="0"/>
              <w:rPr>
                <w:sz w:val="4"/>
                <w:szCs w:val="4"/>
                <w:color w:val="auto"/>
              </w:rPr>
            </w:pPr>
          </w:p>
        </w:tc>
        <w:tc>
          <w:tcPr>
            <w:tcW w:w="1100" w:type="dxa"/>
            <w:vAlign w:val="bottom"/>
            <w:tcBorders>
              <w:top w:val="single" w:sz="8" w:color="F4F4F4"/>
            </w:tcBorders>
            <w:shd w:val="clear" w:color="auto" w:fill="F4F4F4"/>
          </w:tcPr>
          <w:p>
            <w:pPr>
              <w:spacing w:after="0"/>
              <w:rPr>
                <w:sz w:val="4"/>
                <w:szCs w:val="4"/>
                <w:color w:val="auto"/>
              </w:rPr>
            </w:pPr>
          </w:p>
        </w:tc>
        <w:tc>
          <w:tcPr>
            <w:tcW w:w="2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-599440</wp:posOffset>
            </wp:positionV>
            <wp:extent cx="296608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p>
      <w:pPr>
        <w:spacing w:after="0" w:line="80" w:lineRule="exact"/>
        <w:rPr>
          <w:sz w:val="20"/>
          <w:szCs w:val="20"/>
          <w:color w:val="auto"/>
        </w:rPr>
      </w:pPr>
    </w:p>
    <w:p>
      <w:pPr>
        <w:jc w:val="center"/>
        <w:ind w:right="100"/>
        <w:spacing w:after="0"/>
        <w:tabs>
          <w:tab w:leader="none" w:pos="120" w:val="left"/>
        </w:tabs>
        <w:rPr>
          <w:rFonts w:ascii="Arial" w:cs="Arial" w:eastAsia="Arial" w:hAnsi="Arial"/>
          <w:sz w:val="17"/>
          <w:szCs w:val="17"/>
          <w:u w:val="single" w:color="auto"/>
          <w:color w:val="0000FF"/>
        </w:rPr>
      </w:pPr>
      <w:hyperlink w:anchor="page54">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54">
        <w:r>
          <w:rPr>
            <w:rFonts w:ascii="Arial" w:cs="Arial" w:eastAsia="Arial" w:hAnsi="Arial"/>
            <w:sz w:val="17"/>
            <w:szCs w:val="17"/>
            <w:u w:val="single" w:color="auto"/>
            <w:color w:val="0000FF"/>
          </w:rPr>
          <w:t>Certification by the Chief Executive Officer pursuant to</w:t>
        </w:r>
      </w:hyperlink>
    </w:p>
    <w:p>
      <w:pPr>
        <w:spacing w:after="0" w:line="9" w:lineRule="exact"/>
        <w:rPr>
          <w:sz w:val="20"/>
          <w:szCs w:val="20"/>
          <w:color w:val="auto"/>
        </w:rPr>
      </w:pPr>
    </w:p>
    <w:p>
      <w:pPr>
        <w:jc w:val="center"/>
        <w:ind w:right="14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Section 302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3429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97" w:lineRule="exact"/>
        <w:rPr>
          <w:sz w:val="20"/>
          <w:szCs w:val="20"/>
          <w:color w:val="auto"/>
        </w:rPr>
      </w:pPr>
    </w:p>
    <w:p>
      <w:pPr>
        <w:jc w:val="center"/>
        <w:ind w:right="160"/>
        <w:spacing w:after="0"/>
        <w:tabs>
          <w:tab w:leader="none" w:pos="120" w:val="left"/>
        </w:tabs>
        <w:rPr>
          <w:rFonts w:ascii="Arial" w:cs="Arial" w:eastAsia="Arial" w:hAnsi="Arial"/>
          <w:sz w:val="17"/>
          <w:szCs w:val="17"/>
          <w:u w:val="single" w:color="auto"/>
          <w:color w:val="0000FF"/>
        </w:rPr>
      </w:pPr>
      <w:hyperlink w:anchor="page55">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55">
        <w:r>
          <w:rPr>
            <w:rFonts w:ascii="Arial" w:cs="Arial" w:eastAsia="Arial" w:hAnsi="Arial"/>
            <w:sz w:val="17"/>
            <w:szCs w:val="17"/>
            <w:u w:val="single" w:color="auto"/>
            <w:color w:val="0000FF"/>
          </w:rPr>
          <w:t>Certification by the Chief Financial Officer pursuant to</w:t>
        </w:r>
      </w:hyperlink>
    </w:p>
    <w:p>
      <w:pPr>
        <w:spacing w:after="0" w:line="9" w:lineRule="exact"/>
        <w:rPr>
          <w:sz w:val="20"/>
          <w:szCs w:val="20"/>
          <w:color w:val="auto"/>
        </w:rPr>
      </w:pPr>
    </w:p>
    <w:p>
      <w:pPr>
        <w:jc w:val="center"/>
        <w:ind w:right="14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Section 302 of the Sarbanes-Oxley Act of 2002.</w:t>
        </w:r>
      </w:hyperlink>
    </w:p>
    <w:p>
      <w:pPr>
        <w:spacing w:after="0" w:line="117" w:lineRule="exact"/>
        <w:rPr>
          <w:sz w:val="20"/>
          <w:szCs w:val="20"/>
          <w:color w:val="auto"/>
        </w:rPr>
      </w:pPr>
    </w:p>
    <w:p>
      <w:pPr>
        <w:jc w:val="both"/>
        <w:ind w:left="1220" w:hanging="493"/>
        <w:spacing w:after="0" w:line="256" w:lineRule="auto"/>
        <w:tabs>
          <w:tab w:leader="none" w:pos="1200" w:val="left"/>
        </w:tabs>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w:anchor="page56">
        <w:r>
          <w:rPr>
            <w:rFonts w:ascii="Arial" w:cs="Arial" w:eastAsia="Arial" w:hAnsi="Arial"/>
            <w:sz w:val="18"/>
            <w:szCs w:val="18"/>
            <w:u w:val="single" w:color="auto"/>
            <w:color w:val="0000FF"/>
          </w:rPr>
          <w:t>Certification by the Chief Executive Officer pursuant to 18 U.S.C.</w:t>
        </w:r>
      </w:hyperlink>
      <w:r>
        <w:rPr>
          <w:rFonts w:ascii="Arial" w:cs="Arial" w:eastAsia="Arial" w:hAnsi="Arial"/>
          <w:sz w:val="18"/>
          <w:szCs w:val="18"/>
          <w:u w:val="single" w:color="auto"/>
          <w:color w:val="0000FF"/>
        </w:rPr>
        <w:t xml:space="preserve"> </w:t>
      </w:r>
      <w:hyperlink w:anchor="page56">
        <w:r>
          <w:rPr>
            <w:rFonts w:ascii="Arial" w:cs="Arial" w:eastAsia="Arial" w:hAnsi="Arial"/>
            <w:sz w:val="18"/>
            <w:szCs w:val="18"/>
            <w:u w:val="single" w:color="auto"/>
            <w:color w:val="0000FF"/>
          </w:rPr>
          <w:t>1350 as adopted pursuant to Section 906 of the Sarbanes-Oxley</w:t>
        </w:r>
      </w:hyperlink>
      <w:r>
        <w:rPr>
          <w:rFonts w:ascii="Arial" w:cs="Arial" w:eastAsia="Arial" w:hAnsi="Arial"/>
          <w:sz w:val="18"/>
          <w:szCs w:val="18"/>
          <w:u w:val="single" w:color="auto"/>
          <w:color w:val="0000FF"/>
        </w:rPr>
        <w:t xml:space="preserve"> </w:t>
      </w:r>
      <w:hyperlink w:anchor="page56">
        <w:r>
          <w:rPr>
            <w:rFonts w:ascii="Arial" w:cs="Arial" w:eastAsia="Arial" w:hAnsi="Arial"/>
            <w:sz w:val="18"/>
            <w:szCs w:val="18"/>
            <w:u w:val="single" w:color="auto"/>
            <w:color w:val="0000FF"/>
          </w:rPr>
          <w:t>Act of 2002.</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4800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74" w:lineRule="exact"/>
        <w:rPr>
          <w:rFonts w:ascii="Arial" w:cs="Arial" w:eastAsia="Arial" w:hAnsi="Arial"/>
          <w:sz w:val="18"/>
          <w:szCs w:val="18"/>
          <w:u w:val="single" w:color="auto"/>
          <w:color w:val="0000FF"/>
        </w:rPr>
      </w:pPr>
    </w:p>
    <w:p>
      <w:pPr>
        <w:jc w:val="both"/>
        <w:ind w:left="1220" w:right="20" w:hanging="493"/>
        <w:spacing w:after="0" w:line="256" w:lineRule="auto"/>
        <w:tabs>
          <w:tab w:leader="none" w:pos="1200" w:val="left"/>
        </w:tabs>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32.2</w:t>
        </w:r>
      </w:hyperlink>
      <w:r>
        <w:rPr>
          <w:rFonts w:ascii="Arial" w:cs="Arial" w:eastAsia="Arial" w:hAnsi="Arial"/>
          <w:sz w:val="18"/>
          <w:szCs w:val="18"/>
          <w:u w:val="single" w:color="auto"/>
          <w:color w:val="0000FF"/>
        </w:rPr>
        <w:tab/>
      </w:r>
      <w:hyperlink w:anchor="page57">
        <w:r>
          <w:rPr>
            <w:rFonts w:ascii="Arial" w:cs="Arial" w:eastAsia="Arial" w:hAnsi="Arial"/>
            <w:sz w:val="18"/>
            <w:szCs w:val="18"/>
            <w:u w:val="single" w:color="auto"/>
            <w:color w:val="0000FF"/>
          </w:rPr>
          <w:t>Certification by the Chief Financial Officer pursuant to 18 U.S.C.</w:t>
        </w:r>
      </w:hyperlink>
      <w:r>
        <w:rPr>
          <w:rFonts w:ascii="Arial" w:cs="Arial" w:eastAsia="Arial" w:hAnsi="Arial"/>
          <w:sz w:val="18"/>
          <w:szCs w:val="18"/>
          <w:u w:val="single" w:color="auto"/>
          <w:color w:val="0000FF"/>
        </w:rPr>
        <w:t xml:space="preserve"> </w:t>
      </w:r>
      <w:hyperlink w:anchor="page57">
        <w:r>
          <w:rPr>
            <w:rFonts w:ascii="Arial" w:cs="Arial" w:eastAsia="Arial" w:hAnsi="Arial"/>
            <w:sz w:val="18"/>
            <w:szCs w:val="18"/>
            <w:u w:val="single" w:color="auto"/>
            <w:color w:val="0000FF"/>
          </w:rPr>
          <w:t>1350 as adopted pursuant to Section 906 of the Sarbanes-Oxley</w:t>
        </w:r>
      </w:hyperlink>
      <w:r>
        <w:rPr>
          <w:rFonts w:ascii="Arial" w:cs="Arial" w:eastAsia="Arial" w:hAnsi="Arial"/>
          <w:sz w:val="18"/>
          <w:szCs w:val="18"/>
          <w:u w:val="single" w:color="auto"/>
          <w:color w:val="0000FF"/>
        </w:rPr>
        <w:t xml:space="preserve"> </w:t>
      </w:r>
      <w:hyperlink w:anchor="page57">
        <w:r>
          <w:rPr>
            <w:rFonts w:ascii="Arial" w:cs="Arial" w:eastAsia="Arial" w:hAnsi="Arial"/>
            <w:sz w:val="18"/>
            <w:szCs w:val="18"/>
            <w:u w:val="single" w:color="auto"/>
            <w:color w:val="0000FF"/>
          </w:rPr>
          <w:t>Act of 2002.</w:t>
        </w:r>
      </w:hyperlink>
    </w:p>
    <w:p>
      <w:pPr>
        <w:spacing w:after="0" w:line="40" w:lineRule="exact"/>
        <w:rPr>
          <w:rFonts w:ascii="Arial" w:cs="Arial" w:eastAsia="Arial" w:hAnsi="Arial"/>
          <w:sz w:val="18"/>
          <w:szCs w:val="18"/>
          <w:u w:val="single" w:color="auto"/>
          <w:color w:val="0000FF"/>
        </w:rPr>
      </w:pPr>
    </w:p>
    <w:p>
      <w:pPr>
        <w:jc w:val="both"/>
        <w:ind w:left="1220" w:right="60" w:hanging="793"/>
        <w:spacing w:after="0" w:line="256" w:lineRule="auto"/>
        <w:tabs>
          <w:tab w:leader="none" w:pos="1200" w:val="left"/>
        </w:tabs>
        <w:rPr>
          <w:sz w:val="20"/>
          <w:szCs w:val="20"/>
          <w:color w:val="auto"/>
        </w:rPr>
      </w:pPr>
      <w:r>
        <w:rPr>
          <w:rFonts w:ascii="Arial" w:cs="Arial" w:eastAsia="Arial" w:hAnsi="Arial"/>
          <w:sz w:val="18"/>
          <w:szCs w:val="18"/>
          <w:color w:val="auto"/>
        </w:rPr>
        <w:t>101.INS</w:t>
        <w:tab/>
        <w:t>Inline XBRL Instance Document - the Instance Document does not appear in the interactive data file because its XBRL tags are embedded within the Inline XBRL Document.</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p>
    <w:p>
      <w:pPr>
        <w:ind w:left="340"/>
        <w:spacing w:after="0"/>
        <w:tabs>
          <w:tab w:leader="none" w:pos="1200" w:val="left"/>
        </w:tabs>
        <w:rPr>
          <w:sz w:val="20"/>
          <w:szCs w:val="20"/>
          <w:color w:val="auto"/>
        </w:rPr>
      </w:pPr>
      <w:r>
        <w:rPr>
          <w:rFonts w:ascii="Arial" w:cs="Arial" w:eastAsia="Arial" w:hAnsi="Arial"/>
          <w:sz w:val="18"/>
          <w:szCs w:val="18"/>
          <w:color w:val="auto"/>
        </w:rPr>
        <w:t>101.SCH</w:t>
      </w:r>
      <w:r>
        <w:rPr>
          <w:sz w:val="20"/>
          <w:szCs w:val="20"/>
          <w:color w:val="auto"/>
        </w:rPr>
        <w:tab/>
      </w:r>
      <w:r>
        <w:rPr>
          <w:rFonts w:ascii="Arial" w:cs="Arial" w:eastAsia="Arial" w:hAnsi="Arial"/>
          <w:sz w:val="17"/>
          <w:szCs w:val="17"/>
          <w:color w:val="auto"/>
        </w:rPr>
        <w:t>Inline XBRL Taxonomy Extension Schema Document.</w:t>
      </w:r>
    </w:p>
    <w:p>
      <w:pPr>
        <w:spacing w:after="0" w:line="63" w:lineRule="exact"/>
        <w:rPr>
          <w:rFonts w:ascii="Arial" w:cs="Arial" w:eastAsia="Arial" w:hAnsi="Arial"/>
          <w:sz w:val="18"/>
          <w:szCs w:val="18"/>
          <w:u w:val="single" w:color="auto"/>
          <w:color w:val="0000FF"/>
        </w:rPr>
      </w:pPr>
    </w:p>
    <w:p>
      <w:pPr>
        <w:ind w:left="1220" w:right="780" w:hanging="843"/>
        <w:spacing w:after="0" w:line="261" w:lineRule="auto"/>
        <w:tabs>
          <w:tab w:leader="none" w:pos="1200" w:val="left"/>
        </w:tabs>
        <w:rPr>
          <w:sz w:val="20"/>
          <w:szCs w:val="20"/>
          <w:color w:val="auto"/>
        </w:rPr>
      </w:pPr>
      <w:r>
        <w:rPr>
          <w:rFonts w:ascii="Arial" w:cs="Arial" w:eastAsia="Arial" w:hAnsi="Arial"/>
          <w:sz w:val="18"/>
          <w:szCs w:val="18"/>
          <w:color w:val="auto"/>
        </w:rPr>
        <w:t>101.CAL</w:t>
        <w:tab/>
        <w:t>Inline XBRL Taxonomy Extension Calculation Linkbase Document.</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rFonts w:ascii="Arial" w:cs="Arial" w:eastAsia="Arial" w:hAnsi="Arial"/>
          <w:sz w:val="18"/>
          <w:szCs w:val="18"/>
          <w:u w:val="single" w:color="auto"/>
          <w:color w:val="0000FF"/>
        </w:rPr>
      </w:pPr>
    </w:p>
    <w:p>
      <w:pPr>
        <w:ind w:left="360"/>
        <w:spacing w:after="0"/>
        <w:tabs>
          <w:tab w:leader="none" w:pos="1200" w:val="left"/>
        </w:tabs>
        <w:rPr>
          <w:sz w:val="20"/>
          <w:szCs w:val="20"/>
          <w:color w:val="auto"/>
        </w:rPr>
      </w:pPr>
      <w:r>
        <w:rPr>
          <w:rFonts w:ascii="Arial" w:cs="Arial" w:eastAsia="Arial" w:hAnsi="Arial"/>
          <w:sz w:val="18"/>
          <w:szCs w:val="18"/>
          <w:color w:val="auto"/>
        </w:rPr>
        <w:t>101.DEF</w:t>
      </w:r>
      <w:r>
        <w:rPr>
          <w:sz w:val="20"/>
          <w:szCs w:val="20"/>
          <w:color w:val="auto"/>
        </w:rPr>
        <w:tab/>
      </w:r>
      <w:r>
        <w:rPr>
          <w:rFonts w:ascii="Arial" w:cs="Arial" w:eastAsia="Arial" w:hAnsi="Arial"/>
          <w:sz w:val="17"/>
          <w:szCs w:val="17"/>
          <w:color w:val="auto"/>
        </w:rPr>
        <w:t>Inline XBRL Taxonomy Extension Definition Linkbase Document.</w:t>
      </w:r>
    </w:p>
    <w:p>
      <w:pPr>
        <w:spacing w:after="0" w:line="63" w:lineRule="exact"/>
        <w:rPr>
          <w:rFonts w:ascii="Arial" w:cs="Arial" w:eastAsia="Arial" w:hAnsi="Arial"/>
          <w:sz w:val="18"/>
          <w:szCs w:val="18"/>
          <w:u w:val="single" w:color="auto"/>
          <w:color w:val="0000FF"/>
        </w:rPr>
      </w:pPr>
    </w:p>
    <w:p>
      <w:pPr>
        <w:ind w:left="380"/>
        <w:spacing w:after="0"/>
        <w:tabs>
          <w:tab w:leader="none" w:pos="1200" w:val="left"/>
        </w:tabs>
        <w:rPr>
          <w:sz w:val="20"/>
          <w:szCs w:val="20"/>
          <w:color w:val="auto"/>
        </w:rPr>
      </w:pPr>
      <w:r>
        <w:rPr>
          <w:rFonts w:ascii="Arial" w:cs="Arial" w:eastAsia="Arial" w:hAnsi="Arial"/>
          <w:sz w:val="18"/>
          <w:szCs w:val="18"/>
          <w:color w:val="auto"/>
        </w:rPr>
        <w:t>101.LAB</w:t>
      </w:r>
      <w:r>
        <w:rPr>
          <w:sz w:val="20"/>
          <w:szCs w:val="20"/>
          <w:color w:val="auto"/>
        </w:rPr>
        <w:tab/>
      </w:r>
      <w:r>
        <w:rPr>
          <w:rFonts w:ascii="Arial" w:cs="Arial" w:eastAsia="Arial" w:hAnsi="Arial"/>
          <w:sz w:val="17"/>
          <w:szCs w:val="17"/>
          <w:color w:val="auto"/>
        </w:rPr>
        <w:t>Inline XBRL Taxonomy Extension Label Linkbase Document.</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3086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43" w:lineRule="exact"/>
        <w:rPr>
          <w:rFonts w:ascii="Arial" w:cs="Arial" w:eastAsia="Arial" w:hAnsi="Arial"/>
          <w:sz w:val="18"/>
          <w:szCs w:val="18"/>
          <w:u w:val="single" w:color="auto"/>
          <w:color w:val="0000FF"/>
        </w:rPr>
      </w:pPr>
    </w:p>
    <w:p>
      <w:pPr>
        <w:ind w:left="1220" w:right="660" w:hanging="863"/>
        <w:spacing w:after="0" w:line="261" w:lineRule="auto"/>
        <w:tabs>
          <w:tab w:leader="none" w:pos="1200" w:val="left"/>
        </w:tabs>
        <w:rPr>
          <w:sz w:val="20"/>
          <w:szCs w:val="20"/>
          <w:color w:val="auto"/>
        </w:rPr>
      </w:pPr>
      <w:r>
        <w:rPr>
          <w:rFonts w:ascii="Arial" w:cs="Arial" w:eastAsia="Arial" w:hAnsi="Arial"/>
          <w:sz w:val="18"/>
          <w:szCs w:val="18"/>
          <w:color w:val="auto"/>
        </w:rPr>
        <w:t>101.PRE</w:t>
        <w:tab/>
        <w:t>Inline XBRL Taxonomy Extension Presentation Linkbase Document.</w:t>
      </w:r>
    </w:p>
    <w:p>
      <w:pPr>
        <w:spacing w:after="0" w:line="36" w:lineRule="exact"/>
        <w:rPr>
          <w:rFonts w:ascii="Arial" w:cs="Arial" w:eastAsia="Arial" w:hAnsi="Arial"/>
          <w:sz w:val="18"/>
          <w:szCs w:val="18"/>
          <w:u w:val="single" w:color="auto"/>
          <w:color w:val="0000FF"/>
        </w:rPr>
      </w:pPr>
    </w:p>
    <w:p>
      <w:pPr>
        <w:ind w:left="1220" w:right="80" w:hanging="450"/>
        <w:spacing w:after="0" w:line="261" w:lineRule="auto"/>
        <w:tabs>
          <w:tab w:leader="none" w:pos="1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6"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345"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345"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200" w:lineRule="exact"/>
        <w:rPr>
          <w:rFonts w:ascii="Arial" w:cs="Arial" w:eastAsia="Arial" w:hAnsi="Arial"/>
          <w:sz w:val="18"/>
          <w:szCs w:val="18"/>
          <w:u w:val="single" w:color="auto"/>
          <w:color w:val="0000FF"/>
        </w:rPr>
      </w:pPr>
    </w:p>
    <w:p>
      <w:pPr>
        <w:spacing w:after="0" w:line="36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200" w:lineRule="exact"/>
        <w:rPr>
          <w:rFonts w:ascii="Arial" w:cs="Arial" w:eastAsia="Arial" w:hAnsi="Arial"/>
          <w:sz w:val="18"/>
          <w:szCs w:val="18"/>
          <w:u w:val="single" w:color="auto"/>
          <w:color w:val="0000FF"/>
        </w:rPr>
      </w:pPr>
    </w:p>
    <w:p>
      <w:pPr>
        <w:spacing w:after="0" w:line="36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200" w:lineRule="exact"/>
        <w:rPr>
          <w:rFonts w:ascii="Arial" w:cs="Arial" w:eastAsia="Arial" w:hAnsi="Arial"/>
          <w:sz w:val="18"/>
          <w:szCs w:val="18"/>
          <w:u w:val="single" w:color="auto"/>
          <w:color w:val="0000FF"/>
        </w:rPr>
      </w:pPr>
    </w:p>
    <w:p>
      <w:pPr>
        <w:spacing w:after="0" w:line="30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75"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29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75"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75"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29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1723390</wp:posOffset>
            </wp:positionH>
            <wp:positionV relativeFrom="paragraph">
              <wp:posOffset>459105</wp:posOffset>
            </wp:positionV>
            <wp:extent cx="659765"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454" w:lineRule="exact"/>
        <w:rPr>
          <w:rFonts w:ascii="Arial" w:cs="Arial" w:eastAsia="Arial" w:hAnsi="Arial"/>
          <w:sz w:val="18"/>
          <w:szCs w:val="18"/>
          <w:u w:val="single" w:color="auto"/>
          <w:color w:val="0000FF"/>
        </w:rPr>
      </w:pPr>
    </w:p>
    <w:p>
      <w:pPr>
        <w:sectPr>
          <w:pgSz w:w="11900" w:h="16838" w:orient="portrait"/>
          <w:cols w:equalWidth="0" w:num="2">
            <w:col w:w="6360" w:space="640"/>
            <w:col w:w="4260"/>
          </w:cols>
          <w:pgMar w:left="320" w:top="126" w:right="319" w:bottom="1440" w:gutter="0" w:footer="0" w:header="0"/>
          <w:type w:val="continuous"/>
        </w:sectPr>
      </w:pPr>
    </w:p>
    <w:p>
      <w:pPr>
        <w:spacing w:after="0" w:line="341" w:lineRule="exact"/>
        <w:rPr>
          <w:rFonts w:ascii="Arial" w:cs="Arial" w:eastAsia="Arial" w:hAnsi="Arial"/>
          <w:sz w:val="18"/>
          <w:szCs w:val="18"/>
          <w:u w:val="single" w:color="auto"/>
          <w:color w:val="0000FF"/>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480"/>
              <w:spacing w:after="0"/>
              <w:rPr>
                <w:sz w:val="20"/>
                <w:szCs w:val="20"/>
                <w:color w:val="auto"/>
              </w:rPr>
            </w:pPr>
            <w:r>
              <w:rPr>
                <w:rFonts w:ascii="Arial" w:cs="Arial" w:eastAsia="Arial" w:hAnsi="Arial"/>
                <w:sz w:val="14"/>
                <w:szCs w:val="14"/>
                <w:color w:val="auto"/>
              </w:rPr>
              <w:t>Second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330"/>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type w:val="continuous"/>
        </w:sectPr>
      </w:pPr>
    </w:p>
    <w:bookmarkStart w:id="52" w:name="page53"/>
    <w:bookmarkEnd w:id="5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80"/>
        <w:spacing w:after="0"/>
        <w:rPr>
          <w:sz w:val="20"/>
          <w:szCs w:val="20"/>
          <w:color w:val="auto"/>
        </w:rPr>
      </w:pPr>
      <w:r>
        <w:rPr>
          <w:rFonts w:ascii="Arial" w:cs="Arial" w:eastAsia="Arial" w:hAnsi="Arial"/>
          <w:sz w:val="40"/>
          <w:szCs w:val="40"/>
          <w:b w:val="1"/>
          <w:bCs w:val="1"/>
          <w:color w:val="50535A"/>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-263525</wp:posOffset>
            </wp:positionV>
            <wp:extent cx="171450" cy="2228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71450" cy="222885"/>
                    </a:xfrm>
                    <a:prstGeom prst="rect">
                      <a:avLst/>
                    </a:prstGeom>
                    <a:noFill/>
                  </pic:spPr>
                </pic:pic>
              </a:graphicData>
            </a:graphic>
          </wp:anchor>
        </w:drawing>
      </w:r>
    </w:p>
    <w:p>
      <w:pPr>
        <w:spacing w:after="0" w:line="30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5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6400" w:type="dxa"/>
            <w:vAlign w:val="bottom"/>
            <w:gridSpan w:val="2"/>
          </w:tcPr>
          <w:p>
            <w:pPr>
              <w:ind w:left="1060"/>
              <w:spacing w:after="0"/>
              <w:rPr>
                <w:sz w:val="20"/>
                <w:szCs w:val="20"/>
                <w:color w:val="auto"/>
              </w:rPr>
            </w:pPr>
            <w:r>
              <w:rPr>
                <w:rFonts w:ascii="Arial" w:cs="Arial" w:eastAsia="Arial" w:hAnsi="Arial"/>
                <w:sz w:val="18"/>
                <w:szCs w:val="18"/>
                <w:b w:val="1"/>
                <w:bCs w:val="1"/>
                <w:color w:val="auto"/>
              </w:rPr>
              <w:t>BLACKBAUD, INC.</w:t>
            </w:r>
          </w:p>
        </w:tc>
      </w:tr>
      <w:tr>
        <w:trPr>
          <w:trHeight w:val="540"/>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4240" w:type="dxa"/>
            <w:vAlign w:val="bottom"/>
          </w:tcPr>
          <w:p>
            <w:pPr>
              <w:ind w:left="100"/>
              <w:spacing w:after="0"/>
              <w:rPr>
                <w:sz w:val="20"/>
                <w:szCs w:val="20"/>
                <w:color w:val="auto"/>
              </w:rPr>
            </w:pPr>
            <w:r>
              <w:rPr>
                <w:rFonts w:ascii="Arial" w:cs="Arial" w:eastAsia="Arial" w:hAnsi="Arial"/>
                <w:sz w:val="18"/>
                <w:szCs w:val="18"/>
                <w:color w:val="auto"/>
              </w:rPr>
              <w:t>August 4, 2022</w:t>
            </w:r>
          </w:p>
        </w:tc>
        <w:tc>
          <w:tcPr>
            <w:tcW w:w="1500" w:type="dxa"/>
            <w:vAlign w:val="bottom"/>
          </w:tcPr>
          <w:p>
            <w:pPr>
              <w:ind w:left="1060"/>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Michael P. Gianoni</w:t>
            </w:r>
          </w:p>
        </w:tc>
      </w:tr>
      <w:tr>
        <w:trPr>
          <w:trHeight w:val="27"/>
        </w:trPr>
        <w:tc>
          <w:tcPr>
            <w:tcW w:w="5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Michael P. Gianoni</w:t>
            </w:r>
          </w:p>
        </w:tc>
      </w:tr>
      <w:tr>
        <w:trPr>
          <w:trHeight w:val="270"/>
        </w:trPr>
        <w:tc>
          <w:tcPr>
            <w:tcW w:w="56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56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40"/>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4240" w:type="dxa"/>
            <w:vAlign w:val="bottom"/>
          </w:tcPr>
          <w:p>
            <w:pPr>
              <w:ind w:left="100"/>
              <w:spacing w:after="0"/>
              <w:rPr>
                <w:sz w:val="20"/>
                <w:szCs w:val="20"/>
                <w:color w:val="auto"/>
              </w:rPr>
            </w:pPr>
            <w:r>
              <w:rPr>
                <w:rFonts w:ascii="Arial" w:cs="Arial" w:eastAsia="Arial" w:hAnsi="Arial"/>
                <w:sz w:val="18"/>
                <w:szCs w:val="18"/>
                <w:color w:val="auto"/>
              </w:rPr>
              <w:t>August 4, 2022</w:t>
            </w:r>
          </w:p>
        </w:tc>
        <w:tc>
          <w:tcPr>
            <w:tcW w:w="1500" w:type="dxa"/>
            <w:vAlign w:val="bottom"/>
          </w:tcPr>
          <w:p>
            <w:pPr>
              <w:ind w:left="1060"/>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Anthony W. Boor</w:t>
            </w:r>
          </w:p>
        </w:tc>
      </w:tr>
      <w:tr>
        <w:trPr>
          <w:trHeight w:val="27"/>
        </w:trPr>
        <w:tc>
          <w:tcPr>
            <w:tcW w:w="5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Anthony W. Boor</w:t>
            </w:r>
          </w:p>
        </w:tc>
      </w:tr>
      <w:tr>
        <w:trPr>
          <w:trHeight w:val="270"/>
        </w:trPr>
        <w:tc>
          <w:tcPr>
            <w:tcW w:w="56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56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717"/>
        </w:trPr>
        <w:tc>
          <w:tcPr>
            <w:tcW w:w="560" w:type="dxa"/>
            <w:vAlign w:val="bottom"/>
          </w:tcPr>
          <w:p>
            <w:pPr>
              <w:spacing w:after="0"/>
              <w:rPr>
                <w:sz w:val="20"/>
                <w:szCs w:val="20"/>
                <w:color w:val="auto"/>
              </w:rPr>
            </w:pPr>
            <w:r>
              <w:rPr>
                <w:rFonts w:ascii="Arial" w:cs="Arial" w:eastAsia="Arial" w:hAnsi="Arial"/>
                <w:sz w:val="14"/>
                <w:szCs w:val="14"/>
                <w:color w:val="auto"/>
              </w:rPr>
              <w:t>52</w:t>
            </w:r>
          </w:p>
        </w:tc>
        <w:tc>
          <w:tcPr>
            <w:tcW w:w="4240" w:type="dxa"/>
            <w:vAlign w:val="bottom"/>
          </w:tcPr>
          <w:p>
            <w:pPr>
              <w:ind w:left="1060"/>
              <w:spacing w:after="0"/>
              <w:rPr>
                <w:sz w:val="20"/>
                <w:szCs w:val="20"/>
                <w:color w:val="auto"/>
              </w:rPr>
            </w:pPr>
            <w:r>
              <w:rPr>
                <w:rFonts w:ascii="Arial" w:cs="Arial" w:eastAsia="Arial" w:hAnsi="Arial"/>
                <w:sz w:val="14"/>
                <w:szCs w:val="14"/>
                <w:color w:val="auto"/>
              </w:rPr>
              <w:t>Second Quarter 2022 Form 10-Q</w:t>
            </w:r>
          </w:p>
        </w:tc>
        <w:tc>
          <w:tcPr>
            <w:tcW w:w="1500" w:type="dxa"/>
            <w:vAlign w:val="bottom"/>
          </w:tcPr>
          <w:p>
            <w:pPr>
              <w:spacing w:after="0"/>
              <w:rPr>
                <w:sz w:val="24"/>
                <w:szCs w:val="24"/>
                <w:color w:val="auto"/>
              </w:rPr>
            </w:pPr>
          </w:p>
        </w:tc>
        <w:tc>
          <w:tcPr>
            <w:tcW w:w="4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-154940</wp:posOffset>
            </wp:positionV>
            <wp:extent cx="651510"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651510" cy="17145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Blackbaud, Inc.</w:t>
      </w:r>
    </w:p>
    <w:p>
      <w:pPr>
        <w:spacing w:after="0" w:line="149"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Michael P. Gianoni, certify that:</w:t>
      </w:r>
    </w:p>
    <w:p>
      <w:pPr>
        <w:spacing w:after="0" w:line="171" w:lineRule="exact"/>
        <w:rPr>
          <w:sz w:val="20"/>
          <w:szCs w:val="20"/>
          <w:color w:val="auto"/>
        </w:rPr>
      </w:pPr>
    </w:p>
    <w:p>
      <w:pPr>
        <w:ind w:left="640" w:hanging="308"/>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Blackbaud, Inc.;</w:t>
      </w:r>
    </w:p>
    <w:p>
      <w:pPr>
        <w:spacing w:after="0" w:line="171"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1"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360" w:hanging="324"/>
        <w:spacing w:after="0" w:line="256" w:lineRule="auto"/>
        <w:tabs>
          <w:tab w:leader="none" w:pos="96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980" w:right="260" w:hanging="324"/>
        <w:spacing w:after="0" w:line="256" w:lineRule="auto"/>
        <w:tabs>
          <w:tab w:leader="none" w:pos="985"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100" w:hanging="324"/>
        <w:spacing w:after="0" w:line="256" w:lineRule="auto"/>
        <w:tabs>
          <w:tab w:leader="none" w:pos="96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360" w:hanging="328"/>
        <w:spacing w:after="0" w:line="256" w:lineRule="auto"/>
        <w:tabs>
          <w:tab w:leader="none" w:pos="6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980" w:right="260" w:hanging="324"/>
        <w:spacing w:after="0" w:line="256" w:lineRule="auto"/>
        <w:tabs>
          <w:tab w:leader="none" w:pos="981"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980" w:right="200" w:hanging="324"/>
        <w:spacing w:after="0" w:line="261" w:lineRule="auto"/>
        <w:tabs>
          <w:tab w:leader="none" w:pos="96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820" w:type="dxa"/>
            <w:vAlign w:val="bottom"/>
          </w:tcPr>
          <w:p>
            <w:pPr>
              <w:spacing w:after="0"/>
              <w:rPr>
                <w:sz w:val="20"/>
                <w:szCs w:val="20"/>
                <w:color w:val="auto"/>
              </w:rPr>
            </w:pPr>
            <w:r>
              <w:rPr>
                <w:rFonts w:ascii="Arial" w:cs="Arial" w:eastAsia="Arial" w:hAnsi="Arial"/>
                <w:sz w:val="18"/>
                <w:szCs w:val="18"/>
                <w:color w:val="auto"/>
              </w:rPr>
              <w:t>Date:  August 4, 2022</w:t>
            </w:r>
          </w:p>
        </w:tc>
        <w:tc>
          <w:tcPr>
            <w:tcW w:w="7360" w:type="dxa"/>
            <w:vAlign w:val="bottom"/>
            <w:gridSpan w:val="2"/>
          </w:tcPr>
          <w:p>
            <w:pPr>
              <w:ind w:left="1960"/>
              <w:spacing w:after="0"/>
              <w:rPr>
                <w:sz w:val="20"/>
                <w:szCs w:val="20"/>
                <w:color w:val="auto"/>
              </w:rPr>
            </w:pPr>
            <w:r>
              <w:rPr>
                <w:rFonts w:ascii="Arial" w:cs="Arial" w:eastAsia="Arial" w:hAnsi="Arial"/>
                <w:sz w:val="18"/>
                <w:szCs w:val="18"/>
                <w:color w:val="auto"/>
              </w:rPr>
              <w:t>By:   /s/ Michael P. Gianoni</w:t>
            </w:r>
          </w:p>
        </w:tc>
      </w:tr>
      <w:tr>
        <w:trPr>
          <w:trHeight w:val="223"/>
        </w:trPr>
        <w:tc>
          <w:tcPr>
            <w:tcW w:w="38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P. Gianoni</w:t>
            </w:r>
          </w:p>
        </w:tc>
      </w:tr>
      <w:tr>
        <w:trPr>
          <w:trHeight w:val="230"/>
        </w:trPr>
        <w:tc>
          <w:tcPr>
            <w:tcW w:w="38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8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86"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Blackbaud, Inc.</w:t>
      </w:r>
    </w:p>
    <w:p>
      <w:pPr>
        <w:spacing w:after="0" w:line="149"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Anthony W. Boor, certify that:</w:t>
      </w:r>
    </w:p>
    <w:p>
      <w:pPr>
        <w:spacing w:after="0" w:line="171" w:lineRule="exact"/>
        <w:rPr>
          <w:sz w:val="20"/>
          <w:szCs w:val="20"/>
          <w:color w:val="auto"/>
        </w:rPr>
      </w:pPr>
    </w:p>
    <w:p>
      <w:pPr>
        <w:ind w:left="640" w:hanging="308"/>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Blackbaud, Inc.;</w:t>
      </w:r>
    </w:p>
    <w:p>
      <w:pPr>
        <w:spacing w:after="0" w:line="171"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1"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360" w:hanging="324"/>
        <w:spacing w:after="0" w:line="256" w:lineRule="auto"/>
        <w:tabs>
          <w:tab w:leader="none" w:pos="96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980" w:right="260" w:hanging="324"/>
        <w:spacing w:after="0" w:line="256" w:lineRule="auto"/>
        <w:tabs>
          <w:tab w:leader="none" w:pos="985"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100" w:hanging="324"/>
        <w:spacing w:after="0" w:line="256" w:lineRule="auto"/>
        <w:tabs>
          <w:tab w:leader="none" w:pos="96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360" w:hanging="328"/>
        <w:spacing w:after="0" w:line="256" w:lineRule="auto"/>
        <w:tabs>
          <w:tab w:leader="none" w:pos="64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980" w:right="260" w:hanging="324"/>
        <w:spacing w:after="0" w:line="256" w:lineRule="auto"/>
        <w:tabs>
          <w:tab w:leader="none" w:pos="981"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980" w:right="200" w:hanging="324"/>
        <w:spacing w:after="0" w:line="261" w:lineRule="auto"/>
        <w:tabs>
          <w:tab w:leader="none" w:pos="968"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820" w:type="dxa"/>
            <w:vAlign w:val="bottom"/>
          </w:tcPr>
          <w:p>
            <w:pPr>
              <w:spacing w:after="0"/>
              <w:rPr>
                <w:sz w:val="20"/>
                <w:szCs w:val="20"/>
                <w:color w:val="auto"/>
              </w:rPr>
            </w:pPr>
            <w:r>
              <w:rPr>
                <w:rFonts w:ascii="Arial" w:cs="Arial" w:eastAsia="Arial" w:hAnsi="Arial"/>
                <w:sz w:val="18"/>
                <w:szCs w:val="18"/>
                <w:color w:val="auto"/>
              </w:rPr>
              <w:t>Date:  August 4, 2022</w:t>
            </w:r>
          </w:p>
        </w:tc>
        <w:tc>
          <w:tcPr>
            <w:tcW w:w="7360" w:type="dxa"/>
            <w:vAlign w:val="bottom"/>
            <w:gridSpan w:val="2"/>
          </w:tcPr>
          <w:p>
            <w:pPr>
              <w:ind w:left="1960"/>
              <w:spacing w:after="0"/>
              <w:rPr>
                <w:sz w:val="20"/>
                <w:szCs w:val="20"/>
                <w:color w:val="auto"/>
              </w:rPr>
            </w:pPr>
            <w:r>
              <w:rPr>
                <w:rFonts w:ascii="Arial" w:cs="Arial" w:eastAsia="Arial" w:hAnsi="Arial"/>
                <w:sz w:val="18"/>
                <w:szCs w:val="18"/>
                <w:color w:val="auto"/>
              </w:rPr>
              <w:t>By:   /s/ Anthony W. Boor</w:t>
            </w:r>
          </w:p>
        </w:tc>
      </w:tr>
      <w:tr>
        <w:trPr>
          <w:trHeight w:val="223"/>
        </w:trPr>
        <w:tc>
          <w:tcPr>
            <w:tcW w:w="38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Anthony W. Boor</w:t>
            </w:r>
          </w:p>
        </w:tc>
      </w:tr>
      <w:tr>
        <w:trPr>
          <w:trHeight w:val="230"/>
        </w:trPr>
        <w:tc>
          <w:tcPr>
            <w:tcW w:w="38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8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886"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Blackbaud, Inc.</w:t>
      </w:r>
    </w:p>
    <w:p>
      <w:pPr>
        <w:spacing w:after="0" w:line="14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on Form 10-Q of Blackbaud, Inc. (the “Company”) for the period ended June 30, 2022 as filed with the Securities and Exchange Commission on or about the date hereof (the “Report”), I, Michael P. Gianoni, President and Chief Executive Officer, hereby certify, pursuant to 18 U.S.C. 1350, as adopted pursuant to Section 906 of the Sarbanes-Oxley Act of 2002, that, to my knowledge:</w:t>
      </w:r>
    </w:p>
    <w:p>
      <w:pPr>
        <w:spacing w:after="0" w:line="150" w:lineRule="exact"/>
        <w:rPr>
          <w:sz w:val="20"/>
          <w:szCs w:val="20"/>
          <w:color w:val="auto"/>
        </w:rPr>
      </w:pPr>
    </w:p>
    <w:p>
      <w:pPr>
        <w:ind w:left="640" w:hanging="308"/>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820" w:type="dxa"/>
            <w:vAlign w:val="bottom"/>
          </w:tcPr>
          <w:p>
            <w:pPr>
              <w:spacing w:after="0"/>
              <w:rPr>
                <w:sz w:val="20"/>
                <w:szCs w:val="20"/>
                <w:color w:val="auto"/>
              </w:rPr>
            </w:pPr>
            <w:r>
              <w:rPr>
                <w:rFonts w:ascii="Arial" w:cs="Arial" w:eastAsia="Arial" w:hAnsi="Arial"/>
                <w:sz w:val="18"/>
                <w:szCs w:val="18"/>
                <w:color w:val="auto"/>
              </w:rPr>
              <w:t>Date:  August 4, 2022</w:t>
            </w:r>
          </w:p>
        </w:tc>
        <w:tc>
          <w:tcPr>
            <w:tcW w:w="7380" w:type="dxa"/>
            <w:vAlign w:val="bottom"/>
            <w:gridSpan w:val="2"/>
          </w:tcPr>
          <w:p>
            <w:pPr>
              <w:ind w:left="1960"/>
              <w:spacing w:after="0"/>
              <w:rPr>
                <w:sz w:val="20"/>
                <w:szCs w:val="20"/>
                <w:color w:val="auto"/>
              </w:rPr>
            </w:pPr>
            <w:r>
              <w:rPr>
                <w:rFonts w:ascii="Arial" w:cs="Arial" w:eastAsia="Arial" w:hAnsi="Arial"/>
                <w:sz w:val="18"/>
                <w:szCs w:val="18"/>
                <w:color w:val="auto"/>
              </w:rPr>
              <w:t>By:   /s/ Michael P. Gianoni</w:t>
            </w:r>
          </w:p>
        </w:tc>
      </w:tr>
      <w:tr>
        <w:trPr>
          <w:trHeight w:val="223"/>
        </w:trPr>
        <w:tc>
          <w:tcPr>
            <w:tcW w:w="38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P. Gianoni</w:t>
            </w:r>
          </w:p>
        </w:tc>
      </w:tr>
      <w:tr>
        <w:trPr>
          <w:trHeight w:val="230"/>
        </w:trPr>
        <w:tc>
          <w:tcPr>
            <w:tcW w:w="38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38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86"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Blackbaud, Inc.</w:t>
      </w:r>
    </w:p>
    <w:p>
      <w:pPr>
        <w:spacing w:after="0" w:line="14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on Form 10-Q of Blackbaud, Inc. (the “Company”) for the period ended June 30, 2022 as filed with the Securities and Exchange Commission on or about the date hereof (the “Report”), I, Anthony W. Boor, Executive Vice President and Chief Financial Officer, hereby certify, pursuant to 18 U.S.C. 1350, as adopted pursuant to Section 906 of the Sarbanes-Oxley Act of 2002, that, to my knowledge:</w:t>
      </w:r>
    </w:p>
    <w:p>
      <w:pPr>
        <w:spacing w:after="0" w:line="150" w:lineRule="exact"/>
        <w:rPr>
          <w:sz w:val="20"/>
          <w:szCs w:val="20"/>
          <w:color w:val="auto"/>
        </w:rPr>
      </w:pPr>
    </w:p>
    <w:p>
      <w:pPr>
        <w:ind w:left="640" w:hanging="308"/>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820" w:type="dxa"/>
            <w:vAlign w:val="bottom"/>
          </w:tcPr>
          <w:p>
            <w:pPr>
              <w:spacing w:after="0"/>
              <w:rPr>
                <w:sz w:val="20"/>
                <w:szCs w:val="20"/>
                <w:color w:val="auto"/>
              </w:rPr>
            </w:pPr>
            <w:r>
              <w:rPr>
                <w:rFonts w:ascii="Arial" w:cs="Arial" w:eastAsia="Arial" w:hAnsi="Arial"/>
                <w:sz w:val="18"/>
                <w:szCs w:val="18"/>
                <w:color w:val="auto"/>
              </w:rPr>
              <w:t>Date:  August 4, 2022</w:t>
            </w:r>
          </w:p>
        </w:tc>
        <w:tc>
          <w:tcPr>
            <w:tcW w:w="7380" w:type="dxa"/>
            <w:vAlign w:val="bottom"/>
            <w:gridSpan w:val="2"/>
          </w:tcPr>
          <w:p>
            <w:pPr>
              <w:ind w:left="1960"/>
              <w:spacing w:after="0"/>
              <w:rPr>
                <w:sz w:val="20"/>
                <w:szCs w:val="20"/>
                <w:color w:val="auto"/>
              </w:rPr>
            </w:pPr>
            <w:r>
              <w:rPr>
                <w:rFonts w:ascii="Arial" w:cs="Arial" w:eastAsia="Arial" w:hAnsi="Arial"/>
                <w:sz w:val="18"/>
                <w:szCs w:val="18"/>
                <w:color w:val="auto"/>
              </w:rPr>
              <w:t>By:   /s/ Anthony W. Boor</w:t>
            </w:r>
          </w:p>
        </w:tc>
      </w:tr>
      <w:tr>
        <w:trPr>
          <w:trHeight w:val="223"/>
        </w:trPr>
        <w:tc>
          <w:tcPr>
            <w:tcW w:w="38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Anthony W. Boor</w:t>
            </w:r>
          </w:p>
        </w:tc>
      </w:tr>
      <w:tr>
        <w:trPr>
          <w:trHeight w:val="230"/>
        </w:trPr>
        <w:tc>
          <w:tcPr>
            <w:tcW w:w="38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9"/>
        </w:trPr>
        <w:tc>
          <w:tcPr>
            <w:tcW w:w="38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557"/>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6"/>
      <w:numFmt w:val="bullet"/>
      <w:start w:val="1"/>
    </w:lvl>
  </w:abstractNum>
  <w:abstractNum w:abstractNumId="5">
    <w:nsid w:val="B03E0C6"/>
    <w:multiLevelType w:val="hybridMultilevel"/>
    <w:lvl w:ilvl="0">
      <w:lvlJc w:val="left"/>
      <w:lvlText w:val="(%1)"/>
      <w:numFmt w:val="decimal"/>
      <w:start w:val="1"/>
    </w:lvl>
    <w:lvl w:ilvl="1">
      <w:lvlJc w:val="left"/>
      <w:lvlText w:val="%2."/>
      <w:numFmt w:val="decimal"/>
      <w:start w:val="5"/>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1)"/>
      <w:numFmt w:val="decimal"/>
      <w:start w:val="2"/>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1"/>
      <w:numFmt w:val="bullet"/>
      <w:start w:val="1"/>
    </w:lvl>
  </w:abstractNum>
  <w:abstractNum w:abstractNumId="14">
    <w:nsid w:val="1E7FF521"/>
    <w:multiLevelType w:val="hybridMultilevel"/>
    <w:lvl w:ilvl="0">
      <w:lvlJc w:val="left"/>
      <w:lvlText w:val="2"/>
      <w:numFmt w:val="bullet"/>
      <w:start w:val="1"/>
    </w:lvl>
  </w:abstractNum>
  <w:abstractNum w:abstractNumId="15">
    <w:nsid w:val="7C3DBD3D"/>
    <w:multiLevelType w:val="hybridMultilevel"/>
    <w:lvl w:ilvl="0">
      <w:lvlJc w:val="left"/>
      <w:lvlText w:val="3"/>
      <w:numFmt w:val="bullet"/>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
      <w:numFmt w:val="bullet"/>
      <w:start w:val="1"/>
    </w:lvl>
    <w:lvl w:ilvl="1">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lvl w:ilvl="1">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4"/>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1)"/>
      <w:numFmt w:val="decimal"/>
      <w:start w:val="1"/>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decimal"/>
      <w:start w:val="104"/>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jpe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jpeg"/><Relationship Id="rId230" Type="http://schemas.openxmlformats.org/officeDocument/2006/relationships/image" Target="media/image222.jpeg"/><Relationship Id="rId218" Type="http://schemas.openxmlformats.org/officeDocument/2006/relationships/hyperlink" Target="https://www.sec.gov/Archives/edgar/data/1280058/000128005822000014/def14aapr2022.htm#i041ff6ef040445f09a57de7d1b686b1b_3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2022-08-04T15:52:26Z</dcterms:created>
  <dcterms:modified xsi:type="dcterms:W3CDTF">2022-08-04T15:52:26Z</dcterms:modified>
</cp:coreProperties>
</file>