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59.jpeg" ContentType="image/jpeg"/>
  <Override PartName="/word/media/image16.jpeg" ContentType="image/jpeg"/>
  <Override PartName="/word/media/image46.jpeg" ContentType="image/jpeg"/>
  <Override PartName="/word/media/image58.jpeg" ContentType="image/jpeg"/>
  <Override PartName="/word/media/image15.jpeg" ContentType="image/jpeg"/>
  <Override PartName="/word/media/image45.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80" w:after="283"/>
        <w:jc w:val="both"/>
        <w:rPr/>
      </w:pPr>
      <w:r>
        <w:rPr/>
      </w:r>
    </w:p>
    <w:p>
      <w:pPr>
        <w:pStyle w:val="TextBody"/>
        <w:spacing w:lineRule="auto" w:line="288" w:before="0" w:after="0"/>
        <w:jc w:val="center"/>
        <w:rPr>
          <w:rFonts w:ascii="Calibri;sans-serif" w:hAnsi="Calibri;sans-serif"/>
          <w:b/>
          <w:color w:val="51555C"/>
          <w:sz w:val="22"/>
        </w:rPr>
      </w:pPr>
      <w:r>
        <w:rPr>
          <w:rFonts w:ascii="Calibri;sans-serif" w:hAnsi="Calibri;sans-serif"/>
          <w:b/>
          <w:color w:val="51555C"/>
          <w:sz w:val="22"/>
        </w:rPr>
        <w:t>UNITED STATES</w:t>
      </w:r>
    </w:p>
    <w:p>
      <w:pPr>
        <w:pStyle w:val="TextBody"/>
        <w:spacing w:lineRule="auto" w:line="288" w:before="0" w:after="0"/>
        <w:jc w:val="center"/>
        <w:rPr>
          <w:rFonts w:ascii="Calibri;sans-serif" w:hAnsi="Calibri;sans-serif"/>
          <w:b/>
          <w:color w:val="51555C"/>
          <w:sz w:val="22"/>
        </w:rPr>
      </w:pPr>
      <w:r>
        <w:rPr>
          <w:rFonts w:ascii="Calibri;sans-serif" w:hAnsi="Calibri;sans-serif"/>
          <w:b/>
          <w:color w:val="51555C"/>
          <w:sz w:val="22"/>
        </w:rPr>
        <w:t>SECURITIES AND EXCHANGE COMMISSION</w:t>
      </w:r>
    </w:p>
    <w:p>
      <w:pPr>
        <w:pStyle w:val="TextBody"/>
        <w:spacing w:lineRule="auto" w:line="288" w:before="180" w:after="283"/>
        <w:jc w:val="center"/>
        <w:rPr>
          <w:rFonts w:ascii="Calibri;sans-serif" w:hAnsi="Calibri;sans-serif"/>
          <w:b w:val="false"/>
          <w:color w:val="51555C"/>
          <w:sz w:val="20"/>
        </w:rPr>
      </w:pPr>
      <w:r>
        <w:rPr>
          <w:rFonts w:ascii="Calibri;sans-serif" w:hAnsi="Calibri;sans-serif"/>
          <w:b w:val="false"/>
          <w:color w:val="51555C"/>
          <w:sz w:val="20"/>
        </w:rPr>
        <w:t>Washington, D.C. 20549</w:t>
      </w:r>
    </w:p>
    <w:p>
      <w:pPr>
        <w:pStyle w:val="TextBody"/>
        <w:spacing w:lineRule="auto" w:line="288" w:before="120" w:after="120"/>
        <w:jc w:val="center"/>
        <w:rPr>
          <w:rFonts w:ascii="Calibri;sans-serif" w:hAnsi="Calibri;sans-serif"/>
          <w:b/>
          <w:color w:val="51555C"/>
          <w:sz w:val="28"/>
        </w:rPr>
      </w:pPr>
      <w:r>
        <w:rPr>
          <w:rFonts w:ascii="Calibri;sans-serif" w:hAnsi="Calibri;sans-serif"/>
          <w:b/>
          <w:color w:val="51555C"/>
          <w:sz w:val="28"/>
        </w:rPr>
        <w:t>FORM 10-Q</w:t>
      </w:r>
    </w:p>
    <w:tbl>
      <w:tblPr>
        <w:tblW w:w="8172" w:type="dxa"/>
        <w:jc w:val="left"/>
        <w:tblInd w:w="0" w:type="dxa"/>
        <w:tblCellMar>
          <w:top w:w="28" w:type="dxa"/>
          <w:left w:w="28" w:type="dxa"/>
          <w:bottom w:w="28" w:type="dxa"/>
          <w:right w:w="28" w:type="dxa"/>
        </w:tblCellMar>
      </w:tblPr>
      <w:tblGrid>
        <w:gridCol w:w="124"/>
        <w:gridCol w:w="109"/>
        <w:gridCol w:w="109"/>
        <w:gridCol w:w="2287"/>
        <w:gridCol w:w="2287"/>
        <w:gridCol w:w="32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51555C"/>
              </w:rPr>
            </w:pPr>
            <w:r>
              <w:rPr>
                <w:color w:val="51555C"/>
              </w:rPr>
              <w:t>☑</w:t>
            </w:r>
          </w:p>
        </w:tc>
        <w:tc>
          <w:tcPr>
            <w:tcW w:w="78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QUARTERLY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For the quarterly period ended March 31, 2023</w:t>
            </w:r>
          </w:p>
        </w:tc>
      </w:tr>
    </w:tbl>
    <w:p>
      <w:pPr>
        <w:pStyle w:val="TextBody"/>
        <w:spacing w:lineRule="auto" w:line="288" w:before="0" w:after="0"/>
        <w:jc w:val="center"/>
        <w:rPr>
          <w:rFonts w:ascii="Calibri;sans-serif" w:hAnsi="Calibri;sans-serif"/>
          <w:b/>
          <w:color w:val="51555C"/>
          <w:sz w:val="18"/>
        </w:rPr>
      </w:pPr>
      <w:r>
        <w:rPr>
          <w:rFonts w:ascii="Calibri;sans-serif" w:hAnsi="Calibri;sans-serif"/>
          <w:b/>
          <w:color w:val="51555C"/>
          <w:sz w:val="18"/>
        </w:rPr>
        <w:t>or</w:t>
      </w:r>
    </w:p>
    <w:tbl>
      <w:tblPr>
        <w:tblW w:w="8201" w:type="dxa"/>
        <w:jc w:val="left"/>
        <w:tblInd w:w="0" w:type="dxa"/>
        <w:tblCellMar>
          <w:top w:w="28" w:type="dxa"/>
          <w:left w:w="28" w:type="dxa"/>
          <w:bottom w:w="28" w:type="dxa"/>
          <w:right w:w="28" w:type="dxa"/>
        </w:tblCellMar>
      </w:tblPr>
      <w:tblGrid>
        <w:gridCol w:w="124"/>
        <w:gridCol w:w="109"/>
        <w:gridCol w:w="109"/>
        <w:gridCol w:w="2297"/>
        <w:gridCol w:w="2297"/>
        <w:gridCol w:w="32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51555C"/>
              </w:rPr>
            </w:pPr>
            <w:r>
              <w:rPr>
                <w:color w:val="51555C"/>
              </w:rPr>
              <w:t>☐</w:t>
            </w:r>
          </w:p>
        </w:tc>
        <w:tc>
          <w:tcPr>
            <w:tcW w:w="7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8"/>
              </w:rPr>
              <w:t xml:space="preserve">For the transition period from </w:t>
            </w:r>
            <w:r>
              <w:rPr>
                <w:color w:val="51555C"/>
                <w:u w:val="single"/>
              </w:rPr>
              <w:t>                   </w:t>
            </w:r>
            <w:r>
              <w:rPr>
                <w:color w:val="51555C"/>
              </w:rPr>
              <w:t> </w:t>
            </w:r>
            <w:r>
              <w:rPr>
                <w:rFonts w:ascii="Calibri;sans-serif" w:hAnsi="Calibri;sans-serif"/>
                <w:b w:val="false"/>
                <w:color w:val="51555C"/>
                <w:sz w:val="18"/>
              </w:rPr>
              <w:t xml:space="preserve">to </w:t>
            </w:r>
            <w:r>
              <w:rPr>
                <w:color w:val="51555C"/>
                <w:u w:val="single"/>
              </w:rPr>
              <w:t>                    </w:t>
            </w:r>
            <w:r>
              <w:rPr>
                <w:rFonts w:ascii="Calibri;sans-serif" w:hAnsi="Calibri;sans-serif"/>
                <w:b w:val="false"/>
                <w:color w:val="51555C"/>
                <w:sz w:val="18"/>
              </w:rPr>
              <w:t>.</w:t>
            </w:r>
          </w:p>
        </w:tc>
      </w:tr>
    </w:tbl>
    <w:p>
      <w:pPr>
        <w:pStyle w:val="TextBody"/>
        <w:spacing w:lineRule="auto" w:line="288" w:before="60" w:after="283"/>
        <w:jc w:val="center"/>
        <w:rPr/>
      </w:pPr>
      <w:r>
        <w:rPr>
          <w:rFonts w:ascii="Calibri;sans-serif" w:hAnsi="Calibri;sans-serif"/>
          <w:b w:val="false"/>
          <w:color w:val="51555C"/>
          <w:sz w:val="18"/>
        </w:rPr>
        <w:t xml:space="preserve">Commission file number: </w:t>
      </w:r>
      <w:r>
        <w:rPr>
          <w:rFonts w:ascii="Calibri;sans-serif" w:hAnsi="Calibri;sans-serif"/>
          <w:b/>
          <w:color w:val="51555C"/>
          <w:sz w:val="18"/>
        </w:rPr>
        <w:t>000-50600</w:t>
      </w:r>
      <w:r>
        <w:rPr>
          <w:color w:val="51555C"/>
        </w:rPr>
        <w:t xml:space="preserve"> </w:t>
      </w:r>
    </w:p>
    <w:tbl>
      <w:tblPr>
        <w:tblW w:w="5090" w:type="dxa"/>
        <w:jc w:val="left"/>
        <w:tblInd w:w="0" w:type="dxa"/>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rFonts w:ascii="Calibri;sans-serif" w:hAnsi="Calibri;sans-serif"/>
          <w:b/>
          <w:color w:val="51555C"/>
          <w:sz w:val="40"/>
        </w:rPr>
        <w:t>Blackbaud, Inc.</w:t>
      </w:r>
      <w:r>
        <w:rPr>
          <w:color w:val="51555C"/>
        </w:rPr>
        <w:t xml:space="preserve"> </w:t>
      </w:r>
    </w:p>
    <w:p>
      <w:pPr>
        <w:pStyle w:val="TextBody"/>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(Exact name of registrant as specified in its charter)</w:t>
      </w:r>
    </w:p>
    <w:tbl>
      <w:tblPr>
        <w:tblW w:w="7169" w:type="dxa"/>
        <w:jc w:val="left"/>
        <w:tblInd w:w="0" w:type="dxa"/>
        <w:tblCellMar>
          <w:top w:w="28" w:type="dxa"/>
          <w:left w:w="28" w:type="dxa"/>
          <w:bottom w:w="28" w:type="dxa"/>
          <w:right w:w="28" w:type="dxa"/>
        </w:tblCellMar>
      </w:tblPr>
      <w:tblGrid>
        <w:gridCol w:w="1620"/>
        <w:gridCol w:w="1428"/>
        <w:gridCol w:w="1436"/>
        <w:gridCol w:w="783"/>
        <w:gridCol w:w="783"/>
        <w:gridCol w:w="1119"/>
      </w:tblGrid>
      <w:tr>
        <w:trPr/>
        <w:tc>
          <w:tcPr>
            <w:tcW w:w="1620"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Delaware</w:t>
            </w:r>
          </w:p>
        </w:tc>
        <w:tc>
          <w:tcPr>
            <w:tcW w:w="26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11-2617163</w:t>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(State or other jurisdiction of incorporation or organization)</w:t>
            </w:r>
          </w:p>
        </w:tc>
        <w:tc>
          <w:tcPr>
            <w:tcW w:w="26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(I.R.S. Employer Identification No.)</w:t>
            </w:r>
          </w:p>
        </w:tc>
      </w:tr>
    </w:tbl>
    <w:p>
      <w:pPr>
        <w:pStyle w:val="TextBody"/>
        <w:spacing w:lineRule="auto" w:line="288" w:before="0" w:after="0"/>
        <w:jc w:val="center"/>
        <w:rPr>
          <w:rFonts w:ascii="Calibri;sans-serif" w:hAnsi="Calibri;sans-serif"/>
          <w:b/>
          <w:color w:val="51555C"/>
          <w:sz w:val="18"/>
        </w:rPr>
      </w:pPr>
      <w:r>
        <w:rPr>
          <w:rFonts w:ascii="Calibri;sans-serif" w:hAnsi="Calibri;sans-serif"/>
          <w:b/>
          <w:color w:val="51555C"/>
          <w:sz w:val="18"/>
        </w:rPr>
        <w:t xml:space="preserve">65 Fairchild Street </w:t>
      </w:r>
    </w:p>
    <w:p>
      <w:pPr>
        <w:pStyle w:val="TextBody"/>
        <w:spacing w:lineRule="auto" w:line="288" w:before="0" w:after="0"/>
        <w:jc w:val="center"/>
        <w:rPr>
          <w:rFonts w:ascii="Calibri;sans-serif" w:hAnsi="Calibri;sans-serif"/>
          <w:b/>
          <w:color w:val="51555C"/>
          <w:sz w:val="18"/>
        </w:rPr>
      </w:pPr>
      <w:r>
        <w:rPr>
          <w:rFonts w:ascii="Calibri;sans-serif" w:hAnsi="Calibri;sans-serif"/>
          <w:b/>
          <w:color w:val="51555C"/>
          <w:sz w:val="18"/>
        </w:rPr>
        <w:t xml:space="preserve">Charleston, South Carolina 29492 </w:t>
      </w:r>
    </w:p>
    <w:p>
      <w:pPr>
        <w:pStyle w:val="TextBody"/>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(Address of principal executive offices, including zip code)</w:t>
      </w:r>
    </w:p>
    <w:p>
      <w:pPr>
        <w:pStyle w:val="TextBody"/>
        <w:spacing w:lineRule="auto" w:line="288" w:before="0" w:after="0"/>
        <w:jc w:val="center"/>
        <w:rPr/>
      </w:pPr>
      <w:r>
        <w:rPr>
          <w:rFonts w:ascii="Calibri;sans-serif" w:hAnsi="Calibri;sans-serif"/>
          <w:b/>
          <w:color w:val="51555C"/>
          <w:sz w:val="18"/>
        </w:rPr>
        <w:t>(843) 216-6200</w:t>
      </w:r>
      <w:r>
        <w:rPr>
          <w:color w:val="51555C"/>
        </w:rPr>
        <w:t xml:space="preserve"> </w:t>
      </w:r>
    </w:p>
    <w:p>
      <w:pPr>
        <w:pStyle w:val="TextBody"/>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(Registrant’s telephone number, including area code)</w:t>
      </w:r>
    </w:p>
    <w:tbl>
      <w:tblPr>
        <w:tblW w:w="7470" w:type="dxa"/>
        <w:jc w:val="left"/>
        <w:tblInd w:w="0" w:type="dxa"/>
        <w:tblCellMar>
          <w:top w:w="28" w:type="dxa"/>
          <w:left w:w="28" w:type="dxa"/>
          <w:bottom w:w="28" w:type="dxa"/>
          <w:right w:w="28" w:type="dxa"/>
        </w:tblCellMar>
      </w:tblPr>
      <w:tblGrid>
        <w:gridCol w:w="929"/>
        <w:gridCol w:w="818"/>
        <w:gridCol w:w="818"/>
        <w:gridCol w:w="480"/>
        <w:gridCol w:w="480"/>
        <w:gridCol w:w="480"/>
        <w:gridCol w:w="1016"/>
        <w:gridCol w:w="1016"/>
        <w:gridCol w:w="1433"/>
      </w:tblGrid>
      <w:tr>
        <w:trPr/>
        <w:tc>
          <w:tcPr>
            <w:tcW w:w="92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Securities Registered Pursuant to Section 12(b) of the Act:</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Title of Each Class</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Trading Symbol(s)</w:t>
            </w:r>
          </w:p>
        </w:tc>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Name of Each Exchange on which Registered</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Common Stock, $0.001 Par Value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BLKB</w:t>
            </w:r>
          </w:p>
        </w:tc>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Nasdaq Global Select Market</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Preferred Stock Purchase Rights</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N/A</w:t>
            </w:r>
          </w:p>
        </w:tc>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18"/>
              </w:rPr>
            </w:pPr>
            <w:r>
              <w:rPr>
                <w:rFonts w:ascii="Calibri;sans-serif" w:hAnsi="Calibri;sans-serif"/>
                <w:b/>
                <w:color w:val="51555C"/>
                <w:sz w:val="18"/>
              </w:rPr>
              <w:t>Nasdaq Global Select Market</w:t>
            </w:r>
          </w:p>
        </w:tc>
      </w:tr>
      <w:tr>
        <w:trPr/>
        <w:tc>
          <w:tcPr>
            <w:tcW w:w="256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4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46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both"/>
        <w:rPr/>
      </w:pPr>
      <w:r>
        <w:rPr/>
      </w:r>
    </w:p>
    <w:p>
      <w:pPr>
        <w:pStyle w:val="TextBody"/>
        <w:spacing w:lineRule="auto" w:line="288" w:before="0" w:after="0"/>
        <w:jc w:val="both"/>
        <w:rPr/>
      </w:pPr>
      <w:r>
        <w:rPr>
          <w:rFonts w:ascii="Calibri;sans-serif" w:hAnsi="Calibri;sans-serif"/>
          <w:b w:val="false"/>
          <w:color w:val="51555C"/>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51555C"/>
        </w:rPr>
        <w:t xml:space="preserve">    </w:t>
      </w:r>
    </w:p>
    <w:p>
      <w:pPr>
        <w:pStyle w:val="TextBody"/>
        <w:spacing w:lineRule="auto" w:line="288" w:before="0" w:after="0"/>
        <w:rPr/>
      </w:pPr>
      <w:r>
        <w:rPr>
          <w:rFonts w:ascii="Calibri;sans-serif" w:hAnsi="Calibri;sans-serif"/>
          <w:b w:val="false"/>
          <w:color w:val="51555C"/>
          <w:sz w:val="18"/>
        </w:rPr>
        <w:t>Yes</w:t>
      </w:r>
      <w:r>
        <w:rPr>
          <w:color w:val="51555C"/>
        </w:rPr>
        <w:t>  ☑   </w:t>
      </w:r>
      <w:r>
        <w:rPr>
          <w:rFonts w:ascii="Calibri;sans-serif" w:hAnsi="Calibri;sans-serif"/>
          <w:b w:val="false"/>
          <w:color w:val="51555C"/>
          <w:sz w:val="18"/>
        </w:rPr>
        <w:t>No</w:t>
      </w:r>
      <w:r>
        <w:rPr>
          <w:color w:val="51555C"/>
        </w:rPr>
        <w:t>  ☐</w:t>
      </w:r>
    </w:p>
    <w:p>
      <w:pPr>
        <w:pStyle w:val="TextBody"/>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spacing w:lineRule="auto" w:line="288" w:before="0" w:after="0"/>
        <w:rPr/>
      </w:pPr>
      <w:r>
        <w:rPr>
          <w:rFonts w:ascii="Calibri;sans-serif" w:hAnsi="Calibri;sans-serif"/>
          <w:b w:val="false"/>
          <w:color w:val="51555C"/>
          <w:sz w:val="18"/>
        </w:rPr>
        <w:t>Yes</w:t>
      </w:r>
      <w:r>
        <w:rPr>
          <w:color w:val="51555C"/>
        </w:rPr>
        <w:t>  ☑   </w:t>
      </w:r>
      <w:r>
        <w:rPr>
          <w:rFonts w:ascii="Calibri;sans-serif" w:hAnsi="Calibri;sans-serif"/>
          <w:b w:val="false"/>
          <w:color w:val="51555C"/>
          <w:sz w:val="18"/>
        </w:rPr>
        <w:t>No</w:t>
      </w:r>
      <w:r>
        <w:rPr>
          <w:color w:val="51555C"/>
        </w:rPr>
        <w:t>  ☐</w:t>
      </w:r>
    </w:p>
    <w:p>
      <w:pPr>
        <w:pStyle w:val="TextBody"/>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CellMar>
          <w:top w:w="28" w:type="dxa"/>
          <w:left w:w="28" w:type="dxa"/>
          <w:bottom w:w="28" w:type="dxa"/>
          <w:right w:w="28" w:type="dxa"/>
        </w:tblCellMar>
      </w:tblPr>
      <w:tblGrid>
        <w:gridCol w:w="635"/>
        <w:gridCol w:w="559"/>
        <w:gridCol w:w="561"/>
        <w:gridCol w:w="109"/>
        <w:gridCol w:w="109"/>
        <w:gridCol w:w="109"/>
        <w:gridCol w:w="109"/>
        <w:gridCol w:w="109"/>
        <w:gridCol w:w="109"/>
        <w:gridCol w:w="699"/>
        <w:gridCol w:w="699"/>
        <w:gridCol w:w="703"/>
        <w:gridCol w:w="109"/>
        <w:gridCol w:w="109"/>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51555C"/>
              </w:rPr>
            </w:pPr>
            <w:r>
              <w:rPr>
                <w:color w:val="51555C"/>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51555C"/>
              </w:rPr>
            </w:pPr>
            <w:r>
              <w:rPr>
                <w:color w:val="51555C"/>
              </w:rPr>
              <w:t>☐</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51555C"/>
              </w:rPr>
            </w:pPr>
            <w:r>
              <w:rPr>
                <w:color w:val="51555C"/>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51555C"/>
              </w:rPr>
            </w:pPr>
            <w:r>
              <w:rPr>
                <w:color w:val="51555C"/>
              </w:rPr>
              <w:t>☐</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51555C"/>
              </w:rPr>
            </w:pPr>
            <w:r>
              <w:rPr>
                <w:color w:val="51555C"/>
              </w:rPr>
              <w:t>☐</w:t>
            </w:r>
          </w:p>
        </w:tc>
      </w:tr>
    </w:tbl>
    <w:p>
      <w:pPr>
        <w:pStyle w:val="TextBody"/>
        <w:spacing w:lineRule="auto" w:line="288" w:before="0" w:after="0"/>
        <w:jc w:val="both"/>
        <w:rPr/>
      </w:pPr>
      <w:r>
        <w:rPr>
          <w:rFonts w:ascii="Calibri;sans-serif" w:hAnsi="Calibri;sans-serif"/>
          <w:b w:val="false"/>
          <w:color w:val="51555C"/>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spacing w:lineRule="auto" w:line="288" w:before="120" w:after="283"/>
        <w:jc w:val="both"/>
        <w:rPr/>
      </w:pPr>
      <w:r>
        <w:rPr>
          <w:rFonts w:ascii="Calibri;sans-serif" w:hAnsi="Calibri;sans-serif"/>
          <w:b w:val="false"/>
          <w:color w:val="51555C"/>
          <w:sz w:val="18"/>
        </w:rPr>
        <w:t>Indicate by check mark whether registrant is a shell company (as defined in Rule 12b-2 of the Exchange Act).</w:t>
      </w:r>
      <w:r>
        <w:rPr>
          <w:color w:val="51555C"/>
        </w:rPr>
        <w:t>    </w:t>
      </w:r>
    </w:p>
    <w:p>
      <w:pPr>
        <w:pStyle w:val="TextBody"/>
        <w:spacing w:lineRule="auto" w:line="288" w:before="0" w:after="0"/>
        <w:rPr/>
      </w:pPr>
      <w:r>
        <w:rPr>
          <w:rFonts w:ascii="Calibri;sans-serif" w:hAnsi="Calibri;sans-serif"/>
          <w:b w:val="false"/>
          <w:color w:val="51555C"/>
          <w:sz w:val="18"/>
        </w:rPr>
        <w:t>Yes</w:t>
      </w:r>
      <w:r>
        <w:rPr>
          <w:color w:val="51555C"/>
        </w:rPr>
        <w:t xml:space="preserve"> ☐  </w:t>
      </w:r>
      <w:r>
        <w:rPr>
          <w:rFonts w:ascii="Calibri;sans-serif" w:hAnsi="Calibri;sans-serif"/>
          <w:b w:val="false"/>
          <w:color w:val="51555C"/>
          <w:sz w:val="18"/>
        </w:rPr>
        <w:t>No</w:t>
      </w:r>
      <w:r>
        <w:rPr>
          <w:color w:val="51555C"/>
        </w:rPr>
        <w:t>  ☑    </w:t>
      </w:r>
    </w:p>
    <w:p>
      <w:pPr>
        <w:pStyle w:val="TextBody"/>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The number of shares of the registrant’s Common Stock outstanding as of May 1, 2023 was 53,862,559.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0" w:after="0"/>
        <w:rPr>
          <w:rFonts w:ascii="Calibri;sans-serif" w:hAnsi="Calibri;sans-serif"/>
          <w:b/>
          <w:color w:val="50535A"/>
          <w:sz w:val="44"/>
        </w:rPr>
      </w:pPr>
      <w:r>
        <w:rPr>
          <w:rFonts w:ascii="Calibri;sans-serif" w:hAnsi="Calibri;sans-serif"/>
          <w:b/>
          <w:color w:val="50535A"/>
          <w:sz w:val="44"/>
        </w:rPr>
        <w:t>TABLE OF CONTENTS</w:t>
      </w:r>
    </w:p>
    <w:tbl>
      <w:tblPr>
        <w:tblW w:w="10205" w:type="dxa"/>
        <w:jc w:val="left"/>
        <w:tblInd w:w="0" w:type="dxa"/>
        <w:tblCellMar>
          <w:top w:w="28" w:type="dxa"/>
          <w:left w:w="28" w:type="dxa"/>
          <w:bottom w:w="28" w:type="dxa"/>
          <w:right w:w="28" w:type="dxa"/>
        </w:tblCellMar>
      </w:tblPr>
      <w:tblGrid>
        <w:gridCol w:w="1214"/>
        <w:gridCol w:w="1066"/>
        <w:gridCol w:w="1066"/>
        <w:gridCol w:w="2171"/>
        <w:gridCol w:w="2136"/>
        <w:gridCol w:w="2158"/>
        <w:gridCol w:w="114"/>
        <w:gridCol w:w="114"/>
        <w:gridCol w:w="166"/>
      </w:tblGrid>
      <w:tr>
        <w:trPr/>
        <w:tc>
          <w:tcPr>
            <w:tcW w:w="1214"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c>
          <w:tcPr>
            <w:tcW w:w="215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9811"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
              <w:r>
                <w:rPr>
                  <w:rStyle w:val="InternetLink"/>
                  <w:rFonts w:ascii="Calibri;sans-serif" w:hAnsi="Calibri;sans-serif"/>
                  <w:b/>
                  <w:strike w:val="false"/>
                  <w:dstrike w:val="false"/>
                  <w:color w:val="004054"/>
                  <w:sz w:val="22"/>
                  <w:u w:val="none"/>
                  <w:effect w:val="none"/>
                </w:rPr>
                <w:t>CAUTIONARY STATEMENT REGARDING FORWARD-LOOKING STATEMENTS</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
              <w:r>
                <w:rPr>
                  <w:rStyle w:val="InternetLink"/>
                  <w:rFonts w:ascii="Calibri;sans-serif" w:hAnsi="Calibri;sans-serif"/>
                  <w:b/>
                  <w:strike w:val="false"/>
                  <w:dstrike w:val="false"/>
                  <w:color w:val="004054"/>
                  <w:sz w:val="22"/>
                  <w:u w:val="none"/>
                  <w:effect w:val="none"/>
                </w:rPr>
                <w:t>2</w:t>
              </w:r>
            </w:hyperlink>
          </w:p>
        </w:tc>
      </w:tr>
      <w:tr>
        <w:trPr/>
        <w:tc>
          <w:tcPr>
            <w:tcW w:w="3346" w:type="dxa"/>
            <w:gridSpan w:val="3"/>
            <w:tcBorders>
              <w:top w:val="single" w:sz="8" w:space="0" w:color="0CD973"/>
            </w:tcBorders>
            <w:shd w:fill="auto" w:val="clear"/>
            <w:tcMar>
              <w:top w:w="30" w:type="dxa"/>
              <w:left w:w="0" w:type="dxa"/>
              <w:bottom w:w="0" w:type="dxa"/>
              <w:right w:w="0" w:type="dxa"/>
            </w:tcMar>
            <w:vAlign w:val="center"/>
          </w:tcPr>
          <w:p>
            <w:pPr>
              <w:pStyle w:val="TableContents"/>
              <w:spacing w:lineRule="auto" w:line="288" w:before="0" w:after="283"/>
              <w:jc w:val="left"/>
              <w:rPr>
                <w:color w:val="51555C"/>
              </w:rPr>
            </w:pPr>
            <w:r>
              <w:rPr>
                <w:color w:val="51555C"/>
              </w:rPr>
              <w:t> </w:t>
            </w:r>
          </w:p>
        </w:tc>
        <w:tc>
          <w:tcPr>
            <w:tcW w:w="6465" w:type="dxa"/>
            <w:gridSpan w:val="3"/>
            <w:tcBorders>
              <w:top w:val="single" w:sz="8" w:space="0" w:color="0CD973"/>
            </w:tcBorders>
            <w:shd w:fill="auto" w:val="clear"/>
            <w:tcMar>
              <w:top w:w="30" w:type="dxa"/>
              <w:left w:w="0" w:type="dxa"/>
              <w:bottom w:w="0" w:type="dxa"/>
              <w:right w:w="0" w:type="dxa"/>
            </w:tcMar>
            <w:vAlign w:val="center"/>
          </w:tcPr>
          <w:p>
            <w:pPr>
              <w:pStyle w:val="TableContents"/>
              <w:spacing w:lineRule="auto" w:line="288" w:before="0" w:after="283"/>
              <w:jc w:val="left"/>
              <w:rPr>
                <w:color w:val="51555C"/>
              </w:rPr>
            </w:pPr>
            <w:r>
              <w:rPr>
                <w:color w:val="51555C"/>
              </w:rPr>
              <w:t> </w:t>
            </w:r>
          </w:p>
        </w:tc>
        <w:tc>
          <w:tcPr>
            <w:tcW w:w="394"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22">
              <w:r>
                <w:rPr>
                  <w:rStyle w:val="InternetLink"/>
                  <w:rFonts w:ascii="Calibri;sans-serif" w:hAnsi="Calibri;sans-serif"/>
                  <w:b/>
                  <w:strike w:val="false"/>
                  <w:dstrike w:val="false"/>
                  <w:color w:val="004054"/>
                  <w:sz w:val="22"/>
                  <w:u w:val="none"/>
                  <w:effect w:val="none"/>
                </w:rPr>
                <w:t>PART I.</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22">
              <w:r>
                <w:rPr>
                  <w:rStyle w:val="InternetLink"/>
                  <w:rFonts w:ascii="Calibri;sans-serif" w:hAnsi="Calibri;sans-serif"/>
                  <w:b/>
                  <w:strike w:val="false"/>
                  <w:dstrike w:val="false"/>
                  <w:color w:val="004054"/>
                  <w:sz w:val="22"/>
                  <w:u w:val="none"/>
                  <w:effect w:val="none"/>
                </w:rPr>
                <w:t>FINANCIAL INFORMATION</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22">
              <w:r>
                <w:rPr>
                  <w:rStyle w:val="InternetLink"/>
                  <w:rFonts w:ascii="Calibri;sans-serif" w:hAnsi="Calibri;sans-serif"/>
                  <w:b/>
                  <w:strike w:val="false"/>
                  <w:dstrike w:val="false"/>
                  <w:color w:val="004054"/>
                  <w:sz w:val="22"/>
                  <w:u w:val="none"/>
                  <w:effect w:val="none"/>
                </w:rPr>
                <w:t>3</w:t>
              </w:r>
            </w:hyperlink>
          </w:p>
        </w:tc>
      </w:tr>
      <w:tr>
        <w:trPr/>
        <w:tc>
          <w:tcPr>
            <w:tcW w:w="3346"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25">
              <w:r>
                <w:rPr>
                  <w:rStyle w:val="InternetLink"/>
                  <w:rFonts w:ascii="Calibri;sans-serif" w:hAnsi="Calibri;sans-serif"/>
                  <w:b w:val="false"/>
                  <w:strike w:val="false"/>
                  <w:dstrike w:val="false"/>
                  <w:color w:val="51555C"/>
                  <w:sz w:val="20"/>
                  <w:u w:val="none"/>
                  <w:effect w:val="none"/>
                </w:rPr>
                <w:t>Item 1.</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25">
              <w:r>
                <w:rPr>
                  <w:rStyle w:val="InternetLink"/>
                  <w:rFonts w:ascii="Calibri;sans-serif" w:hAnsi="Calibri;sans-serif"/>
                  <w:b w:val="false"/>
                  <w:strike w:val="false"/>
                  <w:dstrike w:val="false"/>
                  <w:color w:val="51555C"/>
                  <w:sz w:val="20"/>
                  <w:u w:val="none"/>
                  <w:effect w:val="none"/>
                </w:rPr>
                <w:t>Financial statements</w:t>
              </w:r>
            </w:hyperlink>
          </w:p>
        </w:tc>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28">
              <w:r>
                <w:rPr>
                  <w:rStyle w:val="InternetLink"/>
                  <w:rFonts w:ascii="Calibri;sans-serif" w:hAnsi="Calibri;sans-serif"/>
                  <w:b w:val="false"/>
                  <w:strike w:val="false"/>
                  <w:dstrike w:val="false"/>
                  <w:color w:val="51555C"/>
                  <w:sz w:val="20"/>
                  <w:u w:val="none"/>
                  <w:effect w:val="none"/>
                </w:rPr>
                <w:t>Condensed Consolidated Balance Sheets (Unaudited)</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28">
              <w:r>
                <w:rPr>
                  <w:rStyle w:val="InternetLink"/>
                  <w:rFonts w:ascii="Calibri;sans-serif" w:hAnsi="Calibri;sans-serif"/>
                  <w:b w:val="false"/>
                  <w:strike w:val="false"/>
                  <w:dstrike w:val="false"/>
                  <w:color w:val="000000"/>
                  <w:sz w:val="20"/>
                  <w:u w:val="none"/>
                  <w:effect w:val="none"/>
                </w:rPr>
                <w:t>3</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31">
              <w:r>
                <w:rPr>
                  <w:rStyle w:val="InternetLink"/>
                  <w:rFonts w:ascii="Calibri;sans-serif" w:hAnsi="Calibri;sans-serif"/>
                  <w:b w:val="false"/>
                  <w:strike w:val="false"/>
                  <w:dstrike w:val="false"/>
                  <w:color w:val="51555C"/>
                  <w:sz w:val="20"/>
                  <w:u w:val="none"/>
                  <w:effect w:val="none"/>
                </w:rPr>
                <w:t xml:space="preserve">Condensed Consolidated Statements of Comprehensive </w:t>
              </w:r>
            </w:hyperlink>
            <w:r>
              <w:rPr>
                <w:rFonts w:ascii="Calibri;sans-serif" w:hAnsi="Calibri;sans-serif"/>
                <w:b w:val="false"/>
                <w:color w:val="51555C"/>
                <w:sz w:val="20"/>
              </w:rPr>
              <w:t>Loss</w:t>
            </w:r>
            <w:hyperlink w:anchor="i00246672b5984694bf9fb8036f7c6186_31">
              <w:r>
                <w:rPr>
                  <w:rStyle w:val="InternetLink"/>
                  <w:rFonts w:ascii="Calibri;sans-serif" w:hAnsi="Calibri;sans-serif"/>
                  <w:b w:val="false"/>
                  <w:strike w:val="false"/>
                  <w:dstrike w:val="false"/>
                  <w:color w:val="51555C"/>
                  <w:sz w:val="20"/>
                  <w:u w:val="none"/>
                  <w:effect w:val="none"/>
                </w:rPr>
                <w:t xml:space="preserve"> (Unaudited)</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31">
              <w:r>
                <w:rPr>
                  <w:rStyle w:val="InternetLink"/>
                  <w:rFonts w:ascii="Calibri;sans-serif" w:hAnsi="Calibri;sans-serif"/>
                  <w:b w:val="false"/>
                  <w:strike w:val="false"/>
                  <w:dstrike w:val="false"/>
                  <w:color w:val="000000"/>
                  <w:sz w:val="20"/>
                  <w:u w:val="none"/>
                  <w:effect w:val="none"/>
                </w:rPr>
                <w:t>4</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34">
              <w:r>
                <w:rPr>
                  <w:rStyle w:val="InternetLink"/>
                  <w:rFonts w:ascii="Calibri;sans-serif" w:hAnsi="Calibri;sans-serif"/>
                  <w:b w:val="false"/>
                  <w:strike w:val="false"/>
                  <w:dstrike w:val="false"/>
                  <w:color w:val="51555C"/>
                  <w:sz w:val="20"/>
                  <w:u w:val="none"/>
                  <w:effect w:val="none"/>
                </w:rPr>
                <w:t>Condensed Consolidated Statements of Cash Flows (Unaudited)</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34">
              <w:r>
                <w:rPr>
                  <w:rStyle w:val="InternetLink"/>
                  <w:rFonts w:ascii="Calibri;sans-serif" w:hAnsi="Calibri;sans-serif"/>
                  <w:b w:val="false"/>
                  <w:strike w:val="false"/>
                  <w:dstrike w:val="false"/>
                  <w:color w:val="000000"/>
                  <w:sz w:val="20"/>
                  <w:u w:val="none"/>
                  <w:effect w:val="none"/>
                </w:rPr>
                <w:t>5</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37">
              <w:r>
                <w:rPr>
                  <w:rStyle w:val="InternetLink"/>
                  <w:rFonts w:ascii="Calibri;sans-serif" w:hAnsi="Calibri;sans-serif"/>
                  <w:b w:val="false"/>
                  <w:strike w:val="false"/>
                  <w:dstrike w:val="false"/>
                  <w:color w:val="51555C"/>
                  <w:sz w:val="20"/>
                  <w:u w:val="none"/>
                  <w:effect w:val="none"/>
                </w:rPr>
                <w:t>Condensed Consolidated Statements of Stockholders’ Equity (Unaudited)</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37">
              <w:r>
                <w:rPr>
                  <w:rStyle w:val="InternetLink"/>
                  <w:rFonts w:ascii="Calibri;sans-serif" w:hAnsi="Calibri;sans-serif"/>
                  <w:b w:val="false"/>
                  <w:strike w:val="false"/>
                  <w:dstrike w:val="false"/>
                  <w:color w:val="000000"/>
                  <w:sz w:val="20"/>
                  <w:u w:val="none"/>
                  <w:effect w:val="none"/>
                </w:rPr>
                <w:t>6</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40">
              <w:r>
                <w:rPr>
                  <w:rStyle w:val="InternetLink"/>
                  <w:rFonts w:ascii="Calibri;sans-serif" w:hAnsi="Calibri;sans-serif"/>
                  <w:b w:val="false"/>
                  <w:strike w:val="false"/>
                  <w:dstrike w:val="false"/>
                  <w:color w:val="51555C"/>
                  <w:sz w:val="20"/>
                  <w:u w:val="none"/>
                  <w:effect w:val="none"/>
                </w:rPr>
                <w:t>Notes to Condensed Consolidated Financial Statements (Unaudited)</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40">
              <w:r>
                <w:rPr>
                  <w:rStyle w:val="InternetLink"/>
                  <w:rFonts w:ascii="Calibri;sans-serif" w:hAnsi="Calibri;sans-serif"/>
                  <w:b w:val="false"/>
                  <w:strike w:val="false"/>
                  <w:dstrike w:val="false"/>
                  <w:color w:val="000000"/>
                  <w:sz w:val="20"/>
                  <w:u w:val="none"/>
                  <w:effect w:val="none"/>
                </w:rPr>
                <w:t>7</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06">
              <w:r>
                <w:rPr>
                  <w:rStyle w:val="InternetLink"/>
                  <w:rFonts w:ascii="Calibri;sans-serif" w:hAnsi="Calibri;sans-serif"/>
                  <w:b w:val="false"/>
                  <w:strike w:val="false"/>
                  <w:dstrike w:val="false"/>
                  <w:color w:val="51555C"/>
                  <w:sz w:val="20"/>
                  <w:u w:val="none"/>
                  <w:effect w:val="none"/>
                </w:rPr>
                <w:t>Item 2.</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06">
              <w:r>
                <w:rPr>
                  <w:rStyle w:val="InternetLink"/>
                  <w:rFonts w:ascii="Calibri;sans-serif" w:hAnsi="Calibri;sans-serif"/>
                  <w:b w:val="false"/>
                  <w:strike w:val="false"/>
                  <w:dstrike w:val="false"/>
                  <w:color w:val="51555C"/>
                  <w:sz w:val="20"/>
                  <w:u w:val="none"/>
                  <w:effect w:val="none"/>
                </w:rPr>
                <w:t>Management's discussion and analysis of financial condition and results of operations</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106">
              <w:r>
                <w:rPr>
                  <w:rStyle w:val="InternetLink"/>
                  <w:rFonts w:ascii="Calibri;sans-serif" w:hAnsi="Calibri;sans-serif"/>
                  <w:b w:val="false"/>
                  <w:strike w:val="false"/>
                  <w:dstrike w:val="false"/>
                  <w:color w:val="000000"/>
                  <w:sz w:val="20"/>
                  <w:u w:val="none"/>
                  <w:effect w:val="none"/>
                </w:rPr>
                <w:t>22</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81">
              <w:r>
                <w:rPr>
                  <w:rStyle w:val="InternetLink"/>
                  <w:rFonts w:ascii="Calibri;sans-serif" w:hAnsi="Calibri;sans-serif"/>
                  <w:b w:val="false"/>
                  <w:strike w:val="false"/>
                  <w:dstrike w:val="false"/>
                  <w:color w:val="51555C"/>
                  <w:sz w:val="20"/>
                  <w:u w:val="none"/>
                  <w:effect w:val="none"/>
                </w:rPr>
                <w:t>Item 3.</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81">
              <w:r>
                <w:rPr>
                  <w:rStyle w:val="InternetLink"/>
                  <w:rFonts w:ascii="Calibri;sans-serif" w:hAnsi="Calibri;sans-serif"/>
                  <w:b w:val="false"/>
                  <w:strike w:val="false"/>
                  <w:dstrike w:val="false"/>
                  <w:color w:val="51555C"/>
                  <w:sz w:val="20"/>
                  <w:u w:val="none"/>
                  <w:effect w:val="none"/>
                </w:rPr>
                <w:t>Quantitative and qualitative disclosures about market risk</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181">
              <w:r>
                <w:rPr>
                  <w:rStyle w:val="InternetLink"/>
                  <w:rFonts w:ascii="Calibri;sans-serif" w:hAnsi="Calibri;sans-serif"/>
                  <w:b w:val="false"/>
                  <w:strike w:val="false"/>
                  <w:dstrike w:val="false"/>
                  <w:color w:val="000000"/>
                  <w:sz w:val="20"/>
                  <w:u w:val="none"/>
                  <w:effect w:val="none"/>
                </w:rPr>
                <w:t>42</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84">
              <w:r>
                <w:rPr>
                  <w:rStyle w:val="InternetLink"/>
                  <w:rFonts w:ascii="Calibri;sans-serif" w:hAnsi="Calibri;sans-serif"/>
                  <w:b w:val="false"/>
                  <w:strike w:val="false"/>
                  <w:dstrike w:val="false"/>
                  <w:color w:val="51555C"/>
                  <w:sz w:val="20"/>
                  <w:u w:val="none"/>
                  <w:effect w:val="none"/>
                </w:rPr>
                <w:t>Item 4.</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84">
              <w:r>
                <w:rPr>
                  <w:rStyle w:val="InternetLink"/>
                  <w:rFonts w:ascii="Calibri;sans-serif" w:hAnsi="Calibri;sans-serif"/>
                  <w:b w:val="false"/>
                  <w:strike w:val="false"/>
                  <w:dstrike w:val="false"/>
                  <w:color w:val="51555C"/>
                  <w:sz w:val="20"/>
                  <w:u w:val="none"/>
                  <w:effect w:val="none"/>
                </w:rPr>
                <w:t>Controls and procedures</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184">
              <w:r>
                <w:rPr>
                  <w:rStyle w:val="InternetLink"/>
                  <w:rFonts w:ascii="Calibri;sans-serif" w:hAnsi="Calibri;sans-serif"/>
                  <w:b w:val="false"/>
                  <w:strike w:val="false"/>
                  <w:dstrike w:val="false"/>
                  <w:color w:val="000000"/>
                  <w:sz w:val="20"/>
                  <w:u w:val="none"/>
                  <w:effect w:val="none"/>
                </w:rPr>
                <w:t>42</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87">
              <w:r>
                <w:rPr>
                  <w:rStyle w:val="InternetLink"/>
                  <w:rFonts w:ascii="Calibri;sans-serif" w:hAnsi="Calibri;sans-serif"/>
                  <w:b/>
                  <w:strike w:val="false"/>
                  <w:dstrike w:val="false"/>
                  <w:color w:val="004054"/>
                  <w:sz w:val="22"/>
                  <w:u w:val="none"/>
                  <w:effect w:val="none"/>
                </w:rPr>
                <w:t>PART II.</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87">
              <w:r>
                <w:rPr>
                  <w:rStyle w:val="InternetLink"/>
                  <w:rFonts w:ascii="Calibri;sans-serif" w:hAnsi="Calibri;sans-serif"/>
                  <w:b/>
                  <w:strike w:val="false"/>
                  <w:dstrike w:val="false"/>
                  <w:color w:val="004054"/>
                  <w:sz w:val="22"/>
                  <w:u w:val="none"/>
                  <w:effect w:val="none"/>
                </w:rPr>
                <w:t>OTHER INFORMATION</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87">
              <w:r>
                <w:rPr>
                  <w:rStyle w:val="InternetLink"/>
                  <w:rFonts w:ascii="Calibri;sans-serif" w:hAnsi="Calibri;sans-serif"/>
                  <w:b/>
                  <w:strike w:val="false"/>
                  <w:dstrike w:val="false"/>
                  <w:color w:val="004054"/>
                  <w:sz w:val="22"/>
                  <w:u w:val="none"/>
                  <w:effect w:val="none"/>
                </w:rPr>
                <w:t>43</w:t>
              </w:r>
            </w:hyperlink>
          </w:p>
        </w:tc>
      </w:tr>
      <w:tr>
        <w:trPr/>
        <w:tc>
          <w:tcPr>
            <w:tcW w:w="3346"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0">
              <w:r>
                <w:rPr>
                  <w:rStyle w:val="InternetLink"/>
                  <w:rFonts w:ascii="Calibri;sans-serif" w:hAnsi="Calibri;sans-serif"/>
                  <w:b w:val="false"/>
                  <w:strike w:val="false"/>
                  <w:dstrike w:val="false"/>
                  <w:color w:val="51555C"/>
                  <w:sz w:val="20"/>
                  <w:u w:val="none"/>
                  <w:effect w:val="none"/>
                </w:rPr>
                <w:t>Item 1.</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0">
              <w:r>
                <w:rPr>
                  <w:rStyle w:val="InternetLink"/>
                  <w:rFonts w:ascii="Calibri;sans-serif" w:hAnsi="Calibri;sans-serif"/>
                  <w:b w:val="false"/>
                  <w:strike w:val="false"/>
                  <w:dstrike w:val="false"/>
                  <w:color w:val="51555C"/>
                  <w:sz w:val="20"/>
                  <w:u w:val="none"/>
                  <w:effect w:val="none"/>
                </w:rPr>
                <w:t>Legal proceedings</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190">
              <w:r>
                <w:rPr>
                  <w:rStyle w:val="InternetLink"/>
                  <w:rFonts w:ascii="Calibri;sans-serif" w:hAnsi="Calibri;sans-serif"/>
                  <w:b w:val="false"/>
                  <w:strike w:val="false"/>
                  <w:dstrike w:val="false"/>
                  <w:color w:val="000000"/>
                  <w:sz w:val="20"/>
                  <w:u w:val="none"/>
                  <w:effect w:val="none"/>
                </w:rPr>
                <w:t>43</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3">
              <w:r>
                <w:rPr>
                  <w:rStyle w:val="InternetLink"/>
                  <w:rFonts w:ascii="Calibri;sans-serif" w:hAnsi="Calibri;sans-serif"/>
                  <w:b w:val="false"/>
                  <w:strike w:val="false"/>
                  <w:dstrike w:val="false"/>
                  <w:color w:val="51555C"/>
                  <w:sz w:val="20"/>
                  <w:u w:val="none"/>
                  <w:effect w:val="none"/>
                </w:rPr>
                <w:t>Item 1A.</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3">
              <w:r>
                <w:rPr>
                  <w:rStyle w:val="InternetLink"/>
                  <w:rFonts w:ascii="Calibri;sans-serif" w:hAnsi="Calibri;sans-serif"/>
                  <w:b w:val="false"/>
                  <w:strike w:val="false"/>
                  <w:dstrike w:val="false"/>
                  <w:color w:val="51555C"/>
                  <w:sz w:val="20"/>
                  <w:u w:val="none"/>
                  <w:effect w:val="none"/>
                </w:rPr>
                <w:t>Risk factors</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193">
              <w:r>
                <w:rPr>
                  <w:rStyle w:val="InternetLink"/>
                  <w:rFonts w:ascii="Calibri;sans-serif" w:hAnsi="Calibri;sans-serif"/>
                  <w:b w:val="false"/>
                  <w:strike w:val="false"/>
                  <w:dstrike w:val="false"/>
                  <w:color w:val="000000"/>
                  <w:sz w:val="20"/>
                  <w:u w:val="none"/>
                  <w:effect w:val="none"/>
                </w:rPr>
                <w:t>43</w:t>
              </w:r>
            </w:hyperlink>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6">
              <w:r>
                <w:rPr>
                  <w:rStyle w:val="InternetLink"/>
                  <w:rFonts w:ascii="Calibri;sans-serif" w:hAnsi="Calibri;sans-serif"/>
                  <w:b w:val="false"/>
                  <w:strike w:val="false"/>
                  <w:dstrike w:val="false"/>
                  <w:color w:val="51555C"/>
                  <w:sz w:val="20"/>
                  <w:u w:val="none"/>
                  <w:effect w:val="none"/>
                </w:rPr>
                <w:t>Item 2.</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6">
              <w:r>
                <w:rPr>
                  <w:rStyle w:val="InternetLink"/>
                  <w:rFonts w:ascii="Calibri;sans-serif" w:hAnsi="Calibri;sans-serif"/>
                  <w:b w:val="false"/>
                  <w:strike w:val="false"/>
                  <w:dstrike w:val="false"/>
                  <w:color w:val="51555C"/>
                  <w:sz w:val="20"/>
                  <w:u w:val="none"/>
                  <w:effect w:val="none"/>
                </w:rPr>
                <w:t>Unregistered sales of equity securities and use of proceeds</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196">
              <w:r>
                <w:rPr>
                  <w:rStyle w:val="InternetLink"/>
                  <w:rFonts w:ascii="Calibri;sans-serif" w:hAnsi="Calibri;sans-serif"/>
                  <w:b w:val="false"/>
                  <w:strike w:val="false"/>
                  <w:dstrike w:val="false"/>
                  <w:color w:val="000000"/>
                  <w:sz w:val="20"/>
                  <w:u w:val="none"/>
                  <w:effect w:val="none"/>
                </w:rPr>
                <w:t>47</w:t>
              </w:r>
            </w:hyperlink>
          </w:p>
        </w:tc>
      </w:tr>
      <w:tr>
        <w:trPr/>
        <w:tc>
          <w:tcPr>
            <w:tcW w:w="3346" w:type="dxa"/>
            <w:gridSpan w:val="3"/>
            <w:tcBorders/>
            <w:shd w:fill="auto" w:val="clear"/>
            <w:vAlign w:val="center"/>
          </w:tcPr>
          <w:p>
            <w:pPr>
              <w:pStyle w:val="TableContents"/>
              <w:spacing w:before="0" w:after="283"/>
              <w:rPr>
                <w:sz w:val="4"/>
                <w:szCs w:val="4"/>
              </w:rPr>
            </w:pPr>
            <w:r>
              <w:rPr>
                <w:sz w:val="4"/>
                <w:szCs w:val="4"/>
              </w:rPr>
            </w:r>
          </w:p>
        </w:tc>
        <w:tc>
          <w:tcPr>
            <w:tcW w:w="6465" w:type="dxa"/>
            <w:gridSpan w:val="3"/>
            <w:tcBorders/>
            <w:shd w:fill="auto" w:val="clear"/>
            <w:vAlign w:val="center"/>
          </w:tcPr>
          <w:p>
            <w:pPr>
              <w:pStyle w:val="TableContents"/>
              <w:spacing w:before="0" w:after="283"/>
              <w:rPr>
                <w:sz w:val="4"/>
                <w:szCs w:val="4"/>
              </w:rPr>
            </w:pPr>
            <w:r>
              <w:rPr>
                <w:sz w:val="4"/>
                <w:szCs w:val="4"/>
              </w:rPr>
            </w:r>
          </w:p>
        </w:tc>
        <w:tc>
          <w:tcPr>
            <w:tcW w:w="394" w:type="dxa"/>
            <w:gridSpan w:val="3"/>
            <w:tcBorders/>
            <w:shd w:fill="auto" w:val="clear"/>
            <w:vAlign w:val="center"/>
          </w:tcPr>
          <w:p>
            <w:pPr>
              <w:pStyle w:val="TableContents"/>
              <w:spacing w:before="0" w:after="283"/>
              <w:rPr>
                <w:sz w:val="4"/>
                <w:szCs w:val="4"/>
              </w:rPr>
            </w:pPr>
            <w:r>
              <w:rPr>
                <w:sz w:val="4"/>
                <w:szCs w:val="4"/>
              </w:rPr>
            </w:r>
          </w:p>
        </w:tc>
      </w:tr>
      <w:tr>
        <w:trPr/>
        <w:tc>
          <w:tcPr>
            <w:tcW w:w="33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9">
              <w:r>
                <w:rPr>
                  <w:rStyle w:val="InternetLink"/>
                  <w:rFonts w:ascii="Calibri;sans-serif" w:hAnsi="Calibri;sans-serif"/>
                  <w:b w:val="false"/>
                  <w:strike w:val="false"/>
                  <w:dstrike w:val="false"/>
                  <w:color w:val="51555C"/>
                  <w:sz w:val="20"/>
                  <w:u w:val="none"/>
                  <w:effect w:val="none"/>
                </w:rPr>
                <w:t>Item 6.</w:t>
              </w:r>
            </w:hyperlink>
          </w:p>
        </w:tc>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0246672b5984694bf9fb8036f7c6186_199">
              <w:r>
                <w:rPr>
                  <w:rStyle w:val="InternetLink"/>
                  <w:rFonts w:ascii="Calibri;sans-serif" w:hAnsi="Calibri;sans-serif"/>
                  <w:b w:val="false"/>
                  <w:strike w:val="false"/>
                  <w:dstrike w:val="false"/>
                  <w:color w:val="51555C"/>
                  <w:sz w:val="20"/>
                  <w:u w:val="none"/>
                  <w:effect w:val="none"/>
                </w:rPr>
                <w:t>Exhibits</w:t>
              </w:r>
            </w:hyperlink>
          </w:p>
        </w:tc>
        <w:tc>
          <w:tcPr>
            <w:tcW w:w="39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pPr>
            <w:hyperlink w:anchor="i00246672b5984694bf9fb8036f7c6186_199">
              <w:r>
                <w:rPr>
                  <w:rStyle w:val="InternetLink"/>
                  <w:rFonts w:ascii="Calibri;sans-serif" w:hAnsi="Calibri;sans-serif"/>
                  <w:b w:val="false"/>
                  <w:strike w:val="false"/>
                  <w:dstrike w:val="false"/>
                  <w:color w:val="000000"/>
                  <w:sz w:val="20"/>
                  <w:u w:val="none"/>
                  <w:effect w:val="none"/>
                </w:rPr>
                <w:t>48</w:t>
              </w:r>
            </w:hyperlink>
          </w:p>
        </w:tc>
      </w:tr>
      <w:tr>
        <w:trPr/>
        <w:tc>
          <w:tcPr>
            <w:tcW w:w="98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11" w:type="dxa"/>
            <w:gridSpan w:val="6"/>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0"/>
              <w:jc w:val="left"/>
              <w:rPr/>
            </w:pPr>
            <w:hyperlink w:anchor="i00246672b5984694bf9fb8036f7c6186_202">
              <w:r>
                <w:rPr>
                  <w:rStyle w:val="InternetLink"/>
                  <w:rFonts w:ascii="Calibri;sans-serif" w:hAnsi="Calibri;sans-serif"/>
                  <w:b/>
                  <w:strike w:val="false"/>
                  <w:dstrike w:val="false"/>
                  <w:color w:val="004054"/>
                  <w:sz w:val="22"/>
                  <w:u w:val="none"/>
                  <w:effect w:val="none"/>
                </w:rPr>
                <w:t>SIGNATURES</w:t>
              </w:r>
            </w:hyperlink>
          </w:p>
        </w:tc>
        <w:tc>
          <w:tcPr>
            <w:tcW w:w="394"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0"/>
              <w:jc w:val="left"/>
              <w:rPr/>
            </w:pPr>
            <w:hyperlink w:anchor="i00246672b5984694bf9fb8036f7c6186_202">
              <w:r>
                <w:rPr>
                  <w:rStyle w:val="InternetLink"/>
                  <w:rFonts w:ascii="Calibri;sans-serif" w:hAnsi="Calibri;sans-serif"/>
                  <w:b/>
                  <w:strike w:val="false"/>
                  <w:dstrike w:val="false"/>
                  <w:color w:val="004054"/>
                  <w:sz w:val="22"/>
                  <w:u w:val="none"/>
                  <w:effect w:val="none"/>
                </w:rPr>
                <w:t>49</w:t>
              </w:r>
            </w:hyperlink>
          </w:p>
        </w:tc>
      </w:tr>
    </w:tbl>
    <w:p>
      <w:pPr>
        <w:pStyle w:val="TextBody"/>
        <w:spacing w:before="180" w:after="283"/>
        <w:jc w:val="both"/>
        <w:rPr/>
      </w:pPr>
      <w:r>
        <w:rPr/>
      </w:r>
    </w:p>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91540"/>
                <wp:effectExtent l="0" t="0" r="0" b="0"/>
                <wp:wrapNone/>
                <wp:docPr id="3" name="Frame2"/>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58" w:type="dxa"/>
                              <w:jc w:val="center"/>
                              <w:tblInd w:w="0" w:type="dxa"/>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71" w:type="dxa"/>
                                  <w:gridSpan w:val="3"/>
                                  <w:tcBorders/>
                                  <w:shd w:fill="auto" w:val="clear"/>
                                  <w:tcMar>
                                    <w:top w:w="0" w:type="dxa"/>
                                    <w:left w:w="0" w:type="dxa"/>
                                    <w:bottom w:w="0" w:type="dxa"/>
                                    <w:right w:w="0" w:type="dxa"/>
                                  </w:tcMar>
                                  <w:vAlign w:val="center"/>
                                </w:tcPr>
                                <w:p>
                                  <w:pPr>
                                    <w:pStyle w:val="TableContents"/>
                                    <w:spacing w:before="60" w:after="283"/>
                                    <w:jc w:val="right"/>
                                    <w:rPr/>
                                  </w:pPr>
                                  <w:r>
                                    <w:rPr/>
                                    <w:drawing>
                                      <wp:inline distT="0" distB="63500" distL="0" distR="0">
                                        <wp:extent cx="7524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8" w:type="dxa"/>
                        <w:jc w:val="center"/>
                        <w:tblInd w:w="0" w:type="dxa"/>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71" w:type="dxa"/>
                            <w:gridSpan w:val="3"/>
                            <w:tcBorders/>
                            <w:shd w:fill="auto" w:val="clear"/>
                            <w:tcMar>
                              <w:top w:w="0" w:type="dxa"/>
                              <w:left w:w="0" w:type="dxa"/>
                              <w:bottom w:w="0" w:type="dxa"/>
                              <w:right w:w="0" w:type="dxa"/>
                            </w:tcMar>
                            <w:vAlign w:val="center"/>
                          </w:tcPr>
                          <w:p>
                            <w:pPr>
                              <w:pStyle w:val="TableContents"/>
                              <w:spacing w:before="60" w:after="283"/>
                              <w:jc w:val="right"/>
                              <w:rPr/>
                            </w:pPr>
                            <w:r>
                              <w:rPr/>
                              <w:drawing>
                                <wp:inline distT="0" distB="63500" distL="0" distR="0">
                                  <wp:extent cx="7524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lineRule="auto" w:line="288" w:before="180" w:after="283"/>
        <w:jc w:val="center"/>
        <w:rPr>
          <w:rFonts w:ascii="Calibri;sans-serif" w:hAnsi="Calibri;sans-serif"/>
          <w:b/>
          <w:color w:val="51555C"/>
          <w:sz w:val="20"/>
        </w:rPr>
      </w:pPr>
      <w:r>
        <w:rPr>
          <w:rFonts w:ascii="Calibri;sans-serif" w:hAnsi="Calibri;sans-serif"/>
          <w:b/>
          <w:color w:val="51555C"/>
          <w:sz w:val="20"/>
        </w:rPr>
        <w:t>Blackbaud, Inc.</w:t>
      </w:r>
    </w:p>
    <w:tbl>
      <w:tblPr>
        <w:tblW w:w="10205" w:type="dxa"/>
        <w:jc w:val="center"/>
        <w:tblInd w:w="0" w:type="dxa"/>
        <w:tblCellMar>
          <w:top w:w="28" w:type="dxa"/>
          <w:left w:w="28" w:type="dxa"/>
          <w:bottom w:w="28" w:type="dxa"/>
          <w:right w:w="28" w:type="dxa"/>
        </w:tblCellMar>
      </w:tblPr>
      <w:tblGrid>
        <w:gridCol w:w="124"/>
        <w:gridCol w:w="109"/>
        <w:gridCol w:w="109"/>
        <w:gridCol w:w="173"/>
        <w:gridCol w:w="173"/>
        <w:gridCol w:w="175"/>
        <w:gridCol w:w="2735"/>
        <w:gridCol w:w="2735"/>
        <w:gridCol w:w="38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387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76225" cy="276225"/>
                          </a:xfrm>
                          <a:prstGeom prst="rect">
                            <a:avLst/>
                          </a:prstGeom>
                        </pic:spPr>
                      </pic:pic>
                    </a:graphicData>
                  </a:graphic>
                </wp:inline>
              </w:drawing>
            </w:r>
          </w:p>
        </w:tc>
        <w:tc>
          <w:tcPr>
            <w:tcW w:w="9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0535A"/>
                <w:sz w:val="44"/>
              </w:rPr>
            </w:pPr>
            <w:r>
              <w:rPr>
                <w:rFonts w:ascii="Calibri;sans-serif" w:hAnsi="Calibri;sans-serif"/>
                <w:b/>
                <w:color w:val="50535A"/>
                <w:sz w:val="44"/>
              </w:rPr>
              <w:t>CAUTIONARY STATEMENT REGARDING FORWARD-LOOKING STATEMENTS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2022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91540"/>
                <wp:effectExtent l="0" t="0" r="0" b="0"/>
                <wp:wrapNone/>
                <wp:docPr id="7" name="Frame3"/>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57" w:type="dxa"/>
                              <w:jc w:val="center"/>
                              <w:tblInd w:w="0" w:type="dxa"/>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w:t>
                                  </w:r>
                                </w:p>
                              </w:tc>
                              <w:tc>
                                <w:tcPr>
                                  <w:tcW w:w="1271" w:type="dxa"/>
                                  <w:gridSpan w:val="3"/>
                                  <w:tcBorders/>
                                  <w:shd w:fill="auto" w:val="clear"/>
                                  <w:tcMar>
                                    <w:top w:w="0" w:type="dxa"/>
                                    <w:left w:w="0" w:type="dxa"/>
                                    <w:bottom w:w="0" w:type="dxa"/>
                                    <w:right w:w="0" w:type="dxa"/>
                                  </w:tcMar>
                                  <w:vAlign w:val="center"/>
                                </w:tcPr>
                                <w:p>
                                  <w:pPr>
                                    <w:pStyle w:val="TableContents"/>
                                    <w:spacing w:before="60" w:after="283"/>
                                    <w:rPr/>
                                  </w:pPr>
                                  <w:r>
                                    <w:rPr/>
                                    <w:drawing>
                                      <wp:inline distT="0" distB="63500" distL="0" distR="0">
                                        <wp:extent cx="752475" cy="1905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52475"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7" w:type="dxa"/>
                        <w:jc w:val="center"/>
                        <w:tblInd w:w="0" w:type="dxa"/>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w:t>
                            </w:r>
                          </w:p>
                        </w:tc>
                        <w:tc>
                          <w:tcPr>
                            <w:tcW w:w="1271" w:type="dxa"/>
                            <w:gridSpan w:val="3"/>
                            <w:tcBorders/>
                            <w:shd w:fill="auto" w:val="clear"/>
                            <w:tcMar>
                              <w:top w:w="0" w:type="dxa"/>
                              <w:left w:w="0" w:type="dxa"/>
                              <w:bottom w:w="0" w:type="dxa"/>
                              <w:right w:w="0" w:type="dxa"/>
                            </w:tcMar>
                            <w:vAlign w:val="center"/>
                          </w:tcPr>
                          <w:p>
                            <w:pPr>
                              <w:pStyle w:val="TableContents"/>
                              <w:spacing w:before="60" w:after="283"/>
                              <w:rPr/>
                            </w:pPr>
                            <w:r>
                              <w:rPr/>
                              <w:drawing>
                                <wp:inline distT="0" distB="63500" distL="0" distR="0">
                                  <wp:extent cx="752475" cy="190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752475"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before="180" w:after="283"/>
        <w:jc w:val="both"/>
        <w:rPr/>
      </w:pPr>
      <w:r>
        <w:rPr/>
      </w:r>
    </w:p>
    <w:tbl>
      <w:tblPr>
        <w:tblW w:w="7163" w:type="dxa"/>
        <w:jc w:val="left"/>
        <w:tblInd w:w="0" w:type="dxa"/>
        <w:tblCellMar>
          <w:top w:w="28" w:type="dxa"/>
          <w:left w:w="28" w:type="dxa"/>
          <w:bottom w:w="28" w:type="dxa"/>
          <w:right w:w="28" w:type="dxa"/>
        </w:tblCellMar>
      </w:tblPr>
      <w:tblGrid>
        <w:gridCol w:w="124"/>
        <w:gridCol w:w="109"/>
        <w:gridCol w:w="109"/>
        <w:gridCol w:w="173"/>
        <w:gridCol w:w="173"/>
        <w:gridCol w:w="175"/>
        <w:gridCol w:w="1845"/>
        <w:gridCol w:w="1845"/>
        <w:gridCol w:w="26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26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276225" cy="276225"/>
                          </a:xfrm>
                          <a:prstGeom prst="rect">
                            <a:avLst/>
                          </a:prstGeom>
                        </pic:spPr>
                      </pic:pic>
                    </a:graphicData>
                  </a:graphic>
                </wp:inline>
              </w:drawing>
            </w:r>
          </w:p>
        </w:tc>
        <w:tc>
          <w:tcPr>
            <w:tcW w:w="63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0535A"/>
                <w:sz w:val="44"/>
              </w:rPr>
            </w:pPr>
            <w:r>
              <w:rPr>
                <w:rFonts w:ascii="Calibri;sans-serif" w:hAnsi="Calibri;sans-serif"/>
                <w:b/>
                <w:color w:val="50535A"/>
                <w:sz w:val="44"/>
              </w:rPr>
              <w:t>PART I. FINANCIAL INFORMATION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Calibri;sans-serif" w:hAnsi="Calibri;sans-serif"/>
          <w:b/>
          <w:color w:val="004054"/>
          <w:sz w:val="32"/>
        </w:rPr>
      </w:pPr>
      <w:r>
        <w:rPr>
          <w:rFonts w:ascii="Calibri;sans-serif" w:hAnsi="Calibri;sans-serif"/>
          <w:b/>
          <w:color w:val="004054"/>
          <w:sz w:val="32"/>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809"/>
        <w:gridCol w:w="2315"/>
        <w:gridCol w:w="2326"/>
        <w:gridCol w:w="224"/>
        <w:gridCol w:w="1000"/>
        <w:gridCol w:w="125"/>
        <w:gridCol w:w="224"/>
        <w:gridCol w:w="1000"/>
        <w:gridCol w:w="182"/>
      </w:tblGrid>
      <w:tr>
        <w:trPr/>
        <w:tc>
          <w:tcPr>
            <w:tcW w:w="2809"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51555C"/>
                <w:sz w:val="20"/>
              </w:rPr>
            </w:pPr>
            <w:r>
              <w:rPr>
                <w:rFonts w:ascii="Calibri;sans-serif" w:hAnsi="Calibri;sans-serif"/>
                <w:b/>
                <w:color w:val="51555C"/>
                <w:sz w:val="20"/>
              </w:rPr>
              <w:t>Blackbaud, Inc.</w:t>
              <w:br/>
              <w:t>Condensed Consolidated Balance Sheets</w:t>
              <w:br/>
              <w:t>(Unaudited)</w:t>
            </w:r>
          </w:p>
        </w:tc>
      </w:tr>
      <w:tr>
        <w:trPr/>
        <w:tc>
          <w:tcPr>
            <w:tcW w:w="745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34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40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745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Assets</w:t>
            </w:r>
          </w:p>
        </w:tc>
        <w:tc>
          <w:tcPr>
            <w:tcW w:w="1349"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Current assets:</w:t>
            </w:r>
          </w:p>
        </w:tc>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Cash and cash equivalents</w:t>
            </w:r>
          </w:p>
        </w:tc>
        <w:tc>
          <w:tcPr>
            <w:tcW w:w="224"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24,083 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31,691 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cash</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364,071 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702,240 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Accounts receivable, net of allowance of $7,688 and $7,318 at March 31, 2023 and December 31, 2022, respectively</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100,253 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102,809 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Customer funds receivable</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2,136 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Prepaid expenses and other current assets</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88,779 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81,654 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current assets</w:t>
            </w:r>
          </w:p>
        </w:tc>
        <w:tc>
          <w:tcPr>
            <w:tcW w:w="1224"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579,322 </w:t>
            </w:r>
          </w:p>
        </w:tc>
        <w:tc>
          <w:tcPr>
            <w:tcW w:w="125"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918,643 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Property and equipment, net</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105,309 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107,426 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Operating lease right-of-use assets</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47,176 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45,899 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Software and content development costs, net</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145,705 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141,023 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Goodwill</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1,051,652 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1,050,272 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Intangible assets, net</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622,237 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635,136 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assets</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87,947 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94,304 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assets</w:t>
            </w:r>
          </w:p>
        </w:tc>
        <w:tc>
          <w:tcPr>
            <w:tcW w:w="22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2,639,348 </w:t>
            </w:r>
          </w:p>
        </w:tc>
        <w:tc>
          <w:tcPr>
            <w:tcW w:w="12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2,992,703 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Liabilities and stockholders’ equity</w:t>
            </w:r>
          </w:p>
        </w:tc>
        <w:tc>
          <w:tcPr>
            <w:tcW w:w="1349"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Current liabilities:</w:t>
            </w:r>
          </w:p>
        </w:tc>
        <w:tc>
          <w:tcPr>
            <w:tcW w:w="134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Trade accounts payable</w:t>
            </w:r>
          </w:p>
        </w:tc>
        <w:tc>
          <w:tcPr>
            <w:tcW w:w="2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46,528 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42,559 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Accrued expenses and other current liabilities</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72,799 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86,002 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Due to customers</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364,397 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700,860 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Debt, current portion</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19,136 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18,802 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 current portion</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361,003 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382,419 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current liabilities</w:t>
            </w:r>
          </w:p>
        </w:tc>
        <w:tc>
          <w:tcPr>
            <w:tcW w:w="1224"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863,863 </w:t>
            </w:r>
          </w:p>
        </w:tc>
        <w:tc>
          <w:tcPr>
            <w:tcW w:w="12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1,230,642 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Debt, net of current portion</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858,912 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840,241 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tax liability</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131,460 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125,759 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 net of current portion</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6,956 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2,817 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Operating lease liabilities, net of current portion</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45,190 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44,918 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liabilities</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13,234 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4,294 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liabilities</w:t>
            </w:r>
          </w:p>
        </w:tc>
        <w:tc>
          <w:tcPr>
            <w:tcW w:w="1224"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1,919,615 </w:t>
            </w:r>
          </w:p>
        </w:tc>
        <w:tc>
          <w:tcPr>
            <w:tcW w:w="12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2,248,671 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Commitments and contingencies (see Note 8)</w:t>
            </w:r>
          </w:p>
        </w:tc>
        <w:tc>
          <w:tcPr>
            <w:tcW w:w="1349"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Stockholders’ equity:</w:t>
            </w:r>
          </w:p>
        </w:tc>
        <w:tc>
          <w:tcPr>
            <w:tcW w:w="134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Preferred stock; 20,000,000 shares authorized, none outstanding</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Common stock, $0.001 par value; 180,000,000 shares authorized, 69,154,863 and 67,814,044 shares issued at March 31, 2023 and December 31, 2022, respectively</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Additional paid-in capital</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1,105,189 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1,075,264 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Treasury stock, at cost; 15,278,827 and 14,745,230 shares at March 31, 2023 and December 31, 2022, respectively</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(568,277)</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(537,287)</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Accumulated other comprehensive income</w:t>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8,938 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Retained earnings</w:t>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182,348 </w:t>
            </w:r>
          </w:p>
        </w:tc>
        <w:tc>
          <w:tcPr>
            <w:tcW w:w="1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197,049 </w:t>
            </w:r>
          </w:p>
        </w:tc>
        <w:tc>
          <w:tcPr>
            <w:tcW w:w="18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stockholders’ equity</w:t>
            </w:r>
          </w:p>
        </w:tc>
        <w:tc>
          <w:tcPr>
            <w:tcW w:w="1224"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719,733 </w:t>
            </w:r>
          </w:p>
        </w:tc>
        <w:tc>
          <w:tcPr>
            <w:tcW w:w="125"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744,032 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liabilities and stockholders’ equity</w:t>
            </w:r>
          </w:p>
        </w:tc>
        <w:tc>
          <w:tcPr>
            <w:tcW w:w="22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2,639,348 </w:t>
            </w:r>
          </w:p>
        </w:tc>
        <w:tc>
          <w:tcPr>
            <w:tcW w:w="12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000"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2,992,703 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91540"/>
                <wp:effectExtent l="0" t="0" r="0" b="0"/>
                <wp:wrapNone/>
                <wp:docPr id="11" name="Frame4"/>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58" w:type="dxa"/>
                              <w:jc w:val="center"/>
                              <w:tblInd w:w="0" w:type="dxa"/>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71" w:type="dxa"/>
                                  <w:gridSpan w:val="3"/>
                                  <w:tcBorders/>
                                  <w:shd w:fill="auto" w:val="clear"/>
                                  <w:tcMar>
                                    <w:top w:w="0" w:type="dxa"/>
                                    <w:left w:w="0" w:type="dxa"/>
                                    <w:bottom w:w="0" w:type="dxa"/>
                                    <w:right w:w="0" w:type="dxa"/>
                                  </w:tcMar>
                                  <w:vAlign w:val="center"/>
                                </w:tcPr>
                                <w:p>
                                  <w:pPr>
                                    <w:pStyle w:val="TableContents"/>
                                    <w:spacing w:before="60" w:after="283"/>
                                    <w:jc w:val="right"/>
                                    <w:rPr/>
                                  </w:pPr>
                                  <w:r>
                                    <w:rPr/>
                                    <w:drawing>
                                      <wp:inline distT="0" distB="63500" distL="0" distR="0">
                                        <wp:extent cx="752475" cy="1905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8" w:type="dxa"/>
                        <w:jc w:val="center"/>
                        <w:tblInd w:w="0" w:type="dxa"/>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71" w:type="dxa"/>
                            <w:gridSpan w:val="3"/>
                            <w:tcBorders/>
                            <w:shd w:fill="auto" w:val="clear"/>
                            <w:tcMar>
                              <w:top w:w="0" w:type="dxa"/>
                              <w:left w:w="0" w:type="dxa"/>
                              <w:bottom w:w="0" w:type="dxa"/>
                              <w:right w:w="0" w:type="dxa"/>
                            </w:tcMar>
                            <w:vAlign w:val="center"/>
                          </w:tcPr>
                          <w:p>
                            <w:pPr>
                              <w:pStyle w:val="TableContents"/>
                              <w:spacing w:before="60" w:after="283"/>
                              <w:jc w:val="right"/>
                              <w:rPr/>
                            </w:pPr>
                            <w:r>
                              <w:rPr/>
                              <w:drawing>
                                <wp:inline distT="0" distB="63500" distL="0" distR="0">
                                  <wp:extent cx="752475" cy="190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w:t>
                            </w:r>
                          </w:p>
                        </w:tc>
                      </w:tr>
                    </w:tbl>
                    <w:p>
                      <w:pPr>
                        <w:pStyle w:val="TextBody"/>
                        <w:spacing w:before="0" w:after="283"/>
                        <w:rPr/>
                      </w:pPr>
                      <w:r>
                        <w:rPr/>
                      </w:r>
                    </w:p>
                  </w:txbxContent>
                </v:textbox>
              </v:rect>
            </w:pict>
          </mc:Fallback>
        </mc:AlternateContent>
      </w:r>
    </w:p>
    <w:p>
      <w:pPr>
        <w:pStyle w:val="TextBody"/>
        <w:spacing w:before="180" w:after="283"/>
        <w:jc w:val="center"/>
        <w:rPr/>
      </w:pPr>
      <w:r>
        <w:rPr/>
      </w:r>
    </w:p>
    <w:p>
      <w:pPr>
        <w:pStyle w:val="TextBody"/>
        <w:spacing w:before="180" w:after="283"/>
        <w:jc w:val="center"/>
        <w:rPr/>
      </w:pPr>
      <w:r>
        <w:rPr/>
      </w:r>
    </w:p>
    <w:tbl>
      <w:tblPr>
        <w:tblW w:w="10098" w:type="dxa"/>
        <w:jc w:val="center"/>
        <w:tblInd w:w="0" w:type="dxa"/>
        <w:tblCellMar>
          <w:top w:w="28" w:type="dxa"/>
          <w:left w:w="28" w:type="dxa"/>
          <w:bottom w:w="28" w:type="dxa"/>
          <w:right w:w="28" w:type="dxa"/>
        </w:tblCellMar>
      </w:tblPr>
      <w:tblGrid>
        <w:gridCol w:w="1868"/>
        <w:gridCol w:w="1639"/>
        <w:gridCol w:w="1639"/>
        <w:gridCol w:w="1141"/>
        <w:gridCol w:w="1152"/>
        <w:gridCol w:w="146"/>
        <w:gridCol w:w="263"/>
        <w:gridCol w:w="989"/>
        <w:gridCol w:w="146"/>
        <w:gridCol w:w="202"/>
        <w:gridCol w:w="759"/>
        <w:gridCol w:w="154"/>
      </w:tblGrid>
      <w:tr>
        <w:trPr/>
        <w:tc>
          <w:tcPr>
            <w:tcW w:w="1868"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439" w:type="dxa"/>
            <w:gridSpan w:val="5"/>
            <w:tcBorders>
              <w:bottom w:val="single" w:sz="8" w:space="0" w:color="004054"/>
            </w:tcBorders>
            <w:shd w:fill="auto" w:val="clear"/>
            <w:tcMar>
              <w:top w:w="0" w:type="dxa"/>
              <w:left w:w="0" w:type="dxa"/>
              <w:bottom w:w="30" w:type="dxa"/>
              <w:right w:w="0" w:type="dxa"/>
            </w:tcMar>
            <w:vAlign w:val="center"/>
          </w:tcPr>
          <w:p>
            <w:pPr>
              <w:pStyle w:val="TableContents"/>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ableContents"/>
              <w:spacing w:lineRule="auto" w:line="288" w:before="0" w:after="0"/>
              <w:jc w:val="center"/>
              <w:rPr>
                <w:rFonts w:ascii="Calibri;sans-serif" w:hAnsi="Calibri;sans-serif"/>
                <w:b/>
                <w:color w:val="51555C"/>
                <w:sz w:val="20"/>
              </w:rPr>
            </w:pPr>
            <w:r>
              <w:rPr>
                <w:rFonts w:ascii="Calibri;sans-serif" w:hAnsi="Calibri;sans-serif"/>
                <w:b/>
                <w:color w:val="51555C"/>
                <w:sz w:val="20"/>
              </w:rPr>
              <w:t>Condensed Consolidated Statements of Comprehensive Loss</w:t>
            </w:r>
          </w:p>
          <w:p>
            <w:pPr>
              <w:pStyle w:val="TableContents"/>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c>
        <w:tc>
          <w:tcPr>
            <w:tcW w:w="2659" w:type="dxa"/>
            <w:gridSpan w:val="7"/>
            <w:tcBorders/>
            <w:shd w:fill="auto" w:val="clear"/>
          </w:tcPr>
          <w:p>
            <w:pPr>
              <w:pStyle w:val="TableContents"/>
              <w:spacing w:before="0" w:after="283"/>
              <w:rPr>
                <w:sz w:val="4"/>
                <w:szCs w:val="4"/>
              </w:rPr>
            </w:pPr>
            <w:r>
              <w:rPr>
                <w:sz w:val="4"/>
                <w:szCs w:val="4"/>
              </w:rPr>
            </w:r>
          </w:p>
        </w:tc>
      </w:tr>
      <w:tr>
        <w:trPr/>
        <w:tc>
          <w:tcPr>
            <w:tcW w:w="5146"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Three months ended</w:t>
              <w:br/>
              <w:t>March 31,</w:t>
            </w:r>
          </w:p>
        </w:tc>
        <w:tc>
          <w:tcPr>
            <w:tcW w:w="1115" w:type="dxa"/>
            <w:gridSpan w:val="3"/>
            <w:tcBorders/>
            <w:shd w:fill="auto" w:val="clear"/>
          </w:tcPr>
          <w:p>
            <w:pPr>
              <w:pStyle w:val="TableContents"/>
              <w:spacing w:before="0" w:after="283"/>
              <w:rPr>
                <w:sz w:val="4"/>
                <w:szCs w:val="4"/>
              </w:rPr>
            </w:pPr>
            <w:r>
              <w:rPr>
                <w:sz w:val="4"/>
                <w:szCs w:val="4"/>
              </w:rPr>
            </w:r>
          </w:p>
        </w:tc>
      </w:tr>
      <w:tr>
        <w:trPr/>
        <w:tc>
          <w:tcPr>
            <w:tcW w:w="5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2023</w:t>
            </w:r>
          </w:p>
        </w:tc>
        <w:tc>
          <w:tcPr>
            <w:tcW w:w="111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2022</w:t>
            </w:r>
          </w:p>
        </w:tc>
      </w:tr>
      <w:tr>
        <w:trPr/>
        <w:tc>
          <w:tcPr>
            <w:tcW w:w="5146"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Revenue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Recurring</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252,748 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244,666 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One-time services and other</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9,005 </w:t>
            </w:r>
          </w:p>
        </w:tc>
        <w:tc>
          <w:tcPr>
            <w:tcW w:w="1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12,458 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revenue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261,753 </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257,124 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Cost of revenue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Cost of recurring</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114,500 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112,174 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Cost of one-time services and other</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8,612 </w:t>
            </w:r>
          </w:p>
        </w:tc>
        <w:tc>
          <w:tcPr>
            <w:tcW w:w="1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11,188 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cost of revenue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123,112 </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123,362 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Gross profit</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138,641 </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133,762 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Operating expenses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Sales, marketing and customer success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54,385 </w:t>
            </w:r>
          </w:p>
        </w:tc>
        <w:tc>
          <w:tcPr>
            <w:tcW w:w="1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55,216 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Research and development</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40,591 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39,952 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General and administrative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52,838 </w:t>
            </w:r>
          </w:p>
        </w:tc>
        <w:tc>
          <w:tcPr>
            <w:tcW w:w="1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43,762 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Amortization</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774 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operating expenses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148,588 </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139,741 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Loss from operations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(9,947)</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(5,979)</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Interest expense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(10,662)</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(7,599)</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income, net</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2,007 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Loss before provision for income taxes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(18,602)</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(12,457)</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Income tax benefit</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(3,901)</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Net loss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(10,407)</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Loss per share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Basic</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(0.28)</w:t>
            </w:r>
          </w:p>
        </w:tc>
        <w:tc>
          <w:tcPr>
            <w:tcW w:w="1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(0.20)</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Diluted</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(0.28)</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Common shares and equivalents outstanding</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Basic weighted average shares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52,132,999 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51,199,717 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Diluted weighted average shares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52,132,999 </w:t>
            </w:r>
          </w:p>
        </w:tc>
        <w:tc>
          <w:tcPr>
            <w:tcW w:w="1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51,199,717 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Other comprehensive (loss) income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Foreign currency translation adjustment</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2,158 </w:t>
            </w:r>
          </w:p>
        </w:tc>
        <w:tc>
          <w:tcPr>
            <w:tcW w:w="1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(2,132)</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Unrealized (loss) gain on derivative instruments, net of tax</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(10,692)</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10,905 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Total other comprehensive (loss) income</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8,773 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Comprehensive loss</w:t>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(23,235)</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(1,634)</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6"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39"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c>
          <w:tcPr>
            <w:tcW w:w="2659" w:type="dxa"/>
            <w:gridSpan w:val="7"/>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91540"/>
                <wp:effectExtent l="0" t="0" r="0" b="0"/>
                <wp:wrapNone/>
                <wp:docPr id="14" name="Frame5"/>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57" w:type="dxa"/>
                              <w:jc w:val="center"/>
                              <w:tblInd w:w="0" w:type="dxa"/>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w:t>
                                  </w:r>
                                </w:p>
                              </w:tc>
                              <w:tc>
                                <w:tcPr>
                                  <w:tcW w:w="1271" w:type="dxa"/>
                                  <w:gridSpan w:val="3"/>
                                  <w:tcBorders/>
                                  <w:shd w:fill="auto" w:val="clear"/>
                                  <w:tcMar>
                                    <w:top w:w="0" w:type="dxa"/>
                                    <w:left w:w="0" w:type="dxa"/>
                                    <w:bottom w:w="0" w:type="dxa"/>
                                    <w:right w:w="0" w:type="dxa"/>
                                  </w:tcMar>
                                  <w:vAlign w:val="center"/>
                                </w:tcPr>
                                <w:p>
                                  <w:pPr>
                                    <w:pStyle w:val="TableContents"/>
                                    <w:spacing w:before="60" w:after="283"/>
                                    <w:rPr/>
                                  </w:pPr>
                                  <w:r>
                                    <w:rPr/>
                                    <w:drawing>
                                      <wp:inline distT="0" distB="63500" distL="0" distR="0">
                                        <wp:extent cx="752475" cy="1905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752475"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7" w:type="dxa"/>
                        <w:jc w:val="center"/>
                        <w:tblInd w:w="0" w:type="dxa"/>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w:t>
                            </w:r>
                          </w:p>
                        </w:tc>
                        <w:tc>
                          <w:tcPr>
                            <w:tcW w:w="1271" w:type="dxa"/>
                            <w:gridSpan w:val="3"/>
                            <w:tcBorders/>
                            <w:shd w:fill="auto" w:val="clear"/>
                            <w:tcMar>
                              <w:top w:w="0" w:type="dxa"/>
                              <w:left w:w="0" w:type="dxa"/>
                              <w:bottom w:w="0" w:type="dxa"/>
                              <w:right w:w="0" w:type="dxa"/>
                            </w:tcMar>
                            <w:vAlign w:val="center"/>
                          </w:tcPr>
                          <w:p>
                            <w:pPr>
                              <w:pStyle w:val="TableContents"/>
                              <w:spacing w:before="60" w:after="283"/>
                              <w:rPr/>
                            </w:pPr>
                            <w:r>
                              <w:rPr/>
                              <w:drawing>
                                <wp:inline distT="0" distB="63500" distL="0" distR="0">
                                  <wp:extent cx="752475" cy="190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752475"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before="180" w:after="283"/>
        <w:jc w:val="both"/>
        <w:rPr/>
      </w:pPr>
      <w:r>
        <w:rPr/>
      </w:r>
    </w:p>
    <w:tbl>
      <w:tblPr>
        <w:tblW w:w="10205" w:type="dxa"/>
        <w:jc w:val="center"/>
        <w:tblInd w:w="0" w:type="dxa"/>
        <w:tblCellMar>
          <w:top w:w="28" w:type="dxa"/>
          <w:left w:w="28" w:type="dxa"/>
          <w:bottom w:w="28" w:type="dxa"/>
          <w:right w:w="28" w:type="dxa"/>
        </w:tblCellMar>
      </w:tblPr>
      <w:tblGrid>
        <w:gridCol w:w="2360"/>
        <w:gridCol w:w="2068"/>
        <w:gridCol w:w="2075"/>
        <w:gridCol w:w="341"/>
        <w:gridCol w:w="1280"/>
        <w:gridCol w:w="189"/>
        <w:gridCol w:w="341"/>
        <w:gridCol w:w="1280"/>
        <w:gridCol w:w="271"/>
      </w:tblGrid>
      <w:tr>
        <w:trPr/>
        <w:tc>
          <w:tcPr>
            <w:tcW w:w="2360"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single" w:sz="8" w:space="0" w:color="004054"/>
            </w:tcBorders>
            <w:shd w:fill="auto" w:val="clear"/>
            <w:tcMar>
              <w:top w:w="0" w:type="dxa"/>
              <w:left w:w="0" w:type="dxa"/>
              <w:bottom w:w="30" w:type="dxa"/>
              <w:right w:w="0" w:type="dxa"/>
            </w:tcMar>
            <w:vAlign w:val="center"/>
          </w:tcPr>
          <w:p>
            <w:pPr>
              <w:pStyle w:val="TableContents"/>
              <w:spacing w:lineRule="auto" w:line="288" w:before="0" w:after="283"/>
              <w:jc w:val="center"/>
              <w:rPr>
                <w:rFonts w:ascii="Calibri;sans-serif" w:hAnsi="Calibri;sans-serif"/>
                <w:b/>
                <w:color w:val="51555C"/>
                <w:sz w:val="20"/>
              </w:rPr>
            </w:pPr>
            <w:r>
              <w:rPr>
                <w:rFonts w:ascii="Calibri;sans-serif" w:hAnsi="Calibri;sans-serif"/>
                <w:b/>
                <w:color w:val="51555C"/>
                <w:sz w:val="20"/>
              </w:rPr>
              <w:t>Blackbaud, Inc.</w:t>
              <w:br/>
              <w:t>Condensed Consolidated Statements of Cash Flows</w:t>
              <w:br/>
              <w:t>(Unaudited)</w:t>
            </w:r>
          </w:p>
        </w:tc>
      </w:tr>
      <w:tr>
        <w:trPr/>
        <w:tc>
          <w:tcPr>
            <w:tcW w:w="650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color w:val="FFFFFF"/>
              </w:rPr>
            </w:pPr>
            <w:r>
              <w:rPr>
                <w:color w:val="FFFFFF"/>
              </w:rPr>
              <w:t> </w:t>
            </w:r>
          </w:p>
        </w:tc>
        <w:tc>
          <w:tcPr>
            <w:tcW w:w="370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Three months ended</w:t>
              <w:br/>
              <w:t>March 31,</w:t>
            </w:r>
          </w:p>
        </w:tc>
      </w:tr>
      <w:tr>
        <w:trPr/>
        <w:tc>
          <w:tcPr>
            <w:tcW w:w="650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2023</w:t>
            </w:r>
          </w:p>
        </w:tc>
        <w:tc>
          <w:tcPr>
            <w:tcW w:w="189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2022</w:t>
            </w:r>
          </w:p>
        </w:tc>
      </w:tr>
      <w:tr>
        <w:trPr/>
        <w:tc>
          <w:tcPr>
            <w:tcW w:w="6503"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operating activities</w:t>
            </w:r>
          </w:p>
        </w:tc>
        <w:tc>
          <w:tcPr>
            <w:tcW w:w="1810"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3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(10,407)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Adjustments to reconcile net loss to net cash provided by operating activities:</w:t>
            </w:r>
          </w:p>
        </w:tc>
        <w:tc>
          <w:tcPr>
            <w:tcW w:w="1810"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Depreciation and amortization</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27,272 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25,545 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Provision for credit losses and sales returns</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1,522 </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1,875 </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 expense</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27,860 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taxes</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9,245 </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(7,431)</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Amortization of deferred financing costs and discount</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500 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non-cash adjustments</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(215)</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(150)</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Changes in operating assets and liabilities, net of acquisition and disposal of businesses:</w:t>
            </w:r>
          </w:p>
        </w:tc>
        <w:tc>
          <w:tcPr>
            <w:tcW w:w="1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Accounts receivable</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1,139 </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9,010 </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Prepaid expenses and other assets</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(2,750)</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(2,067)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Trade accounts payable</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3,362 </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15,919 </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Accrued expenses and other liabilities</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(15,931)</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(13,430)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(17,562)</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(22,865)</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Net cash provided by operating activities</w:t>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21,806 </w:t>
            </w:r>
          </w:p>
        </w:tc>
        <w:tc>
          <w:tcPr>
            <w:tcW w:w="18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24,504 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investing activities</w:t>
            </w:r>
          </w:p>
        </w:tc>
        <w:tc>
          <w:tcPr>
            <w:tcW w:w="1810"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Purchase of property and equipment</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(1,364)</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(4,266)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Capitalized software and content development costs</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(13,967)</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(12,683)</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Purchase of net assets of acquired companies, net of cash and restricted cash acquired</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(19,985)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1892" w:type="dxa"/>
            <w:gridSpan w:val="3"/>
            <w:tcBorders/>
            <w:shd w:fill="auto" w:val="clear"/>
            <w:vAlign w:val="center"/>
          </w:tcPr>
          <w:p>
            <w:pPr>
              <w:pStyle w:val="TableContents"/>
              <w:spacing w:before="0" w:after="283"/>
              <w:rPr>
                <w:sz w:val="4"/>
                <w:szCs w:val="4"/>
              </w:rPr>
            </w:pPr>
            <w:r>
              <w:rPr>
                <w:sz w:val="4"/>
                <w:szCs w:val="4"/>
              </w:rPr>
            </w:r>
          </w:p>
        </w:tc>
      </w:tr>
      <w:tr>
        <w:trPr/>
        <w:tc>
          <w:tcPr>
            <w:tcW w:w="6503"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1892" w:type="dxa"/>
            <w:gridSpan w:val="3"/>
            <w:tcBorders/>
            <w:shd w:fill="auto" w:val="cle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Net cash used in investing activities</w:t>
            </w:r>
          </w:p>
        </w:tc>
        <w:tc>
          <w:tcPr>
            <w:tcW w:w="1621" w:type="dxa"/>
            <w:gridSpan w:val="2"/>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(15,331)</w:t>
            </w:r>
          </w:p>
        </w:tc>
        <w:tc>
          <w:tcPr>
            <w:tcW w:w="189"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(36,934)</w:t>
            </w:r>
          </w:p>
        </w:tc>
        <w:tc>
          <w:tcPr>
            <w:tcW w:w="271"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financing activities</w:t>
            </w:r>
          </w:p>
        </w:tc>
        <w:tc>
          <w:tcPr>
            <w:tcW w:w="1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Proceeds from issuance of debt</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92,600 </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59,400 </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Payments on debt</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(75,403)</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(33,765)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1892" w:type="dxa"/>
            <w:gridSpan w:val="3"/>
            <w:tcBorders/>
            <w:shd w:fill="auto" w:val="clear"/>
            <w:vAlign w:val="center"/>
          </w:tcPr>
          <w:p>
            <w:pPr>
              <w:pStyle w:val="TableContents"/>
              <w:spacing w:before="0" w:after="283"/>
              <w:rPr>
                <w:sz w:val="4"/>
                <w:szCs w:val="4"/>
              </w:rPr>
            </w:pPr>
            <w:r>
              <w:rPr>
                <w:sz w:val="4"/>
                <w:szCs w:val="4"/>
              </w:rPr>
            </w:r>
          </w:p>
        </w:tc>
      </w:tr>
      <w:tr>
        <w:trPr/>
        <w:tc>
          <w:tcPr>
            <w:tcW w:w="6503"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1892" w:type="dxa"/>
            <w:gridSpan w:val="3"/>
            <w:tcBorders/>
            <w:shd w:fill="auto" w:val="cle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Employee taxes paid for withheld shares upon equity award settlement</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(31,417)</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(34,674)</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1892" w:type="dxa"/>
            <w:gridSpan w:val="3"/>
            <w:tcBorders/>
            <w:shd w:fill="auto" w:val="cle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 in due to customers</w:t>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(337,159)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(315,294)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 in customer funds receivable</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(1,859)</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(1,115)</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1892" w:type="dxa"/>
            <w:gridSpan w:val="3"/>
            <w:tcBorders/>
            <w:shd w:fill="auto" w:val="cle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Net cash used in financing activities</w:t>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(353,238)</w:t>
            </w:r>
          </w:p>
        </w:tc>
        <w:tc>
          <w:tcPr>
            <w:tcW w:w="18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(325,448)</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Effect of exchange rate on cash, cash equivalents and restricted cash</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986 </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(504)</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Net decrease in cash, cash equivalents and restricted cash</w:t>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(345,777)</w:t>
            </w:r>
          </w:p>
        </w:tc>
        <w:tc>
          <w:tcPr>
            <w:tcW w:w="18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(338,382)</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Cash, cash equivalents and restricted cash, beginning of period</w:t>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733,931 </w:t>
            </w:r>
          </w:p>
        </w:tc>
        <w:tc>
          <w:tcPr>
            <w:tcW w:w="18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651,762 </w:t>
            </w:r>
          </w:p>
        </w:tc>
        <w:tc>
          <w:tcPr>
            <w:tcW w:w="27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3"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Cash, cash equivalents and restricted cash, end of period</w:t>
            </w:r>
          </w:p>
        </w:tc>
        <w:tc>
          <w:tcPr>
            <w:tcW w:w="3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388,154 </w:t>
            </w:r>
          </w:p>
        </w:tc>
        <w:tc>
          <w:tcPr>
            <w:tcW w:w="18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313,380 </w:t>
            </w:r>
          </w:p>
        </w:tc>
        <w:tc>
          <w:tcPr>
            <w:tcW w:w="27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tbl>
      <w:tblPr>
        <w:tblW w:w="8074" w:type="dxa"/>
        <w:jc w:val="left"/>
        <w:tblInd w:w="0" w:type="dxa"/>
        <w:tblCellMar>
          <w:top w:w="28" w:type="dxa"/>
          <w:left w:w="28" w:type="dxa"/>
          <w:bottom w:w="28" w:type="dxa"/>
          <w:right w:w="28" w:type="dxa"/>
        </w:tblCellMar>
      </w:tblPr>
      <w:tblGrid>
        <w:gridCol w:w="2135"/>
        <w:gridCol w:w="1875"/>
        <w:gridCol w:w="1884"/>
        <w:gridCol w:w="196"/>
        <w:gridCol w:w="736"/>
        <w:gridCol w:w="109"/>
        <w:gridCol w:w="205"/>
        <w:gridCol w:w="773"/>
        <w:gridCol w:w="161"/>
      </w:tblGrid>
      <w:tr>
        <w:trPr/>
        <w:tc>
          <w:tcPr>
            <w:tcW w:w="2135"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589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Cash and cash equivalents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24,083 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31,691 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364,071 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702,240 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cash, cash equivalents and restricted cash in the statement of cash flows</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388,154 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733,931 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91540"/>
                <wp:effectExtent l="0" t="0" r="0" b="0"/>
                <wp:wrapNone/>
                <wp:docPr id="17" name="Frame6"/>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58" w:type="dxa"/>
                              <w:jc w:val="center"/>
                              <w:tblInd w:w="0" w:type="dxa"/>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71" w:type="dxa"/>
                                  <w:gridSpan w:val="3"/>
                                  <w:tcBorders/>
                                  <w:shd w:fill="auto" w:val="clear"/>
                                  <w:tcMar>
                                    <w:top w:w="0" w:type="dxa"/>
                                    <w:left w:w="0" w:type="dxa"/>
                                    <w:bottom w:w="0" w:type="dxa"/>
                                    <w:right w:w="0" w:type="dxa"/>
                                  </w:tcMar>
                                  <w:vAlign w:val="center"/>
                                </w:tcPr>
                                <w:p>
                                  <w:pPr>
                                    <w:pStyle w:val="TableContents"/>
                                    <w:spacing w:before="60" w:after="283"/>
                                    <w:jc w:val="right"/>
                                    <w:rPr/>
                                  </w:pPr>
                                  <w:r>
                                    <w:rPr/>
                                    <w:drawing>
                                      <wp:inline distT="0" distB="63500" distL="0" distR="0">
                                        <wp:extent cx="752475" cy="190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8" w:type="dxa"/>
                        <w:jc w:val="center"/>
                        <w:tblInd w:w="0" w:type="dxa"/>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71" w:type="dxa"/>
                            <w:gridSpan w:val="3"/>
                            <w:tcBorders/>
                            <w:shd w:fill="auto" w:val="clear"/>
                            <w:tcMar>
                              <w:top w:w="0" w:type="dxa"/>
                              <w:left w:w="0" w:type="dxa"/>
                              <w:bottom w:w="0" w:type="dxa"/>
                              <w:right w:w="0" w:type="dxa"/>
                            </w:tcMar>
                            <w:vAlign w:val="center"/>
                          </w:tcPr>
                          <w:p>
                            <w:pPr>
                              <w:pStyle w:val="TableContents"/>
                              <w:spacing w:before="60" w:after="283"/>
                              <w:jc w:val="right"/>
                              <w:rPr/>
                            </w:pPr>
                            <w:r>
                              <w:rPr/>
                              <w:drawing>
                                <wp:inline distT="0" distB="63500" distL="0" distR="0">
                                  <wp:extent cx="752475" cy="190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w:t>
                            </w:r>
                          </w:p>
                        </w:tc>
                      </w:tr>
                    </w:tbl>
                    <w:p>
                      <w:pPr>
                        <w:pStyle w:val="TextBody"/>
                        <w:spacing w:before="0" w:after="283"/>
                        <w:rPr/>
                      </w:pPr>
                      <w:r>
                        <w:rPr/>
                      </w:r>
                    </w:p>
                  </w:txbxContent>
                </v:textbox>
              </v:rect>
            </w:pict>
          </mc:Fallback>
        </mc:AlternateConten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Condensed Consolidated Statements of Stockholders' Equity</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tbl>
      <w:tblPr>
        <w:tblW w:w="10205" w:type="dxa"/>
        <w:jc w:val="left"/>
        <w:tblInd w:w="0" w:type="dxa"/>
        <w:tblCellMar>
          <w:top w:w="28" w:type="dxa"/>
          <w:left w:w="28" w:type="dxa"/>
          <w:bottom w:w="28" w:type="dxa"/>
          <w:right w:w="28" w:type="dxa"/>
        </w:tblCellMar>
      </w:tblPr>
      <w:tblGrid>
        <w:gridCol w:w="1115"/>
        <w:gridCol w:w="836"/>
        <w:gridCol w:w="843"/>
        <w:gridCol w:w="480"/>
        <w:gridCol w:w="481"/>
        <w:gridCol w:w="186"/>
        <w:gridCol w:w="229"/>
        <w:gridCol w:w="354"/>
        <w:gridCol w:w="114"/>
        <w:gridCol w:w="196"/>
        <w:gridCol w:w="871"/>
        <w:gridCol w:w="109"/>
        <w:gridCol w:w="196"/>
        <w:gridCol w:w="770"/>
        <w:gridCol w:w="109"/>
        <w:gridCol w:w="269"/>
        <w:gridCol w:w="765"/>
        <w:gridCol w:w="152"/>
        <w:gridCol w:w="196"/>
        <w:gridCol w:w="736"/>
        <w:gridCol w:w="109"/>
        <w:gridCol w:w="196"/>
        <w:gridCol w:w="736"/>
        <w:gridCol w:w="157"/>
      </w:tblGrid>
      <w:tr>
        <w:trPr/>
        <w:tc>
          <w:tcPr>
            <w:tcW w:w="1115"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79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4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Common stock</w:t>
            </w:r>
          </w:p>
        </w:tc>
        <w:tc>
          <w:tcPr>
            <w:tcW w:w="117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Additional</w:t>
              <w:br/>
              <w:t>paid-in</w:t>
              <w:br/>
              <w:t>capital</w:t>
            </w:r>
          </w:p>
        </w:tc>
        <w:tc>
          <w:tcPr>
            <w:tcW w:w="1075"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Treasury</w:t>
              <w:br/>
              <w:t>stock</w:t>
            </w:r>
          </w:p>
        </w:tc>
        <w:tc>
          <w:tcPr>
            <w:tcW w:w="11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Accumulated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other</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comprehensive</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income</w:t>
            </w:r>
          </w:p>
        </w:tc>
        <w:tc>
          <w:tcPr>
            <w:tcW w:w="104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Retained</w:t>
              <w:br/>
              <w:t>earnings</w:t>
            </w:r>
          </w:p>
        </w:tc>
        <w:tc>
          <w:tcPr>
            <w:tcW w:w="1089"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Total</w:t>
              <w:br/>
              <w:t>stockholders'</w:t>
              <w:br/>
              <w:t>equity</w:t>
            </w:r>
          </w:p>
        </w:tc>
      </w:tr>
      <w:tr>
        <w:trPr/>
        <w:tc>
          <w:tcPr>
            <w:tcW w:w="279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rPr/>
            </w:pPr>
            <w:r>
              <w:rPr/>
            </w:r>
          </w:p>
        </w:tc>
        <w:tc>
          <w:tcPr>
            <w:tcW w:w="114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69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117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075"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1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04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089"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r>
      <w:tr>
        <w:trPr/>
        <w:tc>
          <w:tcPr>
            <w:tcW w:w="279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Balance at December 31, 2022</w:t>
            </w:r>
          </w:p>
        </w:tc>
        <w:tc>
          <w:tcPr>
            <w:tcW w:w="961"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67,814,044 </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1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1,075,264 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(537,287)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8,938 </w:t>
            </w:r>
          </w:p>
        </w:tc>
        <w:tc>
          <w:tcPr>
            <w:tcW w:w="152"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197,049 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744,032 </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954,147 </w:t>
            </w:r>
          </w:p>
        </w:tc>
        <w:tc>
          <w:tcPr>
            <w:tcW w:w="18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533,597 withheld shares upon equity award settlement</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(30,990)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427,941 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(41,269)</w:t>
            </w:r>
          </w:p>
        </w:tc>
        <w:tc>
          <w:tcPr>
            <w:tcW w:w="18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Balance at March 31, 2023</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69,154,863 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1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1,105,189 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(568,277)</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404 </w:t>
            </w:r>
          </w:p>
        </w:tc>
        <w:tc>
          <w:tcPr>
            <w:tcW w:w="152"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182,348 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719,733 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794"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hanging="360"/>
        <w:jc w:val="center"/>
        <w:rPr/>
      </w:pPr>
      <w:r>
        <w:rPr/>
      </w:r>
    </w:p>
    <w:tbl>
      <w:tblPr>
        <w:tblW w:w="10205" w:type="dxa"/>
        <w:jc w:val="left"/>
        <w:tblInd w:w="0" w:type="dxa"/>
        <w:tblCellMar>
          <w:top w:w="28" w:type="dxa"/>
          <w:left w:w="28" w:type="dxa"/>
          <w:bottom w:w="28" w:type="dxa"/>
          <w:right w:w="28" w:type="dxa"/>
        </w:tblCellMar>
      </w:tblPr>
      <w:tblGrid>
        <w:gridCol w:w="1158"/>
        <w:gridCol w:w="880"/>
        <w:gridCol w:w="887"/>
        <w:gridCol w:w="480"/>
        <w:gridCol w:w="481"/>
        <w:gridCol w:w="186"/>
        <w:gridCol w:w="229"/>
        <w:gridCol w:w="355"/>
        <w:gridCol w:w="115"/>
        <w:gridCol w:w="196"/>
        <w:gridCol w:w="736"/>
        <w:gridCol w:w="109"/>
        <w:gridCol w:w="196"/>
        <w:gridCol w:w="772"/>
        <w:gridCol w:w="109"/>
        <w:gridCol w:w="244"/>
        <w:gridCol w:w="805"/>
        <w:gridCol w:w="137"/>
        <w:gridCol w:w="196"/>
        <w:gridCol w:w="736"/>
        <w:gridCol w:w="109"/>
        <w:gridCol w:w="196"/>
        <w:gridCol w:w="736"/>
        <w:gridCol w:w="157"/>
      </w:tblGrid>
      <w:tr>
        <w:trPr/>
        <w:tc>
          <w:tcPr>
            <w:tcW w:w="1158"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925"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4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Common stock</w:t>
            </w:r>
          </w:p>
        </w:tc>
        <w:tc>
          <w:tcPr>
            <w:tcW w:w="104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Additional</w:t>
              <w:br/>
              <w:t>paid-in</w:t>
              <w:br/>
              <w:t>capital</w:t>
            </w:r>
          </w:p>
        </w:tc>
        <w:tc>
          <w:tcPr>
            <w:tcW w:w="1077"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Treasury</w:t>
              <w:br/>
              <w:t>stock</w:t>
            </w:r>
          </w:p>
        </w:tc>
        <w:tc>
          <w:tcPr>
            <w:tcW w:w="11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Accumulated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other</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comprehensive</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income</w:t>
            </w:r>
          </w:p>
        </w:tc>
        <w:tc>
          <w:tcPr>
            <w:tcW w:w="104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Retained</w:t>
              <w:br/>
              <w:t>earnings</w:t>
            </w:r>
          </w:p>
        </w:tc>
        <w:tc>
          <w:tcPr>
            <w:tcW w:w="1089"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Total</w:t>
              <w:br/>
              <w:t>stockholders'</w:t>
              <w:br/>
              <w:t>equity</w:t>
            </w:r>
          </w:p>
        </w:tc>
      </w:tr>
      <w:tr>
        <w:trPr/>
        <w:tc>
          <w:tcPr>
            <w:tcW w:w="2925"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rPr/>
            </w:pPr>
            <w:r>
              <w:rPr/>
            </w:r>
          </w:p>
        </w:tc>
        <w:tc>
          <w:tcPr>
            <w:tcW w:w="114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69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104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077"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1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04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c>
          <w:tcPr>
            <w:tcW w:w="1089"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rPr/>
            </w:pPr>
            <w:r>
              <w:rPr/>
            </w:r>
          </w:p>
        </w:tc>
      </w:tr>
      <w:tr>
        <w:trPr/>
        <w:tc>
          <w:tcPr>
            <w:tcW w:w="292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Balance at December 31, 2021</w:t>
            </w:r>
          </w:p>
        </w:tc>
        <w:tc>
          <w:tcPr>
            <w:tcW w:w="961"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66,165,666 </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5"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66 </w:t>
            </w:r>
          </w:p>
        </w:tc>
        <w:tc>
          <w:tcPr>
            <w:tcW w:w="115"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968,927 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2"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(500,911)</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5"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6,522 </w:t>
            </w:r>
          </w:p>
        </w:tc>
        <w:tc>
          <w:tcPr>
            <w:tcW w:w="13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242,456 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717,060 </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(10,407)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 issuance costs related to purchase of EVERFI</w:t>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(983)</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(983)</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8"/>
              </w:rPr>
              <w:t>Retirements of common stock</w:t>
            </w:r>
            <w:r>
              <w:rPr>
                <w:rFonts w:ascii="Calibri;sans-serif" w:hAnsi="Calibri;sans-serif"/>
                <w:b w:val="false"/>
                <w:color w:val="51555C"/>
                <w:sz w:val="12"/>
              </w:rPr>
              <w:t>(1)</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(33,075)</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(2,581)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976,312 </w:t>
            </w:r>
          </w:p>
        </w:tc>
        <w:tc>
          <w:tcPr>
            <w:tcW w:w="18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533,139 withheld shares upon equity award settlement</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(34,674)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(34,674)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27,860 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27,860 </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580,209 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(30,940)</w:t>
            </w:r>
          </w:p>
        </w:tc>
        <w:tc>
          <w:tcPr>
            <w:tcW w:w="18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8,773 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8,773 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8"/>
              </w:rPr>
            </w:pPr>
            <w:r>
              <w:rPr>
                <w:rFonts w:ascii="Calibri;sans-serif" w:hAnsi="Calibri;sans-serif"/>
                <w:b/>
                <w:color w:val="51555C"/>
                <w:sz w:val="18"/>
              </w:rPr>
              <w:t>Balance at March 31, 2022</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67,658,172 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5"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1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993,223 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2"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(535,585)</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5"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15,295 </w:t>
            </w:r>
          </w:p>
        </w:tc>
        <w:tc>
          <w:tcPr>
            <w:tcW w:w="137"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232,049 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705,050 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CD973"/>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7280" w:type="dxa"/>
            <w:gridSpan w:val="21"/>
            <w:tcBorders/>
            <w:shd w:fill="auto" w:val="clea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Calibri;sans-serif" w:hAnsi="Calibri;sans-serif"/>
          <w:b w:val="false"/>
          <w:color w:val="51555C"/>
          <w:sz w:val="16"/>
          <w:highlight w:val="white"/>
        </w:rPr>
        <w:t>(1)</w:t>
      </w:r>
      <w:r>
        <w:rPr>
          <w:rFonts w:ascii="Calibri;sans-serif" w:hAnsi="Calibri;sans-serif"/>
          <w:b w:val="false"/>
          <w:color w:val="51555C"/>
          <w:sz w:val="16"/>
        </w:rPr>
        <w:t xml:space="preserve">Represents shares retired after determining certain EVERFI's selling shareholders would be paid in cash, rather than shares of our common stock. </w:t>
      </w:r>
    </w:p>
    <w:tbl>
      <w:tblPr>
        <w:tblW w:w="7484" w:type="dxa"/>
        <w:jc w:val="left"/>
        <w:tblInd w:w="0" w:type="dxa"/>
        <w:tblCellMar>
          <w:top w:w="28" w:type="dxa"/>
          <w:left w:w="28" w:type="dxa"/>
          <w:bottom w:w="28" w:type="dxa"/>
          <w:right w:w="28" w:type="dxa"/>
        </w:tblCellMar>
      </w:tblPr>
      <w:tblGrid>
        <w:gridCol w:w="2394"/>
        <w:gridCol w:w="2105"/>
        <w:gridCol w:w="2985"/>
      </w:tblGrid>
      <w:tr>
        <w:trPr/>
        <w:tc>
          <w:tcPr>
            <w:tcW w:w="2394"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r>
      <w:tr>
        <w:trPr/>
        <w:tc>
          <w:tcPr>
            <w:tcW w:w="7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91540"/>
                <wp:effectExtent l="0" t="0" r="0" b="0"/>
                <wp:wrapNone/>
                <wp:docPr id="20" name="Frame7"/>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before="1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709" w:type="dxa"/>
        <w:jc w:val="center"/>
        <w:tblInd w:w="0" w:type="dxa"/>
        <w:tblCellMar>
          <w:top w:w="28" w:type="dxa"/>
          <w:left w:w="28" w:type="dxa"/>
          <w:bottom w:w="28" w:type="dxa"/>
          <w:right w:w="28" w:type="dxa"/>
        </w:tblCellMar>
      </w:tblPr>
      <w:tblGrid>
        <w:gridCol w:w="547"/>
        <w:gridCol w:w="481"/>
        <w:gridCol w:w="681"/>
      </w:tblGrid>
      <w:tr>
        <w:trPr/>
        <w:tc>
          <w:tcPr>
            <w:tcW w:w="54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1. Organization</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and the United Kingdom, supporting users in 100+ countries.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535" w:type="dxa"/>
        <w:jc w:val="left"/>
        <w:tblInd w:w="0" w:type="dxa"/>
        <w:tblCellMar>
          <w:top w:w="28" w:type="dxa"/>
          <w:left w:w="28" w:type="dxa"/>
          <w:bottom w:w="28" w:type="dxa"/>
          <w:right w:w="28" w:type="dxa"/>
        </w:tblCellMar>
      </w:tblPr>
      <w:tblGrid>
        <w:gridCol w:w="812"/>
        <w:gridCol w:w="713"/>
        <w:gridCol w:w="1010"/>
      </w:tblGrid>
      <w:tr>
        <w:trPr/>
        <w:tc>
          <w:tcPr>
            <w:tcW w:w="812"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2. Basis of Presentation</w:t>
            </w:r>
          </w:p>
        </w:tc>
      </w:tr>
    </w:tbl>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Unaudited condensed consolidated interim financial statements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2022 has been derived from the audited consolidated financial statements at that date. Operating results and cash flows for the three months ended March 31, 2023 are not necessarily indicative of the results that may be expected for the fiscal year ending December 31, 2023,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2022, and other forms filed with the SEC from time to time.</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Basis of consolidation</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condensed consolidated financial statements include the accounts of Blackbaud, Inc. and its wholly owned subsidiaries. All intercompany balances and transactions have been eliminated in consolidation.</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Reportable segment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Use of estimates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and content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91540"/>
                <wp:effectExtent l="0" t="0" r="0" b="0"/>
                <wp:wrapNone/>
                <wp:docPr id="23" name="Frame8"/>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7</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Recently adopted accounting pronouncements</w:t>
      </w:r>
    </w:p>
    <w:p>
      <w:pPr>
        <w:pStyle w:val="TextBody"/>
        <w:spacing w:lineRule="auto" w:line="288" w:before="180" w:after="283"/>
        <w:jc w:val="both"/>
        <w:rPr/>
      </w:pPr>
      <w:r>
        <w:rPr>
          <w:rFonts w:ascii="Calibri;sans-serif" w:hAnsi="Calibri;sans-serif"/>
          <w:b w:val="false"/>
          <w:color w:val="51555C"/>
          <w:sz w:val="20"/>
        </w:rPr>
        <w:t xml:space="preserve">In September 2022, the Financial Accounting Standards Board issued Accounting Standards Update 2022-04, </w:t>
      </w:r>
      <w:r>
        <w:rPr>
          <w:rFonts w:ascii="Calibri;sans-serif" w:hAnsi="Calibri;sans-serif"/>
          <w:b w:val="false"/>
          <w:i/>
          <w:color w:val="51555C"/>
          <w:sz w:val="20"/>
        </w:rPr>
        <w:t xml:space="preserve">Liabilities-Supplier Finance Programs (Subtopic 405-50): Disclosure of Supplier Finance Program Obligations </w:t>
      </w:r>
      <w:r>
        <w:rPr>
          <w:rFonts w:ascii="Calibri;sans-serif" w:hAnsi="Calibri;sans-serif"/>
          <w:b w:val="false"/>
          <w:color w:val="51555C"/>
          <w:sz w:val="20"/>
        </w:rPr>
        <w:t xml:space="preserve">("ASU 2022-04"). This update requires entities that use supplier finance programs in connection with the purchase of goods and services to disclose key terms of the programs and information about obligations outstanding at the end of the reporting period, including a rollforward of those obligations. The guidance does not affect the recognition, measurement, or financial statement presentation of supplier finance programs. We adopted ASU 2022-04 on January 1, 2023 and the adoption did not have a material impact on our condensed consolidated financial statements. </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Recently issued accounting pronouncements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no recently issued accounting pronouncements that we expect to have a material impact on our consolidated financial statements when adopted in the future.</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Summary of significant accounting policies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have been no material changes to our significant accounting policies described in our Annual Report on Form 10-K for the year ended December 31, 2022, filed with the SEC on February 24,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875" w:type="dxa"/>
        <w:jc w:val="left"/>
        <w:tblInd w:w="0" w:type="dxa"/>
        <w:tblCellMar>
          <w:top w:w="28" w:type="dxa"/>
          <w:left w:w="28" w:type="dxa"/>
          <w:bottom w:w="28" w:type="dxa"/>
          <w:right w:w="28" w:type="dxa"/>
        </w:tblCellMar>
      </w:tblPr>
      <w:tblGrid>
        <w:gridCol w:w="599"/>
        <w:gridCol w:w="527"/>
        <w:gridCol w:w="749"/>
      </w:tblGrid>
      <w:tr>
        <w:trPr/>
        <w:tc>
          <w:tcPr>
            <w:tcW w:w="59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3. Loss Per Share</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compute basic loss per share by dividing net loss available to common stockholders by the weighted average number of common shares outstanding during the period. Diluted loss per share is computed by dividing net loss available to common stockholders by the weighted average number of common shares and dilutive potential common shares outstanding during the period. Diluted loss per share reflects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 Diluted loss per share for the three months ended March 31, 2023 and 2022 was the same as basic loss per share as there were net losses in both periods and inclusion of potentially dilutive securities was anti-dilutive.</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sets forth the computation of basic and diluted loss per share:</w:t>
      </w:r>
    </w:p>
    <w:tbl>
      <w:tblPr>
        <w:tblW w:w="8742" w:type="dxa"/>
        <w:jc w:val="left"/>
        <w:tblInd w:w="0" w:type="dxa"/>
        <w:tblCellMar>
          <w:top w:w="28" w:type="dxa"/>
          <w:left w:w="28" w:type="dxa"/>
          <w:bottom w:w="28" w:type="dxa"/>
          <w:right w:w="28" w:type="dxa"/>
        </w:tblCellMar>
      </w:tblPr>
      <w:tblGrid>
        <w:gridCol w:w="2078"/>
        <w:gridCol w:w="1827"/>
        <w:gridCol w:w="1840"/>
        <w:gridCol w:w="109"/>
        <w:gridCol w:w="109"/>
        <w:gridCol w:w="137"/>
        <w:gridCol w:w="266"/>
        <w:gridCol w:w="1004"/>
        <w:gridCol w:w="137"/>
        <w:gridCol w:w="240"/>
        <w:gridCol w:w="841"/>
        <w:gridCol w:w="154"/>
      </w:tblGrid>
      <w:tr>
        <w:trPr/>
        <w:tc>
          <w:tcPr>
            <w:tcW w:w="2078"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color w:val="FFFFFF"/>
              </w:rPr>
            </w:pPr>
            <w:r>
              <w:rPr>
                <w:color w:val="FFFFFF"/>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235" w:type="dxa"/>
            <w:gridSpan w:val="3"/>
            <w:tcBorders/>
            <w:shd w:fill="auto" w:val="clear"/>
          </w:tcPr>
          <w:p>
            <w:pPr>
              <w:pStyle w:val="TableContents"/>
              <w:spacing w:before="0" w:after="283"/>
              <w:rPr>
                <w:sz w:val="4"/>
                <w:szCs w:val="4"/>
              </w:rPr>
            </w:pPr>
            <w:r>
              <w:rPr>
                <w:sz w:val="4"/>
                <w:szCs w:val="4"/>
              </w:rPr>
            </w:r>
          </w:p>
        </w:tc>
      </w:tr>
      <w:tr>
        <w:trPr/>
        <w:tc>
          <w:tcPr>
            <w:tcW w:w="57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23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574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(14,701)</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Weighted average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52,132,999 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51,199,717 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Add effect of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Stock-based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Weighted average common shares assuming dilution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70"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52,132,999 </w:t>
            </w:r>
          </w:p>
        </w:tc>
        <w:tc>
          <w:tcPr>
            <w:tcW w:w="137"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51,199,717 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7"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04"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(0.28)</w:t>
            </w:r>
          </w:p>
        </w:tc>
        <w:tc>
          <w:tcPr>
            <w:tcW w:w="13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(0.20)</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(0.28)</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Anti-dilutive shares excluded from calculations of diluted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70" w:type="dxa"/>
            <w:gridSpan w:val="2"/>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1,638,453 </w:t>
            </w:r>
          </w:p>
        </w:tc>
        <w:tc>
          <w:tcPr>
            <w:tcW w:w="137" w:type="dxa"/>
            <w:tcBorders>
              <w:bottom w:val="single" w:sz="8" w:space="0" w:color="0CD973"/>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81" w:type="dxa"/>
            <w:gridSpan w:val="2"/>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1,558,751 </w:t>
            </w:r>
          </w:p>
        </w:tc>
        <w:tc>
          <w:tcPr>
            <w:tcW w:w="154" w:type="dxa"/>
            <w:tcBorders>
              <w:bottom w:val="single" w:sz="8" w:space="0" w:color="0CD973"/>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91540"/>
                <wp:effectExtent l="0" t="0" r="0" b="0"/>
                <wp:wrapNone/>
                <wp:docPr id="26" name="Frame9"/>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tbl>
      <w:tblPr>
        <w:tblW w:w="2985" w:type="dxa"/>
        <w:jc w:val="left"/>
        <w:tblInd w:w="0" w:type="dxa"/>
        <w:tblCellMar>
          <w:top w:w="28" w:type="dxa"/>
          <w:left w:w="28" w:type="dxa"/>
          <w:bottom w:w="28" w:type="dxa"/>
          <w:right w:w="28" w:type="dxa"/>
        </w:tblCellMar>
      </w:tblPr>
      <w:tblGrid>
        <w:gridCol w:w="955"/>
        <w:gridCol w:w="840"/>
        <w:gridCol w:w="1190"/>
      </w:tblGrid>
      <w:tr>
        <w:trPr/>
        <w:tc>
          <w:tcPr>
            <w:tcW w:w="95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4. Fair Value Measurements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use a three-tier fair value hierarchy to measure fair value. This hierarchy prioritizes the inputs into three broad levels as follows:</w:t>
      </w:r>
    </w:p>
    <w:p>
      <w:pPr>
        <w:pStyle w:val="TextBody"/>
        <w:spacing w:lineRule="auto" w:line="288" w:before="180" w:after="283"/>
        <w:ind w:left="0" w:right="0" w:hanging="360"/>
        <w:jc w:val="both"/>
        <w:rPr/>
      </w:pPr>
      <w:r>
        <w:rPr>
          <w:color w:val="51555C"/>
        </w:rPr>
        <w:t>•</w:t>
      </w:r>
      <w:r>
        <w:rPr>
          <w:rFonts w:ascii="Calibri;sans-serif" w:hAnsi="Calibri;sans-serif"/>
          <w:b w:val="false"/>
          <w:color w:val="51555C"/>
          <w:sz w:val="20"/>
        </w:rPr>
        <w:t xml:space="preserve">Level 1 - Quoted prices for identical assets or liabilities in active markets; </w:t>
      </w:r>
    </w:p>
    <w:p>
      <w:pPr>
        <w:pStyle w:val="TextBody"/>
        <w:spacing w:lineRule="auto" w:line="288" w:before="180" w:after="283"/>
        <w:ind w:left="0" w:right="0" w:hanging="360"/>
        <w:jc w:val="both"/>
        <w:rPr/>
      </w:pPr>
      <w:r>
        <w:rPr>
          <w:color w:val="51555C"/>
        </w:rPr>
        <w:t>•</w:t>
      </w:r>
      <w:r>
        <w:rPr>
          <w:rFonts w:ascii="Calibri;sans-serif" w:hAnsi="Calibr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spacing w:lineRule="auto" w:line="288" w:before="180" w:after="283"/>
        <w:ind w:left="0" w:right="0" w:hanging="360"/>
        <w:jc w:val="both"/>
        <w:rPr/>
      </w:pPr>
      <w:r>
        <w:rPr>
          <w:color w:val="51555C"/>
        </w:rPr>
        <w:t>•</w:t>
      </w:r>
      <w:r>
        <w:rPr>
          <w:rFonts w:ascii="Calibri;sans-serif" w:hAnsi="Calibri;sans-serif"/>
          <w:b w:val="false"/>
          <w:color w:val="51555C"/>
          <w:sz w:val="20"/>
        </w:rPr>
        <w:t>Level 3 - Valuations derived from valuation techniques in which one or more significant inputs are unobservable.</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Recurring fair value measurements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CellMar>
          <w:top w:w="28" w:type="dxa"/>
          <w:left w:w="28" w:type="dxa"/>
          <w:bottom w:w="28" w:type="dxa"/>
          <w:right w:w="28" w:type="dxa"/>
        </w:tblCellMar>
      </w:tblPr>
      <w:tblGrid>
        <w:gridCol w:w="877"/>
        <w:gridCol w:w="600"/>
        <w:gridCol w:w="602"/>
        <w:gridCol w:w="759"/>
        <w:gridCol w:w="1463"/>
        <w:gridCol w:w="396"/>
        <w:gridCol w:w="109"/>
        <w:gridCol w:w="109"/>
        <w:gridCol w:w="109"/>
        <w:gridCol w:w="359"/>
        <w:gridCol w:w="1228"/>
        <w:gridCol w:w="185"/>
        <w:gridCol w:w="109"/>
        <w:gridCol w:w="109"/>
        <w:gridCol w:w="109"/>
        <w:gridCol w:w="374"/>
        <w:gridCol w:w="1094"/>
        <w:gridCol w:w="194"/>
        <w:gridCol w:w="109"/>
        <w:gridCol w:w="109"/>
        <w:gridCol w:w="109"/>
        <w:gridCol w:w="211"/>
        <w:gridCol w:w="721"/>
        <w:gridCol w:w="161"/>
      </w:tblGrid>
      <w:tr>
        <w:trPr/>
        <w:tc>
          <w:tcPr>
            <w:tcW w:w="87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079"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6706"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spacing w:before="0" w:after="283"/>
              <w:rPr>
                <w:sz w:val="4"/>
                <w:szCs w:val="4"/>
              </w:rPr>
            </w:pPr>
            <w:r>
              <w:rPr>
                <w:sz w:val="4"/>
                <w:szCs w:val="4"/>
              </w:rPr>
            </w:r>
          </w:p>
        </w:tc>
      </w:tr>
      <w:tr>
        <w:trPr/>
        <w:tc>
          <w:tcPr>
            <w:tcW w:w="20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261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77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Total</w:t>
            </w:r>
          </w:p>
        </w:tc>
      </w:tr>
      <w:tr>
        <w:trPr/>
        <w:tc>
          <w:tcPr>
            <w:tcW w:w="2079"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March 31, 2023</w:t>
            </w:r>
          </w:p>
        </w:tc>
        <w:tc>
          <w:tcPr>
            <w:tcW w:w="2618"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assets:</w:t>
            </w:r>
          </w:p>
        </w:tc>
        <w:tc>
          <w:tcPr>
            <w:tcW w:w="2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9"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26,514 </w:t>
            </w:r>
          </w:p>
        </w:tc>
        <w:tc>
          <w:tcPr>
            <w:tcW w:w="18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26,514 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assets</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26,610 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26,610 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March 31, 2023</w:t>
            </w:r>
          </w:p>
        </w:tc>
        <w:tc>
          <w:tcPr>
            <w:tcW w:w="261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liabilities:</w:t>
            </w:r>
          </w:p>
        </w:tc>
        <w:tc>
          <w:tcPr>
            <w:tcW w:w="2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9"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8,920 </w:t>
            </w:r>
          </w:p>
        </w:tc>
        <w:tc>
          <w:tcPr>
            <w:tcW w:w="18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8,920 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 obligations</w:t>
            </w:r>
          </w:p>
        </w:tc>
        <w:tc>
          <w:tcPr>
            <w:tcW w:w="222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9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liabilities</w:t>
            </w:r>
          </w:p>
        </w:tc>
        <w:tc>
          <w:tcPr>
            <w:tcW w:w="759"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9,419 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9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12,129 </w:t>
            </w:r>
          </w:p>
        </w:tc>
        <w:tc>
          <w:tcPr>
            <w:tcW w:w="161"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December 31, 2022</w:t>
            </w:r>
          </w:p>
        </w:tc>
        <w:tc>
          <w:tcPr>
            <w:tcW w:w="2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assets:</w:t>
            </w:r>
          </w:p>
        </w:tc>
        <w:tc>
          <w:tcPr>
            <w:tcW w:w="261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31,870 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31,870 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2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247 </w:t>
            </w:r>
          </w:p>
        </w:tc>
        <w:tc>
          <w:tcPr>
            <w:tcW w:w="18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247 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assets</w:t>
            </w:r>
          </w:p>
        </w:tc>
        <w:tc>
          <w:tcPr>
            <w:tcW w:w="759"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61"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December 31, 2022</w:t>
            </w:r>
          </w:p>
        </w:tc>
        <w:tc>
          <w:tcPr>
            <w:tcW w:w="2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liabilities:</w:t>
            </w:r>
          </w:p>
        </w:tc>
        <w:tc>
          <w:tcPr>
            <w:tcW w:w="261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auto" w:val="clear"/>
            <w:vAlign w:val="center"/>
          </w:tcPr>
          <w:p>
            <w:pPr>
              <w:pStyle w:val="TableContents"/>
              <w:spacing w:before="0" w:after="283"/>
              <w:rPr>
                <w:sz w:val="4"/>
                <w:szCs w:val="4"/>
              </w:rPr>
            </w:pPr>
            <w:r>
              <w:rPr>
                <w:sz w:val="4"/>
                <w:szCs w:val="4"/>
              </w:rPr>
            </w:r>
          </w:p>
        </w:tc>
        <w:tc>
          <w:tcPr>
            <w:tcW w:w="2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 obligations</w:t>
            </w:r>
          </w:p>
        </w:tc>
        <w:tc>
          <w:tcPr>
            <w:tcW w:w="222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8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9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9"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liabilities</w:t>
            </w:r>
          </w:p>
        </w:tc>
        <w:tc>
          <w:tcPr>
            <w:tcW w:w="7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color w:val="51555C"/>
              </w:rPr>
            </w:pPr>
            <w:r>
              <w:rPr>
                <w:color w:val="51555C"/>
              </w:rPr>
              <w:t>— </w:t>
            </w:r>
          </w:p>
        </w:tc>
        <w:tc>
          <w:tcPr>
            <w:tcW w:w="3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8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9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3,033 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91540"/>
                <wp:effectExtent l="0" t="0" r="0" b="0"/>
                <wp:wrapNone/>
                <wp:docPr id="29" name="Frame10"/>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9</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jc w:val="both"/>
        <w:rPr/>
      </w:pPr>
      <w:r>
        <w:rPr>
          <w:rFonts w:ascii="Calibri;sans-serif" w:hAnsi="Calibri;sans-serif"/>
          <w:b w:val="false"/>
          <w:color w:val="51555C"/>
          <w:sz w:val="20"/>
        </w:rPr>
        <w:t xml:space="preserve">Our derivative instruments within the scope of Accounting Standards Codification ("ASC") 815, </w:t>
      </w:r>
      <w:r>
        <w:rPr>
          <w:rFonts w:ascii="Calibri;sans-serif" w:hAnsi="Calibri;sans-serif"/>
          <w:b w:val="false"/>
          <w:i/>
          <w:color w:val="51555C"/>
          <w:sz w:val="20"/>
        </w:rPr>
        <w:t>Derivatives and Hedging</w:t>
      </w:r>
      <w:r>
        <w:rPr>
          <w:rFonts w:ascii="Calibri;sans-serif" w:hAnsi="Calibri;sans-serif"/>
          <w:b w:val="false"/>
          <w:color w:val="51555C"/>
          <w:sz w:val="20"/>
        </w:rPr>
        <w:t>, are required to be recorded at fair value. Our derivative instruments that are recorded at fair value include interest rate swaps and foreign currency forward contracts. See Note 7 to these condensed consolidated financial statements for additional information about our derivative instruments.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 Our financial contracts that were indexed to LIBOR were modified to reference SOFR during the three months ended September 30, 2022. These modifications did not have a significant financial impact.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Contingent consideration obligations arise from business acquisitions. The fair values are based on discounted cash flow analyses reflecting a probability-weighted assessment approach derived from the likelihood of possible achievement of specified performance measures or events and captures the contractual nature of the contingencies, commercial risk, and the time value of money. As the fair value measurements for our contingent consideration obligations contain significant unobservable inputs, they are classified within Level 3 of the fair value hierarchy.</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March 31, 2023 and December 31, 2022, due to the immediate or short-term maturity of these instruments.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the carrying amount of our debt approximates its fair value at March 31, 2023 and December 31, 2022, as the debt bears interest rates that approximate market value. As SOFR rates are observable at commonly quoted intervals, our debt under the 2020 Credit Facility (as defined below) is classified within Level 2 of the fair value hierarchy. Our fixed rate debt is also classified within Level 2 of the fair value hierarchy.</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did not transfer any assets or liabilities among the levels within the fair value hierarchy during the three months ended March 31, 2023.</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Non-recurring fair value measurements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were no material non-recurring fair value adjustments to our long-lived assets, intangible assets, goodwill and operating lease ROU assets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590" w:type="dxa"/>
        <w:jc w:val="left"/>
        <w:tblInd w:w="0" w:type="dxa"/>
        <w:tblCellMar>
          <w:top w:w="28" w:type="dxa"/>
          <w:left w:w="28" w:type="dxa"/>
          <w:bottom w:w="28" w:type="dxa"/>
          <w:right w:w="28" w:type="dxa"/>
        </w:tblCellMar>
      </w:tblPr>
      <w:tblGrid>
        <w:gridCol w:w="1468"/>
        <w:gridCol w:w="1290"/>
        <w:gridCol w:w="1832"/>
      </w:tblGrid>
      <w:tr>
        <w:trPr/>
        <w:tc>
          <w:tcPr>
            <w:tcW w:w="1468"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5. Consolidated Financial Statement Details</w:t>
            </w:r>
          </w:p>
        </w:tc>
      </w:tr>
    </w:tbl>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Restricted cash</w:t>
      </w:r>
    </w:p>
    <w:tbl>
      <w:tblPr>
        <w:tblW w:w="5442" w:type="dxa"/>
        <w:jc w:val="left"/>
        <w:tblInd w:w="0" w:type="dxa"/>
        <w:tblCellMar>
          <w:top w:w="28" w:type="dxa"/>
          <w:left w:w="28" w:type="dxa"/>
          <w:bottom w:w="28" w:type="dxa"/>
          <w:right w:w="28" w:type="dxa"/>
        </w:tblCellMar>
      </w:tblPr>
      <w:tblGrid>
        <w:gridCol w:w="1125"/>
        <w:gridCol w:w="988"/>
        <w:gridCol w:w="992"/>
        <w:gridCol w:w="211"/>
        <w:gridCol w:w="826"/>
        <w:gridCol w:w="109"/>
        <w:gridCol w:w="211"/>
        <w:gridCol w:w="826"/>
        <w:gridCol w:w="154"/>
      </w:tblGrid>
      <w:tr>
        <w:trPr/>
        <w:tc>
          <w:tcPr>
            <w:tcW w:w="112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310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Restricted cash due to customers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362,261 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700,611 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Real estate escrow balances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restricted cash</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364,071 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702,240 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91540"/>
                <wp:effectExtent l="0" t="0" r="0" b="0"/>
                <wp:wrapNone/>
                <wp:docPr id="32" name="Frame11"/>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Prepaid expenses and other assets</w:t>
      </w:r>
    </w:p>
    <w:tbl>
      <w:tblPr>
        <w:tblW w:w="7445" w:type="dxa"/>
        <w:jc w:val="left"/>
        <w:tblInd w:w="0" w:type="dxa"/>
        <w:tblCellMar>
          <w:top w:w="28" w:type="dxa"/>
          <w:left w:w="28" w:type="dxa"/>
          <w:bottom w:w="28" w:type="dxa"/>
          <w:right w:w="28" w:type="dxa"/>
        </w:tblCellMar>
      </w:tblPr>
      <w:tblGrid>
        <w:gridCol w:w="1907"/>
        <w:gridCol w:w="1676"/>
        <w:gridCol w:w="1682"/>
        <w:gridCol w:w="211"/>
        <w:gridCol w:w="721"/>
        <w:gridCol w:w="109"/>
        <w:gridCol w:w="221"/>
        <w:gridCol w:w="757"/>
        <w:gridCol w:w="161"/>
      </w:tblGrid>
      <w:tr>
        <w:trPr/>
        <w:tc>
          <w:tcPr>
            <w:tcW w:w="1907"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526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Costs of obtaining contracts</w:t>
            </w:r>
            <w:r>
              <w:rPr>
                <w:rFonts w:ascii="Calibri;sans-serif" w:hAnsi="Calibri;sans-serif"/>
                <w:b w:val="false"/>
                <w:color w:val="51555C"/>
                <w:sz w:val="13"/>
              </w:rPr>
              <w:t>(1)(2)</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71,956 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74,272 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Prepaid software maintenance and subscriptions</w:t>
            </w:r>
            <w:r>
              <w:rPr>
                <w:rFonts w:ascii="Calibri;sans-serif" w:hAnsi="Calibri;sans-serif"/>
                <w:b w:val="false"/>
                <w:color w:val="51555C"/>
                <w:sz w:val="13"/>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37,125 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34,766 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Derivative instruments</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26,610 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Implementation costs for cloud computing arrangements, net</w:t>
            </w:r>
            <w:r>
              <w:rPr>
                <w:rFonts w:ascii="Calibri;sans-serif" w:hAnsi="Calibri;sans-serif"/>
                <w:b w:val="false"/>
                <w:color w:val="51555C"/>
                <w:sz w:val="13"/>
              </w:rPr>
              <w:t>(4)(5)</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10,189 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Prepaid insurance</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9,962 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4,902 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Unbilled 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5,775 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Taxes, prepaid and receivable</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1,728 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1,855 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Deferred tax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1,153 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assets</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11,108 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10,929 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prepaid expenses and other assets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176,726 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175,958 </w:t>
            </w:r>
          </w:p>
        </w:tc>
        <w:tc>
          <w:tcPr>
            <w:tcW w:w="161"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87,947 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94,304 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Prepaid expenses and other current assets</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88,779 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81,654 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(1)Amortization expense from costs of obtaining contracts was $8.3 million and $8.5 million for the three months ended March 31, 2023 and 2022, respectively.</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(2)The current portion of costs of obtaining contracts as of March 31, 2023 and December 31, 2022 was $28.5 million and $29.1 million, respectively.</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(3)The current portion of prepaid software maintenance and subscriptions as of March 31, 2023 and December 31, 2022 was $32.6 million and $31.7 million, respectively.</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(4)These costs primarily relate to the multi-year implementations of our new global enterprise resource planning and customer relationship management systems.</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(5)Amortization expense from capitalized cloud computing implementation costs was insignificant for the three months ended March 31, 2023 and 2022, respectively. Accumulated amortization for these costs was $5.7 million and $5.2 million as of March 31, 2023 and December 31, 2022, respectively.</w:t>
      </w:r>
    </w:p>
    <w:p>
      <w:pPr>
        <w:pStyle w:val="TextBody"/>
        <w:spacing w:before="180" w:after="283"/>
        <w:ind w:left="0" w:right="0" w:firstLine="360"/>
        <w:jc w:val="both"/>
        <w:rPr/>
      </w:pPr>
      <w:r>
        <w:rPr/>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Accrued expenses and other liabilities</w:t>
      </w:r>
    </w:p>
    <w:tbl>
      <w:tblPr>
        <w:tblW w:w="7115" w:type="dxa"/>
        <w:jc w:val="left"/>
        <w:tblInd w:w="0" w:type="dxa"/>
        <w:tblCellMar>
          <w:top w:w="28" w:type="dxa"/>
          <w:left w:w="28" w:type="dxa"/>
          <w:bottom w:w="28" w:type="dxa"/>
          <w:right w:w="28" w:type="dxa"/>
        </w:tblCellMar>
      </w:tblPr>
      <w:tblGrid>
        <w:gridCol w:w="1789"/>
        <w:gridCol w:w="1570"/>
        <w:gridCol w:w="1576"/>
        <w:gridCol w:w="211"/>
        <w:gridCol w:w="721"/>
        <w:gridCol w:w="109"/>
        <w:gridCol w:w="221"/>
        <w:gridCol w:w="757"/>
        <w:gridCol w:w="161"/>
      </w:tblGrid>
      <w:tr>
        <w:trPr/>
        <w:tc>
          <w:tcPr>
            <w:tcW w:w="1789"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493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Accrued legal costs</w:t>
            </w:r>
            <w:r>
              <w:rPr>
                <w:rFonts w:ascii="Calibri;sans-serif" w:hAnsi="Calibri;sans-serif"/>
                <w:b w:val="false"/>
                <w:color w:val="51555C"/>
                <w:sz w:val="13"/>
              </w:rPr>
              <w:t>(1)</w:t>
            </w:r>
          </w:p>
        </w:tc>
        <w:tc>
          <w:tcPr>
            <w:tcW w:w="21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35,705 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28,448 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Derivative instruments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Customer credit balances</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7,990 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8,257 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Operating lease liabilities,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7,723 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commissions and salaries</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5,407 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6,944 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Taxes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16,667 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EBFB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Contingent consideration liability</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health care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2,467 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vacation costs</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2,019 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2,156 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transaction-based costs related to payments services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5,059 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liabilities</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7,146 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9,542 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accrued expenses and other liabilities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86,033 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90,296 </w:t>
            </w:r>
          </w:p>
        </w:tc>
        <w:tc>
          <w:tcPr>
            <w:tcW w:w="161"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13,234 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4,294 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expenses and other current liabilities</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72,799 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86,002 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highlight w:val="white"/>
        </w:rPr>
      </w:pPr>
      <w:r>
        <w:rPr>
          <w:rFonts w:ascii="Calibri;sans-serif" w:hAnsi="Calibri;sans-serif"/>
          <w:b w:val="false"/>
          <w:color w:val="51555C"/>
          <w:sz w:val="16"/>
          <w:highlight w:val="white"/>
        </w:rPr>
        <w:t>(1)All accrued legal costs are classified as current.</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91540"/>
                <wp:effectExtent l="0" t="0" r="0" b="0"/>
                <wp:wrapNone/>
                <wp:docPr id="35" name="Frame12"/>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1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11</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ind w:left="0" w:right="0" w:firstLine="720"/>
        <w:jc w:val="both"/>
        <w:rPr/>
      </w:pPr>
      <w:r>
        <w:rPr>
          <w:rFonts w:ascii="Calibri;sans-serif" w:hAnsi="Calibri;sans-serif"/>
          <w:b/>
          <w:color w:val="51555C"/>
          <w:sz w:val="20"/>
        </w:rPr>
        <w:t>Other income, net</w:t>
      </w:r>
      <w:r>
        <w:rPr>
          <w:color w:val="51555C"/>
        </w:rPr>
        <w:t xml:space="preserve"> </w:t>
      </w:r>
    </w:p>
    <w:tbl>
      <w:tblPr>
        <w:tblW w:w="5608" w:type="dxa"/>
        <w:jc w:val="left"/>
        <w:tblInd w:w="0" w:type="dxa"/>
        <w:tblCellMar>
          <w:top w:w="28" w:type="dxa"/>
          <w:left w:w="28" w:type="dxa"/>
          <w:bottom w:w="28" w:type="dxa"/>
          <w:right w:w="28" w:type="dxa"/>
        </w:tblCellMar>
      </w:tblPr>
      <w:tblGrid>
        <w:gridCol w:w="1037"/>
        <w:gridCol w:w="912"/>
        <w:gridCol w:w="915"/>
        <w:gridCol w:w="109"/>
        <w:gridCol w:w="109"/>
        <w:gridCol w:w="161"/>
        <w:gridCol w:w="312"/>
        <w:gridCol w:w="911"/>
        <w:gridCol w:w="161"/>
        <w:gridCol w:w="211"/>
        <w:gridCol w:w="616"/>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5"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981" w:type="dxa"/>
            <w:gridSpan w:val="3"/>
            <w:tcBorders/>
            <w:shd w:fill="auto" w:val="clear"/>
          </w:tcPr>
          <w:p>
            <w:pPr>
              <w:pStyle w:val="TableContents"/>
              <w:spacing w:before="0" w:after="283"/>
              <w:rPr>
                <w:sz w:val="4"/>
                <w:szCs w:val="4"/>
              </w:rPr>
            </w:pPr>
            <w:r>
              <w:rPr>
                <w:sz w:val="4"/>
                <w:szCs w:val="4"/>
              </w:rPr>
            </w:r>
          </w:p>
        </w:tc>
      </w:tr>
      <w:tr>
        <w:trPr/>
        <w:tc>
          <w:tcPr>
            <w:tcW w:w="28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286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1,236 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Currency revaluation (losses)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(245)</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1,016 </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416 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2,007 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1,121 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99" w:type="dxa"/>
        <w:jc w:val="left"/>
        <w:tblInd w:w="0" w:type="dxa"/>
        <w:tblCellMar>
          <w:top w:w="28" w:type="dxa"/>
          <w:left w:w="28" w:type="dxa"/>
          <w:bottom w:w="28" w:type="dxa"/>
          <w:right w:w="28" w:type="dxa"/>
        </w:tblCellMar>
      </w:tblPr>
      <w:tblGrid>
        <w:gridCol w:w="287"/>
        <w:gridCol w:w="253"/>
        <w:gridCol w:w="359"/>
      </w:tblGrid>
      <w:tr>
        <w:trPr/>
        <w:tc>
          <w:tcPr>
            <w:tcW w:w="28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89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6. Debt</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summarizes our debt balances and the related weighted average effective interest rates, which includes the effect of interest rate swap agreements.</w:t>
      </w:r>
    </w:p>
    <w:tbl>
      <w:tblPr>
        <w:tblW w:w="8930" w:type="dxa"/>
        <w:jc w:val="left"/>
        <w:tblInd w:w="0" w:type="dxa"/>
        <w:tblCellMar>
          <w:top w:w="28" w:type="dxa"/>
          <w:left w:w="28" w:type="dxa"/>
          <w:bottom w:w="28" w:type="dxa"/>
          <w:right w:w="28" w:type="dxa"/>
        </w:tblCellMar>
      </w:tblPr>
      <w:tblGrid>
        <w:gridCol w:w="1505"/>
        <w:gridCol w:w="1322"/>
        <w:gridCol w:w="1327"/>
        <w:gridCol w:w="211"/>
        <w:gridCol w:w="826"/>
        <w:gridCol w:w="109"/>
        <w:gridCol w:w="211"/>
        <w:gridCol w:w="826"/>
        <w:gridCol w:w="109"/>
        <w:gridCol w:w="109"/>
        <w:gridCol w:w="109"/>
        <w:gridCol w:w="109"/>
        <w:gridCol w:w="334"/>
        <w:gridCol w:w="207"/>
        <w:gridCol w:w="458"/>
        <w:gridCol w:w="255"/>
        <w:gridCol w:w="256"/>
        <w:gridCol w:w="647"/>
      </w:tblGrid>
      <w:tr>
        <w:trPr/>
        <w:tc>
          <w:tcPr>
            <w:tcW w:w="1505"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229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Debt balance at</w:t>
            </w:r>
          </w:p>
        </w:tc>
        <w:tc>
          <w:tcPr>
            <w:tcW w:w="327" w:type="dxa"/>
            <w:gridSpan w:val="3"/>
            <w:tcBorders>
              <w:left w:val="single" w:sz="8" w:space="0" w:color="00405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15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Weighted average</w:t>
              <w:br/>
              <w:t>effective interest rate at</w:t>
            </w:r>
          </w:p>
        </w:tc>
      </w:tr>
      <w:tr>
        <w:trPr/>
        <w:tc>
          <w:tcPr>
            <w:tcW w:w="41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327" w:type="dxa"/>
            <w:gridSpan w:val="3"/>
            <w:tcBorders>
              <w:top w:val="single" w:sz="8" w:space="0" w:color="FFFFFF"/>
              <w:left w:val="single" w:sz="8" w:space="0" w:color="004054"/>
            </w:tcBorders>
            <w:shd w:fill="auto" w:val="clear"/>
            <w:tcMar>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5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415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Credit facility:</w:t>
            </w:r>
          </w:p>
        </w:tc>
        <w:tc>
          <w:tcPr>
            <w:tcW w:w="114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Revolving credit loans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199,400 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5.47 </w:t>
            </w:r>
          </w:p>
        </w:tc>
        <w:tc>
          <w:tcPr>
            <w:tcW w:w="45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5.18 </w:t>
            </w:r>
          </w:p>
        </w:tc>
        <w:tc>
          <w:tcPr>
            <w:tcW w:w="6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Term loans</w:t>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619,688 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623,750 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4.44 </w:t>
            </w:r>
          </w:p>
        </w:tc>
        <w:tc>
          <w:tcPr>
            <w:tcW w:w="45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4.26 </w:t>
            </w:r>
          </w:p>
        </w:tc>
        <w:tc>
          <w:tcPr>
            <w:tcW w:w="64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Real estate loans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57,849 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5.22 </w:t>
            </w:r>
          </w:p>
        </w:tc>
        <w:tc>
          <w:tcPr>
            <w:tcW w:w="45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5.22 </w:t>
            </w:r>
          </w:p>
        </w:tc>
        <w:tc>
          <w:tcPr>
            <w:tcW w:w="6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debt</w:t>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3,632 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2,247 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8.47 </w:t>
            </w:r>
          </w:p>
        </w:tc>
        <w:tc>
          <w:tcPr>
            <w:tcW w:w="45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7.38 </w:t>
            </w:r>
          </w:p>
        </w:tc>
        <w:tc>
          <w:tcPr>
            <w:tcW w:w="64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debt</w:t>
            </w:r>
          </w:p>
        </w:tc>
        <w:tc>
          <w:tcPr>
            <w:tcW w:w="1037"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880,569 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861,986 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4.74 </w:t>
            </w:r>
          </w:p>
        </w:tc>
        <w:tc>
          <w:tcPr>
            <w:tcW w:w="458"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4.52 </w:t>
            </w:r>
          </w:p>
        </w:tc>
        <w:tc>
          <w:tcPr>
            <w:tcW w:w="647"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Unamortized discount and debt issuance costs</w:t>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2,521 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2,943 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Debt,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6.99 </w:t>
            </w:r>
          </w:p>
        </w:tc>
        <w:tc>
          <w:tcPr>
            <w:tcW w:w="45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6.45 </w:t>
            </w:r>
          </w:p>
        </w:tc>
        <w:tc>
          <w:tcPr>
            <w:tcW w:w="6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Debt, net of current portion</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858,912 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840,241 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4.69 </w:t>
            </w:r>
          </w:p>
        </w:tc>
        <w:tc>
          <w:tcPr>
            <w:tcW w:w="45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4.48 </w:t>
            </w:r>
          </w:p>
        </w:tc>
        <w:tc>
          <w:tcPr>
            <w:tcW w:w="64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2020 credit facility</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October 2020, we entered into a five-year $900.0 million senior credit facility (the "2020 Credit Facility"). At March 31, 2023, we were in compliance with our debt covenants under the 2020 Credit Facility. </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Real estate loans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At March 31, 2023, we were in compliance with our debt covenants under the Real Estate Loans.</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Other debt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91540"/>
                <wp:effectExtent l="0" t="0" r="0" b="0"/>
                <wp:wrapNone/>
                <wp:docPr id="38" name="Frame13"/>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summarizes our currently effective supplier financing agreements as of March 31, 2023:</w:t>
      </w:r>
    </w:p>
    <w:tbl>
      <w:tblPr>
        <w:tblW w:w="7211" w:type="dxa"/>
        <w:jc w:val="left"/>
        <w:tblInd w:w="0" w:type="dxa"/>
        <w:tblCellMar>
          <w:top w:w="28" w:type="dxa"/>
          <w:left w:w="28" w:type="dxa"/>
          <w:bottom w:w="28" w:type="dxa"/>
          <w:right w:w="28" w:type="dxa"/>
        </w:tblCellMar>
      </w:tblPr>
      <w:tblGrid>
        <w:gridCol w:w="1027"/>
        <w:gridCol w:w="902"/>
        <w:gridCol w:w="906"/>
        <w:gridCol w:w="279"/>
        <w:gridCol w:w="279"/>
        <w:gridCol w:w="281"/>
        <w:gridCol w:w="434"/>
        <w:gridCol w:w="434"/>
        <w:gridCol w:w="436"/>
        <w:gridCol w:w="394"/>
        <w:gridCol w:w="394"/>
        <w:gridCol w:w="396"/>
        <w:gridCol w:w="226"/>
        <w:gridCol w:w="659"/>
        <w:gridCol w:w="164"/>
      </w:tblGrid>
      <w:tr>
        <w:trPr/>
        <w:tc>
          <w:tcPr>
            <w:tcW w:w="1027"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8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Term</w:t>
              <w:br/>
              <w:t> in Months</w:t>
            </w:r>
          </w:p>
        </w:tc>
        <w:tc>
          <w:tcPr>
            <w:tcW w:w="13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Number of</w:t>
              <w:br/>
              <w:t>Annual Payments</w:t>
            </w:r>
          </w:p>
        </w:tc>
        <w:tc>
          <w:tcPr>
            <w:tcW w:w="118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First Annual</w:t>
              <w:br/>
              <w:t>Payment Due</w:t>
            </w:r>
          </w:p>
        </w:tc>
        <w:tc>
          <w:tcPr>
            <w:tcW w:w="104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Original Loan</w:t>
              <w:br/>
              <w:t>Value</w:t>
            </w:r>
          </w:p>
        </w:tc>
      </w:tr>
      <w:tr>
        <w:trPr/>
        <w:tc>
          <w:tcPr>
            <w:tcW w:w="283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180" w:after="283"/>
              <w:jc w:val="left"/>
              <w:rPr/>
            </w:pPr>
            <w:r>
              <w:rPr>
                <w:rFonts w:ascii="Calibri;sans-serif" w:hAnsi="Calibri;sans-serif"/>
                <w:b/>
                <w:color w:val="51555C"/>
                <w:sz w:val="20"/>
              </w:rPr>
              <w:t xml:space="preserve">Effective dates of agreements </w:t>
            </w:r>
            <w:r>
              <w:rPr>
                <w:rFonts w:ascii="Calibri;sans-serif" w:hAnsi="Calibri;sans-serif"/>
                <w:b/>
                <w:color w:val="51555C"/>
                <w:sz w:val="13"/>
              </w:rPr>
              <w:t>(1)</w:t>
            </w:r>
            <w:r>
              <w:rPr>
                <w:rFonts w:ascii="Calibri;sans-serif" w:hAnsi="Calibri;sans-serif"/>
                <w:b/>
                <w:color w:val="51555C"/>
                <w:sz w:val="20"/>
              </w:rPr>
              <w:t>:</w:t>
            </w:r>
          </w:p>
        </w:tc>
        <w:tc>
          <w:tcPr>
            <w:tcW w:w="839"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December 2022</w:t>
            </w:r>
          </w:p>
        </w:tc>
        <w:tc>
          <w:tcPr>
            <w:tcW w:w="8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w:t>
            </w:r>
          </w:p>
        </w:tc>
        <w:tc>
          <w:tcPr>
            <w:tcW w:w="8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January 2023</w:t>
            </w:r>
          </w:p>
        </w:tc>
        <w:tc>
          <w:tcPr>
            <w:tcW w:w="22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1,710 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January 2023</w:t>
            </w:r>
          </w:p>
        </w:tc>
        <w:tc>
          <w:tcPr>
            <w:tcW w:w="839"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w:t>
            </w:r>
          </w:p>
        </w:tc>
        <w:tc>
          <w:tcPr>
            <w:tcW w:w="868"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3 </w:t>
            </w:r>
          </w:p>
        </w:tc>
        <w:tc>
          <w:tcPr>
            <w:tcW w:w="43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April 2023</w:t>
            </w:r>
          </w:p>
        </w:tc>
        <w:tc>
          <w:tcPr>
            <w:tcW w:w="885"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2,491 </w:t>
            </w:r>
          </w:p>
        </w:tc>
        <w:tc>
          <w:tcPr>
            <w:tcW w:w="16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highlight w:val="white"/>
        </w:rPr>
      </w:pPr>
      <w:r>
        <w:rPr>
          <w:rFonts w:ascii="Calibri;sans-serif" w:hAnsi="Calibri;sans-serif"/>
          <w:b w:val="false"/>
          <w:color w:val="51555C"/>
          <w:sz w:val="16"/>
          <w:highlight w:val="white"/>
        </w:rPr>
        <w:t>(1)Represent noncash investing and financing transactions during the periods indicated as we purchased software and services by assuming directly related liabilities.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changes in supplier financing obligations during the three months ended March 31, 2023, consisted of the following:</w:t>
      </w:r>
    </w:p>
    <w:tbl>
      <w:tblPr>
        <w:tblW w:w="3591" w:type="dxa"/>
        <w:jc w:val="left"/>
        <w:tblInd w:w="0" w:type="dxa"/>
        <w:tblCellMar>
          <w:top w:w="28" w:type="dxa"/>
          <w:left w:w="28" w:type="dxa"/>
          <w:bottom w:w="28" w:type="dxa"/>
          <w:right w:w="28" w:type="dxa"/>
        </w:tblCellMar>
      </w:tblPr>
      <w:tblGrid>
        <w:gridCol w:w="945"/>
        <w:gridCol w:w="831"/>
        <w:gridCol w:w="834"/>
        <w:gridCol w:w="211"/>
        <w:gridCol w:w="616"/>
        <w:gridCol w:w="154"/>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98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Total</w:t>
            </w:r>
          </w:p>
        </w:tc>
      </w:tr>
      <w:tr>
        <w:trPr/>
        <w:tc>
          <w:tcPr>
            <w:tcW w:w="261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Balance at December 31, 2022</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2,247 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Additions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EBFB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Settlements</w:t>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(1,106)</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Balance at March 31, 2023</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3,632 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729" w:type="dxa"/>
        <w:jc w:val="left"/>
        <w:tblInd w:w="0" w:type="dxa"/>
        <w:tblCellMar>
          <w:top w:w="28" w:type="dxa"/>
          <w:left w:w="28" w:type="dxa"/>
          <w:bottom w:w="28" w:type="dxa"/>
          <w:right w:w="28" w:type="dxa"/>
        </w:tblCellMar>
      </w:tblPr>
      <w:tblGrid>
        <w:gridCol w:w="874"/>
        <w:gridCol w:w="768"/>
        <w:gridCol w:w="1087"/>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7. Derivative Instruments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All of our derivative instruments are governed by International Swap Dealers Association, Inc. master agreements with our counterparties. As of March 31, 2023 and December 31, 2022, we have presented the fair value of our derivative instruments at the gross amounts in the condensed consolidated balance sheet as the gross fair values of our derivative instruments equaled their net fair values.</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Cash flow hedges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entered into interest rate swap agreements, which effectively convert portions of our variable rate debt under the 2020 Credit Facility to a fixed rate for the term of the swap agreements. We designated each of the interest rate swaps as cash flow hedges at the inception of the contracts. As of March 31, 2023 and December 31, 2022, the aggregate notional values of the interest rate swaps were $935.0 million and $435.0 million, respectively. All of the contracts have maturities on or before October 2028.</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We have entered into foreign currency forward contracts to hedge revenues denominated in the Canadian Dollar ("CAD") against changes in the exchange rate with the United States Dollar ("USD"). We designated each of the forwards as cash flow hedges at the inception of the contracts. As of March 31, 2023 and December 31, 2022, the aggregate notional values of the foreign currency forward contracts designated as cash flow hedges that we held to buy USD in exchange for Canadian Dollars were $27.7 million CAD and $22.6 million CAD, respectively. All of the contracts have maturities of 12 months or less.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91540"/>
                <wp:effectExtent l="0" t="0" r="0" b="0"/>
                <wp:wrapNone/>
                <wp:docPr id="41" name="Frame14"/>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13</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Net investment hedges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March 31, 2023 and December 31, 2022, we had £14.0 million and £11.2 million, respectively, of foreign currency forward contracts designated as net investment hedges to reduce the volatility of the U.S. dollar value of a portion of our GBP-denominated investments.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fair values of our derivative instruments were as follows as of:</w:t>
      </w:r>
    </w:p>
    <w:tbl>
      <w:tblPr>
        <w:tblW w:w="10205" w:type="dxa"/>
        <w:jc w:val="left"/>
        <w:tblInd w:w="0" w:type="dxa"/>
        <w:tblCellMar>
          <w:top w:w="28" w:type="dxa"/>
          <w:left w:w="28" w:type="dxa"/>
          <w:bottom w:w="28" w:type="dxa"/>
          <w:right w:w="28" w:type="dxa"/>
        </w:tblCellMar>
      </w:tblPr>
      <w:tblGrid>
        <w:gridCol w:w="1236"/>
        <w:gridCol w:w="979"/>
        <w:gridCol w:w="968"/>
        <w:gridCol w:w="526"/>
        <w:gridCol w:w="441"/>
        <w:gridCol w:w="443"/>
        <w:gridCol w:w="211"/>
        <w:gridCol w:w="721"/>
        <w:gridCol w:w="109"/>
        <w:gridCol w:w="216"/>
        <w:gridCol w:w="739"/>
        <w:gridCol w:w="111"/>
        <w:gridCol w:w="109"/>
        <w:gridCol w:w="109"/>
        <w:gridCol w:w="109"/>
        <w:gridCol w:w="465"/>
        <w:gridCol w:w="380"/>
        <w:gridCol w:w="382"/>
        <w:gridCol w:w="211"/>
        <w:gridCol w:w="616"/>
        <w:gridCol w:w="109"/>
        <w:gridCol w:w="255"/>
        <w:gridCol w:w="565"/>
        <w:gridCol w:w="195"/>
      </w:tblGrid>
      <w:tr>
        <w:trPr/>
        <w:tc>
          <w:tcPr>
            <w:tcW w:w="123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3183"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2107"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Asset derivatives</w:t>
            </w:r>
          </w:p>
        </w:tc>
        <w:tc>
          <w:tcPr>
            <w:tcW w:w="327" w:type="dxa"/>
            <w:gridSpan w:val="3"/>
            <w:tcBorders>
              <w:left w:val="single" w:sz="8" w:space="0" w:color="00405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95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Liability derivatives</w:t>
            </w:r>
          </w:p>
        </w:tc>
      </w:tr>
      <w:tr>
        <w:trPr/>
        <w:tc>
          <w:tcPr>
            <w:tcW w:w="31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41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Balance sheet location</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06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327" w:type="dxa"/>
            <w:gridSpan w:val="3"/>
            <w:tcBorders>
              <w:left w:val="single" w:sz="8" w:space="0" w:color="00405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Balance sheet location</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01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3183"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Derivative instruments designated as hedging instruments:</w:t>
            </w:r>
          </w:p>
        </w:tc>
        <w:tc>
          <w:tcPr>
            <w:tcW w:w="1410"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83"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 current portion</w:t>
            </w:r>
          </w:p>
        </w:tc>
        <w:tc>
          <w:tcPr>
            <w:tcW w:w="1410" w:type="dxa"/>
            <w:gridSpan w:val="3"/>
            <w:tcBorders/>
            <w:shd w:fill="FFFFFF" w:val="clear"/>
            <w:tcMar>
              <w:top w:w="0" w:type="dxa"/>
              <w:left w:w="0" w:type="dxa"/>
              <w:bottom w:w="0" w:type="dxa"/>
              <w:right w:w="0" w:type="dxa"/>
            </w:tcMar>
            <w:vAlign w:val="center"/>
          </w:tcPr>
          <w:p>
            <w:pPr>
              <w:pStyle w:val="TableContents"/>
              <w:spacing w:lineRule="auto" w:line="288" w:before="60" w:after="283"/>
              <w:jc w:val="right"/>
              <w:rPr>
                <w:rFonts w:ascii="Calibri;sans-serif" w:hAnsi="Calibri;sans-serif"/>
                <w:b w:val="false"/>
                <w:color w:val="51555C"/>
                <w:sz w:val="20"/>
              </w:rPr>
            </w:pPr>
            <w:r>
              <w:rPr>
                <w:rFonts w:ascii="Calibri;sans-serif" w:hAnsi="Calibri;sans-serif"/>
                <w:b w:val="false"/>
                <w:color w:val="51555C"/>
                <w:sz w:val="20"/>
              </w:rPr>
              <w:t>Prepaid expenses</w:t>
            </w:r>
          </w:p>
          <w:p>
            <w:pPr>
              <w:pStyle w:val="TableContents"/>
              <w:spacing w:lineRule="auto" w:line="288" w:before="60" w:after="283"/>
              <w:jc w:val="right"/>
              <w:rPr>
                <w:rFonts w:ascii="Calibri;sans-serif" w:hAnsi="Calibri;sans-serif"/>
                <w:b w:val="false"/>
                <w:color w:val="51555C"/>
                <w:sz w:val="20"/>
              </w:rPr>
            </w:pPr>
            <w:r>
              <w:rPr>
                <w:rFonts w:ascii="Calibri;sans-serif" w:hAnsi="Calibri;sans-serif"/>
                <w:b w:val="false"/>
                <w:color w:val="51555C"/>
                <w:sz w:val="20"/>
              </w:rPr>
              <w:t>and other current assets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Accrued expenses</w:t>
              <w:br/>
              <w:t>and other</w:t>
              <w:br/>
              <w:t>current liabilities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6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3" w:type="dxa"/>
            <w:gridSpan w:val="3"/>
            <w:tcBorders/>
            <w:shd w:fill="EBFB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Interest rate swaps, long-term</w:t>
            </w:r>
          </w:p>
        </w:tc>
        <w:tc>
          <w:tcPr>
            <w:tcW w:w="1410"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Other assets</w:t>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26,514 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31,870 </w:t>
            </w:r>
          </w:p>
        </w:tc>
        <w:tc>
          <w:tcPr>
            <w:tcW w:w="11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Other liabilities</w:t>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8,920 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3"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Total derivative instruments designated as hedging instruments</w:t>
            </w:r>
          </w:p>
        </w:tc>
        <w:tc>
          <w:tcPr>
            <w:tcW w:w="1410"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26,610 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3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9,419 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6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9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effects of derivative instruments in cash flow and net investment hedging relationships were as follows:</w:t>
      </w:r>
    </w:p>
    <w:tbl>
      <w:tblPr>
        <w:tblW w:w="9140" w:type="dxa"/>
        <w:jc w:val="left"/>
        <w:tblInd w:w="0" w:type="dxa"/>
        <w:tblCellMar>
          <w:top w:w="28" w:type="dxa"/>
          <w:left w:w="28" w:type="dxa"/>
          <w:bottom w:w="28" w:type="dxa"/>
          <w:right w:w="28" w:type="dxa"/>
        </w:tblCellMar>
      </w:tblPr>
      <w:tblGrid>
        <w:gridCol w:w="1053"/>
        <w:gridCol w:w="926"/>
        <w:gridCol w:w="930"/>
        <w:gridCol w:w="328"/>
        <w:gridCol w:w="1122"/>
        <w:gridCol w:w="170"/>
        <w:gridCol w:w="484"/>
        <w:gridCol w:w="484"/>
        <w:gridCol w:w="486"/>
        <w:gridCol w:w="109"/>
        <w:gridCol w:w="109"/>
        <w:gridCol w:w="630"/>
        <w:gridCol w:w="1844"/>
        <w:gridCol w:w="465"/>
      </w:tblGrid>
      <w:tr>
        <w:trPr/>
        <w:tc>
          <w:tcPr>
            <w:tcW w:w="1053"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Gain (loss) recognized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in accumulated other </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comprehensive </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income as of</w:t>
            </w:r>
          </w:p>
        </w:tc>
        <w:tc>
          <w:tcPr>
            <w:tcW w:w="145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Location </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of gain (loss) </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reclassified from </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accumulated other </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comprehensive </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income into</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top w:val="single" w:sz="8" w:space="0" w:color="004054"/>
              <w:right w:val="single" w:sz="8" w:space="0" w:color="004054"/>
            </w:tcBorders>
            <w:shd w:fill="004054" w:val="clear"/>
            <w:tcMar>
              <w:top w:w="30" w:type="dxa"/>
              <w:left w:w="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Gain (loss) reclassified from accumulated</w:t>
            </w:r>
          </w:p>
          <w:p>
            <w:pPr>
              <w:pStyle w:val="TableContents"/>
              <w:spacing w:lineRule="auto" w:line="288" w:before="0" w:after="0"/>
              <w:jc w:val="right"/>
              <w:rPr>
                <w:color w:val="FFFFFF"/>
              </w:rPr>
            </w:pPr>
            <w:r>
              <w:rPr>
                <w:color w:val="FFFFFF"/>
              </w:rPr>
              <w:t> </w:t>
            </w:r>
            <w:r>
              <w:rPr>
                <w:rFonts w:ascii="Calibri;sans-serif" w:hAnsi="Calibri;sans-serif"/>
                <w:b/>
                <w:color w:val="FFFFFF"/>
                <w:sz w:val="16"/>
              </w:rPr>
              <w:t>other comprehensive income into loss</w:t>
            </w:r>
          </w:p>
        </w:tc>
      </w:tr>
      <w:tr>
        <w:trPr/>
        <w:tc>
          <w:tcPr>
            <w:tcW w:w="29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62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45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 2023</w:t>
            </w:r>
          </w:p>
        </w:tc>
      </w:tr>
      <w:tr>
        <w:trPr/>
        <w:tc>
          <w:tcPr>
            <w:tcW w:w="290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Cash Flow Hedges</w:t>
            </w:r>
          </w:p>
        </w:tc>
        <w:tc>
          <w:tcPr>
            <w:tcW w:w="1620"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rate swaps</w:t>
            </w:r>
          </w:p>
        </w:tc>
        <w:tc>
          <w:tcPr>
            <w:tcW w:w="32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17,594 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4,499 </w:t>
            </w:r>
          </w:p>
        </w:tc>
        <w:tc>
          <w:tcPr>
            <w:tcW w:w="4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70"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844"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125 </w:t>
            </w:r>
          </w:p>
        </w:tc>
        <w:tc>
          <w:tcPr>
            <w:tcW w:w="46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Net Investment Hedges</w:t>
            </w:r>
          </w:p>
        </w:tc>
        <w:tc>
          <w:tcPr>
            <w:tcW w:w="16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(417)</w:t>
            </w:r>
          </w:p>
        </w:tc>
        <w:tc>
          <w:tcPr>
            <w:tcW w:w="170"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844" w:type="dxa"/>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46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2022</w:t>
            </w:r>
          </w:p>
        </w:tc>
        <w:tc>
          <w:tcPr>
            <w:tcW w:w="1454" w:type="dxa"/>
            <w:gridSpan w:val="3"/>
            <w:tcBorders>
              <w:left w:val="single" w:sz="8" w:space="0" w:color="00405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 2022</w:t>
            </w:r>
          </w:p>
        </w:tc>
      </w:tr>
      <w:tr>
        <w:trPr/>
        <w:tc>
          <w:tcPr>
            <w:tcW w:w="2909"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Cash Flow Hedges</w:t>
            </w:r>
          </w:p>
        </w:tc>
        <w:tc>
          <w:tcPr>
            <w:tcW w:w="1620"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rate swaps</w:t>
            </w:r>
          </w:p>
        </w:tc>
        <w:tc>
          <w:tcPr>
            <w:tcW w:w="328"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21,947 </w:t>
            </w:r>
          </w:p>
        </w:tc>
        <w:tc>
          <w:tcPr>
            <w:tcW w:w="170" w:type="dxa"/>
            <w:tcBorders>
              <w:bottom w:val="single" w:sz="8" w:space="0" w:color="0CD973"/>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454"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844"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(358)</w:t>
            </w:r>
          </w:p>
        </w:tc>
        <w:tc>
          <w:tcPr>
            <w:tcW w:w="465" w:type="dxa"/>
            <w:tcBorders>
              <w:bottom w:val="single" w:sz="8" w:space="0" w:color="0CD973"/>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March 31, 2023 that is expected to be reclassified into earnings within the next twelve months is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91540"/>
                <wp:effectExtent l="0" t="0" r="0" b="0"/>
                <wp:wrapNone/>
                <wp:docPr id="44" name="Frame15"/>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18"/>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$18.6 million. There were no ineffective portions of our interest rate swap or foreign currency forward derivatives during the three months ended March 31, 2023 and 2022. See Note 10 to these condensed consolidated financial statements for a summary of the changes in accumulated other comprehensive income (loss) by component. We classify cash flows related to derivative instruments as operating activities in the condensed consolidated statements of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750" w:type="dxa"/>
        <w:jc w:val="left"/>
        <w:tblInd w:w="0" w:type="dxa"/>
        <w:tblCellMar>
          <w:top w:w="28" w:type="dxa"/>
          <w:left w:w="28" w:type="dxa"/>
          <w:bottom w:w="28" w:type="dxa"/>
          <w:right w:w="28" w:type="dxa"/>
        </w:tblCellMar>
      </w:tblPr>
      <w:tblGrid>
        <w:gridCol w:w="1200"/>
        <w:gridCol w:w="1056"/>
        <w:gridCol w:w="1494"/>
      </w:tblGrid>
      <w:tr>
        <w:trPr/>
        <w:tc>
          <w:tcPr>
            <w:tcW w:w="120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8. Commitments and Contingencies</w:t>
            </w:r>
          </w:p>
        </w:tc>
      </w:tr>
    </w:tbl>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Leases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operating leases for corporate offices, subleased offices and certain equipment and furniture. As of March 31, 2023, we did not have any operating leases that had not yet commenced.</w:t>
      </w:r>
    </w:p>
    <w:p>
      <w:pPr>
        <w:pStyle w:val="TextBody"/>
        <w:spacing w:lineRule="auto" w:line="288" w:before="180" w:after="283"/>
        <w:rPr>
          <w:rFonts w:ascii="Calibri;sans-serif" w:hAnsi="Calibri;sans-serif"/>
          <w:b w:val="false"/>
          <w:color w:val="51555C"/>
          <w:sz w:val="20"/>
        </w:rPr>
      </w:pPr>
      <w:r>
        <w:rPr>
          <w:rFonts w:ascii="Calibri;sans-serif" w:hAnsi="Calibri;sans-serif"/>
          <w:b w:val="false"/>
          <w:color w:val="51555C"/>
          <w:sz w:val="20"/>
        </w:rPr>
        <w:t>The following table summarizes the components of our lease expense:</w:t>
      </w:r>
    </w:p>
    <w:tbl>
      <w:tblPr>
        <w:tblW w:w="4619" w:type="dxa"/>
        <w:jc w:val="left"/>
        <w:tblInd w:w="0" w:type="dxa"/>
        <w:tblCellMar>
          <w:top w:w="28" w:type="dxa"/>
          <w:left w:w="28" w:type="dxa"/>
          <w:bottom w:w="28" w:type="dxa"/>
          <w:right w:w="28" w:type="dxa"/>
        </w:tblCellMar>
      </w:tblPr>
      <w:tblGrid>
        <w:gridCol w:w="679"/>
        <w:gridCol w:w="597"/>
        <w:gridCol w:w="599"/>
        <w:gridCol w:w="109"/>
        <w:gridCol w:w="109"/>
        <w:gridCol w:w="161"/>
        <w:gridCol w:w="312"/>
        <w:gridCol w:w="911"/>
        <w:gridCol w:w="161"/>
        <w:gridCol w:w="211"/>
        <w:gridCol w:w="61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5"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981" w:type="dxa"/>
            <w:gridSpan w:val="3"/>
            <w:tcBorders/>
            <w:shd w:fill="auto" w:val="clear"/>
          </w:tcPr>
          <w:p>
            <w:pPr>
              <w:pStyle w:val="TableContents"/>
              <w:spacing w:before="0" w:after="283"/>
              <w:rPr>
                <w:sz w:val="4"/>
                <w:szCs w:val="4"/>
              </w:rPr>
            </w:pPr>
            <w:r>
              <w:rPr>
                <w:sz w:val="4"/>
                <w:szCs w:val="4"/>
              </w:rPr>
            </w:r>
          </w:p>
        </w:tc>
      </w:tr>
      <w:tr>
        <w:trPr/>
        <w:tc>
          <w:tcPr>
            <w:tcW w:w="18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187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Operating lease cost</w:t>
            </w:r>
            <w:r>
              <w:rPr>
                <w:rFonts w:ascii="Calibri;sans-serif" w:hAnsi="Calibri;sans-serif"/>
                <w:b w:val="false"/>
                <w:color w:val="51555C"/>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2,385 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2,532 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Variable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Sublease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(811)</w:t>
            </w:r>
          </w:p>
        </w:tc>
        <w:tc>
          <w:tcPr>
            <w:tcW w:w="161"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(431)</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2,006 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2,538 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short-term lease costs, which were immaterial.</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Other commitments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March 31, 2023, the remaining aggregate minimum purchase commitment under these arrangements was approximately $280.7 million through 2027.</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Solution and service indemnifications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Legal proceedings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subject to legal proceedings and claims that arise in the ordinary course of business, as well as certain other non-ordinary course proceedings, claims and investigations,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91540"/>
                <wp:effectExtent l="0" t="0" r="0" b="0"/>
                <wp:wrapNone/>
                <wp:docPr id="47" name="Frame16"/>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19"/>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19"/>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15</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pStyle w:val="TextBody"/>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Security incident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do not believe that any data went beyond the cybercriminal, has been misused, or has been disseminated or otherwise made available publicly. Our investigation into the Security Incident by our cybersecurity team and third-party forensic advisors remains ongoing.</w:t>
      </w:r>
    </w:p>
    <w:p>
      <w:pPr>
        <w:pStyle w:val="TextBody"/>
        <w:spacing w:lineRule="auto" w:line="288" w:before="180" w:after="283"/>
        <w:jc w:val="both"/>
        <w:rPr/>
      </w:pPr>
      <w:r>
        <w:rPr>
          <w:rFonts w:ascii="Calibri;sans-serif" w:hAnsi="Calibri;sans-serif"/>
          <w:b w:val="false"/>
          <w:color w:val="51555C"/>
          <w:sz w:val="20"/>
        </w:rPr>
        <w:t>As a result of the Security Incident, we are currently subject to certain legal proceedings, claims and investigations, as discussed below, and could be the subject of additional legal proceedings, claims, inquiries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w:t>
      </w:r>
      <w:r>
        <w:rPr>
          <w:rFonts w:ascii="Calibri;sans-serif" w:hAnsi="Calibri;sans-serif"/>
          <w:b w:val="false"/>
          <w:color w:val="51555C"/>
          <w:sz w:val="20"/>
          <w:highlight w:val="white"/>
        </w:rPr>
        <w:t>ncial exposure related to the Security Incident.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recorded expenses and offsetting probable insurance recoveries related to the Security Incident as follows:</w:t>
      </w:r>
    </w:p>
    <w:tbl>
      <w:tblPr>
        <w:tblW w:w="6073" w:type="dxa"/>
        <w:jc w:val="left"/>
        <w:tblInd w:w="0" w:type="dxa"/>
        <w:tblCellMar>
          <w:top w:w="28" w:type="dxa"/>
          <w:left w:w="28" w:type="dxa"/>
          <w:bottom w:w="28" w:type="dxa"/>
          <w:right w:w="28" w:type="dxa"/>
        </w:tblCellMar>
      </w:tblPr>
      <w:tblGrid>
        <w:gridCol w:w="1206"/>
        <w:gridCol w:w="1060"/>
        <w:gridCol w:w="1064"/>
        <w:gridCol w:w="109"/>
        <w:gridCol w:w="109"/>
        <w:gridCol w:w="146"/>
        <w:gridCol w:w="283"/>
        <w:gridCol w:w="969"/>
        <w:gridCol w:w="146"/>
        <w:gridCol w:w="211"/>
        <w:gridCol w:w="616"/>
        <w:gridCol w:w="154"/>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981" w:type="dxa"/>
            <w:gridSpan w:val="3"/>
            <w:tcBorders/>
            <w:shd w:fill="auto" w:val="clear"/>
          </w:tcPr>
          <w:p>
            <w:pPr>
              <w:pStyle w:val="TableContents"/>
              <w:spacing w:before="0" w:after="283"/>
              <w:rPr>
                <w:sz w:val="4"/>
                <w:szCs w:val="4"/>
              </w:rPr>
            </w:pPr>
            <w:r>
              <w:rPr>
                <w:sz w:val="4"/>
                <w:szCs w:val="4"/>
              </w:rPr>
            </w:r>
          </w:p>
        </w:tc>
      </w:tr>
      <w:tr>
        <w:trPr/>
        <w:tc>
          <w:tcPr>
            <w:tcW w:w="33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333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Gross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69"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17,783 </w:t>
            </w:r>
          </w:p>
        </w:tc>
        <w:tc>
          <w:tcPr>
            <w:tcW w:w="146"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9,005 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Offsetting probable insurance recoveries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6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17,783 </w:t>
            </w:r>
          </w:p>
        </w:tc>
        <w:tc>
          <w:tcPr>
            <w:tcW w:w="1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7,201 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summarizes our cumulative expenses, insurance recoveries recognized and insurance recoveries paid as of:</w:t>
      </w:r>
    </w:p>
    <w:tbl>
      <w:tblPr>
        <w:tblW w:w="6702" w:type="dxa"/>
        <w:jc w:val="left"/>
        <w:tblInd w:w="0" w:type="dxa"/>
        <w:tblCellMar>
          <w:top w:w="28" w:type="dxa"/>
          <w:left w:w="28" w:type="dxa"/>
          <w:bottom w:w="28" w:type="dxa"/>
          <w:right w:w="28" w:type="dxa"/>
        </w:tblCellMar>
      </w:tblPr>
      <w:tblGrid>
        <w:gridCol w:w="1581"/>
        <w:gridCol w:w="1389"/>
        <w:gridCol w:w="1395"/>
        <w:gridCol w:w="211"/>
        <w:gridCol w:w="826"/>
        <w:gridCol w:w="109"/>
        <w:gridCol w:w="211"/>
        <w:gridCol w:w="826"/>
        <w:gridCol w:w="154"/>
      </w:tblGrid>
      <w:tr>
        <w:trPr/>
        <w:tc>
          <w:tcPr>
            <w:tcW w:w="1581"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436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gross expense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125,788 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108,005 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offsetting insurance recoveries recognized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net expense</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75,788 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58,005 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offsetting insurance recoveries paid</w:t>
            </w:r>
          </w:p>
        </w:tc>
        <w:tc>
          <w:tcPr>
            <w:tcW w:w="211"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Recorded expenses have consisted primarily of payments to third-party service providers and consultants, including legal fees, as well as settlement of the previously disclosed SEC investigation (as discussed below), settlements of customer claims and accruals for certain loss contingencies. Not included in the expenses discussed above were costs associated with enhancements to our cybersecurity program. We present expenses and insurance recoveries related to the Security Incident in general and administrative expense on our consolidated statements of comprehensive loss and as operating activities on our consolidated statements of cash flows. Total costs related to the Security Incident exceeded the limit of our insurance coverage during the first quarter of 2022. We expect to continue to experience significant expenses related to our response to the Security Incident, resolution of legal proceedings, claims and investigations, including those discussed below, and our efforts to further enhance our cybersecurity measures. For the three months ended March 31, 2023, we incurred net pre-tax expense of $17.8 million related to the Security Incident, which included $7.6 million for ongoing legal fees and an additional accrual for loss contingencies of $10.2 million. During the three months ended March 31, 2023, we had net cash outlays of $9.2 million related to the Security Incident, which included ongoing legal fees and the $3.0 million civil penalty paid related to the SEC settlement (as discussed below). In line with our policy, legal fees are expensed as incurred. For full year 2023, we currently expect net pre-tax expense of approximately $20.0 million to $30.0 million and net cash outlays of approximately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91540"/>
                <wp:effectExtent l="0" t="0" r="0" b="0"/>
                <wp:wrapNone/>
                <wp:docPr id="50" name="Frame17"/>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$25.0 million to $35.0 million for ongoing legal fees related to the Security Incident. Not included in these ranges are our previous settlements or current accruals for loss contingencies related to the matters discussed below.</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As of March 31, 2023, we have recorded approximately $30.2 million in aggregate liabilities for loss contingencies based primarily on recent negotiations with certain governmental agencies related to the Security Incident that we believe we can reasonably estimate in accordance with our loss contingency procedures described above. It is reasonably possible that our estimated or actual losses may change in the near term for those matters and be materially in excess of the amounts accrued, but we are unable at this time to reasonably estimate the possible additional loss.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March 31,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pStyle w:val="TextBody"/>
        <w:spacing w:lineRule="auto" w:line="288" w:before="180" w:after="283"/>
        <w:jc w:val="both"/>
        <w:rPr/>
      </w:pPr>
      <w:r>
        <w:rPr>
          <w:rFonts w:ascii="Calibri;sans-serif" w:hAnsi="Calibri;sans-serif"/>
          <w:b/>
          <w:i/>
          <w:color w:val="51555C"/>
          <w:sz w:val="20"/>
        </w:rPr>
        <w:t>Customer claims.</w:t>
      </w:r>
      <w:r>
        <w:rPr>
          <w:color w:val="51555C"/>
        </w:rPr>
        <w:t xml:space="preserve"> </w:t>
      </w:r>
      <w:r>
        <w:rPr>
          <w:rFonts w:ascii="Calibri;sans-serif" w:hAnsi="Calibri;sans-serif"/>
          <w:b w:val="false"/>
          <w:color w:val="51555C"/>
          <w:sz w:val="20"/>
        </w:rPr>
        <w:t>To date, we have received approximately 260 specific requests for reimbursement of expenses, approximately 205 (or 79%) have been fully resolved and closed. We have also received approximately 400 reservations of the right to seek expense recovery in the future from customers or their attorneys in the U.S., U.K. and Canada related to the Security Incident.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claims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pStyle w:val="TextBody"/>
        <w:spacing w:lineRule="auto" w:line="288" w:before="180" w:after="283"/>
        <w:jc w:val="both"/>
        <w:rPr/>
      </w:pPr>
      <w:r>
        <w:rPr>
          <w:rFonts w:ascii="Calibri;sans-serif" w:hAnsi="Calibri;sans-serif"/>
          <w:b/>
          <w:i/>
          <w:color w:val="51555C"/>
          <w:sz w:val="20"/>
        </w:rPr>
        <w:t xml:space="preserve">Customer constituent class actions. </w:t>
      </w:r>
      <w:r>
        <w:rPr>
          <w:rFonts w:ascii="Calibri;sans-serif" w:hAnsi="Calibri;sans-serif"/>
          <w:b w:val="false"/>
          <w:color w:val="51555C"/>
          <w:sz w:val="20"/>
        </w:rPr>
        <w:t>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We are currently engaged in court proceedings to determine whether this will proceed as a class action.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Furthermore, for putative class actions, it is often not possible to reasonably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91540"/>
                <wp:effectExtent l="0" t="0" r="0" b="0"/>
                <wp:wrapNone/>
                <wp:docPr id="53" name="Frame18"/>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17</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jc w:val="both"/>
        <w:rPr/>
      </w:pPr>
      <w:r>
        <w:rPr>
          <w:rFonts w:ascii="Calibri;sans-serif" w:hAnsi="Calibri;sans-serif"/>
          <w:b/>
          <w:i/>
          <w:color w:val="51555C"/>
          <w:sz w:val="20"/>
        </w:rPr>
        <w:t>Governmental investigations.</w:t>
      </w:r>
      <w:r>
        <w:rPr>
          <w:color w:val="51555C"/>
        </w:rPr>
        <w:t xml:space="preserve"> </w:t>
      </w:r>
      <w:r>
        <w:rPr>
          <w:rFonts w:ascii="Calibri;sans-serif" w:hAnsi="Calibri;sans-serif"/>
          <w:b w:val="false"/>
          <w:color w:val="51555C"/>
          <w:sz w:val="20"/>
        </w:rPr>
        <w:t>To date, we have received a consolidated, multi-state Civil Investigative Demand issued on behalf of 49 state Attorneys General and the District of Columbia, a separate Civil Investigative Demand from the office of the Indiana Attorney General and a separate Civil Investigative Demand from the office of the California Attorney General relating to the Security Incident. We have been in discussions, directly with certain Attorneys General or indirectly through an executive committee of the multi-state group of Attorneys General, about potential resolution of issues arising from these investigations. Although we are hopeful that we can resolve these matters on acceptable terms, there is no assurance that we will be able to do so on terms acceptable to us and to any or all such states.</w:t>
      </w:r>
    </w:p>
    <w:p>
      <w:pPr>
        <w:pStyle w:val="TextBody"/>
        <w:spacing w:lineRule="auto" w:line="288" w:before="180" w:after="283"/>
        <w:rPr>
          <w:rFonts w:ascii="Calibri;sans-serif" w:hAnsi="Calibri;sans-serif"/>
          <w:b w:val="false"/>
          <w:color w:val="51555C"/>
          <w:sz w:val="20"/>
        </w:rPr>
      </w:pPr>
      <w:r>
        <w:rPr>
          <w:rFonts w:ascii="Calibri;sans-serif" w:hAnsi="Calibri;sans-serif"/>
          <w:b w:val="false"/>
          <w:color w:val="51555C"/>
          <w:sz w:val="20"/>
        </w:rPr>
        <w:t xml:space="preserve">We also are subject to the following pending governmental actions: </w:t>
      </w:r>
    </w:p>
    <w:p>
      <w:pPr>
        <w:pStyle w:val="TextBody"/>
        <w:spacing w:lineRule="auto" w:line="288" w:before="120" w:after="283"/>
        <w:ind w:left="0" w:right="0" w:hanging="360"/>
        <w:jc w:val="both"/>
        <w:rPr/>
      </w:pPr>
      <w:r>
        <w:rPr>
          <w:color w:val="51555C"/>
        </w:rPr>
        <w:t>•</w:t>
      </w:r>
      <w:r>
        <w:rPr>
          <w:rFonts w:ascii="Calibri;sans-serif" w:hAnsi="Calibri;sans-serif"/>
          <w:b w:val="false"/>
          <w:color w:val="51555C"/>
          <w:sz w:val="20"/>
        </w:rPr>
        <w:t>an investigation by the U.S. Federal Trade Commission;</w:t>
      </w:r>
    </w:p>
    <w:p>
      <w:pPr>
        <w:pStyle w:val="TextBody"/>
        <w:spacing w:lineRule="auto" w:line="288" w:before="120" w:after="283"/>
        <w:ind w:left="0" w:right="0" w:hanging="360"/>
        <w:jc w:val="both"/>
        <w:rPr/>
      </w:pPr>
      <w:r>
        <w:rPr>
          <w:color w:val="51555C"/>
        </w:rPr>
        <w:t>•</w:t>
      </w:r>
      <w:r>
        <w:rPr>
          <w:rFonts w:ascii="Calibri;sans-serif" w:hAnsi="Calibri;sans-serif"/>
          <w:b w:val="false"/>
          <w:color w:val="51555C"/>
          <w:sz w:val="20"/>
        </w:rPr>
        <w:t>an investigation by the U.S. Department of Health and Human Services;</w:t>
      </w:r>
    </w:p>
    <w:p>
      <w:pPr>
        <w:pStyle w:val="TextBody"/>
        <w:spacing w:lineRule="auto" w:line="288" w:before="120" w:after="283"/>
        <w:ind w:left="0" w:right="0" w:hanging="360"/>
        <w:jc w:val="both"/>
        <w:rPr/>
      </w:pPr>
      <w:r>
        <w:rPr>
          <w:color w:val="51555C"/>
        </w:rPr>
        <w:t>•</w:t>
      </w:r>
      <w:r>
        <w:rPr>
          <w:rFonts w:ascii="Calibri;sans-serif" w:hAnsi="Calibri;sans-serif"/>
          <w:b w:val="false"/>
          <w:color w:val="51555C"/>
          <w:sz w:val="20"/>
        </w:rPr>
        <w:t>an investigation by the Office of the Australian Information Commissioner; and</w:t>
      </w:r>
    </w:p>
    <w:p>
      <w:pPr>
        <w:pStyle w:val="TextBody"/>
        <w:spacing w:lineRule="auto" w:line="288" w:before="120" w:after="283"/>
        <w:ind w:left="0" w:right="0" w:hanging="360"/>
        <w:jc w:val="both"/>
        <w:rPr/>
      </w:pPr>
      <w:r>
        <w:rPr>
          <w:color w:val="51555C"/>
        </w:rPr>
        <w:t>•</w:t>
      </w:r>
      <w:r>
        <w:rPr>
          <w:rFonts w:ascii="Calibri;sans-serif" w:hAnsi="Calibri;sans-serif"/>
          <w:b w:val="false"/>
          <w:color w:val="51555C"/>
          <w:sz w:val="20"/>
        </w:rPr>
        <w:t xml:space="preserve">an investigation by the Office of the Privacy Commissioner of Canada.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on March 9, 2023, the Company reached a settlement with the SEC in connection with the Security Incident. This settlement fully resolves the previously disclosed SEC investigation of the Security Incident and is further described in an SEC cease-and-desist order (the “SEC Order”). Under the terms of the SEC Order, the Company has agreed to cease-and-desist from committing or causing any violations or any future violations of Sections 17(a)(2) and (3) of the Securities Act of 1933, as amended (the “Securities Act”), and Section 13(a) of the Securities Exchange Act of 1934, as amended (the “Exchange Act”), and Rules 12b-20, 13a-13 and 13a-15(a) thereunder. No other violations of the securities laws are alleged in the SEC Order. As part of the SEC Order, the Company also agreed to pay, and has paid, a civil penalty in the amount of $3.0 million. The Company consented to the entry of the SEC Order without admitting or denying the findings of the SEC Order, other than with respect to the SEC’s jurisdiction over the Company and the subject matter of the SEC Order. The SEC Order describing the settlement was furnished as Exhibit 99.1 and the SEC’s press release announcing this resolution is furnished as Exhibit 99.2 to the Company’s Current Report on Form 8-K filed with the SEC on March 9, 2023.</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September 28, 2021, the Information Commissioner’s Office in the United Kingdom under the U.K. Data Protection Act 2018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non-compliance, in the ICO's view, with the requirements set out in Article 32 of the U.K. GDPR regarding the processing of personal data. The ICO did not impose a penalty related to the Security Incident, nor did it impose any requirements for further action by us.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January 15, 2021, we were notified by the Data Protection Commission of Ireland that it has concluded its investigation of the Security Incident without taking any action against us.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continue to cooperate with all ongoing investigations, which include various requests for documents, policies, narratives and communications, as well as requests to interview or depose various Company-related personnel. As noted above, each of these separate governmental investigations could result in adverse judgments, settlements, fines, penalties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91540"/>
                <wp:effectExtent l="0" t="0" r="0" b="0"/>
                <wp:wrapNone/>
                <wp:docPr id="56" name="Frame19"/>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22"/>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22"/>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tbl>
      <w:tblPr>
        <w:tblW w:w="1769" w:type="dxa"/>
        <w:jc w:val="left"/>
        <w:tblInd w:w="0" w:type="dxa"/>
        <w:tblCellMar>
          <w:top w:w="28" w:type="dxa"/>
          <w:left w:w="28" w:type="dxa"/>
          <w:bottom w:w="28" w:type="dxa"/>
          <w:right w:w="28" w:type="dxa"/>
        </w:tblCellMar>
      </w:tblPr>
      <w:tblGrid>
        <w:gridCol w:w="566"/>
        <w:gridCol w:w="496"/>
        <w:gridCol w:w="707"/>
      </w:tblGrid>
      <w:tr>
        <w:trPr/>
        <w:tc>
          <w:tcPr>
            <w:tcW w:w="5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9. Income Taxes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income tax benefit and effective income tax rates, including the effects of period-specific events, were:</w:t>
      </w:r>
    </w:p>
    <w:tbl>
      <w:tblPr>
        <w:tblW w:w="4990" w:type="dxa"/>
        <w:jc w:val="left"/>
        <w:tblInd w:w="0" w:type="dxa"/>
        <w:tblCellMar>
          <w:top w:w="28" w:type="dxa"/>
          <w:left w:w="28" w:type="dxa"/>
          <w:bottom w:w="28" w:type="dxa"/>
          <w:right w:w="28" w:type="dxa"/>
        </w:tblCellMar>
      </w:tblPr>
      <w:tblGrid>
        <w:gridCol w:w="739"/>
        <w:gridCol w:w="649"/>
        <w:gridCol w:w="652"/>
        <w:gridCol w:w="109"/>
        <w:gridCol w:w="109"/>
        <w:gridCol w:w="134"/>
        <w:gridCol w:w="260"/>
        <w:gridCol w:w="853"/>
        <w:gridCol w:w="297"/>
        <w:gridCol w:w="211"/>
        <w:gridCol w:w="691"/>
        <w:gridCol w:w="286"/>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color w:val="FFFFFF"/>
              </w:rPr>
            </w:pPr>
            <w:r>
              <w:rPr>
                <w:color w:val="FFFFFF"/>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88" w:type="dxa"/>
            <w:gridSpan w:val="3"/>
            <w:tcBorders/>
            <w:shd w:fill="auto" w:val="clear"/>
          </w:tcPr>
          <w:p>
            <w:pPr>
              <w:pStyle w:val="TableContents"/>
              <w:spacing w:before="0" w:after="283"/>
              <w:rPr>
                <w:sz w:val="4"/>
                <w:szCs w:val="4"/>
              </w:rPr>
            </w:pPr>
            <w:r>
              <w:rPr>
                <w:sz w:val="4"/>
                <w:szCs w:val="4"/>
              </w:rPr>
            </w:r>
          </w:p>
        </w:tc>
      </w:tr>
      <w:tr>
        <w:trPr/>
        <w:tc>
          <w:tcPr>
            <w:tcW w:w="20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8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204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53"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(3,901)</w:t>
            </w:r>
          </w:p>
        </w:tc>
        <w:tc>
          <w:tcPr>
            <w:tcW w:w="29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9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(2,050)</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Effective income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13" w:type="dxa"/>
            <w:gridSpan w:val="2"/>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21.0 </w:t>
            </w:r>
          </w:p>
        </w:tc>
        <w:tc>
          <w:tcPr>
            <w:tcW w:w="297"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902" w:type="dxa"/>
            <w:gridSpan w:val="2"/>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16.5 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spacing w:lineRule="auto" w:line="288" w:before="180" w:after="283"/>
        <w:jc w:val="both"/>
        <w:rPr/>
      </w:pPr>
      <w:r>
        <w:rPr>
          <w:rFonts w:ascii="Calibri;sans-serif" w:hAnsi="Calibri;sans-serif"/>
          <w:b w:val="false"/>
          <w:color w:val="51555C"/>
          <w:sz w:val="20"/>
        </w:rPr>
        <w:t xml:space="preserve">During the three months ended March 31, 2022, we utilized the discrete effective tax rate method, as allowed by ASC 740-270-30-18, </w:t>
      </w:r>
      <w:r>
        <w:rPr>
          <w:rFonts w:ascii="Calibri;sans-serif" w:hAnsi="Calibri;sans-serif"/>
          <w:b w:val="false"/>
          <w:i/>
          <w:color w:val="51555C"/>
          <w:sz w:val="20"/>
        </w:rPr>
        <w:t>Income Taxes—Interim Reporting</w:t>
      </w:r>
      <w:r>
        <w:rPr>
          <w:rFonts w:ascii="Calibri;sans-serif" w:hAnsi="Calibri;sans-serif"/>
          <w:b w:val="false"/>
          <w:color w:val="51555C"/>
          <w:sz w:val="20"/>
        </w:rPr>
        <w:t>, to calculate our interim income tax provision. The discrete method is applied when the application of the estimated 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no longer more appropriate than the annual effective tax rate method.</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increase in our effective income tax rate for the three months ended March 31, 2023 when compared to the same period in 2022 was primarily attributable to unfavorable impact of non-deductible Security Incident accruals, lower foreign-derived intangible income deduction and an increase to the UK corporate tax rate offset against benefit attributable to valuation allowance reduction.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639" w:type="dxa"/>
        <w:jc w:val="left"/>
        <w:tblInd w:w="0" w:type="dxa"/>
        <w:tblCellMar>
          <w:top w:w="28" w:type="dxa"/>
          <w:left w:w="28" w:type="dxa"/>
          <w:bottom w:w="28" w:type="dxa"/>
          <w:right w:w="28" w:type="dxa"/>
        </w:tblCellMar>
      </w:tblPr>
      <w:tblGrid>
        <w:gridCol w:w="845"/>
        <w:gridCol w:w="742"/>
        <w:gridCol w:w="1052"/>
      </w:tblGrid>
      <w:tr>
        <w:trPr/>
        <w:tc>
          <w:tcPr>
            <w:tcW w:w="845"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10. Stockholders' Equity</w:t>
            </w:r>
          </w:p>
        </w:tc>
      </w:tr>
    </w:tbl>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Changes in accumulated other comprehensive income (loss) by component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changes in accumulated other comprehensive income (loss) by component, consisted of the following:</w:t>
      </w:r>
    </w:p>
    <w:tbl>
      <w:tblPr>
        <w:tblW w:w="10205" w:type="dxa"/>
        <w:jc w:val="left"/>
        <w:tblInd w:w="0" w:type="dxa"/>
        <w:tblCellMar>
          <w:top w:w="28" w:type="dxa"/>
          <w:left w:w="28" w:type="dxa"/>
          <w:bottom w:w="28" w:type="dxa"/>
          <w:right w:w="28" w:type="dxa"/>
        </w:tblCellMar>
      </w:tblPr>
      <w:tblGrid>
        <w:gridCol w:w="2672"/>
        <w:gridCol w:w="2350"/>
        <w:gridCol w:w="2371"/>
        <w:gridCol w:w="109"/>
        <w:gridCol w:w="109"/>
        <w:gridCol w:w="134"/>
        <w:gridCol w:w="260"/>
        <w:gridCol w:w="977"/>
        <w:gridCol w:w="134"/>
        <w:gridCol w:w="211"/>
        <w:gridCol w:w="721"/>
        <w:gridCol w:w="157"/>
      </w:tblGrid>
      <w:tr>
        <w:trPr/>
        <w:tc>
          <w:tcPr>
            <w:tcW w:w="2672"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93"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5"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089" w:type="dxa"/>
            <w:gridSpan w:val="3"/>
            <w:tcBorders/>
            <w:shd w:fill="auto" w:val="clear"/>
          </w:tcPr>
          <w:p>
            <w:pPr>
              <w:pStyle w:val="TableContents"/>
              <w:spacing w:before="0" w:after="283"/>
              <w:rPr>
                <w:sz w:val="4"/>
                <w:szCs w:val="4"/>
              </w:rPr>
            </w:pPr>
            <w:r>
              <w:rPr>
                <w:sz w:val="4"/>
                <w:szCs w:val="4"/>
              </w:rPr>
            </w:r>
          </w:p>
        </w:tc>
      </w:tr>
      <w:tr>
        <w:trPr/>
        <w:tc>
          <w:tcPr>
            <w:tcW w:w="739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7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08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7393"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Accumulated other comprehensive income,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7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8,938 </w:t>
            </w:r>
          </w:p>
        </w:tc>
        <w:tc>
          <w:tcPr>
            <w:tcW w:w="13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6,522 </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By component: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Gains and losses on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income 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23,833 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EBFB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Other comprehensive (loss) income before reclassifications, net of tax effects of $2,566 and $(3,789)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(7,289)</w:t>
            </w:r>
          </w:p>
        </w:tc>
        <w:tc>
          <w:tcPr>
            <w:tcW w:w="13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10,641 </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Amounts reclassified from accumulated 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(4,624)</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Tax expense (benefit) included in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1,221 </w:t>
            </w:r>
          </w:p>
        </w:tc>
        <w:tc>
          <w:tcPr>
            <w:tcW w:w="13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(94)</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amounts reclassified from accumulated 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37"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(3,403)</w:t>
            </w:r>
          </w:p>
        </w:tc>
        <w:tc>
          <w:tcPr>
            <w:tcW w:w="13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264 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current-period 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37"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(10,692)</w:t>
            </w:r>
          </w:p>
        </w:tc>
        <w:tc>
          <w:tcPr>
            <w:tcW w:w="13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10,905 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income 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77"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13,141 </w:t>
            </w:r>
          </w:p>
        </w:tc>
        <w:tc>
          <w:tcPr>
            <w:tcW w:w="13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16,162 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(loss) income 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(14,895)</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2,158 </w:t>
            </w:r>
          </w:p>
        </w:tc>
        <w:tc>
          <w:tcPr>
            <w:tcW w:w="13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(2,132)</w:t>
            </w:r>
          </w:p>
        </w:tc>
        <w:tc>
          <w:tcPr>
            <w:tcW w:w="157"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loss 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37"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(12,737)</w:t>
            </w:r>
          </w:p>
        </w:tc>
        <w:tc>
          <w:tcPr>
            <w:tcW w:w="13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(867)</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Accumulated other comprehensive income,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7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404 </w:t>
            </w:r>
          </w:p>
        </w:tc>
        <w:tc>
          <w:tcPr>
            <w:tcW w:w="1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15,295 </w:t>
            </w:r>
          </w:p>
        </w:tc>
        <w:tc>
          <w:tcPr>
            <w:tcW w:w="1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91540"/>
                <wp:effectExtent l="0" t="0" r="0" b="0"/>
                <wp:wrapNone/>
                <wp:docPr id="59" name="Frame20"/>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23"/>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23"/>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19</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tbl>
      <w:tblPr>
        <w:tblW w:w="2684" w:type="dxa"/>
        <w:jc w:val="left"/>
        <w:tblInd w:w="0" w:type="dxa"/>
        <w:tblCellMar>
          <w:top w:w="28" w:type="dxa"/>
          <w:left w:w="28" w:type="dxa"/>
          <w:bottom w:w="28" w:type="dxa"/>
          <w:right w:w="28" w:type="dxa"/>
        </w:tblCellMar>
      </w:tblPr>
      <w:tblGrid>
        <w:gridCol w:w="859"/>
        <w:gridCol w:w="754"/>
        <w:gridCol w:w="1071"/>
      </w:tblGrid>
      <w:tr>
        <w:trPr/>
        <w:tc>
          <w:tcPr>
            <w:tcW w:w="85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11. Revenue Recognition</w:t>
            </w:r>
          </w:p>
        </w:tc>
      </w:tr>
    </w:tbl>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Transaction price allocated to the remaining performance obligations</w:t>
      </w:r>
    </w:p>
    <w:p>
      <w:pPr>
        <w:pStyle w:val="TextBody"/>
        <w:spacing w:lineRule="auto" w:line="288" w:before="180" w:after="283"/>
        <w:jc w:val="both"/>
        <w:rPr/>
      </w:pPr>
      <w:r>
        <w:rPr>
          <w:rFonts w:ascii="Calibri;sans-serif" w:hAnsi="Calibri;sans-serif"/>
          <w:b w:val="false"/>
          <w:color w:val="51555C"/>
          <w:sz w:val="20"/>
        </w:rPr>
        <w:t xml:space="preserve">As of March 31, 2023, approximately </w:t>
      </w:r>
      <w:r>
        <w:rPr>
          <w:rFonts w:ascii="Calibri;sans-serif" w:hAnsi="Calibri;sans-serif"/>
          <w:b w:val="false"/>
          <w:color w:val="51555C"/>
          <w:sz w:val="20"/>
          <w:highlight w:val="white"/>
        </w:rPr>
        <w:t>$1.1 billion</w:t>
      </w:r>
      <w:r>
        <w:rPr>
          <w:color w:val="51555C"/>
        </w:rPr>
        <w:t xml:space="preserve"> </w:t>
      </w:r>
      <w:r>
        <w:rPr>
          <w:rFonts w:ascii="Calibri;sans-serif" w:hAnsi="Calibri;sans-serif"/>
          <w:b w:val="false"/>
          <w:color w:val="51555C"/>
          <w:sz w:val="20"/>
        </w:rPr>
        <w:t xml:space="preserve">of revenue is expected to be recognized from remaining performance obligations. We expect to recognize revenue on approximately </w:t>
      </w:r>
      <w:r>
        <w:rPr>
          <w:rFonts w:ascii="Calibri;sans-serif" w:hAnsi="Calibri;sans-serif"/>
          <w:b w:val="false"/>
          <w:color w:val="51555C"/>
          <w:sz w:val="20"/>
          <w:highlight w:val="white"/>
        </w:rPr>
        <w:t>60%</w:t>
      </w:r>
      <w:r>
        <w:rPr>
          <w:color w:val="51555C"/>
        </w:rPr>
        <w:t xml:space="preserve"> </w:t>
      </w:r>
      <w:r>
        <w:rPr>
          <w:rFonts w:ascii="Calibri;sans-serif" w:hAnsi="Calibri;sans-serif"/>
          <w:b w:val="false"/>
          <w:color w:val="51555C"/>
          <w:sz w:val="20"/>
        </w:rPr>
        <w:t>of these remaining performance obligations over the next 12 months, with the remainder recognized thereafter.</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Contract balances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contract assets as of March 31, 2023 and December 31, 2022 were insignificant. Our closing balances of deferred revenue were as follows:</w:t>
      </w:r>
    </w:p>
    <w:tbl>
      <w:tblPr>
        <w:tblW w:w="4271" w:type="dxa"/>
        <w:jc w:val="left"/>
        <w:tblInd w:w="0" w:type="dxa"/>
        <w:tblCellMar>
          <w:top w:w="28" w:type="dxa"/>
          <w:left w:w="28" w:type="dxa"/>
          <w:bottom w:w="28" w:type="dxa"/>
          <w:right w:w="28" w:type="dxa"/>
        </w:tblCellMar>
      </w:tblPr>
      <w:tblGrid>
        <w:gridCol w:w="700"/>
        <w:gridCol w:w="616"/>
        <w:gridCol w:w="618"/>
        <w:gridCol w:w="211"/>
        <w:gridCol w:w="826"/>
        <w:gridCol w:w="109"/>
        <w:gridCol w:w="211"/>
        <w:gridCol w:w="826"/>
        <w:gridCol w:w="154"/>
      </w:tblGrid>
      <w:tr>
        <w:trPr/>
        <w:tc>
          <w:tcPr>
            <w:tcW w:w="7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193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deferred revenue</w:t>
            </w:r>
          </w:p>
        </w:tc>
        <w:tc>
          <w:tcPr>
            <w:tcW w:w="211"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367,959 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385,236 </w:t>
            </w:r>
          </w:p>
        </w:tc>
        <w:tc>
          <w:tcPr>
            <w:tcW w:w="154"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pPr>
      <w:r>
        <w:rPr>
          <w:rFonts w:ascii="Calibri;sans-serif" w:hAnsi="Calibri;sans-serif"/>
          <w:b w:val="false"/>
          <w:color w:val="51555C"/>
          <w:sz w:val="20"/>
        </w:rPr>
        <w:t>The decrease in deferred revenue during the three months ended March 31, 2023 was primarily due to a seasonal decrease in customer contract renewals.</w:t>
      </w:r>
      <w:r>
        <w:rPr>
          <w:color w:val="51555C"/>
          <w:highlight w:val="white"/>
        </w:rPr>
        <w:t xml:space="preserve"> </w:t>
      </w:r>
      <w:r>
        <w:rPr>
          <w:rFonts w:ascii="Calibri;sans-serif" w:hAnsi="Calibri;sans-serif"/>
          <w:b w:val="false"/>
          <w:color w:val="51555C"/>
          <w:sz w:val="20"/>
          <w:highlight w:val="white"/>
        </w:rPr>
        <w:t>Historically, due to the timing of customer budget cycles, we have an increase in customer contract renewals at or near the beginning of our third quarter. Generally, our lowest balance of deferred revenue during the year is at the end of our first quarter. The amount of revenue recognized during the three months ended March 31, 2023 that was included in the deferred reven</w:t>
      </w:r>
      <w:r>
        <w:rPr>
          <w:rFonts w:ascii="Calibri;sans-serif" w:hAnsi="Calibri;sans-serif"/>
          <w:b w:val="false"/>
          <w:color w:val="51555C"/>
          <w:sz w:val="20"/>
        </w:rPr>
        <w:t xml:space="preserve">ue balance at the beginning of the period was approximately $162 million. The amount of revenue recognized during the three months ended March 31, 2023 from performance obligations satisfied in prior periods was </w:t>
      </w:r>
      <w:r>
        <w:rPr>
          <w:rFonts w:ascii="Calibri;sans-serif" w:hAnsi="Calibri;sans-serif"/>
          <w:b w:val="false"/>
          <w:color w:val="51555C"/>
          <w:sz w:val="20"/>
          <w:highlight w:val="white"/>
        </w:rPr>
        <w:t>insignificant</w:t>
      </w:r>
      <w:r>
        <w:rPr>
          <w:rFonts w:ascii="Calibri;sans-serif" w:hAnsi="Calibri;sans-serif"/>
          <w:b w:val="false"/>
          <w:color w:val="51555C"/>
          <w:sz w:val="20"/>
        </w:rPr>
        <w:t>.</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Disaggregation of revenue</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tbl>
      <w:tblPr>
        <w:tblW w:w="4527" w:type="dxa"/>
        <w:jc w:val="left"/>
        <w:tblInd w:w="0" w:type="dxa"/>
        <w:tblCellMar>
          <w:top w:w="28" w:type="dxa"/>
          <w:left w:w="28" w:type="dxa"/>
          <w:bottom w:w="28" w:type="dxa"/>
          <w:right w:w="28" w:type="dxa"/>
        </w:tblCellMar>
      </w:tblPr>
      <w:tblGrid>
        <w:gridCol w:w="570"/>
        <w:gridCol w:w="501"/>
        <w:gridCol w:w="503"/>
        <w:gridCol w:w="109"/>
        <w:gridCol w:w="109"/>
        <w:gridCol w:w="134"/>
        <w:gridCol w:w="259"/>
        <w:gridCol w:w="1017"/>
        <w:gridCol w:w="134"/>
        <w:gridCol w:w="211"/>
        <w:gridCol w:w="826"/>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91" w:type="dxa"/>
            <w:gridSpan w:val="3"/>
            <w:tcBorders/>
            <w:shd w:fill="auto" w:val="clear"/>
          </w:tcPr>
          <w:p>
            <w:pPr>
              <w:pStyle w:val="TableContents"/>
              <w:spacing w:before="0" w:after="283"/>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157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221,669 </w:t>
            </w:r>
          </w:p>
        </w:tc>
        <w:tc>
          <w:tcPr>
            <w:tcW w:w="13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214,394 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United Kingdom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26,048 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27,660 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countries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14,036 </w:t>
            </w:r>
          </w:p>
        </w:tc>
        <w:tc>
          <w:tcPr>
            <w:tcW w:w="13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15,070 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261,753 </w:t>
            </w:r>
          </w:p>
        </w:tc>
        <w:tc>
          <w:tcPr>
            <w:tcW w:w="13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257,124 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91540"/>
                <wp:effectExtent l="0" t="0" r="0" b="0"/>
                <wp:wrapNone/>
                <wp:docPr id="62" name="Frame21"/>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before="180" w:after="283"/>
        <w:jc w:val="both"/>
        <w:rPr/>
      </w:pPr>
      <w:r>
        <w:rPr/>
      </w:r>
    </w:p>
    <w:p>
      <w:pPr>
        <w:pStyle w:val="TextBody"/>
        <w:spacing w:lineRule="auto" w:line="288" w:before="180" w:after="283"/>
        <w:jc w:val="both"/>
        <w:rPr>
          <w:rFonts w:ascii="Calibri;sans-serif" w:hAnsi="Calibri;sans-serif"/>
          <w:b w:val="false"/>
          <w:color w:val="51555C"/>
          <w:sz w:val="20"/>
          <w:highlight w:val="white"/>
        </w:rPr>
      </w:pPr>
      <w:r>
        <w:rPr>
          <w:rFonts w:ascii="Calibri;sans-serif" w:hAnsi="Calibri;sans-serif"/>
          <w:b w:val="false"/>
          <w:color w:val="51555C"/>
          <w:sz w:val="20"/>
          <w:highlight w:val="white"/>
        </w:rPr>
        <w:t>During the third quarter of 2022, we reorganized our market groups. The Social Sector and Corporate Sector market groups comprised our go-to-market organizations as of March 31, 2023. The following is a description of each market group as of that date:</w:t>
      </w:r>
    </w:p>
    <w:p>
      <w:pPr>
        <w:pStyle w:val="TextBody"/>
        <w:spacing w:lineRule="auto" w:line="288" w:before="120" w:after="283"/>
        <w:ind w:left="0" w:right="0" w:hanging="360"/>
        <w:jc w:val="both"/>
        <w:rPr/>
      </w:pPr>
      <w:r>
        <w:rPr>
          <w:color w:val="51555C"/>
        </w:rPr>
        <w:t>•</w:t>
      </w:r>
      <w:r>
        <w:rPr>
          <w:rFonts w:ascii="Calibri;sans-serif" w:hAnsi="Calibri;sans-serif"/>
          <w:b w:val="false"/>
          <w:color w:val="51555C"/>
          <w:sz w:val="20"/>
        </w:rPr>
        <w:t>The Social Sector market group focuses on sales to customers and prospects in the social sector, such as nonprofits, foundations, education institutions, healthcare organizations and other not-for-profit entities globally, and includes JustGiving; and</w:t>
      </w:r>
    </w:p>
    <w:p>
      <w:pPr>
        <w:pStyle w:val="TextBody"/>
        <w:spacing w:lineRule="auto" w:line="288" w:before="120" w:after="283"/>
        <w:ind w:left="0" w:right="0" w:hanging="360"/>
        <w:jc w:val="both"/>
        <w:rPr/>
      </w:pPr>
      <w:r>
        <w:rPr>
          <w:color w:val="51555C"/>
        </w:rPr>
        <w:t>•</w:t>
      </w:r>
      <w:r>
        <w:rPr>
          <w:rFonts w:ascii="Calibri;sans-serif" w:hAnsi="Calibri;sans-serif"/>
          <w:b w:val="false"/>
          <w:color w:val="51555C"/>
          <w:sz w:val="20"/>
        </w:rPr>
        <w:t>The Corporate Sector market group focuses on sales to customers and prospects in the corporate sector globally, and includes EVERFI and YourCause.</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our revenue by market group:</w:t>
      </w:r>
    </w:p>
    <w:tbl>
      <w:tblPr>
        <w:tblW w:w="4527" w:type="dxa"/>
        <w:jc w:val="left"/>
        <w:tblInd w:w="0" w:type="dxa"/>
        <w:tblCellMar>
          <w:top w:w="28" w:type="dxa"/>
          <w:left w:w="28" w:type="dxa"/>
          <w:bottom w:w="28" w:type="dxa"/>
          <w:right w:w="28" w:type="dxa"/>
        </w:tblCellMar>
      </w:tblPr>
      <w:tblGrid>
        <w:gridCol w:w="570"/>
        <w:gridCol w:w="501"/>
        <w:gridCol w:w="503"/>
        <w:gridCol w:w="109"/>
        <w:gridCol w:w="109"/>
        <w:gridCol w:w="134"/>
        <w:gridCol w:w="259"/>
        <w:gridCol w:w="1017"/>
        <w:gridCol w:w="134"/>
        <w:gridCol w:w="211"/>
        <w:gridCol w:w="826"/>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91" w:type="dxa"/>
            <w:gridSpan w:val="3"/>
            <w:tcBorders/>
            <w:shd w:fill="auto" w:val="clear"/>
          </w:tcPr>
          <w:p>
            <w:pPr>
              <w:pStyle w:val="TableContents"/>
              <w:spacing w:before="0" w:after="283"/>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pPr>
            <w:r>
              <w:rPr>
                <w:rFonts w:ascii="Calibri;sans-serif" w:hAnsi="Calibri;sans-serif"/>
                <w:b/>
                <w:color w:val="FFFFFF"/>
                <w:sz w:val="16"/>
              </w:rPr>
              <w:t>2022</w:t>
            </w:r>
            <w:r>
              <w:rPr>
                <w:rFonts w:ascii="Calibri;sans-serif" w:hAnsi="Calibri;sans-serif"/>
                <w:b/>
                <w:color w:val="FFFFFF"/>
                <w:sz w:val="10"/>
              </w:rPr>
              <w:t>(1)</w:t>
            </w:r>
          </w:p>
        </w:tc>
      </w:tr>
      <w:tr>
        <w:trPr/>
        <w:tc>
          <w:tcPr>
            <w:tcW w:w="15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7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Social Sector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224,897 </w:t>
            </w:r>
          </w:p>
        </w:tc>
        <w:tc>
          <w:tcPr>
            <w:tcW w:w="13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219,995 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Corporate Sector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36,856 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37,129 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74"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261,753 </w:t>
            </w:r>
          </w:p>
        </w:tc>
        <w:tc>
          <w:tcPr>
            <w:tcW w:w="1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257,124 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(1)Due to the market group change discussed above, we have recast our revenue by market group for the three months ended March 31, 2022 to present them on a consistent basis with the current year.</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our recurring revenue by type:</w:t>
      </w:r>
    </w:p>
    <w:tbl>
      <w:tblPr>
        <w:tblW w:w="4932" w:type="dxa"/>
        <w:jc w:val="left"/>
        <w:tblInd w:w="0" w:type="dxa"/>
        <w:tblCellMar>
          <w:top w:w="28" w:type="dxa"/>
          <w:left w:w="28" w:type="dxa"/>
          <w:bottom w:w="28" w:type="dxa"/>
          <w:right w:w="28" w:type="dxa"/>
        </w:tblCellMar>
      </w:tblPr>
      <w:tblGrid>
        <w:gridCol w:w="717"/>
        <w:gridCol w:w="630"/>
        <w:gridCol w:w="632"/>
        <w:gridCol w:w="109"/>
        <w:gridCol w:w="109"/>
        <w:gridCol w:w="134"/>
        <w:gridCol w:w="259"/>
        <w:gridCol w:w="1017"/>
        <w:gridCol w:w="134"/>
        <w:gridCol w:w="211"/>
        <w:gridCol w:w="826"/>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91" w:type="dxa"/>
            <w:gridSpan w:val="3"/>
            <w:tcBorders/>
            <w:shd w:fill="auto" w:val="clear"/>
          </w:tcPr>
          <w:p>
            <w:pPr>
              <w:pStyle w:val="TableContents"/>
              <w:spacing w:before="0" w:after="283"/>
              <w:rPr>
                <w:sz w:val="4"/>
                <w:szCs w:val="4"/>
              </w:rPr>
            </w:pPr>
            <w:r>
              <w:rPr>
                <w:sz w:val="4"/>
                <w:szCs w:val="4"/>
              </w:rPr>
            </w:r>
          </w:p>
        </w:tc>
      </w:tr>
      <w:tr>
        <w:trPr/>
        <w:tc>
          <w:tcPr>
            <w:tcW w:w="19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1979"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Contractual recurring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177,603 </w:t>
            </w:r>
          </w:p>
        </w:tc>
        <w:tc>
          <w:tcPr>
            <w:tcW w:w="13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174,531 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Transactional recurring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75,145 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70,135 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recurring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252,748 </w:t>
            </w:r>
          </w:p>
        </w:tc>
        <w:tc>
          <w:tcPr>
            <w:tcW w:w="1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244,666 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91540"/>
                <wp:effectExtent l="0" t="0" r="0" b="0"/>
                <wp:wrapNone/>
                <wp:docPr id="65" name="Frame22"/>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21</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300" w:after="283"/>
        <w:rPr>
          <w:rFonts w:ascii="Calibri;sans-serif" w:hAnsi="Calibri;sans-serif"/>
          <w:b/>
          <w:color w:val="004054"/>
          <w:sz w:val="32"/>
        </w:rPr>
      </w:pPr>
      <w:r>
        <w:rPr>
          <w:rFonts w:ascii="Calibri;sans-serif" w:hAnsi="Calibri;sans-serif"/>
          <w:b/>
          <w:color w:val="004054"/>
          <w:sz w:val="32"/>
        </w:rPr>
        <w:t>ITEM 2. MANAGEMENT'S DISCUSSION AND ANALYSIS OF FINANCIAL CONDITION AND RESULTS OF OPERATIONS</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159" w:type="dxa"/>
        <w:jc w:val="left"/>
        <w:tblInd w:w="0" w:type="dxa"/>
        <w:tblCellMar>
          <w:top w:w="28" w:type="dxa"/>
          <w:left w:w="28" w:type="dxa"/>
          <w:bottom w:w="28" w:type="dxa"/>
          <w:right w:w="28" w:type="dxa"/>
        </w:tblCellMar>
      </w:tblPr>
      <w:tblGrid>
        <w:gridCol w:w="691"/>
        <w:gridCol w:w="607"/>
        <w:gridCol w:w="861"/>
      </w:tblGrid>
      <w:tr>
        <w:trPr/>
        <w:tc>
          <w:tcPr>
            <w:tcW w:w="691"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Executive Summary</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and the United Kingdom, supporting users in 100+ countries.</w:t>
      </w:r>
    </w:p>
    <w:p>
      <w:pPr>
        <w:pStyle w:val="TextBody"/>
        <w:spacing w:lineRule="auto" w:line="288" w:before="180" w:after="283"/>
        <w:jc w:val="both"/>
        <w:rPr/>
      </w:pPr>
      <w:r>
        <w:rPr>
          <w:rFonts w:ascii="Calibri;sans-serif" w:hAnsi="Calibri;sans-serif"/>
          <w:b w:val="false"/>
          <w:color w:val="51555C"/>
          <w:sz w:val="20"/>
        </w:rPr>
        <w:t>Our revenue is primarily generated from the following sources: (i) charging for the use of our software solutions in cloud and hosted environments; (ii) providing payment and transactional services; (iii) providing software maintenance and support services; (iv) providing Impact-as-a-Service</w:t>
      </w:r>
      <w:r>
        <w:rPr>
          <w:color w:val="51555C"/>
        </w:rPr>
        <w:t xml:space="preserve">™ </w:t>
      </w:r>
      <w:r>
        <w:rPr>
          <w:rFonts w:ascii="Calibri;sans-serif" w:hAnsi="Calibri;sans-serif"/>
          <w:b w:val="false"/>
          <w:color w:val="51555C"/>
          <w:sz w:val="20"/>
        </w:rPr>
        <w:t>digital educational content; and (v) providing professional services, including implementation, consulting, training, analytic and other services.</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Update on Five Key Operational Initiatives</w:t>
      </w:r>
    </w:p>
    <w:tbl>
      <w:tblPr>
        <w:tblW w:w="703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888"/>
        <w:gridCol w:w="1888"/>
        <w:gridCol w:w="1894"/>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FFFFFF"/>
                <w:sz w:val="20"/>
              </w:rPr>
            </w:pPr>
            <w:r>
              <w:rPr>
                <w:rFonts w:ascii="Calibri;sans-serif" w:hAnsi="Calibri;sans-serif"/>
                <w:b/>
                <w:color w:val="FFFFFF"/>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Product Innovation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FFFFFF"/>
                <w:sz w:val="20"/>
              </w:rPr>
            </w:pPr>
            <w:r>
              <w:rPr>
                <w:rFonts w:ascii="Calibri;sans-serif" w:hAnsi="Calibri;sans-serif"/>
                <w:b/>
                <w:color w:val="FFFFFF"/>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Bookings Growth and Acceleration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FFFFFF"/>
                <w:sz w:val="20"/>
              </w:rPr>
            </w:pPr>
            <w:r>
              <w:rPr>
                <w:rFonts w:ascii="Calibri;sans-serif" w:hAnsi="Calibri;sans-serif"/>
                <w:b/>
                <w:color w:val="FFFFFF"/>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Transactional Revenue Optimization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FFFFFF"/>
                <w:sz w:val="20"/>
              </w:rPr>
            </w:pPr>
            <w:r>
              <w:rPr>
                <w:rFonts w:ascii="Calibri;sans-serif" w:hAnsi="Calibri;sans-serif"/>
                <w:b/>
                <w:color w:val="FFFFFF"/>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Modernized Approach to Pricing and Multi-Year Customer Contracts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color w:val="FFFFFF"/>
                <w:sz w:val="20"/>
              </w:rPr>
            </w:pPr>
            <w:r>
              <w:rPr>
                <w:rFonts w:ascii="Calibri;sans-serif" w:hAnsi="Calibri;sans-serif"/>
                <w:b/>
                <w:color w:val="FFFFFF"/>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Keen Attention to Cost Management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1.Product Innovation</w:t>
      </w:r>
    </w:p>
    <w:p>
      <w:pPr>
        <w:pStyle w:val="TextBody"/>
        <w:spacing w:lineRule="auto" w:line="288" w:before="180" w:after="283"/>
        <w:jc w:val="both"/>
        <w:rPr>
          <w:rFonts w:ascii="Calibri;sans-serif" w:hAnsi="Calibri;sans-serif"/>
          <w:b w:val="false"/>
          <w:color w:val="51555C"/>
          <w:sz w:val="20"/>
          <w:highlight w:val="white"/>
        </w:rPr>
      </w:pPr>
      <w:r>
        <w:rPr>
          <w:rFonts w:ascii="Calibri;sans-serif" w:hAnsi="Calibri;sans-serif"/>
          <w:b w:val="false"/>
          <w:color w:val="51555C"/>
          <w:sz w:val="20"/>
          <w:highlight w:val="white"/>
        </w:rPr>
        <w:t>We support our customers by replacing their aging, mission-critical systems of record and adding advanced digital services. We continuously seek ways to add substantial value for our customers and their constituents by investing in both organic innovation and ecosystem enablement through partnerships and acquisitions. These new capabilities and partnerships strengthen our offers and create new opportunities for our customers to deliver on their missions. For example, with the availability of SKY API endpoints for Blackbaud CRM and Blackbaud Altru, we are enabling customers to leverage applications in the Blackbaud Marketplace to integrate complementary point solutions with our partners.</w:t>
      </w:r>
    </w:p>
    <w:p>
      <w:pPr>
        <w:pStyle w:val="TextBody"/>
        <w:spacing w:lineRule="auto" w:line="288" w:before="180" w:after="283"/>
        <w:jc w:val="both"/>
        <w:rPr>
          <w:rFonts w:ascii="Calibri;sans-serif" w:hAnsi="Calibri;sans-serif"/>
          <w:b w:val="false"/>
          <w:color w:val="51555C"/>
          <w:sz w:val="20"/>
          <w:highlight w:val="white"/>
        </w:rPr>
      </w:pPr>
      <w:r>
        <w:rPr>
          <w:rFonts w:ascii="Calibri;sans-serif" w:hAnsi="Calibri;sans-serif"/>
          <w:b w:val="false"/>
          <w:color w:val="51555C"/>
          <w:sz w:val="20"/>
          <w:highlight w:val="white"/>
        </w:rPr>
        <w:t>We have expanded strategic partnerships to unlock even more value for our customers with partners like Almabase and SwipeTrack's XTrulink. We recently announced an expanded partnership with Almabase to provide a modern solution for advancement teams to unlock higher education and K-12 school alumni engagement and better fundraising by creating integrations that enable secure movement of constituent, gift and event data between systems, without friction. Additionally, we have partnered with SwipeTrack Solutions to create an integration between Blackbaud Altru and Blackbaud Merchant Services to modernize the patron digital experience and back office operations at arts and cultural organizations.</w:t>
      </w:r>
    </w:p>
    <w:p>
      <w:pPr>
        <w:pStyle w:val="TextBody"/>
        <w:spacing w:lineRule="auto" w:line="288" w:before="180" w:after="283"/>
        <w:jc w:val="both"/>
        <w:rPr>
          <w:rFonts w:ascii="Calibri;sans-serif" w:hAnsi="Calibri;sans-serif"/>
          <w:b w:val="false"/>
          <w:color w:val="51555C"/>
          <w:sz w:val="20"/>
          <w:highlight w:val="white"/>
        </w:rPr>
      </w:pPr>
      <w:r>
        <w:rPr>
          <w:rFonts w:ascii="Calibri;sans-serif" w:hAnsi="Calibri;sans-serif"/>
          <w:b w:val="false"/>
          <w:color w:val="51555C"/>
          <w:sz w:val="20"/>
          <w:highlight w:val="white"/>
        </w:rPr>
        <w:t xml:space="preserve">We also recently announced a new feature for general availability with Blackbaud TeamRaiser, Good Move. Good Move leverages Kilter, which we acquired last year, and helps charitable organizations raise more with mobile-first, gamified activity tracking and peer-to-peer fundraising.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91540"/>
                <wp:effectExtent l="0" t="0" r="0" b="0"/>
                <wp:wrapNone/>
                <wp:docPr id="68" name="Frame23"/>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2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2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2.Bookings Growth and Acceleration</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drove strong bookings performance in the first quarter, up significantly versus last year, led by our corporate sector (YourCause and EVERFI solutions) which more than doubled its bookings over the first quarter of 2022. We signed several notable large enterprise contracts during the first quarter, which speaks to the resilience of the end markets we serve and the focus we have placed on driving further improvements in sales productivity. Productivity per sales representative (defined as new sales bookings for the period divided by the number of sales representatives) has improved over 30% versus last year. There can be volatility quarter-to-quarter on bookings. However, the strong start in the first quarter with the most in-year revenue impact positions us well.</w:t>
      </w:r>
    </w:p>
    <w:p>
      <w:pPr>
        <w:pStyle w:val="TextBody"/>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3.Transactional Revenue Optimization and Expansion</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Transactional revenue, which is about one-third of total revenue, has proven to be resilient so far in 2023 following the lower average donation sizes we experienced during the fourth quarter of 2022. The rate changes that we announced on Blackbaud Merchant Services in the U.S. in late 2022 began to take effect during the first quarter. Our Blackbaud Tuition Management and JustGiving platforms continue to perform well against plan. And as we look ahead, our teams are hard at work to drive innovation across our payments solutions that are a win-win for both our customers and Blackbaud. We have already introduced our two fee cover models, and we are also looking at ways to optimize our payments solutions to drive a better donor experience.</w:t>
      </w:r>
    </w:p>
    <w:p>
      <w:pPr>
        <w:pStyle w:val="TextBody"/>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4.Modernized Approach to Pricing and Multi-Year Contracts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We deeply value the relationships we have with our customers, many of whom have been with us for decades. Our solutions add considerable value for our customers and raise billions of dollars annually to fuel social impact, and we continue to innovate on our suite of products to generate incremental value. Last summer, we put in place an updated pricing policy primarily for our social sector customers that directly reflects the value we provide to them, is in-line with the broader market and reflects the inflationary pressures that all businesses are facing. In November 2022, we started notifying customers with a March 2023 contract renewal that we would be making two important contract changes. First, we are offering 3-year contract renewal terms as our standard, replacing one-year renewal terms. This process was already being implemented outside of the pricing changes. Second, we are implementing a more significant rate increase on the 1-year renewal option versus the 3-year renewal option. And third, the 3-year renewal option includes annual rate increases that will compound. Our 3-year renewal options did not historically include annual compounding rate increases.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Through April 2023, we have renewed over 25% of the customers that are up for renewal in our 2023 cohort. The close day-to-day management of renewals, the mix of 3-year and 1-year contracts, and the impact of pricing are progressing very well, and we expect more impact from the compounding effect of these rate increases over time as we layer in future year contract renewals and annual rate increases. For example, over 50% of our planned 2023 revenue will renew in a little over 3 years and approximately 35% of that renewable base is expected to renew this year. These contracts are renewing every day and create revenue growth that we expect to accelerate with each successive quarter this year. We expect that to lead to an even greater impact in 2024, 2025 and beyond as we begin to see the full-year impact of the rate increases compound annually. Approximately 30% of the renewable base is up for renewal in 2024 and more than 20% in 2025. The adoption of 3-year renewals as a standard are expected to have an added benefit of higher retention which provides greater revenue assurance and predictability. Looking even further ahead, the cycle starts fresh in 2026 as the 2023 signed contracts will begin to renew. We expect that this will be a sustainable and meaningful revenue growth stream for us.</w:t>
      </w:r>
    </w:p>
    <w:p>
      <w:pPr>
        <w:pStyle w:val="TextBody"/>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5.Keen Attention to Cost Management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closed four legacy data centers during 2022, and we plan to close more this year. We renegotiated key vendor contracts including Microsoft Azure and AWS and made the difficult decision to further reduce our staff in the first quarter. Because we have organized to achieve much better scale efficiencies, we now have reduced our headcount by approximately 14% since the third quarter of 2022. Our goal is to run the business at about this headcount level for the foreseeable future, such that our revenue growth will better drive margin acceleration.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91540"/>
                <wp:effectExtent l="0" t="0" r="0" b="0"/>
                <wp:wrapNone/>
                <wp:docPr id="71" name="Frame24"/>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7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6" descr=""/>
                                                <pic:cNvPicPr>
                                                  <a:picLocks noChangeAspect="1" noChangeArrowheads="1"/>
                                                </pic:cNvPicPr>
                                              </pic:nvPicPr>
                                              <pic:blipFill>
                                                <a:blip r:embed="rId2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2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23</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300" w:after="283"/>
        <w:rPr>
          <w:rFonts w:ascii="Calibri;sans-serif" w:hAnsi="Calibri;sans-serif"/>
          <w:b/>
          <w:color w:val="51555C"/>
          <w:sz w:val="20"/>
        </w:rPr>
      </w:pPr>
      <w:r>
        <w:rPr>
          <w:rFonts w:ascii="Calibri;sans-serif" w:hAnsi="Calibri;sans-serif"/>
          <w:b/>
          <w:color w:val="51555C"/>
          <w:sz w:val="20"/>
        </w:rPr>
        <w:t>Financial Summary</w:t>
      </w:r>
    </w:p>
    <w:p>
      <w:pPr>
        <w:pStyle w:val="TextBody"/>
        <w:spacing w:before="180" w:after="283"/>
        <w:jc w:val="both"/>
        <w:rPr/>
      </w:pPr>
      <w:r>
        <w:rPr/>
      </w:r>
    </w:p>
    <w:tbl>
      <w:tblPr>
        <w:tblW w:w="4196" w:type="dxa"/>
        <w:jc w:val="left"/>
        <w:tblInd w:w="0" w:type="dxa"/>
        <w:tblCellMar>
          <w:top w:w="28" w:type="dxa"/>
          <w:left w:w="28" w:type="dxa"/>
          <w:bottom w:w="28" w:type="dxa"/>
          <w:right w:w="28" w:type="dxa"/>
        </w:tblCellMar>
      </w:tblPr>
      <w:tblGrid>
        <w:gridCol w:w="592"/>
        <w:gridCol w:w="520"/>
        <w:gridCol w:w="522"/>
        <w:gridCol w:w="109"/>
        <w:gridCol w:w="109"/>
        <w:gridCol w:w="109"/>
        <w:gridCol w:w="653"/>
        <w:gridCol w:w="653"/>
        <w:gridCol w:w="929"/>
      </w:tblGrid>
      <w:tr>
        <w:trPr/>
        <w:tc>
          <w:tcPr>
            <w:tcW w:w="59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Total revenue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auto" w:val="clear"/>
            <w:tcMar>
              <w:top w:w="0" w:type="dxa"/>
              <w:left w:w="0" w:type="dxa"/>
              <w:bottom w:w="0" w:type="dxa"/>
              <w:right w:w="0" w:type="dxa"/>
            </w:tcMar>
            <w:vAlign w:val="center"/>
          </w:tcPr>
          <w:p>
            <w:pPr>
              <w:pStyle w:val="TableContents"/>
              <w:spacing w:lineRule="auto" w:line="288" w:before="60" w:after="283"/>
              <w:jc w:val="center"/>
              <w:rPr>
                <w:rFonts w:ascii="Calibri;sans-serif" w:hAnsi="Calibri;sans-serif"/>
                <w:b w:val="false"/>
                <w:i/>
                <w:color w:val="51555C"/>
                <w:sz w:val="20"/>
              </w:rPr>
            </w:pPr>
            <w:r>
              <w:rPr>
                <w:rFonts w:ascii="Calibri;sans-serif" w:hAnsi="Calibri;sans-serif"/>
                <w:b w:val="false"/>
                <w:i/>
                <w:color w:val="51555C"/>
                <w:sz w:val="20"/>
              </w:rPr>
              <w:t>Loss from operations ($M)</w:t>
            </w:r>
          </w:p>
        </w:tc>
      </w:tr>
      <w:tr>
        <w:trPr/>
        <w:tc>
          <w:tcPr>
            <w:tcW w:w="1634"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r>
    </w:tbl>
    <w:p>
      <w:pPr>
        <w:pStyle w:val="TextBody"/>
        <w:spacing w:lineRule="auto" w:line="288" w:before="180" w:after="283"/>
        <w:jc w:val="both"/>
        <w:rPr/>
      </w:pPr>
      <w:r>
        <w:rPr>
          <w:color w:val="51555C"/>
        </w:rPr>
        <w:t>       </w:t>
      </w:r>
      <w:r>
        <w:rPr/>
        <w:drawing>
          <wp:inline distT="0" distB="63500" distL="0" distR="0">
            <wp:extent cx="2533650" cy="1581150"/>
            <wp:effectExtent l="0" t="0" r="0" b="0"/>
            <wp:docPr id="7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7" descr=""/>
                    <pic:cNvPicPr>
                      <a:picLocks noChangeAspect="1" noChangeArrowheads="1"/>
                    </pic:cNvPicPr>
                  </pic:nvPicPr>
                  <pic:blipFill>
                    <a:blip r:embed="rId28"/>
                    <a:stretch>
                      <a:fillRect/>
                    </a:stretch>
                  </pic:blipFill>
                  <pic:spPr bwMode="auto">
                    <a:xfrm>
                      <a:off x="0" y="0"/>
                      <a:ext cx="2533650" cy="1581150"/>
                    </a:xfrm>
                    <a:prstGeom prst="rect">
                      <a:avLst/>
                    </a:prstGeom>
                  </pic:spPr>
                </pic:pic>
              </a:graphicData>
            </a:graphic>
          </wp:inline>
        </w:drawing>
      </w:r>
      <w:r>
        <w:rPr>
          <w:color w:val="51555C"/>
        </w:rPr>
        <w:t>                                    </w:t>
      </w:r>
      <w:r>
        <w:rPr/>
        <w:drawing>
          <wp:inline distT="0" distB="63500" distL="0" distR="0">
            <wp:extent cx="2533650" cy="1581150"/>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29"/>
                    <a:stretch>
                      <a:fillRect/>
                    </a:stretch>
                  </pic:blipFill>
                  <pic:spPr bwMode="auto">
                    <a:xfrm>
                      <a:off x="0" y="0"/>
                      <a:ext cx="2533650" cy="1581150"/>
                    </a:xfrm>
                    <a:prstGeom prst="rect">
                      <a:avLst/>
                    </a:prstGeom>
                  </pic:spPr>
                </pic:pic>
              </a:graphicData>
            </a:graphic>
          </wp:inline>
        </w:drawing>
      </w:r>
      <w:r>
        <w:rPr>
          <w:color w:val="51555C"/>
        </w:rPr>
        <w:t>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Total revenue increased by $4.6 million during the three months ended March 31, 2023, when compared to the same period in 2022, driven largely by the following: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771"/>
        <w:gridCol w:w="2659"/>
        <w:gridCol w:w="37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Growth in recurring revenue primarily related to:</w:t>
            </w:r>
          </w:p>
          <w:p>
            <w:pPr>
              <w:pStyle w:val="TableContents"/>
              <w:spacing w:lineRule="auto" w:line="288" w:before="60" w:after="283"/>
              <w:ind w:left="0" w:right="0" w:hanging="360"/>
              <w:jc w:val="both"/>
              <w:rPr/>
            </w:pPr>
            <w:r>
              <w:rPr>
                <w:color w:val="51555C"/>
              </w:rPr>
              <w:t>•</w:t>
            </w:r>
            <w:r>
              <w:rPr>
                <w:rFonts w:ascii="Calibri;sans-serif" w:hAnsi="Calibri;sans-serif"/>
                <w:b w:val="false"/>
                <w:color w:val="51555C"/>
                <w:sz w:val="20"/>
              </w:rPr>
              <w:t>increase in transactional recurring revenue of $5.0 million primarily due to increases in volume for our Blackbaud Tuition Management and JustGiving solutions and positive results related to a pricing initiative we implemented at the beginning of 2023; the increase in transactional recurring revenue was partially offset by a decrease related to fluctuations in foreign currency exchange rates of $1.7 million, respectively</w:t>
            </w:r>
          </w:p>
          <w:p>
            <w:pPr>
              <w:pStyle w:val="TableContents"/>
              <w:spacing w:lineRule="auto" w:line="288" w:before="60" w:after="283"/>
              <w:ind w:left="0" w:right="0" w:hanging="360"/>
              <w:jc w:val="both"/>
              <w:rPr/>
            </w:pPr>
            <w:r>
              <w:rPr>
                <w:color w:val="51555C"/>
              </w:rPr>
              <w:t>•</w:t>
            </w:r>
            <w:r>
              <w:rPr>
                <w:rFonts w:ascii="Calibri;sans-serif" w:hAnsi="Calibri;sans-serif"/>
                <w:b w:val="false"/>
                <w:color w:val="51555C"/>
                <w:sz w:val="20"/>
              </w:rPr>
              <w:t>increase in contractual recurring revenue of $3.1 million related to the performance of our cloud solutions; partially offset by a decrease in maintenance revenue as customers migrate to our cloud solutions and a decrease related to fluctuations in foreign currency exchange rates of $0.8 million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one-time service and other revenue primarily related to:</w:t>
            </w:r>
          </w:p>
          <w:p>
            <w:pPr>
              <w:pStyle w:val="TableContents"/>
              <w:spacing w:lineRule="auto" w:line="288" w:before="60" w:after="283"/>
              <w:ind w:left="0" w:right="0" w:hanging="360"/>
              <w:jc w:val="both"/>
              <w:rPr/>
            </w:pPr>
            <w:r>
              <w:rPr>
                <w:color w:val="51555C"/>
              </w:rPr>
              <w:t>•</w:t>
            </w:r>
            <w:r>
              <w:rPr>
                <w:rFonts w:ascii="Calibri;sans-serif" w:hAnsi="Calibri;sans-serif"/>
                <w:b w:val="false"/>
                <w:color w:val="51555C"/>
                <w:sz w:val="20"/>
              </w:rPr>
              <w:t>decrease in one-time consulting revenue due primarily due to less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pStyle w:val="TableContents"/>
              <w:spacing w:lineRule="auto" w:line="288" w:before="60" w:after="283"/>
              <w:ind w:left="0" w:right="0" w:hanging="360"/>
              <w:jc w:val="both"/>
              <w:rPr/>
            </w:pPr>
            <w:r>
              <w:rPr>
                <w:color w:val="51555C"/>
              </w:rPr>
              <w:t>•</w:t>
            </w:r>
            <w:r>
              <w:rPr>
                <w:rFonts w:ascii="Calibri;sans-serif" w:hAnsi="Calibri;sans-serif"/>
                <w:b w:val="false"/>
                <w:color w:val="51555C"/>
                <w:sz w:val="20"/>
              </w:rPr>
              <w:t>decreases in one-time analytics revenue as analytics are generally integrated in our cloud solutions</w:t>
            </w:r>
          </w:p>
        </w:tc>
      </w:tr>
    </w:tbl>
    <w:p>
      <w:pPr>
        <w:pStyle w:val="TextBody"/>
        <w:spacing w:lineRule="auto" w:line="288" w:before="180" w:after="283"/>
        <w:jc w:val="both"/>
        <w:rPr/>
      </w:pPr>
      <w:r>
        <w:rPr>
          <w:rFonts w:ascii="Calibri;sans-serif" w:hAnsi="Calibri;sans-serif"/>
          <w:b w:val="false"/>
          <w:color w:val="51555C"/>
          <w:sz w:val="20"/>
        </w:rPr>
        <w:t xml:space="preserve">For additional information on the impact of foreign currency fluctuations on our financial results, see Foreign Currency Exchange Rates below on page </w:t>
      </w:r>
      <w:hyperlink w:anchor="i00246672b5984694bf9fb8036f7c6186_172">
        <w:r>
          <w:rPr>
            <w:rStyle w:val="InternetLink"/>
            <w:rFonts w:ascii="Calibri;sans-serif" w:hAnsi="Calibri;sans-serif"/>
            <w:b w:val="false"/>
            <w:strike w:val="false"/>
            <w:dstrike w:val="false"/>
            <w:color w:val="51555C"/>
            <w:sz w:val="20"/>
            <w:u w:val="none"/>
            <w:effect w:val="none"/>
          </w:rPr>
          <w:t>41</w:t>
        </w:r>
      </w:hyperlink>
      <w:r>
        <w:rPr>
          <w:rFonts w:ascii="Calibri;sans-serif" w:hAnsi="Calibri;sans-serif"/>
          <w:b w:val="false"/>
          <w:color w:val="51555C"/>
          <w:sz w:val="20"/>
        </w:rPr>
        <w: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a number of multi-year pricing initiatives underway, some to bring our pricing in line with the market while others are model changes that are expected to drive greater revenue for both us and our customers. As a result, we expect to see an acceleration in growth in the second half of 2023 when compared to the first half of the year as we begin to see the full-year effect of some of these pricing initiatives.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expect that the one-time services and other revenue will continue to significantly decrease during 2023 compared to 2022 driven by our continued migration to the cloud in our core business.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91540"/>
                <wp:effectExtent l="0" t="0" r="0" b="0"/>
                <wp:wrapNone/>
                <wp:docPr id="76" name="Frame25"/>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7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9" descr=""/>
                                                <pic:cNvPicPr>
                                                  <a:picLocks noChangeAspect="1" noChangeArrowheads="1"/>
                                                </pic:cNvPicPr>
                                              </pic:nvPicPr>
                                              <pic:blipFill>
                                                <a:blip r:embed="rId3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3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Income from operations decreased by $4.0 million during the three months ended March 31, 2023, when compared to the same period in 2022, driven largely by the following: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845"/>
        <w:gridCol w:w="2636"/>
        <w:gridCol w:w="372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5" w:type="dxa"/>
            <w:tcBorders/>
            <w:shd w:fill="auto" w:val="clear"/>
            <w:vAlign w:val="center"/>
          </w:tcPr>
          <w:p>
            <w:pPr>
              <w:pStyle w:val="TableContents"/>
              <w:spacing w:before="0" w:after="283"/>
              <w:rPr>
                <w:sz w:val="4"/>
                <w:szCs w:val="4"/>
              </w:rPr>
            </w:pPr>
            <w:r>
              <w:rPr>
                <w:sz w:val="4"/>
                <w:szCs w:val="4"/>
              </w:rPr>
            </w:r>
          </w:p>
        </w:tc>
        <w:tc>
          <w:tcPr>
            <w:tcW w:w="2636" w:type="dxa"/>
            <w:tcBorders/>
            <w:shd w:fill="auto" w:val="clear"/>
            <w:vAlign w:val="center"/>
          </w:tcPr>
          <w:p>
            <w:pPr>
              <w:pStyle w:val="TableContents"/>
              <w:spacing w:before="0" w:after="283"/>
              <w:rPr>
                <w:sz w:val="4"/>
                <w:szCs w:val="4"/>
              </w:rPr>
            </w:pPr>
            <w:r>
              <w:rPr>
                <w:sz w:val="4"/>
                <w:szCs w:val="4"/>
              </w:rPr>
            </w:r>
          </w:p>
        </w:tc>
        <w:tc>
          <w:tcPr>
            <w:tcW w:w="372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Security Incident-related expenses of $10.6 million. See "Security Incident update"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 in stock-based compensation expense of $2.1 million primarily due to 2022 performance-based equity award adjustments, partially offset by the targeted workforce reductions during the fourth quarter of 2022 and first quarter of 2023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transaction-based costs of $2.1 million related to the increase in the volume of transactions for which we process payments and, to a lesser extent, increases in vendor rates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third-party software costs of $1.9 million primarily related to a higher number of licenses needed and also price increases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Net decrease of $0.9 million due to an increase in amortization of capitalized software and content development costs, partially offset by an increase in software and content development costs that were required to be capitalized under the internal-use software guidance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 in compensation costs other than stock-based compensation of $7.7 million, partially offset by a corresponding increase in severance costs of $4.3 million due to our targeted workforce reductions discussed above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total revenue, as described above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hosting and data center costs of $2.1 million as we continue to migrate our cloud infrastructure to leading public cloud service providers and make investments in security; currently, we expect our cloud infrastructure migration efforts and increased level of cybersecurity investments to continue for the foreseeable future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third-party contractor costs of $1.9 million primarily due to a decrease in our use of third-party software developers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advertising costs of $0.9 million</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We are continuing to make critical investments in the business in areas such as digital marketing, innovation, cybersecurity, customer success and our continued shift of cloud infrastructure to leading public cloud service providers. Our profitability during the first quarter reflects some of these incremental investments. In 2023, we expect our financial performance to improve with each successive quarter, starting with meaningful improvement in the second quarter as our pricing and cost initiatives take hold.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528" w:type="dxa"/>
        <w:jc w:val="left"/>
        <w:tblInd w:w="0" w:type="dxa"/>
        <w:tblCellMar>
          <w:top w:w="28" w:type="dxa"/>
          <w:left w:w="28" w:type="dxa"/>
          <w:bottom w:w="28" w:type="dxa"/>
          <w:right w:w="28" w:type="dxa"/>
        </w:tblCellMar>
      </w:tblPr>
      <w:tblGrid>
        <w:gridCol w:w="661"/>
        <w:gridCol w:w="583"/>
        <w:gridCol w:w="585"/>
        <w:gridCol w:w="109"/>
        <w:gridCol w:w="109"/>
        <w:gridCol w:w="109"/>
        <w:gridCol w:w="109"/>
        <w:gridCol w:w="109"/>
        <w:gridCol w:w="154"/>
      </w:tblGrid>
      <w:tr>
        <w:trPr/>
        <w:tc>
          <w:tcPr>
            <w:tcW w:w="661"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bottom w:val="single" w:sz="8" w:space="0" w:color="51555C"/>
            </w:tcBorders>
            <w:shd w:fill="auto" w:val="clear"/>
            <w:tcMar>
              <w:top w:w="0" w:type="dxa"/>
              <w:left w:w="0" w:type="dxa"/>
              <w:bottom w:w="3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dollar retention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color w:val="51555C"/>
        </w:rPr>
        <w:t>       </w:t>
      </w:r>
      <w:r>
        <w:rPr/>
        <w:drawing>
          <wp:inline distT="0" distB="63500" distL="0" distR="0">
            <wp:extent cx="2533650" cy="1457325"/>
            <wp:effectExtent l="0" t="0" r="0" b="0"/>
            <wp:docPr id="7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0" descr=""/>
                    <pic:cNvPicPr>
                      <a:picLocks noChangeAspect="1" noChangeArrowheads="1"/>
                    </pic:cNvPicPr>
                  </pic:nvPicPr>
                  <pic:blipFill>
                    <a:blip r:embed="rId31"/>
                    <a:stretch>
                      <a:fillRect/>
                    </a:stretch>
                  </pic:blipFill>
                  <pic:spPr bwMode="auto">
                    <a:xfrm>
                      <a:off x="0" y="0"/>
                      <a:ext cx="2533650" cy="1457325"/>
                    </a:xfrm>
                    <a:prstGeom prst="rect">
                      <a:avLst/>
                    </a:prstGeom>
                  </pic:spPr>
                </pic:pic>
              </a:graphicData>
            </a:graphic>
          </wp:inline>
        </w:drawing>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March 31, 2023, our gross dollar retention was approximately 90%. This gross dollar retention rate is relatively unchanged from our rate for the full year ended December 31, 2022. We are continually investing in innovation, which we believe will increase gross dollar retention over the long-term.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91540"/>
                <wp:effectExtent l="0" t="0" r="0" b="0"/>
                <wp:wrapNone/>
                <wp:docPr id="80" name="Frame26"/>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8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1" descr=""/>
                                                <pic:cNvPicPr>
                                                  <a:picLocks noChangeAspect="1" noChangeArrowheads="1"/>
                                                </pic:cNvPicPr>
                                              </pic:nvPicPr>
                                              <pic:blipFill>
                                                <a:blip r:embed="rId32"/>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8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1" descr=""/>
                                          <pic:cNvPicPr>
                                            <a:picLocks noChangeAspect="1" noChangeArrowheads="1"/>
                                          </pic:cNvPicPr>
                                        </pic:nvPicPr>
                                        <pic:blipFill>
                                          <a:blip r:embed="rId32"/>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25</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Although some customer attrition is normal, our new contract pricing and renewal model (as described above on page 24) does not appear to have impacted customer attrition to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Balance sheet and cash flow</w:t>
      </w:r>
    </w:p>
    <w:p>
      <w:pPr>
        <w:pStyle w:val="TextBody"/>
        <w:spacing w:lineRule="auto" w:line="288" w:before="180" w:after="283"/>
        <w:jc w:val="both"/>
        <w:rPr/>
      </w:pPr>
      <w:r>
        <w:rPr>
          <w:rFonts w:ascii="Calibri;sans-serif" w:hAnsi="Calibri;sans-serif"/>
          <w:b w:val="false"/>
          <w:color w:val="51555C"/>
          <w:sz w:val="20"/>
        </w:rPr>
        <w:t xml:space="preserve">At March 31, 2023, our cash and cash equivalents were $24.1 million and the carrying amount of our debt under the 2020 Credit Facility was $817.1 million. Our net leverage ratio </w:t>
      </w:r>
      <w:r>
        <w:rPr>
          <w:rFonts w:ascii="Calibri;sans-serif" w:hAnsi="Calibri;sans-serif"/>
          <w:b w:val="false"/>
          <w:color w:val="51555C"/>
          <w:sz w:val="20"/>
          <w:highlight w:val="white"/>
        </w:rPr>
        <w:t>was 2.99 to 1.00.</w:t>
      </w:r>
      <w:r>
        <w:rPr>
          <w:color w:val="51555C"/>
        </w:rPr>
        <w:t xml:space="preserve">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2023, we generated $21.8 million in cash from operations, had a net increase in borrowings of $17.2 million, and had aggregate cash outlays of $15.3 million for purchases of property and equipment and capitalized software and content development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Security Incident update</w:t>
      </w:r>
    </w:p>
    <w:p>
      <w:pPr>
        <w:pStyle w:val="TextBody"/>
        <w:spacing w:lineRule="auto" w:line="288" w:before="180" w:after="283"/>
        <w:jc w:val="both"/>
        <w:rPr/>
      </w:pPr>
      <w:r>
        <w:rPr>
          <w:rFonts w:ascii="Calibri;sans-serif" w:hAnsi="Calibri;sans-serif"/>
          <w:b w:val="false"/>
          <w:color w:val="51555C"/>
          <w:sz w:val="20"/>
        </w:rPr>
        <w:t>As discussed in Note 8 to our unaudited, condensed consolidated financial statements included in this report, t</w:t>
      </w:r>
      <w:r>
        <w:rPr>
          <w:rFonts w:ascii="Calibri;sans-serif" w:hAnsi="Calibri;sans-serif"/>
          <w:b w:val="false"/>
          <w:color w:val="51555C"/>
          <w:sz w:val="20"/>
          <w:highlight w:val="white"/>
        </w:rPr>
        <w:t>otal costs related to the Security Incident exceeded the limit of our insurance coverage in the first quarter of 2022</w:t>
      </w:r>
      <w:r>
        <w:rPr>
          <w:rFonts w:ascii="Calibri;sans-serif" w:hAnsi="Calibri;sans-serif"/>
          <w:b w:val="false"/>
          <w:color w:val="51555C"/>
          <w:sz w:val="20"/>
        </w:rPr>
        <w:t>. Accordingly, the Security Incident has negatively impacted, and we expect it to continue for the foreseeable future to negatively impact, our GAAP profitab</w:t>
      </w:r>
      <w:r>
        <w:rPr>
          <w:rFonts w:ascii="Calibri;sans-serif" w:hAnsi="Calibri;sans-serif"/>
          <w:b w:val="false"/>
          <w:color w:val="51555C"/>
          <w:sz w:val="20"/>
          <w:highlight w:val="white"/>
        </w:rPr>
        <w:t xml:space="preserve">ility and GAAP cash flow (see discussion regarding non-GAAP adjusted free cash flow on page </w:t>
      </w:r>
      <w:hyperlink w:anchor="i6dd29aa27bff4116910d8c76e080d0ca_8385">
        <w:r>
          <w:rPr>
            <w:rStyle w:val="InternetLink"/>
            <w:rFonts w:ascii="Calibri;sans-serif" w:hAnsi="Calibri;sans-serif"/>
            <w:b w:val="false"/>
            <w:strike w:val="false"/>
            <w:dstrike w:val="false"/>
            <w:color w:val="51555C"/>
            <w:sz w:val="20"/>
            <w:u w:val="none"/>
            <w:effect w:val="none"/>
          </w:rPr>
          <w:t>36</w:t>
        </w:r>
      </w:hyperlink>
      <w:r>
        <w:rPr>
          <w:rFonts w:ascii="Calibri;sans-serif" w:hAnsi="Calibri;sans-serif"/>
          <w:b w:val="false"/>
          <w:color w:val="51555C"/>
          <w:sz w:val="20"/>
        </w:rPr>
        <w:t>)</w:t>
      </w:r>
      <w:r>
        <w:rPr>
          <w:rFonts w:ascii="Calibri;sans-serif" w:hAnsi="Calibri;sans-serif"/>
          <w:b w:val="false"/>
          <w:color w:val="51555C"/>
          <w:sz w:val="20"/>
          <w:highlight w:val="white"/>
        </w:rPr>
        <w:t xml:space="preserve">. </w:t>
      </w:r>
      <w:r>
        <w:rPr>
          <w:rFonts w:ascii="Calibri;sans-serif" w:hAnsi="Calibri;sans-serif"/>
          <w:b w:val="false"/>
          <w:color w:val="51555C"/>
          <w:sz w:val="20"/>
        </w:rPr>
        <w:t>For the three months ended March 31, 2023, we incurred net pre-tax expense of $17.8 million related to the Security Incident, which included $7.6 million for ongoing legal fees and an additional accrual for loss contingencies of $10.2 million. During the three months ended March 31, 2023, we had net cash outlays of $9.2 million related to the Security Incident, which included ongoing legal fees and the $3.0 million civil penalty paid related to the SEC settlement (as discussed in Note 8). In line with our policy, legal fees are expensed as incurred. For full year 2023, we currently expect net pre-tax expense of approximately $20.0 million to $30.0 million and net cash outlays of approximately $25.0 million to $35.0 million for ongoing legal fees related to the Security Incident. Not included in these ranges are our previous settlements or current accruals for loss contingencies related to the matters discussed below.</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2023, we have recorded approximately $30.2 million in aggregate liabilities for loss contingencies based primarily on recent negotiations with certain governmental agencies related to the Security Incident that we believe we can reasonably estimate in accordance with our loss contingency procedures described in Note 8. It is reasonably possible that our estimated or actual losses may change in the near term for those matters and be materially in excess of the amounts accrued, but we are unable at this time to reasonably estimate the possible additional loss.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March 31,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91540"/>
                <wp:effectExtent l="0" t="0" r="0" b="0"/>
                <wp:wrapNone/>
                <wp:docPr id="83" name="Frame27"/>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8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2" descr=""/>
                                                <pic:cNvPicPr>
                                                  <a:picLocks noChangeAspect="1" noChangeArrowheads="1"/>
                                                </pic:cNvPicPr>
                                              </pic:nvPicPr>
                                              <pic:blipFill>
                                                <a:blip r:embed="rId33"/>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8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2" descr=""/>
                                          <pic:cNvPicPr>
                                            <a:picLocks noChangeAspect="1" noChangeArrowheads="1"/>
                                          </pic:cNvPicPr>
                                        </pic:nvPicPr>
                                        <pic:blipFill>
                                          <a:blip r:embed="rId33"/>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2339" w:type="dxa"/>
        <w:jc w:val="left"/>
        <w:tblInd w:w="0" w:type="dxa"/>
        <w:tblCellMar>
          <w:top w:w="28" w:type="dxa"/>
          <w:left w:w="28" w:type="dxa"/>
          <w:bottom w:w="28" w:type="dxa"/>
          <w:right w:w="28" w:type="dxa"/>
        </w:tblCellMar>
      </w:tblPr>
      <w:tblGrid>
        <w:gridCol w:w="748"/>
        <w:gridCol w:w="658"/>
        <w:gridCol w:w="933"/>
      </w:tblGrid>
      <w:tr>
        <w:trPr/>
        <w:tc>
          <w:tcPr>
            <w:tcW w:w="74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Results of Operations</w:t>
            </w:r>
          </w:p>
        </w:tc>
      </w:tr>
    </w:tbl>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Comparison of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Calibri;sans-serif" w:hAnsi="Calibri;sans-serif"/>
          <w:b/>
          <w:color w:val="51555C"/>
          <w:sz w:val="20"/>
        </w:rPr>
      </w:pPr>
      <w:r>
        <w:rPr>
          <w:rFonts w:ascii="Calibri;sans-serif" w:hAnsi="Calibri;sans-serif"/>
          <w:b/>
          <w:color w:val="51555C"/>
          <w:sz w:val="20"/>
        </w:rPr>
        <w:t>Revenue and Cost of Revenue</w:t>
      </w:r>
    </w:p>
    <w:tbl>
      <w:tblPr>
        <w:tblW w:w="5498" w:type="dxa"/>
        <w:jc w:val="left"/>
        <w:tblInd w:w="0" w:type="dxa"/>
        <w:tblCellMar>
          <w:top w:w="28" w:type="dxa"/>
          <w:left w:w="28" w:type="dxa"/>
          <w:bottom w:w="28" w:type="dxa"/>
          <w:right w:w="28" w:type="dxa"/>
        </w:tblCellMar>
      </w:tblPr>
      <w:tblGrid>
        <w:gridCol w:w="445"/>
        <w:gridCol w:w="391"/>
        <w:gridCol w:w="394"/>
        <w:gridCol w:w="109"/>
        <w:gridCol w:w="109"/>
        <w:gridCol w:w="109"/>
        <w:gridCol w:w="589"/>
        <w:gridCol w:w="589"/>
        <w:gridCol w:w="591"/>
        <w:gridCol w:w="109"/>
        <w:gridCol w:w="109"/>
        <w:gridCol w:w="109"/>
        <w:gridCol w:w="540"/>
        <w:gridCol w:w="540"/>
        <w:gridCol w:w="765"/>
      </w:tblGrid>
      <w:tr>
        <w:trPr/>
        <w:tc>
          <w:tcPr>
            <w:tcW w:w="4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Recurring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Revenue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Cost of revenue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profit ($M)</w:t>
              <w:br/>
              <w:t>and gross margin (%)</w:t>
            </w:r>
          </w:p>
        </w:tc>
      </w:tr>
      <w:tr>
        <w:trPr/>
        <w:tc>
          <w:tcPr>
            <w:tcW w:w="1230"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51555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both"/>
        <w:rPr/>
      </w:pPr>
      <w:r>
        <w:rPr/>
        <w:drawing>
          <wp:inline distT="0" distB="63500" distL="0" distR="0">
            <wp:extent cx="2152650" cy="1581150"/>
            <wp:effectExtent l="0" t="0" r="0" b="0"/>
            <wp:docPr id="8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3" descr=""/>
                    <pic:cNvPicPr>
                      <a:picLocks noChangeAspect="1" noChangeArrowheads="1"/>
                    </pic:cNvPicPr>
                  </pic:nvPicPr>
                  <pic:blipFill>
                    <a:blip r:embed="rId34"/>
                    <a:stretch>
                      <a:fillRect/>
                    </a:stretch>
                  </pic:blipFill>
                  <pic:spPr bwMode="auto">
                    <a:xfrm>
                      <a:off x="0" y="0"/>
                      <a:ext cx="2152650" cy="1581150"/>
                    </a:xfrm>
                    <a:prstGeom prst="rect">
                      <a:avLst/>
                    </a:prstGeom>
                  </pic:spPr>
                </pic:pic>
              </a:graphicData>
            </a:graphic>
          </wp:inline>
        </w:drawing>
      </w:r>
      <w:r>
        <w:rPr/>
        <w:drawing>
          <wp:inline distT="0" distB="63500" distL="0" distR="0">
            <wp:extent cx="2152650" cy="1581150"/>
            <wp:effectExtent l="0" t="0" r="0" b="0"/>
            <wp:docPr id="8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4" descr=""/>
                    <pic:cNvPicPr>
                      <a:picLocks noChangeAspect="1" noChangeArrowheads="1"/>
                    </pic:cNvPicPr>
                  </pic:nvPicPr>
                  <pic:blipFill>
                    <a:blip r:embed="rId35"/>
                    <a:stretch>
                      <a:fillRect/>
                    </a:stretch>
                  </pic:blipFill>
                  <pic:spPr bwMode="auto">
                    <a:xfrm>
                      <a:off x="0" y="0"/>
                      <a:ext cx="2152650" cy="1581150"/>
                    </a:xfrm>
                    <a:prstGeom prst="rect">
                      <a:avLst/>
                    </a:prstGeom>
                  </pic:spPr>
                </pic:pic>
              </a:graphicData>
            </a:graphic>
          </wp:inline>
        </w:drawing>
      </w:r>
      <w:r>
        <w:rPr/>
        <w:drawing>
          <wp:inline distT="0" distB="63500" distL="0" distR="0">
            <wp:extent cx="2152650" cy="1581150"/>
            <wp:effectExtent l="0" t="0" r="0" b="0"/>
            <wp:docPr id="8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5" descr=""/>
                    <pic:cNvPicPr>
                      <a:picLocks noChangeAspect="1" noChangeArrowheads="1"/>
                    </pic:cNvPicPr>
                  </pic:nvPicPr>
                  <pic:blipFill>
                    <a:blip r:embed="rId36"/>
                    <a:stretch>
                      <a:fillRect/>
                    </a:stretch>
                  </pic:blipFill>
                  <pic:spPr bwMode="auto">
                    <a:xfrm>
                      <a:off x="0" y="0"/>
                      <a:ext cx="2152650" cy="1581150"/>
                    </a:xfrm>
                    <a:prstGeom prst="rect">
                      <a:avLst/>
                    </a:prstGeom>
                  </pic:spPr>
                </pic:pic>
              </a:graphicData>
            </a:graphic>
          </wp:inline>
        </w:drawing>
      </w:r>
    </w:p>
    <w:p>
      <w:pPr>
        <w:pStyle w:val="TextBody"/>
        <w:spacing w:lineRule="auto" w:line="288" w:before="180" w:after="283"/>
        <w:jc w:val="both"/>
        <w:rPr/>
      </w:pPr>
      <w:r>
        <w:rPr>
          <w:rFonts w:ascii="Calibri;sans-serif" w:hAnsi="Calibri;sans-serif"/>
          <w:b w:val="false"/>
          <w:color w:val="51555C"/>
          <w:sz w:val="20"/>
        </w:rPr>
        <w:t>Recurring revenue is comprised of fees for the use of our subscription-based software solutions, which includes providing access to cloud solutions, Impact-as-a-Service</w:t>
      </w:r>
      <w:r>
        <w:rPr>
          <w:color w:val="51555C"/>
        </w:rPr>
        <w:t xml:space="preserve">™ </w:t>
      </w:r>
      <w:r>
        <w:rPr>
          <w:rFonts w:ascii="Calibri;sans-serif" w:hAnsi="Calibri;sans-serif"/>
          <w:b w:val="false"/>
          <w:color w:val="51555C"/>
          <w:sz w:val="20"/>
        </w:rPr>
        <w:t>digital educational content, hosting services, payment services, online training programs and subscription-based analytic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customers continue to prefer cloud subscription offerings with integrated analytics, training and payment services. Recurring subscription contracts are typically for a term of three years at contract inception. We have been for several years successfully shifting our legacy customer base away from annual renewals and moving them onto multi-year renewal contracts. We intend to continue focusing on innovation, quality and integration of our cloud solutions, which we believe will drive future revenue growth.</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Recurring revenue increased by $8.1 million, or 3.3%, during the three months ended March 31, 2023, when compared to the same period in 2022, driven primarily by the following:</w:t>
      </w:r>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transactional recurring revenue of $5.0 million primarily due to increases in volume for our Blackbaud Tuition Management and JustGiving solutions and positive results related to a pricing initiative we implemented at the beginning of 2023; the increase in transactional recurring revenue was partially offset by a decrease related to fluctuations in foreign currency exchange rates of $1.7 million</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contractual recurring revenue of $3.1 million related to the performance of our cloud solutions; partially offset by a decrease in maintenance revenue as customers migrate to our cloud solutions; also offsetting the increase in contractual recurring revenue was a decrease related to fluctuations in foreign currency exchange rates of $0.8 million</w:t>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91540"/>
                <wp:effectExtent l="0" t="0" r="0" b="0"/>
                <wp:wrapNone/>
                <wp:docPr id="89" name="Frame28"/>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9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6"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9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6"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27</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pPr>
      <w:r>
        <w:rPr>
          <w:rFonts w:ascii="Calibri;sans-serif" w:hAnsi="Calibri;sans-serif"/>
          <w:b w:val="false"/>
          <w:color w:val="51555C"/>
          <w:sz w:val="20"/>
        </w:rPr>
        <w:t xml:space="preserve">For additional information on the impact of foreign currency fluctuations on our financial results, see Foreign Currency Exchange Rates below on page </w:t>
      </w:r>
      <w:hyperlink w:anchor="i00246672b5984694bf9fb8036f7c6186_172">
        <w:r>
          <w:rPr>
            <w:rStyle w:val="InternetLink"/>
            <w:rFonts w:ascii="Calibri;sans-serif" w:hAnsi="Calibri;sans-serif"/>
            <w:b w:val="false"/>
            <w:strike w:val="false"/>
            <w:dstrike w:val="false"/>
            <w:color w:val="51555C"/>
            <w:sz w:val="20"/>
            <w:u w:val="none"/>
            <w:effect w:val="none"/>
          </w:rPr>
          <w:t>41</w:t>
        </w:r>
      </w:hyperlink>
      <w:r>
        <w:rPr>
          <w:rFonts w:ascii="Calibri;sans-serif" w:hAnsi="Calibri;sans-serif"/>
          <w:b w:val="false"/>
          <w:color w:val="51555C"/>
          <w:sz w:val="20"/>
        </w:rPr>
        <w: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recurring revenue increased by $2.3 million, or 2.1%, during the three months ended March 31, 2023, when compared to the same period in 2022, driven primarily by the following: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transaction-based costs of $2.1 million related to the increase in the volume of transactions for which we process payments and, to a lesser extent, increases in vendor rates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third-party software costs of $1.6 million primarily related to a higher number of licenses needed and also price increases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amortization of software development costs of $1.3 million due to our continued investments in the innovation and security of our solutions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amortization of intangible assets from business combinations of $0.6 million primarily due to our acquisition of EVERFI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compensation costs of $2.1 million primarily related to our targeted workforce reductions during the fourth quarter of 2022 and the first quarter of 2023, partially offset by a corresponding increase in severance costs of $0.4 million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hosting and data center costs of $2.1 million as we continue to migrate our cloud infrastructure to leading public cloud service providers and make investments in security; currently, we expect our cloud infrastructure migration efforts and increased level of cybersecurity investments to continue for the foreseeable future</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Recurring gross margin increased by 50 basis points for the three months ended March 31, 2023, when compared to the same period in 2022, primarily due to the increase in recurring revenue outpacing the increase in cost of recurring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593" w:type="dxa"/>
        <w:jc w:val="left"/>
        <w:tblInd w:w="0" w:type="dxa"/>
        <w:tblCellMar>
          <w:top w:w="28" w:type="dxa"/>
          <w:left w:w="28" w:type="dxa"/>
          <w:bottom w:w="28" w:type="dxa"/>
          <w:right w:w="28" w:type="dxa"/>
        </w:tblCellMar>
      </w:tblPr>
      <w:tblGrid>
        <w:gridCol w:w="842"/>
        <w:gridCol w:w="739"/>
        <w:gridCol w:w="744"/>
        <w:gridCol w:w="109"/>
        <w:gridCol w:w="109"/>
        <w:gridCol w:w="109"/>
        <w:gridCol w:w="589"/>
        <w:gridCol w:w="589"/>
        <w:gridCol w:w="591"/>
        <w:gridCol w:w="109"/>
        <w:gridCol w:w="109"/>
        <w:gridCol w:w="109"/>
        <w:gridCol w:w="540"/>
        <w:gridCol w:w="540"/>
        <w:gridCol w:w="765"/>
      </w:tblGrid>
      <w:tr>
        <w:trPr/>
        <w:tc>
          <w:tcPr>
            <w:tcW w:w="842"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One-time services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Revenue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Cost of revenue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profit ($M)</w:t>
              <w:br/>
              <w:t>and gross margin (%)</w:t>
            </w:r>
          </w:p>
        </w:tc>
      </w:tr>
      <w:tr>
        <w:trPr/>
        <w:tc>
          <w:tcPr>
            <w:tcW w:w="2325"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51555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rPr/>
      </w:pPr>
      <w:r>
        <w:rPr/>
        <w:drawing>
          <wp:inline distT="0" distB="63500" distL="0" distR="0">
            <wp:extent cx="2152650" cy="1581150"/>
            <wp:effectExtent l="0" t="0" r="0" b="0"/>
            <wp:docPr id="9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7" descr=""/>
                    <pic:cNvPicPr>
                      <a:picLocks noChangeAspect="1" noChangeArrowheads="1"/>
                    </pic:cNvPicPr>
                  </pic:nvPicPr>
                  <pic:blipFill>
                    <a:blip r:embed="rId38"/>
                    <a:stretch>
                      <a:fillRect/>
                    </a:stretch>
                  </pic:blipFill>
                  <pic:spPr bwMode="auto">
                    <a:xfrm>
                      <a:off x="0" y="0"/>
                      <a:ext cx="2152650" cy="1581150"/>
                    </a:xfrm>
                    <a:prstGeom prst="rect">
                      <a:avLst/>
                    </a:prstGeom>
                  </pic:spPr>
                </pic:pic>
              </a:graphicData>
            </a:graphic>
          </wp:inline>
        </w:drawing>
      </w:r>
      <w:r>
        <w:rPr/>
        <w:drawing>
          <wp:inline distT="0" distB="63500" distL="0" distR="0">
            <wp:extent cx="2152650" cy="1581150"/>
            <wp:effectExtent l="0" t="0" r="0" b="0"/>
            <wp:docPr id="9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8" descr=""/>
                    <pic:cNvPicPr>
                      <a:picLocks noChangeAspect="1" noChangeArrowheads="1"/>
                    </pic:cNvPicPr>
                  </pic:nvPicPr>
                  <pic:blipFill>
                    <a:blip r:embed="rId39"/>
                    <a:stretch>
                      <a:fillRect/>
                    </a:stretch>
                  </pic:blipFill>
                  <pic:spPr bwMode="auto">
                    <a:xfrm>
                      <a:off x="0" y="0"/>
                      <a:ext cx="2152650" cy="1581150"/>
                    </a:xfrm>
                    <a:prstGeom prst="rect">
                      <a:avLst/>
                    </a:prstGeom>
                  </pic:spPr>
                </pic:pic>
              </a:graphicData>
            </a:graphic>
          </wp:inline>
        </w:drawing>
      </w:r>
      <w:r>
        <w:rPr/>
        <w:drawing>
          <wp:inline distT="0" distB="63500" distL="0" distR="0">
            <wp:extent cx="2152650" cy="1581150"/>
            <wp:effectExtent l="0" t="0" r="0" b="0"/>
            <wp:docPr id="9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9" descr=""/>
                    <pic:cNvPicPr>
                      <a:picLocks noChangeAspect="1" noChangeArrowheads="1"/>
                    </pic:cNvPicPr>
                  </pic:nvPicPr>
                  <pic:blipFill>
                    <a:blip r:embed="rId40"/>
                    <a:stretch>
                      <a:fillRect/>
                    </a:stretch>
                  </pic:blipFill>
                  <pic:spPr bwMode="auto">
                    <a:xfrm>
                      <a:off x="0" y="0"/>
                      <a:ext cx="2152650" cy="1581150"/>
                    </a:xfrm>
                    <a:prstGeom prst="rect">
                      <a:avLst/>
                    </a:prstGeom>
                  </pic:spPr>
                </pic:pic>
              </a:graphicData>
            </a:graphic>
          </wp:inline>
        </w:drawing>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and third-party software referral fees.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allocated depreciation, facilities and IT support costs and amortization of intangible assets from business combinations.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91540"/>
                <wp:effectExtent l="0" t="0" r="0" b="0"/>
                <wp:wrapNone/>
                <wp:docPr id="95" name="Frame29"/>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9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0" descr=""/>
                                                <pic:cNvPicPr>
                                                  <a:picLocks noChangeAspect="1" noChangeArrowheads="1"/>
                                                </pic:cNvPicPr>
                                              </pic:nvPicPr>
                                              <pic:blipFill>
                                                <a:blip r:embed="rId41"/>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9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0" descr=""/>
                                          <pic:cNvPicPr>
                                            <a:picLocks noChangeAspect="1" noChangeArrowheads="1"/>
                                          </pic:cNvPicPr>
                                        </pic:nvPicPr>
                                        <pic:blipFill>
                                          <a:blip r:embed="rId41"/>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revenue decreased by $3.5 million, or 27.7%, during the three months ended March 31, 2023, when compared to the same periods in 2022, driven primarily by the following: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one-time consulting revenue of $3.0 million primarily due to less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one-time analytics revenue of $0.8 million as analytics are generally integrated in our cloud solutions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one-time services and other decreased by $2.6 million, or 23.0%, during the three months ended March 31, 2023, when compared to the same period in 2022, driven primarily by the following: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compensation costs of $2.5 million primarily related to our targeted workforce reductions discussed above and a continued shift in resources historically supporting one-time services and other towards recurring revenue</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gross margin decreased by 580 basis points during the three months ended March 31, 2023, when compared to the same period in 2022, primarily due to the decrease of one-time services and other revenue outpacing the decrease compensation costs discussed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300"/>
        <w:rPr>
          <w:rFonts w:ascii="Calibri;sans-serif" w:hAnsi="Calibri;sans-serif"/>
          <w:b/>
          <w:color w:val="51555C"/>
          <w:sz w:val="20"/>
        </w:rPr>
      </w:pPr>
      <w:r>
        <w:rPr>
          <w:rFonts w:ascii="Calibri;sans-serif" w:hAnsi="Calibri;sans-serif"/>
          <w:b/>
          <w:color w:val="51555C"/>
          <w:sz w:val="20"/>
        </w:rPr>
        <w:t>Operating Expenses</w:t>
      </w:r>
    </w:p>
    <w:tbl>
      <w:tblPr>
        <w:tblW w:w="5842" w:type="dxa"/>
        <w:jc w:val="left"/>
        <w:tblInd w:w="0" w:type="dxa"/>
        <w:tblCellMar>
          <w:top w:w="28" w:type="dxa"/>
          <w:left w:w="28" w:type="dxa"/>
          <w:bottom w:w="28" w:type="dxa"/>
          <w:right w:w="28" w:type="dxa"/>
        </w:tblCellMar>
      </w:tblPr>
      <w:tblGrid>
        <w:gridCol w:w="683"/>
        <w:gridCol w:w="602"/>
        <w:gridCol w:w="604"/>
        <w:gridCol w:w="109"/>
        <w:gridCol w:w="109"/>
        <w:gridCol w:w="109"/>
        <w:gridCol w:w="524"/>
        <w:gridCol w:w="524"/>
        <w:gridCol w:w="526"/>
        <w:gridCol w:w="109"/>
        <w:gridCol w:w="109"/>
        <w:gridCol w:w="109"/>
        <w:gridCol w:w="505"/>
        <w:gridCol w:w="505"/>
        <w:gridCol w:w="715"/>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Sales, marketing and</w:t>
              <w:br/>
              <w:t>customer success ($M)</w:t>
            </w:r>
          </w:p>
        </w:tc>
        <w:tc>
          <w:tcPr>
            <w:tcW w:w="327" w:type="dxa"/>
            <w:gridSpan w:val="3"/>
            <w:tcBorders>
              <w:bottom w:val="single" w:sz="8" w:space="0" w:color="51555C"/>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74" w:type="dxa"/>
            <w:gridSpan w:val="3"/>
            <w:tcBorders>
              <w:bottom w:val="single" w:sz="8" w:space="0" w:color="51555C"/>
            </w:tcBorders>
            <w:shd w:fill="auto" w:val="clear"/>
            <w:tcMar>
              <w:top w:w="0" w:type="dxa"/>
              <w:left w:w="0" w:type="dxa"/>
              <w:bottom w:w="3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Research and</w:t>
              <w:br/>
              <w:t>development ($M)</w:t>
            </w:r>
          </w:p>
        </w:tc>
        <w:tc>
          <w:tcPr>
            <w:tcW w:w="327" w:type="dxa"/>
            <w:gridSpan w:val="3"/>
            <w:tcBorders>
              <w:bottom w:val="single" w:sz="8" w:space="0" w:color="51555C"/>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25" w:type="dxa"/>
            <w:gridSpan w:val="3"/>
            <w:tcBorders>
              <w:bottom w:val="single" w:sz="8" w:space="0" w:color="51555C"/>
            </w:tcBorders>
            <w:shd w:fill="auto" w:val="clear"/>
            <w:tcMar>
              <w:top w:w="0" w:type="dxa"/>
              <w:left w:w="0" w:type="dxa"/>
              <w:bottom w:w="3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General and</w:t>
              <w:br/>
              <w:t>administrative ($M)</w:t>
            </w:r>
          </w:p>
        </w:tc>
      </w:tr>
      <w:tr>
        <w:trPr/>
        <w:tc>
          <w:tcPr>
            <w:tcW w:w="5842" w:type="dxa"/>
            <w:gridSpan w:val="15"/>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expenses as a percentage of total revenue</w:t>
            </w:r>
          </w:p>
        </w:tc>
      </w:tr>
    </w:tbl>
    <w:p>
      <w:pPr>
        <w:pStyle w:val="TextBody"/>
        <w:spacing w:before="180" w:after="283"/>
        <w:rPr/>
      </w:pPr>
      <w:r>
        <w:rPr/>
        <w:drawing>
          <wp:inline distT="0" distB="63500" distL="0" distR="0">
            <wp:extent cx="2152650" cy="1581150"/>
            <wp:effectExtent l="0" t="0" r="0" b="0"/>
            <wp:docPr id="9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1" descr=""/>
                    <pic:cNvPicPr>
                      <a:picLocks noChangeAspect="1" noChangeArrowheads="1"/>
                    </pic:cNvPicPr>
                  </pic:nvPicPr>
                  <pic:blipFill>
                    <a:blip r:embed="rId42"/>
                    <a:stretch>
                      <a:fillRect/>
                    </a:stretch>
                  </pic:blipFill>
                  <pic:spPr bwMode="auto">
                    <a:xfrm>
                      <a:off x="0" y="0"/>
                      <a:ext cx="2152650" cy="1581150"/>
                    </a:xfrm>
                    <a:prstGeom prst="rect">
                      <a:avLst/>
                    </a:prstGeom>
                  </pic:spPr>
                </pic:pic>
              </a:graphicData>
            </a:graphic>
          </wp:inline>
        </w:drawing>
      </w:r>
      <w:r>
        <w:rPr/>
        <w:drawing>
          <wp:inline distT="0" distB="63500" distL="0" distR="0">
            <wp:extent cx="2152650" cy="1581150"/>
            <wp:effectExtent l="0" t="0" r="0" b="0"/>
            <wp:docPr id="9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2" descr=""/>
                    <pic:cNvPicPr>
                      <a:picLocks noChangeAspect="1" noChangeArrowheads="1"/>
                    </pic:cNvPicPr>
                  </pic:nvPicPr>
                  <pic:blipFill>
                    <a:blip r:embed="rId43"/>
                    <a:stretch>
                      <a:fillRect/>
                    </a:stretch>
                  </pic:blipFill>
                  <pic:spPr bwMode="auto">
                    <a:xfrm>
                      <a:off x="0" y="0"/>
                      <a:ext cx="2152650" cy="1581150"/>
                    </a:xfrm>
                    <a:prstGeom prst="rect">
                      <a:avLst/>
                    </a:prstGeom>
                  </pic:spPr>
                </pic:pic>
              </a:graphicData>
            </a:graphic>
          </wp:inline>
        </w:drawing>
      </w:r>
      <w:r>
        <w:rPr/>
        <w:drawing>
          <wp:inline distT="0" distB="63500" distL="0" distR="0">
            <wp:extent cx="2152650" cy="1581150"/>
            <wp:effectExtent l="0" t="0" r="0" b="0"/>
            <wp:docPr id="10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3" descr=""/>
                    <pic:cNvPicPr>
                      <a:picLocks noChangeAspect="1" noChangeArrowheads="1"/>
                    </pic:cNvPicPr>
                  </pic:nvPicPr>
                  <pic:blipFill>
                    <a:blip r:embed="rId44"/>
                    <a:stretch>
                      <a:fillRect/>
                    </a:stretch>
                  </pic:blipFill>
                  <pic:spPr bwMode="auto">
                    <a:xfrm>
                      <a:off x="0" y="0"/>
                      <a:ext cx="2152650" cy="1581150"/>
                    </a:xfrm>
                    <a:prstGeom prst="rect">
                      <a:avLst/>
                    </a:prstGeom>
                  </pic:spPr>
                </pic:pic>
              </a:graphicData>
            </a:graphic>
          </wp:inline>
        </w:drawing>
      </w:r>
    </w:p>
    <w:p>
      <w:pPr>
        <w:pStyle w:val="TextBody"/>
        <w:spacing w:lineRule="auto" w:line="288" w:before="180" w:after="283"/>
        <w:rPr>
          <w:rFonts w:ascii="Calibri;sans-serif" w:hAnsi="Calibri;sans-serif"/>
          <w:b w:val="false"/>
          <w:i/>
          <w:color w:val="51555C"/>
          <w:sz w:val="20"/>
        </w:rPr>
      </w:pPr>
      <w:r>
        <w:rPr>
          <w:rFonts w:ascii="Calibri;sans-serif" w:hAnsi="Calibri;sans-serif"/>
          <w:b w:val="false"/>
          <w:i/>
          <w:color w:val="51555C"/>
          <w:sz w:val="20"/>
        </w:rPr>
        <w:t>Sales, marketing and customer success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expected to significantly reduce our average customer acquisition cost per customer as well as the related payback period while increasing sales velocity.</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Sales, marketing and customer success expense decreased by $0.8 million, or 1.5%, during the three months ended March 31, 2023, when compared to the same period in 2022, primarily driven by the following:</w:t>
      </w:r>
    </w:p>
    <w:tbl>
      <w:tblPr>
        <w:tblW w:w="92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425"/>
        <w:gridCol w:w="2425"/>
        <w:gridCol w:w="34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34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0"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advertising costs of $0.9 million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0"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Net increase in the following costs primarily due to our targeted workforce reductions discussed above:</w:t>
            </w:r>
          </w:p>
          <w:p>
            <w:pPr>
              <w:pStyle w:val="TableContents"/>
              <w:spacing w:lineRule="auto" w:line="288" w:before="0" w:after="0"/>
              <w:ind w:left="0" w:right="0" w:hanging="360"/>
              <w:jc w:val="both"/>
              <w:rPr/>
            </w:pPr>
            <w:r>
              <w:rPr>
                <w:color w:val="51555C"/>
              </w:rPr>
              <w:t>•</w:t>
            </w:r>
            <w:r>
              <w:rPr>
                <w:rFonts w:ascii="Calibri;sans-serif" w:hAnsi="Calibri;sans-serif"/>
                <w:b w:val="false"/>
                <w:color w:val="51555C"/>
                <w:sz w:val="20"/>
              </w:rPr>
              <w:t>Increase in severance costs of $1.6 million;</w:t>
            </w:r>
          </w:p>
          <w:p>
            <w:pPr>
              <w:pStyle w:val="TableContents"/>
              <w:spacing w:lineRule="auto" w:line="288" w:before="0" w:after="0"/>
              <w:ind w:left="0" w:right="0" w:hanging="360"/>
              <w:jc w:val="both"/>
              <w:rPr/>
            </w:pPr>
            <w:r>
              <w:rPr>
                <w:color w:val="51555C"/>
              </w:rPr>
              <w:t>•</w:t>
            </w:r>
            <w:r>
              <w:rPr>
                <w:rFonts w:ascii="Calibri;sans-serif" w:hAnsi="Calibri;sans-serif"/>
                <w:b w:val="false"/>
                <w:color w:val="51555C"/>
                <w:sz w:val="20"/>
              </w:rPr>
              <w:t>Decrease in compensation costs of $0.9 million; and</w:t>
            </w:r>
          </w:p>
          <w:p>
            <w:pPr>
              <w:pStyle w:val="TableContents"/>
              <w:spacing w:lineRule="auto" w:line="288" w:before="0" w:after="0"/>
              <w:ind w:left="0" w:right="0" w:hanging="360"/>
              <w:jc w:val="both"/>
              <w:rPr/>
            </w:pPr>
            <w:r>
              <w:rPr>
                <w:color w:val="51555C"/>
              </w:rPr>
              <w:t>•</w:t>
            </w:r>
            <w:r>
              <w:rPr>
                <w:rFonts w:ascii="Calibri;sans-serif" w:hAnsi="Calibri;sans-serif"/>
                <w:b w:val="false"/>
                <w:color w:val="51555C"/>
                <w:sz w:val="20"/>
              </w:rPr>
              <w:t>Decrease in commissions expense of $0.6 million</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0"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91540"/>
                <wp:effectExtent l="0" t="0" r="0" b="0"/>
                <wp:wrapNone/>
                <wp:docPr id="101" name="Frame30"/>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0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4" descr=""/>
                                                <pic:cNvPicPr>
                                                  <a:picLocks noChangeAspect="1" noChangeArrowheads="1"/>
                                                </pic:cNvPicPr>
                                              </pic:nvPicPr>
                                              <pic:blipFill>
                                                <a:blip r:embed="rId4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0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4" descr=""/>
                                          <pic:cNvPicPr>
                                            <a:picLocks noChangeAspect="1" noChangeArrowheads="1"/>
                                          </pic:cNvPicPr>
                                        </pic:nvPicPr>
                                        <pic:blipFill>
                                          <a:blip r:embed="rId4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29</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Research and development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continue to make investments to delight our customers with innovative and secure cloud solutions. Research and development expenses increased by $0.6 million or 1.6%, during the three months ended March 31, 2023, when compared to the same period in 2022, primarily driven by the following:</w:t>
      </w:r>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949"/>
        <w:gridCol w:w="2589"/>
        <w:gridCol w:w="36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9" w:type="dxa"/>
            <w:tcBorders/>
            <w:shd w:fill="auto" w:val="clear"/>
            <w:vAlign w:val="center"/>
          </w:tcPr>
          <w:p>
            <w:pPr>
              <w:pStyle w:val="TableContents"/>
              <w:spacing w:before="0" w:after="283"/>
              <w:rPr>
                <w:sz w:val="4"/>
                <w:szCs w:val="4"/>
              </w:rPr>
            </w:pPr>
            <w:r>
              <w:rPr>
                <w:sz w:val="4"/>
                <w:szCs w:val="4"/>
              </w:rPr>
            </w:r>
          </w:p>
        </w:tc>
        <w:tc>
          <w:tcPr>
            <w:tcW w:w="2589" w:type="dxa"/>
            <w:tcBorders/>
            <w:shd w:fill="auto" w:val="clear"/>
            <w:vAlign w:val="center"/>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 in severance costs of $1.1 million primarily due to our targeted workforce reductions discussed above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 in stock-based compensation of $1.1 million primarily due to new grants related to 2022 performance-based equity award adjustments, partially offset by the targeted workforce reductions discussed above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third-party contractor costs of $1.1 million primarily due to a decrease in our use of third-party software developers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pPr>
      <w:r>
        <w:rPr>
          <w:rFonts w:ascii="Calibri;sans-serif" w:hAnsi="Calibri;sans-serif"/>
          <w:b w:val="false"/>
          <w:color w:val="51555C"/>
          <w:sz w:val="20"/>
        </w:rPr>
        <w:t xml:space="preserve">Not included in research and development expense for the three months ended March 31, 2023 and 2022 were $14.2 million and $13.8 million, respectively, of qualifying costs associated with software and content development activities that are required to be capitalized under GAAP, such as those for our cloud solutions, as well as development costs associated with acquired companies. Qualifying capitalized development costs associated with our cloud solutions are subsequently amortized to cost </w:t>
      </w:r>
      <w:r>
        <w:rPr>
          <w:rFonts w:ascii="Calibri;sans-serif" w:hAnsi="Calibri;sans-serif"/>
          <w:b w:val="false"/>
          <w:color w:val="51555C"/>
          <w:sz w:val="20"/>
          <w:highlight w:val="white"/>
        </w:rPr>
        <w:t>of subscriptions revenue over the related assets' estimated useful life, which generally range from three to seven years.</w:t>
      </w:r>
    </w:p>
    <w:p>
      <w:pPr>
        <w:pStyle w:val="TextBody"/>
        <w:spacing w:lineRule="auto" w:line="288" w:before="180" w:after="283"/>
        <w:rPr>
          <w:rFonts w:ascii="Calibri;sans-serif" w:hAnsi="Calibri;sans-serif"/>
          <w:b w:val="false"/>
          <w:i/>
          <w:color w:val="51555C"/>
          <w:sz w:val="20"/>
        </w:rPr>
      </w:pPr>
      <w:r>
        <w:rPr>
          <w:rFonts w:ascii="Calibri;sans-serif" w:hAnsi="Calibri;sans-serif"/>
          <w:b w:val="false"/>
          <w:i/>
          <w:color w:val="51555C"/>
          <w:sz w:val="20"/>
        </w:rPr>
        <w:t>General and administrative</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General and administrative expense increased by $9.1 million, or 20.7%, during the three months ended March 31, 2023, when compared to the same period in 2022, primarily driven by the following:</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pPr>
            <w:r>
              <w:rPr>
                <w:rFonts w:ascii="Calibri;sans-serif" w:hAnsi="Calibri;sans-serif"/>
                <w:b w:val="false"/>
                <w:color w:val="51555C"/>
                <w:sz w:val="20"/>
              </w:rPr>
              <w:t xml:space="preserve">Increase in Security Incident-related expenses of $10.6 million. See "Security Incident update" on page </w:t>
            </w:r>
            <w:hyperlink w:anchor="i00246672b5984694bf9fb8036f7c6186_121">
              <w:r>
                <w:rPr>
                  <w:rStyle w:val="InternetLink"/>
                  <w:rFonts w:ascii="Calibri;sans-serif" w:hAnsi="Calibri;sans-serif"/>
                  <w:b w:val="false"/>
                  <w:strike w:val="false"/>
                  <w:dstrike w:val="false"/>
                  <w:color w:val="51555C"/>
                  <w:sz w:val="20"/>
                  <w:u w:val="none"/>
                  <w:effect w:val="none"/>
                </w:rPr>
                <w:t>26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 in severance costs of $0.8 million, partially offset by a corresponding decrease in compensation costs of $0.6 million due to our targeted workforce reductions discussed above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third-party contractor costs of $0.6 million</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9"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91540"/>
                <wp:effectExtent l="0" t="0" r="0" b="0"/>
                <wp:wrapNone/>
                <wp:docPr id="104" name="Frame31"/>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0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5" descr=""/>
                                                <pic:cNvPicPr>
                                                  <a:picLocks noChangeAspect="1" noChangeArrowheads="1"/>
                                                </pic:cNvPicPr>
                                              </pic:nvPicPr>
                                              <pic:blipFill>
                                                <a:blip r:embed="rId4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0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 descr=""/>
                                          <pic:cNvPicPr>
                                            <a:picLocks noChangeAspect="1" noChangeArrowheads="1"/>
                                          </pic:cNvPicPr>
                                        </pic:nvPicPr>
                                        <pic:blipFill>
                                          <a:blip r:embed="rId4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Interest Expense</w:t>
      </w:r>
    </w:p>
    <w:tbl>
      <w:tblPr>
        <w:tblW w:w="4374" w:type="dxa"/>
        <w:jc w:val="left"/>
        <w:tblInd w:w="0" w:type="dxa"/>
        <w:tblCellMar>
          <w:top w:w="28" w:type="dxa"/>
          <w:left w:w="28" w:type="dxa"/>
          <w:bottom w:w="28" w:type="dxa"/>
          <w:right w:w="28" w:type="dxa"/>
        </w:tblCellMar>
      </w:tblPr>
      <w:tblGrid>
        <w:gridCol w:w="1329"/>
        <w:gridCol w:w="1171"/>
        <w:gridCol w:w="1175"/>
        <w:gridCol w:w="109"/>
        <w:gridCol w:w="109"/>
        <w:gridCol w:w="109"/>
        <w:gridCol w:w="109"/>
        <w:gridCol w:w="109"/>
        <w:gridCol w:w="154"/>
      </w:tblGrid>
      <w:tr>
        <w:trPr/>
        <w:tc>
          <w:tcPr>
            <w:tcW w:w="1329"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Interest expense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expenses as a percentage of 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color w:val="51555C"/>
        </w:rPr>
        <w:t>                 </w:t>
      </w:r>
      <w:r>
        <w:rPr/>
        <w:drawing>
          <wp:inline distT="0" distB="63500" distL="0" distR="0">
            <wp:extent cx="2152650" cy="1581150"/>
            <wp:effectExtent l="0" t="0" r="0" b="0"/>
            <wp:docPr id="10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6" descr=""/>
                    <pic:cNvPicPr>
                      <a:picLocks noChangeAspect="1" noChangeArrowheads="1"/>
                    </pic:cNvPicPr>
                  </pic:nvPicPr>
                  <pic:blipFill>
                    <a:blip r:embed="rId47"/>
                    <a:stretch>
                      <a:fillRect/>
                    </a:stretch>
                  </pic:blipFill>
                  <pic:spPr bwMode="auto">
                    <a:xfrm>
                      <a:off x="0" y="0"/>
                      <a:ext cx="2152650" cy="1581150"/>
                    </a:xfrm>
                    <a:prstGeom prst="rect">
                      <a:avLst/>
                    </a:prstGeom>
                  </pic:spPr>
                </pic:pic>
              </a:graphicData>
            </a:graphic>
          </wp:inline>
        </w:drawing>
      </w:r>
      <w:r>
        <w:rPr>
          <w:color w:val="51555C"/>
        </w:rPr>
        <w:t>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increase in interest expense in dollars and as a percentage of total revenue during the three months ended March 31, 2023, when compared to the same period in 2022, was primarily due to an increase in our weighted average effective interest rates. We currently expect interest expense for the full year 2023 to be approximately $37 million to $41 million although our interest expense in connection with the variable rate portion of our outstanding debt could increase in a rising interest rate environment. See Note 7 to our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Deferred Revenue</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table below compares the components of deferred revenue from our consolidated balance sheets:</w:t>
      </w:r>
    </w:p>
    <w:tbl>
      <w:tblPr>
        <w:tblW w:w="5004" w:type="dxa"/>
        <w:jc w:val="left"/>
        <w:tblInd w:w="0" w:type="dxa"/>
        <w:tblCellMar>
          <w:top w:w="28" w:type="dxa"/>
          <w:left w:w="28" w:type="dxa"/>
          <w:bottom w:w="28" w:type="dxa"/>
          <w:right w:w="28" w:type="dxa"/>
        </w:tblCellMar>
      </w:tblPr>
      <w:tblGrid>
        <w:gridCol w:w="718"/>
        <w:gridCol w:w="629"/>
        <w:gridCol w:w="633"/>
        <w:gridCol w:w="211"/>
        <w:gridCol w:w="616"/>
        <w:gridCol w:w="109"/>
        <w:gridCol w:w="247"/>
        <w:gridCol w:w="721"/>
        <w:gridCol w:w="127"/>
        <w:gridCol w:w="307"/>
        <w:gridCol w:w="309"/>
        <w:gridCol w:w="377"/>
      </w:tblGrid>
      <w:tr>
        <w:trPr/>
        <w:tc>
          <w:tcPr>
            <w:tcW w:w="71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9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0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99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198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Deferred revenue</w:t>
            </w:r>
            <w:r>
              <w:rPr>
                <w:rFonts w:ascii="Calibri;sans-serif" w:hAnsi="Calibri;sans-serif"/>
                <w:b w:val="false"/>
                <w:color w:val="51555C"/>
                <w:sz w:val="13"/>
              </w:rPr>
              <w:t>(1)</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368.0 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385.2 </w:t>
            </w:r>
          </w:p>
        </w:tc>
        <w:tc>
          <w:tcPr>
            <w:tcW w:w="12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(4.5)</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146.9 </w:t>
            </w:r>
          </w:p>
        </w:tc>
        <w:tc>
          <w:tcPr>
            <w:tcW w:w="3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1980"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Current portion</w:t>
            </w:r>
            <w:r>
              <w:rPr>
                <w:rFonts w:ascii="Calibri;sans-serif" w:hAnsi="Calibri;sans-serif"/>
                <w:b w:val="false"/>
                <w:color w:val="51555C"/>
                <w:sz w:val="13"/>
              </w:rPr>
              <w:t>(1)</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361.0 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382.4 </w:t>
            </w:r>
          </w:p>
        </w:tc>
        <w:tc>
          <w:tcPr>
            <w:tcW w:w="12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(5.6)</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deferred revenue or current portion of deferred revenue due to rounding.</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of each one-year period.</w:t>
      </w:r>
    </w:p>
    <w:p>
      <w:pPr>
        <w:pStyle w:val="TextBody"/>
        <w:spacing w:lineRule="auto" w:line="288" w:before="180" w:after="283"/>
        <w:jc w:val="both"/>
        <w:rPr/>
      </w:pPr>
      <w:r>
        <w:rPr>
          <w:rFonts w:ascii="Calibri;sans-serif" w:hAnsi="Calibri;sans-serif"/>
          <w:b w:val="false"/>
          <w:color w:val="51555C"/>
          <w:sz w:val="20"/>
          <w:highlight w:val="white"/>
        </w:rPr>
        <w:t xml:space="preserve">The decrease in deferred revenue during the three months ended March 31, 2023 was primarily due to </w:t>
      </w:r>
      <w:r>
        <w:rPr>
          <w:rFonts w:ascii="Calibri;sans-serif" w:hAnsi="Calibri;sans-serif"/>
          <w:b w:val="false"/>
          <w:color w:val="51555C"/>
          <w:sz w:val="20"/>
        </w:rPr>
        <w:t>a seasonal decrease in customer contract renewals</w:t>
      </w:r>
      <w:r>
        <w:rPr>
          <w:rFonts w:ascii="Calibri;sans-serif" w:hAnsi="Calibri;sans-serif"/>
          <w:b w:val="false"/>
          <w:color w:val="51555C"/>
          <w:sz w:val="20"/>
          <w:highlight w:val="white"/>
        </w:rPr>
        <w:t xml:space="preserve">. Historically, due to the timing of customer budget cycles, we have an increase in customer contract renewals at or near the beginning of our third quarter. Generally, our lowest balance of deferred revenue during the year is at the end of our first quarter.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91540"/>
                <wp:effectExtent l="0" t="0" r="0" b="0"/>
                <wp:wrapNone/>
                <wp:docPr id="108" name="Frame32"/>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0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7" descr=""/>
                                                <pic:cNvPicPr>
                                                  <a:picLocks noChangeAspect="1" noChangeArrowheads="1"/>
                                                </pic:cNvPicPr>
                                              </pic:nvPicPr>
                                              <pic:blipFill>
                                                <a:blip r:embed="rId48"/>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1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7" descr=""/>
                                          <pic:cNvPicPr>
                                            <a:picLocks noChangeAspect="1" noChangeArrowheads="1"/>
                                          </pic:cNvPicPr>
                                        </pic:nvPicPr>
                                        <pic:blipFill>
                                          <a:blip r:embed="rId48"/>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31</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300" w:after="300"/>
        <w:rPr>
          <w:rFonts w:ascii="Calibri;sans-serif" w:hAnsi="Calibri;sans-serif"/>
          <w:b/>
          <w:color w:val="51555C"/>
          <w:sz w:val="20"/>
        </w:rPr>
      </w:pPr>
      <w:r>
        <w:rPr>
          <w:rFonts w:ascii="Calibri;sans-serif" w:hAnsi="Calibri;sans-serif"/>
          <w:b/>
          <w:color w:val="51555C"/>
          <w:sz w:val="20"/>
        </w:rPr>
        <w:t>Income Taxes</w:t>
      </w:r>
    </w:p>
    <w:tbl>
      <w:tblPr>
        <w:tblW w:w="3429" w:type="dxa"/>
        <w:jc w:val="left"/>
        <w:tblInd w:w="0" w:type="dxa"/>
        <w:tblCellMar>
          <w:top w:w="28" w:type="dxa"/>
          <w:left w:w="28" w:type="dxa"/>
          <w:bottom w:w="28" w:type="dxa"/>
          <w:right w:w="28" w:type="dxa"/>
        </w:tblCellMar>
      </w:tblPr>
      <w:tblGrid>
        <w:gridCol w:w="987"/>
        <w:gridCol w:w="870"/>
        <w:gridCol w:w="873"/>
        <w:gridCol w:w="109"/>
        <w:gridCol w:w="109"/>
        <w:gridCol w:w="109"/>
        <w:gridCol w:w="109"/>
        <w:gridCol w:w="109"/>
        <w:gridCol w:w="154"/>
      </w:tblGrid>
      <w:tr>
        <w:trPr/>
        <w:tc>
          <w:tcPr>
            <w:tcW w:w="98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88" w:before="60" w:after="283"/>
              <w:jc w:val="center"/>
              <w:rPr>
                <w:rFonts w:ascii="Calibri;sans-serif" w:hAnsi="Calibri;sans-serif"/>
                <w:b w:val="false"/>
                <w:i/>
                <w:color w:val="51555C"/>
                <w:sz w:val="20"/>
              </w:rPr>
            </w:pPr>
            <w:r>
              <w:rPr>
                <w:rFonts w:ascii="Calibri;sans-serif" w:hAnsi="Calibri;sans-serif"/>
                <w:b w:val="false"/>
                <w:i/>
                <w:color w:val="51555C"/>
                <w:sz w:val="20"/>
              </w:rPr>
              <w:t>Income tax benefit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effective income tax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color w:val="51555C"/>
        </w:rPr>
        <w:t>                 </w:t>
      </w:r>
      <w:r>
        <w:rPr/>
        <w:drawing>
          <wp:inline distT="0" distB="63500" distL="0" distR="0">
            <wp:extent cx="2152650" cy="1581150"/>
            <wp:effectExtent l="0" t="0" r="0" b="0"/>
            <wp:docPr id="11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8" descr=""/>
                    <pic:cNvPicPr>
                      <a:picLocks noChangeAspect="1" noChangeArrowheads="1"/>
                    </pic:cNvPicPr>
                  </pic:nvPicPr>
                  <pic:blipFill>
                    <a:blip r:embed="rId49"/>
                    <a:stretch>
                      <a:fillRect/>
                    </a:stretch>
                  </pic:blipFill>
                  <pic:spPr bwMode="auto">
                    <a:xfrm>
                      <a:off x="0" y="0"/>
                      <a:ext cx="2152650" cy="1581150"/>
                    </a:xfrm>
                    <a:prstGeom prst="rect">
                      <a:avLst/>
                    </a:prstGeom>
                  </pic:spPr>
                </pic:pic>
              </a:graphicData>
            </a:graphic>
          </wp:inline>
        </w:drawing>
      </w:r>
      <w:r>
        <w:rPr>
          <w:color w:val="51555C"/>
        </w:rPr>
        <w:t>                 </w:t>
      </w:r>
    </w:p>
    <w:p>
      <w:pPr>
        <w:pStyle w:val="TextBody"/>
        <w:spacing w:before="180" w:after="283"/>
        <w:jc w:val="both"/>
        <w:rPr/>
      </w:pPr>
      <w:r>
        <w:rPr/>
      </w:r>
    </w:p>
    <w:p>
      <w:pPr>
        <w:pStyle w:val="TextBody"/>
        <w:spacing w:lineRule="auto" w:line="288" w:before="180" w:after="283"/>
        <w:jc w:val="both"/>
        <w:rPr/>
      </w:pPr>
      <w:r>
        <w:rPr>
          <w:rFonts w:ascii="Calibri;sans-serif" w:hAnsi="Calibri;sans-serif"/>
          <w:b w:val="false"/>
          <w:color w:val="51555C"/>
          <w:sz w:val="20"/>
        </w:rPr>
        <w:t xml:space="preserve">For the three months ended March 31, 2022, we utilized the discrete effective tax rate method, as allowed by ASC 740-270-30-18, </w:t>
      </w:r>
      <w:r>
        <w:rPr>
          <w:rFonts w:ascii="Calibri;sans-serif" w:hAnsi="Calibri;sans-serif"/>
          <w:b w:val="false"/>
          <w:i/>
          <w:color w:val="51555C"/>
          <w:sz w:val="20"/>
        </w:rPr>
        <w:t>Income Taxes—Interim Reporting</w:t>
      </w:r>
      <w:r>
        <w:rPr>
          <w:rFonts w:ascii="Calibri;sans-serif" w:hAnsi="Calibri;sans-serif"/>
          <w:b w:val="false"/>
          <w:color w:val="51555C"/>
          <w:sz w:val="20"/>
        </w:rPr>
        <w:t>, to calculate its interim income tax provision. The discrete method is applied when the application of the estimated 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no longer more appropriate than the annual effective tax rate method.</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increase in our effective income tax rate for the three months ended March 31, 2023 when compared to the same period in 2022 was primarily attributable to unfavorable impact of non-deductible Security Incident accruals, lower foreign-derived intangible income deduction and increase to the UK corporate tax rate offset against benefit attributable to valuation allowance reduction.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Non-GAAP Financial Measures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91540"/>
                <wp:effectExtent l="0" t="0" r="0" b="0"/>
                <wp:wrapNone/>
                <wp:docPr id="112" name="Frame33"/>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1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9" descr=""/>
                                                <pic:cNvPicPr>
                                                  <a:picLocks noChangeAspect="1" noChangeArrowheads="1"/>
                                                </pic:cNvPicPr>
                                              </pic:nvPicPr>
                                              <pic:blipFill>
                                                <a:blip r:embed="rId5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1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9" descr=""/>
                                          <pic:cNvPicPr>
                                            <a:picLocks noChangeAspect="1" noChangeArrowheads="1"/>
                                          </pic:cNvPicPr>
                                        </pic:nvPicPr>
                                        <pic:blipFill>
                                          <a:blip r:embed="rId5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8550" w:type="dxa"/>
        <w:jc w:val="left"/>
        <w:tblInd w:w="0" w:type="dxa"/>
        <w:tblCellMar>
          <w:top w:w="28" w:type="dxa"/>
          <w:left w:w="28" w:type="dxa"/>
          <w:bottom w:w="28" w:type="dxa"/>
          <w:right w:w="28" w:type="dxa"/>
        </w:tblCellMar>
      </w:tblPr>
      <w:tblGrid>
        <w:gridCol w:w="1684"/>
        <w:gridCol w:w="1477"/>
        <w:gridCol w:w="1489"/>
        <w:gridCol w:w="109"/>
        <w:gridCol w:w="109"/>
        <w:gridCol w:w="142"/>
        <w:gridCol w:w="142"/>
        <w:gridCol w:w="256"/>
        <w:gridCol w:w="708"/>
        <w:gridCol w:w="295"/>
        <w:gridCol w:w="251"/>
        <w:gridCol w:w="695"/>
        <w:gridCol w:w="226"/>
        <w:gridCol w:w="298"/>
        <w:gridCol w:w="302"/>
        <w:gridCol w:w="367"/>
      </w:tblGrid>
      <w:tr>
        <w:trPr/>
        <w:tc>
          <w:tcPr>
            <w:tcW w:w="1684"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3" w:type="dxa"/>
            <w:gridSpan w:val="5"/>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2139" w:type="dxa"/>
            <w:gridSpan w:val="6"/>
            <w:tcBorders/>
            <w:shd w:fill="auto" w:val="clear"/>
          </w:tcPr>
          <w:p>
            <w:pPr>
              <w:pStyle w:val="TableContents"/>
              <w:spacing w:before="0" w:after="283"/>
              <w:rPr>
                <w:sz w:val="4"/>
                <w:szCs w:val="4"/>
              </w:rPr>
            </w:pPr>
            <w:r>
              <w:rPr>
                <w:sz w:val="4"/>
                <w:szCs w:val="4"/>
              </w:rPr>
            </w:r>
          </w:p>
        </w:tc>
      </w:tr>
      <w:tr>
        <w:trPr/>
        <w:tc>
          <w:tcPr>
            <w:tcW w:w="465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 except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7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96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465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261.8 </w:t>
            </w:r>
          </w:p>
        </w:tc>
        <w:tc>
          <w:tcPr>
            <w:tcW w:w="295"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257.1 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1.8 </w:t>
            </w:r>
          </w:p>
        </w:tc>
        <w:tc>
          <w:tcPr>
            <w:tcW w:w="36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138.6 </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133.8 </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3.6 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53.0 </w:t>
            </w:r>
          </w:p>
        </w:tc>
        <w:tc>
          <w:tcPr>
            <w:tcW w:w="29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52.0 </w:t>
            </w:r>
          </w:p>
        </w:tc>
        <w:tc>
          <w:tcPr>
            <w:tcW w:w="2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4.0 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(4.7)</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13.1 </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12.5 </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5.0 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0.7 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100.0 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17.8 </w:t>
            </w:r>
          </w:p>
        </w:tc>
        <w:tc>
          <w:tcPr>
            <w:tcW w:w="295"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16.6 </w:t>
            </w:r>
          </w:p>
        </w:tc>
        <w:tc>
          <w:tcPr>
            <w:tcW w:w="226"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7.0 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color w:val="51555C"/>
                <w:sz w:val="16"/>
              </w:rPr>
              <w:t>Non-GAAP gross profit</w:t>
            </w:r>
            <w:r>
              <w:rPr>
                <w:rFonts w:ascii="Calibri;sans-serif" w:hAnsi="Calibri;sans-serif"/>
                <w:b/>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156.4 </w:t>
            </w:r>
          </w:p>
        </w:tc>
        <w:tc>
          <w:tcPr>
            <w:tcW w:w="295"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150.4 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59.8 </w:t>
            </w:r>
          </w:p>
        </w:tc>
        <w:tc>
          <w:tcPr>
            <w:tcW w:w="295"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58.5 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(9.9)</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(6.0)</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66.4 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(3.8)</w:t>
            </w:r>
          </w:p>
        </w:tc>
        <w:tc>
          <w:tcPr>
            <w:tcW w:w="29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(2.3)</w:t>
            </w:r>
          </w:p>
        </w:tc>
        <w:tc>
          <w:tcPr>
            <w:tcW w:w="2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29.9 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7.4 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13.9 </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13.3 </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4.4 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4.3 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100.0 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Acquisition and disposition-related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0.6 </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1.0 </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(35.3)</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Restructuring and other real estate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(100.0)</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Add: Security Incident-related costs, net of insurance</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17.8 </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7.2 </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147.0 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66.5 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49.4 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34.7 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color w:val="51555C"/>
                <w:sz w:val="16"/>
              </w:rPr>
              <w:t>Non-GAAP income from operations</w:t>
            </w:r>
            <w:r>
              <w:rPr>
                <w:rFonts w:ascii="Calibri;sans-serif" w:hAnsi="Calibri;sans-serif"/>
                <w:b/>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56.6 </w:t>
            </w:r>
          </w:p>
        </w:tc>
        <w:tc>
          <w:tcPr>
            <w:tcW w:w="295"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43.4 </w:t>
            </w:r>
          </w:p>
        </w:tc>
        <w:tc>
          <w:tcPr>
            <w:tcW w:w="226"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30.4 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21.6 </w:t>
            </w:r>
          </w:p>
        </w:tc>
        <w:tc>
          <w:tcPr>
            <w:tcW w:w="295"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16.9 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loss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(18.6)</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(12.5)</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49.3 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(10.4)</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41.3 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Shares used in computing GAAP diluted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52,132,999 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51,199,717 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diluted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(0.28)</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(0.20)</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40.0 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GAAP 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(3.9)</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90.3 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Total non-GAAP adjustments affecting 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66.5 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49.4 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34.7 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47.9 </w:t>
            </w:r>
          </w:p>
        </w:tc>
        <w:tc>
          <w:tcPr>
            <w:tcW w:w="295"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36.9 </w:t>
            </w:r>
          </w:p>
        </w:tc>
        <w:tc>
          <w:tcPr>
            <w:tcW w:w="226"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29.8 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Assumed non-GAAP income tax provision</w:t>
            </w:r>
            <w:r>
              <w:rPr>
                <w:rFonts w:ascii="Calibri;sans-serif" w:hAnsi="Calibri;sans-serif"/>
                <w:b w:val="false"/>
                <w:color w:val="51555C"/>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9.6 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7.4 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29.8 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color w:val="51555C"/>
                <w:sz w:val="16"/>
              </w:rPr>
              <w:t>Non-GAAP net income</w:t>
            </w:r>
            <w:r>
              <w:rPr>
                <w:rFonts w:ascii="Calibri;sans-serif" w:hAnsi="Calibri;sans-serif"/>
                <w:b/>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38.3 </w:t>
            </w:r>
          </w:p>
        </w:tc>
        <w:tc>
          <w:tcPr>
            <w:tcW w:w="295"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0000"/>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29.5 </w:t>
            </w:r>
          </w:p>
        </w:tc>
        <w:tc>
          <w:tcPr>
            <w:tcW w:w="226" w:type="dxa"/>
            <w:tcBorders>
              <w:top w:val="single" w:sz="8" w:space="0" w:color="000000"/>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29.8 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59"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Shares used in computing non-GAAP 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53,171,410 </w:t>
            </w:r>
          </w:p>
        </w:tc>
        <w:tc>
          <w:tcPr>
            <w:tcW w:w="29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52,076,858 </w:t>
            </w:r>
          </w:p>
        </w:tc>
        <w:tc>
          <w:tcPr>
            <w:tcW w:w="22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08"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0.72 </w:t>
            </w:r>
          </w:p>
        </w:tc>
        <w:tc>
          <w:tcPr>
            <w:tcW w:w="295" w:type="dxa"/>
            <w:tcBorders>
              <w:bottom w:val="single" w:sz="8" w:space="0" w:color="0CD973"/>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51"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0.57 </w:t>
            </w:r>
          </w:p>
        </w:tc>
        <w:tc>
          <w:tcPr>
            <w:tcW w:w="226" w:type="dxa"/>
            <w:tcBorders>
              <w:bottom w:val="single" w:sz="8" w:space="0" w:color="0CD973"/>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00" w:type="dxa"/>
            <w:gridSpan w:val="2"/>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26.3 </w:t>
            </w:r>
          </w:p>
        </w:tc>
        <w:tc>
          <w:tcPr>
            <w:tcW w:w="367"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subtotal, non-GAAP gross profit, non-GAAP income from operations, non-GAAP income before provision for income taxes or non-GAAP net income due to rounding.</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(2)Includes Security Incident-related costs incurred during the three months ended March 31, 2023 of $17.8 million, which includes approximately $10.2 million in recorded liabilities for loss contingencies, net of insurance recoveries during the same period of $0.0 million and during the three months ended March 31, 2022 of $9.0 million, net of insurance recoveries during the same period of $1.8 million. Recorded expenses consisted primarily of payments to third-party service providers and consultants, including legal fees, as well as settlements of customer claims and accruals for certain loss contingencies. Not included in this adjustment were costs associated with enhancements to our cybersecurity program. For full year 2023, we currently expect net pre-tax expense of approximately $20 million to $30 million and net cash outlays of approximately $25 million to $35 million for ongoing legal fees related to the Security Incident. Not included in these ranges are our previous settlements or current accruals for loss contingencies related to the matters discussed below. In line with our policy, legal fees are expensed as incurred. As of March 31, 2023, we have recorded approximately $30.2 million in aggregate liabilities for loss contingencies based primarily on recent negotiations with certain governmental agencies related to the Security Incident that we believe we can reasonably estimate. It is reasonably possible that our estimated or actual losses may change in the near term for those matters and be materially in excess of the amounts accrued, but we are unable at this time to reasonably estimate the possible additional loss. There are other Security Incident-related matters, including customer claims, customer constituent class actions and governmental investigations, for which we have not recorded a liability for a loss contingency as of March 31,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(3)We apply a non-GAAP effective tax rate of 20.0% when calculating non-GAAP net income and non-GAAP diluted earnings per share.</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91540"/>
                <wp:effectExtent l="0" t="0" r="0" b="0"/>
                <wp:wrapNone/>
                <wp:docPr id="115" name="Frame34"/>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1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0" descr=""/>
                                                <pic:cNvPicPr>
                                                  <a:picLocks noChangeAspect="1" noChangeArrowheads="1"/>
                                                </pic:cNvPicPr>
                                              </pic:nvPicPr>
                                              <pic:blipFill>
                                                <a:blip r:embed="rId51"/>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1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0" descr=""/>
                                          <pic:cNvPicPr>
                                            <a:picLocks noChangeAspect="1" noChangeArrowheads="1"/>
                                          </pic:cNvPicPr>
                                        </pic:nvPicPr>
                                        <pic:blipFill>
                                          <a:blip r:embed="rId51"/>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33</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Non-GAAP organic revenue growth</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addition, we use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7707" w:type="dxa"/>
        <w:jc w:val="left"/>
        <w:tblInd w:w="0" w:type="dxa"/>
        <w:tblCellMar>
          <w:top w:w="28" w:type="dxa"/>
          <w:left w:w="28" w:type="dxa"/>
          <w:bottom w:w="28" w:type="dxa"/>
          <w:right w:w="28" w:type="dxa"/>
        </w:tblCellMar>
      </w:tblPr>
      <w:tblGrid>
        <w:gridCol w:w="1832"/>
        <w:gridCol w:w="1607"/>
        <w:gridCol w:w="1615"/>
        <w:gridCol w:w="109"/>
        <w:gridCol w:w="109"/>
        <w:gridCol w:w="157"/>
        <w:gridCol w:w="282"/>
        <w:gridCol w:w="780"/>
        <w:gridCol w:w="325"/>
        <w:gridCol w:w="196"/>
        <w:gridCol w:w="541"/>
        <w:gridCol w:w="154"/>
      </w:tblGrid>
      <w:tr>
        <w:trPr/>
        <w:tc>
          <w:tcPr>
            <w:tcW w:w="1832"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891" w:type="dxa"/>
            <w:gridSpan w:val="3"/>
            <w:tcBorders/>
            <w:shd w:fill="auto" w:val="clear"/>
          </w:tcPr>
          <w:p>
            <w:pPr>
              <w:pStyle w:val="TableContents"/>
              <w:spacing w:before="0" w:after="283"/>
              <w:rPr>
                <w:sz w:val="4"/>
                <w:szCs w:val="4"/>
              </w:rPr>
            </w:pPr>
            <w:r>
              <w:rPr>
                <w:sz w:val="4"/>
                <w:szCs w:val="4"/>
              </w:rPr>
            </w:r>
          </w:p>
        </w:tc>
      </w:tr>
      <w:tr>
        <w:trPr/>
        <w:tc>
          <w:tcPr>
            <w:tcW w:w="505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505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261.8 </w:t>
            </w:r>
          </w:p>
        </w:tc>
        <w:tc>
          <w:tcPr>
            <w:tcW w:w="325"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257.1 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revenue growth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1.8</w:t>
            </w:r>
            <w:r>
              <w:rPr>
                <w:color w:val="51555C"/>
              </w:rPr>
              <w:t> </w:t>
            </w:r>
          </w:p>
        </w:tc>
        <w:tc>
          <w:tcPr>
            <w:tcW w:w="3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Less: Non-GAAP revenue from divested businesses</w:t>
            </w:r>
            <w:r>
              <w:rPr>
                <w:rFonts w:ascii="Calibri;sans-serif" w:hAnsi="Calibri;sans-serif"/>
                <w:b w:val="false"/>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organic revenue</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261.8 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255.8 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revenue growth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2.3</w:t>
            </w:r>
            <w:r>
              <w:rPr>
                <w:color w:val="51555C"/>
              </w:rPr>
              <w:t>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organic revenue</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261.8 </w:t>
            </w:r>
          </w:p>
        </w:tc>
        <w:tc>
          <w:tcPr>
            <w:tcW w:w="3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255.8 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Foreign currency impact on Non-GAAP organic revenue</w:t>
            </w:r>
            <w:r>
              <w:rPr>
                <w:rFonts w:ascii="Calibri;sans-serif" w:hAnsi="Calibri;sans-serif"/>
                <w:b w:val="false"/>
                <w:color w:val="51555C"/>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organic revenue on constant currency basis</w:t>
            </w:r>
            <w:r>
              <w:rPr>
                <w:rFonts w:ascii="Calibri;sans-serif" w:hAnsi="Calibri;sans-serif"/>
                <w:b w:val="false"/>
                <w:color w:val="51555C"/>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264.4 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255.8 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revenue growth on constant currency basis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3.4</w:t>
            </w:r>
            <w:r>
              <w:rPr>
                <w:color w:val="51555C"/>
              </w:rPr>
              <w:t>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recurring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252.7 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recurring revenue growth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3.3</w:t>
            </w:r>
            <w:r>
              <w:rPr>
                <w:color w:val="51555C"/>
              </w:rPr>
              <w:t> </w:t>
            </w:r>
          </w:p>
        </w:tc>
        <w:tc>
          <w:tcPr>
            <w:tcW w:w="325"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Less: Non-GAAP recurring revenue from divested businesses</w:t>
            </w:r>
            <w:r>
              <w:rPr>
                <w:rFonts w:ascii="Calibri;sans-serif" w:hAnsi="Calibri;sans-serif"/>
                <w:b w:val="false"/>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organic recurring revenue</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252.7 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243.4 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recurring revenue growth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3.8</w:t>
            </w:r>
            <w:r>
              <w:rPr>
                <w:color w:val="51555C"/>
              </w:rPr>
              <w:t>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8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organic recurring revenue</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252.7 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Foreign currency impact on non-GAAP organic recurring revenue</w:t>
            </w:r>
            <w:r>
              <w:rPr>
                <w:rFonts w:ascii="Calibri;sans-serif" w:hAnsi="Calibri;sans-serif"/>
                <w:b w:val="false"/>
                <w:color w:val="51555C"/>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2.5 </w:t>
            </w:r>
          </w:p>
        </w:tc>
        <w:tc>
          <w:tcPr>
            <w:tcW w:w="325"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organic recurring revenue on constant currency basis</w:t>
            </w:r>
            <w:r>
              <w:rPr>
                <w:rFonts w:ascii="Calibri;sans-serif" w:hAnsi="Calibri;sans-serif"/>
                <w:b w:val="false"/>
                <w:color w:val="51555C"/>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82"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255.2 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243.4 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recurring revenue growth on constant currency basis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pPr>
            <w:r>
              <w:rPr>
                <w:rFonts w:ascii="Calibri;sans-serif" w:hAnsi="Calibri;sans-serif"/>
                <w:b/>
                <w:color w:val="51555C"/>
                <w:sz w:val="16"/>
              </w:rPr>
              <w:t>4.9</w:t>
            </w:r>
            <w:r>
              <w:rPr>
                <w:color w:val="51555C"/>
              </w:rPr>
              <w:t> </w:t>
            </w:r>
          </w:p>
        </w:tc>
        <w:tc>
          <w:tcPr>
            <w:tcW w:w="32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bottom w:val="single" w:sz="8" w:space="0" w:color="0CD973"/>
            </w:tcBorders>
            <w:shd w:fill="EBFB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91540"/>
                <wp:effectExtent l="0" t="0" r="0" b="0"/>
                <wp:wrapNone/>
                <wp:docPr id="118" name="Frame35"/>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1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1" descr=""/>
                                                <pic:cNvPicPr>
                                                  <a:picLocks noChangeAspect="1" noChangeArrowheads="1"/>
                                                </pic:cNvPicPr>
                                              </pic:nvPicPr>
                                              <pic:blipFill>
                                                <a:blip r:embed="rId52"/>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2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1" descr=""/>
                                          <pic:cNvPicPr>
                                            <a:picLocks noChangeAspect="1" noChangeArrowheads="1"/>
                                          </pic:cNvPicPr>
                                        </pic:nvPicPr>
                                        <pic:blipFill>
                                          <a:blip r:embed="rId52"/>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Rule of 40</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previously defined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and content development costs; stock-based compensation; employee severance; acquisition and disposition-related costs; restructuring and other real estate activities; Security Incident-related costs, net of insurance; and impairment of capitalized software development costs. Beginning in the fiscal quarter ended June 30, 2022, we now also include in non-GAAP adjusted EBITDA impairment of capitalized software development costs because we believe it is not directly related to our operating performance in any particular period.</w:t>
      </w:r>
    </w:p>
    <w:tbl>
      <w:tblPr>
        <w:tblW w:w="7940" w:type="dxa"/>
        <w:jc w:val="left"/>
        <w:tblInd w:w="0" w:type="dxa"/>
        <w:tblCellMar>
          <w:top w:w="28" w:type="dxa"/>
          <w:left w:w="28" w:type="dxa"/>
          <w:bottom w:w="28" w:type="dxa"/>
          <w:right w:w="28" w:type="dxa"/>
        </w:tblCellMar>
      </w:tblPr>
      <w:tblGrid>
        <w:gridCol w:w="1593"/>
        <w:gridCol w:w="1397"/>
        <w:gridCol w:w="1405"/>
        <w:gridCol w:w="109"/>
        <w:gridCol w:w="109"/>
        <w:gridCol w:w="146"/>
        <w:gridCol w:w="146"/>
        <w:gridCol w:w="263"/>
        <w:gridCol w:w="686"/>
        <w:gridCol w:w="303"/>
        <w:gridCol w:w="196"/>
        <w:gridCol w:w="511"/>
        <w:gridCol w:w="109"/>
        <w:gridCol w:w="298"/>
        <w:gridCol w:w="302"/>
        <w:gridCol w:w="367"/>
      </w:tblGrid>
      <w:tr>
        <w:trPr/>
        <w:tc>
          <w:tcPr>
            <w:tcW w:w="1593"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5"/>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783" w:type="dxa"/>
            <w:gridSpan w:val="6"/>
            <w:tcBorders/>
            <w:shd w:fill="auto" w:val="clear"/>
          </w:tcPr>
          <w:p>
            <w:pPr>
              <w:pStyle w:val="TableContents"/>
              <w:spacing w:before="0" w:after="283"/>
              <w:rPr>
                <w:sz w:val="4"/>
                <w:szCs w:val="4"/>
              </w:rPr>
            </w:pPr>
            <w:r>
              <w:rPr>
                <w:sz w:val="4"/>
                <w:szCs w:val="4"/>
              </w:rPr>
            </w:r>
          </w:p>
        </w:tc>
      </w:tr>
      <w:tr>
        <w:trPr/>
        <w:tc>
          <w:tcPr>
            <w:tcW w:w="43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96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439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8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w:t>
            </w:r>
          </w:p>
        </w:tc>
        <w:tc>
          <w:tcPr>
            <w:tcW w:w="303"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(10.4)</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41.3 </w:t>
            </w:r>
          </w:p>
        </w:tc>
        <w:tc>
          <w:tcPr>
            <w:tcW w:w="36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Interest,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9.4 </w:t>
            </w:r>
          </w:p>
        </w:tc>
        <w:tc>
          <w:tcPr>
            <w:tcW w:w="303"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7.5 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GAAP 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(3.9)</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90.3 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3.3 </w:t>
            </w:r>
          </w:p>
        </w:tc>
        <w:tc>
          <w:tcPr>
            <w:tcW w:w="303"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3.5 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13.9 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4.4 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Add: Amortization of software and content development costs</w:t>
            </w:r>
            <w:r>
              <w:rPr>
                <w:rFonts w:ascii="Calibri;sans-serif" w:hAnsi="Calibri;sans-serif"/>
                <w:b w:val="false"/>
                <w:color w:val="51555C"/>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10.6 </w:t>
            </w:r>
          </w:p>
        </w:tc>
        <w:tc>
          <w:tcPr>
            <w:tcW w:w="303"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9.2 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33.4 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31.5 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5.8 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EBITDA</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8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18.7 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(11.6)</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7.1 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816"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29.9 </w:t>
            </w:r>
          </w:p>
        </w:tc>
        <w:tc>
          <w:tcPr>
            <w:tcW w:w="303"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7.4 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4.3 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100.0 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Add: Acquisition and disposition-related costs</w:t>
            </w:r>
            <w:r>
              <w:rPr>
                <w:rFonts w:ascii="Calibri;sans-serif" w:hAnsi="Calibri;sans-serif"/>
                <w:b w:val="false"/>
                <w:color w:val="51555C"/>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0.6 </w:t>
            </w:r>
          </w:p>
        </w:tc>
        <w:tc>
          <w:tcPr>
            <w:tcW w:w="303"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(35.3)</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Restructuring and other real estate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(100.0)</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Add: Security Incident-related costs, net of insurance</w:t>
            </w:r>
            <w:r>
              <w:rPr>
                <w:rFonts w:ascii="Calibri;sans-serif" w:hAnsi="Calibri;sans-serif"/>
                <w:b w:val="false"/>
                <w:color w:val="51555C"/>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17.8 </w:t>
            </w:r>
          </w:p>
        </w:tc>
        <w:tc>
          <w:tcPr>
            <w:tcW w:w="303"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7.2 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147.0 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52.6 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36.1 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45.9 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Adjusted EBITDA</w:t>
            </w:r>
            <w:r>
              <w:rPr>
                <w:rFonts w:ascii="Calibri;sans-serif" w:hAnsi="Calibri;sans-serif"/>
                <w:b w:val="false"/>
                <w:color w:val="51555C"/>
                <w:sz w:val="1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8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71.3 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24.7 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27.2</w:t>
            </w:r>
            <w:r>
              <w:rPr>
                <w:color w:val="51555C"/>
              </w:rPr>
              <w:t>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top w:val="single" w:sz="8" w:space="0" w:color="51555C"/>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color w:val="51555C"/>
                <w:sz w:val="16"/>
              </w:rPr>
              <w:t>Rule of 40</w:t>
            </w:r>
            <w:r>
              <w:rPr>
                <w:rFonts w:ascii="Calibri;sans-serif" w:hAnsi="Calibri;sans-serif"/>
                <w:b/>
                <w:color w:val="51555C"/>
                <w:sz w:val="1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29.5</w:t>
            </w:r>
            <w:r>
              <w:rPr>
                <w:color w:val="51555C"/>
              </w:rPr>
              <w:t> </w:t>
            </w:r>
          </w:p>
        </w:tc>
        <w:tc>
          <w:tcPr>
            <w:tcW w:w="3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71.3 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24.7 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Foreign currency impact on Non-GAAP adjusted EBITDA</w:t>
            </w:r>
            <w:r>
              <w:rPr>
                <w:rFonts w:ascii="Calibri;sans-serif" w:hAnsi="Calibri;sans-serif"/>
                <w:b w:val="false"/>
                <w:color w:val="51555C"/>
                <w:sz w:val="1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1.3 </w:t>
            </w:r>
          </w:p>
        </w:tc>
        <w:tc>
          <w:tcPr>
            <w:tcW w:w="303"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0.5 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158.9 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51555C"/>
                <w:sz w:val="16"/>
              </w:rPr>
              <w:t>Non-GAAP adjusted EBITDA on constant currency basis</w:t>
            </w:r>
            <w:r>
              <w:rPr>
                <w:rFonts w:ascii="Calibri;sans-serif" w:hAnsi="Calibri;sans-serif"/>
                <w:b w:val="false"/>
                <w:color w:val="51555C"/>
                <w:sz w:val="1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8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72.6 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25.8 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39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adjusted EBITDA margin on constant currency basis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pPr>
            <w:r>
              <w:rPr>
                <w:rFonts w:ascii="Calibri;sans-serif" w:hAnsi="Calibri;sans-serif"/>
                <w:b/>
                <w:color w:val="51555C"/>
                <w:sz w:val="16"/>
              </w:rPr>
              <w:t>27.5</w:t>
            </w:r>
            <w:r>
              <w:rPr>
                <w:color w:val="51555C"/>
              </w:rPr>
              <w:t>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top w:val="single" w:sz="8" w:space="0" w:color="51555C"/>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0"/>
              <w:jc w:val="left"/>
              <w:rPr/>
            </w:pPr>
            <w:r>
              <w:rPr>
                <w:rFonts w:ascii="Calibri;sans-serif" w:hAnsi="Calibri;sans-serif"/>
                <w:b/>
                <w:color w:val="51555C"/>
                <w:sz w:val="16"/>
              </w:rPr>
              <w:t>Rule of 40 on constant currency basis</w:t>
            </w:r>
            <w:r>
              <w:rPr>
                <w:rFonts w:ascii="Calibri;sans-serif" w:hAnsi="Calibri;sans-serif"/>
                <w:b/>
                <w:color w:val="51555C"/>
                <w:sz w:val="10"/>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9"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pPr>
            <w:r>
              <w:rPr>
                <w:rFonts w:ascii="Calibri;sans-serif" w:hAnsi="Calibri;sans-serif"/>
                <w:b/>
                <w:color w:val="51555C"/>
                <w:sz w:val="16"/>
              </w:rPr>
              <w:t>30.9</w:t>
            </w:r>
            <w:r>
              <w:rPr>
                <w:color w:val="51555C"/>
              </w:rPr>
              <w:t> </w:t>
            </w:r>
          </w:p>
        </w:tc>
        <w:tc>
          <w:tcPr>
            <w:tcW w:w="303"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bottom w:val="single" w:sz="8" w:space="0" w:color="0CD973"/>
            </w:tcBorders>
            <w:shd w:fill="EBFBFF" w:val="clear"/>
            <w:tcMar>
              <w:top w:w="0" w:type="dxa"/>
              <w:left w:w="0" w:type="dxa"/>
              <w:right w:w="0" w:type="dxa"/>
            </w:tcMar>
            <w:vAlign w:val="center"/>
          </w:tcPr>
          <w:p>
            <w:pPr>
              <w:pStyle w:val="TableContents"/>
              <w:spacing w:before="0" w:after="283"/>
              <w:rPr>
                <w:sz w:val="4"/>
                <w:szCs w:val="4"/>
              </w:rPr>
            </w:pPr>
            <w:r>
              <w:rPr>
                <w:sz w:val="4"/>
                <w:szCs w:val="4"/>
              </w:rPr>
            </w:r>
          </w:p>
        </w:tc>
        <w:tc>
          <w:tcPr>
            <w:tcW w:w="967" w:type="dxa"/>
            <w:gridSpan w:val="3"/>
            <w:tcBorders>
              <w:bottom w:val="single" w:sz="8" w:space="0" w:color="0CD973"/>
            </w:tcBorders>
            <w:shd w:fill="EBFB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amortization expense related to software development costs and amortization expense from capitalized cloud computing implementation costs.</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(2)The individual amounts for each year may not sum to subtotal, non-GAAP EBITDA, non-GAAP adjusted EBITDA or non-GAAP adjusted EBITDA on a constant currency basis due to rounding.</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(3)See additional details in the reconciliation of GAAP to Non-GAAP operating income above.</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(4)Measured by non-GAAP organic revenue growth plus non-GAAP adjusted EBITDA margin. See Non-GAAP organic revenue growth table above.</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(5)To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(6)Measured by non-GAAP organic revenue growth on constant currency basis plus non-GAAP adjusted EBITDA margin on constant currency basis. See Non-GAAP organic revenue growth table above.</w:t>
      </w: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91540"/>
                <wp:effectExtent l="0" t="0" r="0" b="0"/>
                <wp:wrapNone/>
                <wp:docPr id="121" name="Frame36"/>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2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2" descr=""/>
                                                <pic:cNvPicPr>
                                                  <a:picLocks noChangeAspect="1" noChangeArrowheads="1"/>
                                                </pic:cNvPicPr>
                                              </pic:nvPicPr>
                                              <pic:blipFill>
                                                <a:blip r:embed="rId53"/>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2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2" descr=""/>
                                          <pic:cNvPicPr>
                                            <a:picLocks noChangeAspect="1" noChangeArrowheads="1"/>
                                          </pic:cNvPicPr>
                                        </pic:nvPicPr>
                                        <pic:blipFill>
                                          <a:blip r:embed="rId53"/>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35</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i/>
          <w:color w:val="51555C"/>
          <w:sz w:val="20"/>
        </w:rPr>
      </w:pPr>
      <w:bookmarkStart w:id="0" w:name="i6dd29aa27bff4116910d8c76e080d0ca_8385"/>
      <w:bookmarkEnd w:id="0"/>
      <w:r>
        <w:rPr>
          <w:rFonts w:ascii="Calibri;sans-serif" w:hAnsi="Calibri;sans-serif"/>
          <w:b w:val="false"/>
          <w:i/>
          <w:color w:val="51555C"/>
          <w:sz w:val="20"/>
        </w:rPr>
        <w:t>Non-GAAP free cash flow and non-GAAP adjusted free cash flow</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Non-GAAP free cash flow is defined as operating cash flow less capital expenditures, including costs required to be capitalized for software and content development, and capital expenditures for property and equipment.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Non-GAAP adjusted free cash flow is defined as operating cash flow less capital expenditures, including costs required to be capitalized for software and content development and capital expenditures for property and equipment, plus cash outflows, net of insurance, related to the Security Incident.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tbl>
      <w:tblPr>
        <w:tblW w:w="6575" w:type="dxa"/>
        <w:jc w:val="left"/>
        <w:tblInd w:w="0" w:type="dxa"/>
        <w:tblCellMar>
          <w:top w:w="28" w:type="dxa"/>
          <w:left w:w="28" w:type="dxa"/>
          <w:bottom w:w="28" w:type="dxa"/>
          <w:right w:w="28" w:type="dxa"/>
        </w:tblCellMar>
      </w:tblPr>
      <w:tblGrid>
        <w:gridCol w:w="1457"/>
        <w:gridCol w:w="1279"/>
        <w:gridCol w:w="1284"/>
        <w:gridCol w:w="196"/>
        <w:gridCol w:w="451"/>
        <w:gridCol w:w="109"/>
        <w:gridCol w:w="196"/>
        <w:gridCol w:w="451"/>
        <w:gridCol w:w="109"/>
        <w:gridCol w:w="338"/>
        <w:gridCol w:w="338"/>
        <w:gridCol w:w="367"/>
      </w:tblGrid>
      <w:tr>
        <w:trPr/>
        <w:tc>
          <w:tcPr>
            <w:tcW w:w="1457"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2555"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r>
      <w:tr>
        <w:trPr/>
        <w:tc>
          <w:tcPr>
            <w:tcW w:w="40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75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75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104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402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16"/>
              </w:rPr>
            </w:pPr>
            <w:r>
              <w:rPr>
                <w:rFonts w:ascii="Calibri;sans-serif" w:hAnsi="Calibri;sans-serif"/>
                <w:b/>
                <w:color w:val="51555C"/>
                <w:sz w:val="16"/>
              </w:rPr>
              <w:t>GAAP net cash provided by operating activities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(11.0)</w:t>
            </w:r>
          </w:p>
        </w:tc>
        <w:tc>
          <w:tcPr>
            <w:tcW w:w="36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purchase of property and equipment</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(68.0)</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02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capitalized software and content development costs</w:t>
            </w:r>
          </w:p>
        </w:tc>
        <w:tc>
          <w:tcPr>
            <w:tcW w:w="64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(14.0)</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(12.7)</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10.1 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color w:val="51555C"/>
                <w:sz w:val="16"/>
              </w:rPr>
              <w:t>Non-GAAP free cash flow</w:t>
            </w:r>
            <w:r>
              <w:rPr>
                <w:rFonts w:ascii="Calibri;sans-serif" w:hAnsi="Calibri;sans-serif"/>
                <w:b/>
                <w:color w:val="51555C"/>
                <w:sz w:val="10"/>
              </w:rPr>
              <w:t>(1)</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FFFF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(14.3)</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02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Security Incident-related cash flows, net of insurance</w:t>
            </w:r>
          </w:p>
        </w:tc>
        <w:tc>
          <w:tcPr>
            <w:tcW w:w="64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9.2 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0.8 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1,020.7 </w:t>
            </w:r>
          </w:p>
        </w:tc>
        <w:tc>
          <w:tcPr>
            <w:tcW w:w="36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020"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0"/>
              <w:jc w:val="left"/>
              <w:rPr/>
            </w:pPr>
            <w:r>
              <w:rPr>
                <w:rFonts w:ascii="Calibri;sans-serif" w:hAnsi="Calibri;sans-serif"/>
                <w:b/>
                <w:color w:val="51555C"/>
                <w:sz w:val="16"/>
              </w:rPr>
              <w:t>Non-GAAP adjusted free cash flow</w:t>
            </w:r>
            <w:r>
              <w:rPr>
                <w:rFonts w:ascii="Calibri;sans-serif" w:hAnsi="Calibri;sans-serif"/>
                <w:b/>
                <w:color w:val="51555C"/>
                <w:sz w:val="10"/>
              </w:rPr>
              <w:t>(1)</w:t>
            </w:r>
          </w:p>
        </w:tc>
        <w:tc>
          <w:tcPr>
            <w:tcW w:w="1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15.7 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8.4 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76" w:type="dxa"/>
            <w:gridSpan w:val="2"/>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87.4 </w:t>
            </w:r>
          </w:p>
        </w:tc>
        <w:tc>
          <w:tcPr>
            <w:tcW w:w="367" w:type="dxa"/>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non-GAAP free cash flow or non-GAAP adjusted free cash flow due to rounding.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Seasonality</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renewals and student enrollments or significant acquisitions. Our cash flow from financing is negatively impacted in our first quarter when most of our equity awards vest, as we pay taxes on behalf of our employees related to the settlement or exercise of equity awards.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These patterns may change as a result of the continued shift to online giving, growth in volume of transactions for which we process payments, large dollar customer bookings and contract renewals, or as a result of acquisitions, new market opportunities, new solution introductions or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91540"/>
                <wp:effectExtent l="0" t="0" r="0" b="0"/>
                <wp:wrapNone/>
                <wp:docPr id="124" name="Frame37"/>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2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3" descr=""/>
                                                <pic:cNvPicPr>
                                                  <a:picLocks noChangeAspect="1" noChangeArrowheads="1"/>
                                                </pic:cNvPicPr>
                                              </pic:nvPicPr>
                                              <pic:blipFill>
                                                <a:blip r:embed="rId54"/>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2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3" descr=""/>
                                          <pic:cNvPicPr>
                                            <a:picLocks noChangeAspect="1" noChangeArrowheads="1"/>
                                          </pic:cNvPicPr>
                                        </pic:nvPicPr>
                                        <pic:blipFill>
                                          <a:blip r:embed="rId54"/>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3359" w:type="dxa"/>
        <w:jc w:val="left"/>
        <w:tblInd w:w="0" w:type="dxa"/>
        <w:tblCellMar>
          <w:top w:w="28" w:type="dxa"/>
          <w:left w:w="28" w:type="dxa"/>
          <w:bottom w:w="28" w:type="dxa"/>
          <w:right w:w="28" w:type="dxa"/>
        </w:tblCellMar>
      </w:tblPr>
      <w:tblGrid>
        <w:gridCol w:w="1076"/>
        <w:gridCol w:w="946"/>
        <w:gridCol w:w="1337"/>
      </w:tblGrid>
      <w:tr>
        <w:trPr/>
        <w:tc>
          <w:tcPr>
            <w:tcW w:w="10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Liquidity and Capital Resources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selected financial information about our financial position:</w:t>
      </w:r>
    </w:p>
    <w:tbl>
      <w:tblPr>
        <w:tblW w:w="6563" w:type="dxa"/>
        <w:jc w:val="left"/>
        <w:tblInd w:w="0" w:type="dxa"/>
        <w:tblCellMar>
          <w:top w:w="28" w:type="dxa"/>
          <w:left w:w="28" w:type="dxa"/>
          <w:bottom w:w="28" w:type="dxa"/>
          <w:right w:w="28" w:type="dxa"/>
        </w:tblCellMar>
      </w:tblPr>
      <w:tblGrid>
        <w:gridCol w:w="1331"/>
        <w:gridCol w:w="1169"/>
        <w:gridCol w:w="1175"/>
        <w:gridCol w:w="211"/>
        <w:gridCol w:w="511"/>
        <w:gridCol w:w="109"/>
        <w:gridCol w:w="277"/>
        <w:gridCol w:w="673"/>
        <w:gridCol w:w="144"/>
        <w:gridCol w:w="293"/>
        <w:gridCol w:w="293"/>
        <w:gridCol w:w="377"/>
      </w:tblGrid>
      <w:tr>
        <w:trPr/>
        <w:tc>
          <w:tcPr>
            <w:tcW w:w="1331"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83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0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96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367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Cash and cash equivalents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31.7 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(24.0)</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Property and equipment, net</w:t>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107.4 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w:t>
            </w:r>
          </w:p>
        </w:tc>
        <w:tc>
          <w:tcPr>
            <w:tcW w:w="3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Software and content development costs, net</w:t>
            </w:r>
          </w:p>
        </w:tc>
        <w:tc>
          <w:tcPr>
            <w:tcW w:w="722"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145.7 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141.0 </w:t>
            </w:r>
          </w:p>
        </w:tc>
        <w:tc>
          <w:tcPr>
            <w:tcW w:w="14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3.3 </w:t>
            </w:r>
          </w:p>
        </w:tc>
        <w:tc>
          <w:tcPr>
            <w:tcW w:w="377" w:type="dxa"/>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carrying value of debt</w:t>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859.0 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2.2 </w:t>
            </w:r>
          </w:p>
        </w:tc>
        <w:tc>
          <w:tcPr>
            <w:tcW w:w="3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Working capital</w:t>
            </w:r>
          </w:p>
        </w:tc>
        <w:tc>
          <w:tcPr>
            <w:tcW w:w="722"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(284.5)</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50"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(312.0)</w:t>
            </w:r>
          </w:p>
        </w:tc>
        <w:tc>
          <w:tcPr>
            <w:tcW w:w="144" w:type="dxa"/>
            <w:tcBorders>
              <w:bottom w:val="single" w:sz="8" w:space="0" w:color="0CD973"/>
            </w:tcBorders>
            <w:shd w:fill="EBFB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8.8 </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selected financial information about our cash flows:</w:t>
      </w:r>
    </w:p>
    <w:tbl>
      <w:tblPr>
        <w:tblW w:w="6059" w:type="dxa"/>
        <w:jc w:val="left"/>
        <w:tblInd w:w="0" w:type="dxa"/>
        <w:tblCellMar>
          <w:top w:w="28" w:type="dxa"/>
          <w:left w:w="28" w:type="dxa"/>
          <w:bottom w:w="28" w:type="dxa"/>
          <w:right w:w="28" w:type="dxa"/>
        </w:tblCellMar>
      </w:tblPr>
      <w:tblGrid>
        <w:gridCol w:w="1201"/>
        <w:gridCol w:w="1054"/>
        <w:gridCol w:w="1059"/>
        <w:gridCol w:w="226"/>
        <w:gridCol w:w="548"/>
        <w:gridCol w:w="117"/>
        <w:gridCol w:w="226"/>
        <w:gridCol w:w="548"/>
        <w:gridCol w:w="117"/>
        <w:gridCol w:w="293"/>
        <w:gridCol w:w="293"/>
        <w:gridCol w:w="377"/>
      </w:tblGrid>
      <w:tr>
        <w:trPr/>
        <w:tc>
          <w:tcPr>
            <w:tcW w:w="120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2745"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 March 31,</w:t>
            </w:r>
          </w:p>
        </w:tc>
      </w:tr>
      <w:tr>
        <w:trPr/>
        <w:tc>
          <w:tcPr>
            <w:tcW w:w="331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89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9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96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331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provided by operating activities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48"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21.8 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48"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24.5 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(11.0)</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used in investing activities</w:t>
            </w:r>
          </w:p>
        </w:tc>
        <w:tc>
          <w:tcPr>
            <w:tcW w:w="7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(15.3)</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(58.5)</w:t>
            </w:r>
          </w:p>
        </w:tc>
        <w:tc>
          <w:tcPr>
            <w:tcW w:w="3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314"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used in financing activities</w:t>
            </w:r>
          </w:p>
        </w:tc>
        <w:tc>
          <w:tcPr>
            <w:tcW w:w="774"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(353.2)</w:t>
            </w:r>
          </w:p>
        </w:tc>
        <w:tc>
          <w:tcPr>
            <w:tcW w:w="117" w:type="dxa"/>
            <w:tcBorders>
              <w:bottom w:val="single" w:sz="8" w:space="0" w:color="0CD973"/>
            </w:tcBorders>
            <w:shd w:fill="EBFB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74"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(325.4)</w:t>
            </w:r>
          </w:p>
        </w:tc>
        <w:tc>
          <w:tcPr>
            <w:tcW w:w="117" w:type="dxa"/>
            <w:tcBorders>
              <w:bottom w:val="single" w:sz="8" w:space="0" w:color="0CD973"/>
            </w:tcBorders>
            <w:shd w:fill="EBFB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8.5 </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 In the near term, we are committed to reducing our net leverage to our target level of 2 to 1.</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2024.</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At March 31, 2023, our total cash and cash equivalents balance included approximately $14.1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91540"/>
                <wp:effectExtent l="0" t="0" r="0" b="0"/>
                <wp:wrapNone/>
                <wp:docPr id="127" name="Frame38"/>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2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4" descr=""/>
                                                <pic:cNvPicPr>
                                                  <a:picLocks noChangeAspect="1" noChangeArrowheads="1"/>
                                                </pic:cNvPicPr>
                                              </pic:nvPicPr>
                                              <pic:blipFill>
                                                <a:blip r:embed="rId5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2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4" descr=""/>
                                          <pic:cNvPicPr>
                                            <a:picLocks noChangeAspect="1" noChangeArrowheads="1"/>
                                          </pic:cNvPicPr>
                                        </pic:nvPicPr>
                                        <pic:blipFill>
                                          <a:blip r:embed="rId55"/>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37</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Operating Cash Flow</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Working capital changes are composed of changes in accounts receivable, prepaid expenses and other assets, trade accounts payable, accrued expenses and other liabilities, and deferred revenue.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Net cash provided by operating activities decreased by $2.7 million during the three months ended March 31, 2023, when compared to the same period in 2022, primarily due to a $15.6 million increase in net income adjusted for non-cash expenses and a $18.3 million decrease in cash flow from operations associated with working capital.</w:t>
      </w:r>
    </w:p>
    <w:p>
      <w:pPr>
        <w:pStyle w:val="TextBody"/>
        <w:spacing w:lineRule="auto" w:line="288" w:before="180" w:after="283"/>
        <w:jc w:val="both"/>
        <w:rPr/>
      </w:pPr>
      <w:r>
        <w:rPr>
          <w:rFonts w:ascii="Calibri;sans-serif" w:hAnsi="Calibri;sans-serif"/>
          <w:b w:val="false"/>
          <w:color w:val="51555C"/>
          <w:sz w:val="20"/>
        </w:rPr>
        <w:t>The decrease in cash flow from operations associated with working capital during the three months ended March 31, 2023</w:t>
      </w:r>
      <w:r>
        <w:rPr>
          <w:rFonts w:ascii="Calibri;sans-serif" w:hAnsi="Calibri;sans-serif"/>
          <w:b w:val="false"/>
          <w:color w:val="51555C"/>
          <w:sz w:val="20"/>
          <w:highlight w:val="white"/>
        </w:rPr>
        <w:t>, when compared to the same period in 2022, was primarily due to:</w:t>
      </w:r>
    </w:p>
    <w:p>
      <w:pPr>
        <w:pStyle w:val="TextBody"/>
        <w:spacing w:lineRule="auto" w:line="288" w:before="180" w:after="283"/>
        <w:ind w:left="0" w:right="0" w:hanging="360"/>
        <w:jc w:val="both"/>
        <w:rPr/>
      </w:pPr>
      <w:r>
        <w:rPr>
          <w:color w:val="51555C"/>
          <w:highlight w:val="white"/>
        </w:rPr>
        <w:t>•</w:t>
      </w:r>
      <w:r>
        <w:rPr>
          <w:rFonts w:ascii="Calibri;sans-serif" w:hAnsi="Calibri;sans-serif"/>
          <w:b w:val="false"/>
          <w:color w:val="51555C"/>
          <w:sz w:val="20"/>
          <w:highlight w:val="white"/>
        </w:rPr>
        <w:t>a decrease in taxes payable; and</w:t>
      </w:r>
    </w:p>
    <w:p>
      <w:pPr>
        <w:pStyle w:val="TextBody"/>
        <w:spacing w:lineRule="auto" w:line="288" w:before="180" w:after="283"/>
        <w:ind w:left="0" w:right="0" w:hanging="360"/>
        <w:jc w:val="both"/>
        <w:rPr/>
      </w:pPr>
      <w:r>
        <w:rPr>
          <w:color w:val="51555C"/>
          <w:highlight w:val="white"/>
        </w:rPr>
        <w:t>•</w:t>
      </w:r>
      <w:r>
        <w:rPr>
          <w:rFonts w:ascii="Calibri;sans-serif" w:hAnsi="Calibri;sans-serif"/>
          <w:b w:val="false"/>
          <w:color w:val="51555C"/>
          <w:sz w:val="20"/>
          <w:highlight w:val="white"/>
        </w:rPr>
        <w:t>fluctuations in the timing of vendor payments.</w:t>
      </w:r>
    </w:p>
    <w:p>
      <w:pPr>
        <w:pStyle w:val="TextBody"/>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Security Incident update</w:t>
      </w:r>
    </w:p>
    <w:p>
      <w:pPr>
        <w:pStyle w:val="TextBody"/>
        <w:spacing w:lineRule="auto" w:line="288" w:before="180" w:after="283"/>
        <w:jc w:val="both"/>
        <w:rPr/>
      </w:pPr>
      <w:r>
        <w:rPr>
          <w:rFonts w:ascii="Calibri;sans-serif" w:hAnsi="Calibri;sans-serif"/>
          <w:b w:val="false"/>
          <w:color w:val="51555C"/>
          <w:sz w:val="20"/>
        </w:rPr>
        <w:t>As discussed in Note 8 to our unaudited, condensed consolidated financial statements included in this report, t</w:t>
      </w:r>
      <w:r>
        <w:rPr>
          <w:rFonts w:ascii="Calibri;sans-serif" w:hAnsi="Calibri;sans-serif"/>
          <w:b w:val="false"/>
          <w:color w:val="51555C"/>
          <w:sz w:val="20"/>
          <w:highlight w:val="white"/>
        </w:rPr>
        <w:t>otal costs related to the Security Incident exceeded the limit of our insurance coverage in the first quarter of 2022</w:t>
      </w:r>
      <w:r>
        <w:rPr>
          <w:rFonts w:ascii="Calibri;sans-serif" w:hAnsi="Calibri;sans-serif"/>
          <w:b w:val="false"/>
          <w:color w:val="51555C"/>
          <w:sz w:val="20"/>
        </w:rPr>
        <w:t>. Accordingly, the Security Incident has negatively impacted, and we expect it to continue for the foreseeable future to negatively impact, our GAAP profitab</w:t>
      </w:r>
      <w:r>
        <w:rPr>
          <w:rFonts w:ascii="Calibri;sans-serif" w:hAnsi="Calibri;sans-serif"/>
          <w:b w:val="false"/>
          <w:color w:val="51555C"/>
          <w:sz w:val="20"/>
          <w:highlight w:val="white"/>
        </w:rPr>
        <w:t xml:space="preserve">ility and GAAP cash flow (see discussion regarding non-GAAP adjusted free cash flow on page </w:t>
      </w:r>
      <w:hyperlink w:anchor="i6dd29aa27bff4116910d8c76e080d0ca_8385">
        <w:r>
          <w:rPr>
            <w:rStyle w:val="InternetLink"/>
            <w:rFonts w:ascii="Calibri;sans-serif" w:hAnsi="Calibri;sans-serif"/>
            <w:b w:val="false"/>
            <w:strike w:val="false"/>
            <w:dstrike w:val="false"/>
            <w:color w:val="51555C"/>
            <w:sz w:val="20"/>
            <w:u w:val="none"/>
            <w:effect w:val="none"/>
          </w:rPr>
          <w:t>36</w:t>
        </w:r>
      </w:hyperlink>
      <w:r>
        <w:rPr>
          <w:rFonts w:ascii="Calibri;sans-serif" w:hAnsi="Calibri;sans-serif"/>
          <w:b w:val="false"/>
          <w:color w:val="51555C"/>
          <w:sz w:val="20"/>
        </w:rPr>
        <w:t>). For full year 2023, we currently expect net pre-tax expense of approximately $20 million to $30 million and net cash outlays of approximately $25 million to $35 million for ongoing legal fees related to the Security Incident. In line with our policy, legal fees are expensed as incurred. Not included in these ranges are our previous settlements or current accruals for loss contingencies related to the matters discussed below.</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2023, we have recorded approximately $30.2 million in aggregate liabilities for loss contingencies based primarily on recent negotiations with certain governmental agencies related to the Security Incident that we believe we can reasonably estimate in accordance with our loss contingency procedures described in Note 8. It is reasonably possible that our estimated or actual losses may change in the near term for those matters and be materially in excess of the amounts accrued, but we are unable at this time to reasonably estimate the possible additional loss.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March 31,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Investing Cash Flow</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Net cash used in investing activities of $15.3 million decreased by $21.6 million during the three months ended March 31, 2023, when compared to the same period in 2022.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2022, we used $20.0 million for our acquisition of EVERFI comprised of (i) $17.4 million that had not been paid by EVERFI to its former option holders as of December 31, 2021, solely due to the timing of the acquisition on the last day of 2021; and (ii) $2.6 million that was paid to a number of EVERFI's selling shareholders after determining they would be paid in cash, rather than shares of our common stock.</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2023, we used $14.0 million for software and content development costs, which was up $1.3 million from cash spent during the same period in 2022. We also spent $1.4 million of cash for purchases of property and equipment during the three months ended March 31, 2023, which was a decrease of $2.9 million when compared to the same period in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91540"/>
                <wp:effectExtent l="0" t="0" r="0" b="0"/>
                <wp:wrapNone/>
                <wp:docPr id="130" name="Frame39"/>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3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5" descr=""/>
                                                <pic:cNvPicPr>
                                                  <a:picLocks noChangeAspect="1" noChangeArrowheads="1"/>
                                                </pic:cNvPicPr>
                                              </pic:nvPicPr>
                                              <pic:blipFill>
                                                <a:blip r:embed="rId5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3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5" descr=""/>
                                          <pic:cNvPicPr>
                                            <a:picLocks noChangeAspect="1" noChangeArrowheads="1"/>
                                          </pic:cNvPicPr>
                                        </pic:nvPicPr>
                                        <pic:blipFill>
                                          <a:blip r:embed="rId56"/>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Financing Cash Flow</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2023, we had a net increase in borrowings of $17.2 million.</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paid $31.4 million to satisfy tax obligations of employees upon settlement of equity awards during the three months ended March 31, 2023 compared to $34.7 million during the same period in 2022.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2023, cash flow from financing activities associated with changes in restricted cash due to customers decreased $337.2 million, compared to a decrease of $315.3 million during the same period in 2022. This line in the statement of cash flows represents the change in the amount of restricted cash held and payable by us to customers from one period to the next.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Stock repurchase program</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December 2021, our Board of Directors reauthorized and replenished our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months ended March 31, 2023, we did not purchase any shares. The remaining amount available to purchase stock under the stock repurchase program was $250.0 million as of March 31, 2023. While we are committed to reducing our net leverage to our 2 to 1 target level in the near term, as we gain visibility into the timing and magnitude of probable costs related to the Security Incident over time, we expect to resume stock repurchases.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2020 Credit Facility</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Historically, we have drawn on our credit facility from time to time to help us meet financial needs, primarily due to the seasonality of our cash flows from operations and financing for business acquisitions. At March 31, 2023, our available borrowing capacity under the 2020 Credit Facility was $298.2 million. The 2020 Credit Facility matures in October 2025.</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At March 31, 2023, the carrying amount of our debt under the 2020 Credit Facility was $817.1 million. Our average daily borrowings during the three months ended March 31, 2023 were $806.3 million.</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is a summary of the financial covenants under the 2020 Credit Facility:</w:t>
      </w:r>
    </w:p>
    <w:tbl>
      <w:tblPr>
        <w:tblW w:w="5113" w:type="dxa"/>
        <w:jc w:val="left"/>
        <w:tblInd w:w="0" w:type="dxa"/>
        <w:tblCellMar>
          <w:top w:w="28" w:type="dxa"/>
          <w:left w:w="28" w:type="dxa"/>
          <w:bottom w:w="28" w:type="dxa"/>
          <w:right w:w="28" w:type="dxa"/>
        </w:tblCellMar>
      </w:tblPr>
      <w:tblGrid>
        <w:gridCol w:w="684"/>
        <w:gridCol w:w="602"/>
        <w:gridCol w:w="604"/>
        <w:gridCol w:w="424"/>
        <w:gridCol w:w="424"/>
        <w:gridCol w:w="426"/>
        <w:gridCol w:w="569"/>
        <w:gridCol w:w="569"/>
        <w:gridCol w:w="811"/>
      </w:tblGrid>
      <w:tr>
        <w:trPr/>
        <w:tc>
          <w:tcPr>
            <w:tcW w:w="68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Financial covenant</w:t>
            </w:r>
          </w:p>
        </w:tc>
        <w:tc>
          <w:tcPr>
            <w:tcW w:w="12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Requirement</w:t>
            </w:r>
          </w:p>
        </w:tc>
        <w:tc>
          <w:tcPr>
            <w:tcW w:w="194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center"/>
              <w:rPr>
                <w:rFonts w:ascii="Calibri;sans-serif" w:hAnsi="Calibri;sans-serif"/>
                <w:b/>
                <w:color w:val="FFFFFF"/>
                <w:sz w:val="16"/>
              </w:rPr>
            </w:pPr>
            <w:r>
              <w:rPr>
                <w:rFonts w:ascii="Calibri;sans-serif" w:hAnsi="Calibri;sans-serif"/>
                <w:b/>
                <w:color w:val="FFFFFF"/>
                <w:sz w:val="16"/>
              </w:rPr>
              <w:t>Ratio as of March 31, 2023</w:t>
            </w:r>
          </w:p>
        </w:tc>
      </w:tr>
      <w:tr>
        <w:trPr/>
        <w:tc>
          <w:tcPr>
            <w:tcW w:w="189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60" w:after="283"/>
              <w:jc w:val="left"/>
              <w:rPr/>
            </w:pPr>
            <w:r>
              <w:rPr>
                <w:rFonts w:ascii="Calibri;sans-serif" w:hAnsi="Calibri;sans-serif"/>
                <w:b w:val="false"/>
                <w:color w:val="51555C"/>
                <w:sz w:val="20"/>
              </w:rPr>
              <w:t>Net leverage ratio</w:t>
            </w:r>
            <w:r>
              <w:rPr>
                <w:rFonts w:ascii="Calibri;sans-serif" w:hAnsi="Calibri;sans-serif"/>
                <w:b w:val="false"/>
                <w:color w:val="51555C"/>
                <w:sz w:val="13"/>
              </w:rPr>
              <w:t>(1)</w:t>
            </w:r>
          </w:p>
        </w:tc>
        <w:tc>
          <w:tcPr>
            <w:tcW w:w="1274"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center"/>
              <w:rPr>
                <w:color w:val="51555C"/>
              </w:rPr>
            </w:pPr>
            <w:r>
              <w:rPr>
                <w:color w:val="51555C"/>
              </w:rPr>
              <w:t xml:space="preserve">≤ </w:t>
            </w:r>
            <w:r>
              <w:rPr>
                <w:rFonts w:ascii="Calibri;sans-serif" w:hAnsi="Calibri;sans-serif"/>
                <w:b w:val="false"/>
                <w:color w:val="51555C"/>
                <w:sz w:val="20"/>
              </w:rPr>
              <w:t>4.00 to 1.00</w:t>
            </w:r>
          </w:p>
        </w:tc>
        <w:tc>
          <w:tcPr>
            <w:tcW w:w="1949"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2.99 to 1.00</w:t>
            </w:r>
          </w:p>
        </w:tc>
      </w:tr>
      <w:tr>
        <w:trPr/>
        <w:tc>
          <w:tcPr>
            <w:tcW w:w="1890"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coverage ratio</w:t>
            </w:r>
          </w:p>
        </w:tc>
        <w:tc>
          <w:tcPr>
            <w:tcW w:w="1274"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center"/>
              <w:rPr>
                <w:color w:val="51555C"/>
              </w:rPr>
            </w:pPr>
            <w:r>
              <w:rPr>
                <w:color w:val="51555C"/>
              </w:rPr>
              <w:t xml:space="preserve">≥ </w:t>
            </w:r>
            <w:r>
              <w:rPr>
                <w:rFonts w:ascii="Calibri;sans-serif" w:hAnsi="Calibri;sans-serif"/>
                <w:b w:val="false"/>
                <w:color w:val="51555C"/>
                <w:sz w:val="20"/>
              </w:rPr>
              <w:t>2.50 to 1.00</w:t>
            </w:r>
          </w:p>
        </w:tc>
        <w:tc>
          <w:tcPr>
            <w:tcW w:w="1949"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7.56 to 1.00</w:t>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March 31, 2023, we were in compliance with our debt covenants under the 2020 Credit Facility. See Note 6 to our unaudited, condensed consolidated financial statements included in this report for additional information regarding the 2020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91540"/>
                <wp:effectExtent l="0" t="0" r="0" b="0"/>
                <wp:wrapNone/>
                <wp:docPr id="133" name="Frame40"/>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3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6" descr=""/>
                                                <pic:cNvPicPr>
                                                  <a:picLocks noChangeAspect="1" noChangeArrowheads="1"/>
                                                </pic:cNvPicPr>
                                              </pic:nvPicPr>
                                              <pic:blipFill>
                                                <a:blip r:embed="rId5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3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6" descr=""/>
                                          <pic:cNvPicPr>
                                            <a:picLocks noChangeAspect="1" noChangeArrowheads="1"/>
                                          </pic:cNvPicPr>
                                        </pic:nvPicPr>
                                        <pic:blipFill>
                                          <a:blip r:embed="rId57"/>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39</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rPr>
          <w:rFonts w:ascii="Calibri;sans-serif" w:hAnsi="Calibri;sans-serif"/>
          <w:b/>
          <w:color w:val="51555C"/>
          <w:sz w:val="20"/>
        </w:rPr>
      </w:pPr>
      <w:r>
        <w:rPr>
          <w:rFonts w:ascii="Calibri;sans-serif" w:hAnsi="Calibri;sans-serif"/>
          <w:b/>
          <w:color w:val="51555C"/>
          <w:sz w:val="20"/>
        </w:rPr>
        <w:t>Commitments and Contingencies</w:t>
      </w:r>
    </w:p>
    <w:tbl>
      <w:tblPr>
        <w:tblW w:w="6198" w:type="dxa"/>
        <w:jc w:val="left"/>
        <w:tblInd w:w="0" w:type="dxa"/>
        <w:tblCellMar>
          <w:top w:w="28" w:type="dxa"/>
          <w:left w:w="28" w:type="dxa"/>
          <w:bottom w:w="28" w:type="dxa"/>
          <w:right w:w="28" w:type="dxa"/>
        </w:tblCellMar>
      </w:tblPr>
      <w:tblGrid>
        <w:gridCol w:w="1102"/>
        <w:gridCol w:w="967"/>
        <w:gridCol w:w="976"/>
        <w:gridCol w:w="211"/>
        <w:gridCol w:w="616"/>
        <w:gridCol w:w="109"/>
        <w:gridCol w:w="211"/>
        <w:gridCol w:w="766"/>
        <w:gridCol w:w="109"/>
        <w:gridCol w:w="211"/>
        <w:gridCol w:w="766"/>
        <w:gridCol w:w="154"/>
      </w:tblGrid>
      <w:tr>
        <w:trPr/>
        <w:tc>
          <w:tcPr>
            <w:tcW w:w="110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3153"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Payments due by period</w:t>
            </w:r>
          </w:p>
        </w:tc>
      </w:tr>
      <w:tr>
        <w:trPr/>
        <w:tc>
          <w:tcPr>
            <w:tcW w:w="30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(in millions)</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Less than</w:t>
              <w:br/>
              <w:t>1 year</w:t>
            </w:r>
          </w:p>
        </w:tc>
        <w:tc>
          <w:tcPr>
            <w:tcW w:w="10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More than</w:t>
              <w:br/>
              <w:t>1 year</w:t>
            </w:r>
          </w:p>
        </w:tc>
        <w:tc>
          <w:tcPr>
            <w:tcW w:w="113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0"/>
              <w:jc w:val="right"/>
              <w:rPr/>
            </w:pPr>
            <w:r>
              <w:rPr>
                <w:rFonts w:ascii="Calibri;sans-serif" w:hAnsi="Calibri;sans-serif"/>
                <w:b/>
                <w:color w:val="FFFFFF"/>
                <w:sz w:val="16"/>
              </w:rPr>
              <w:t>Total</w:t>
            </w:r>
            <w:r>
              <w:rPr>
                <w:rFonts w:ascii="Calibri;sans-serif" w:hAnsi="Calibri;sans-serif"/>
                <w:b/>
                <w:color w:val="FFFFFF"/>
                <w:sz w:val="10"/>
              </w:rPr>
              <w:t>(1)</w:t>
            </w:r>
          </w:p>
        </w:tc>
      </w:tr>
      <w:tr>
        <w:trPr/>
        <w:tc>
          <w:tcPr>
            <w:tcW w:w="304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Recorded contractual obligations:</w:t>
            </w:r>
          </w:p>
        </w:tc>
        <w:tc>
          <w:tcPr>
            <w:tcW w:w="93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Debt</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Operating leases</w:t>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10.2 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53.4 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63.5 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payment on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w:t>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Unrecorded contractual obligations: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Purchase obligations</w:t>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72.4 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208.3 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280.7 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payments on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60" w:after="283"/>
              <w:jc w:val="left"/>
              <w:rPr/>
            </w:pPr>
            <w:r>
              <w:rPr>
                <w:rFonts w:ascii="Calibri;sans-serif" w:hAnsi="Calibri;sans-serif"/>
                <w:b/>
                <w:color w:val="51555C"/>
                <w:sz w:val="20"/>
              </w:rPr>
              <w:t>Total contractual obligations</w:t>
            </w:r>
            <w:r>
              <w:rPr>
                <w:rFonts w:ascii="Calibri;sans-serif" w:hAnsi="Calibri;sans-serif"/>
                <w:b/>
                <w:color w:val="51555C"/>
                <w:sz w:val="13"/>
              </w:rPr>
              <w:t>(1)</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144.7 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1,225.3 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1,370.1 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may not sum to the total due to rounding.</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Debt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2023, we had total remaining principal payments of $880.6 million. These payments represent principal payments only, under the following assumptions: (i) that the amounts outstanding under the 2020 Credit Facility, our real estate loans and our other debt at March 31, 2023 will remain outstanding until maturity, with minimum payments occurring as currently scheduled, and (ii) that there are no assumed future borrowings on the revolving credit loans under the 2020 Credit Facility for the purposes of determining minimum commitment amounts. See Note 6 to our unaudited, condensed consolidated financial statements in this report for more information.</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Interest payments on debt</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to principal payments, as of March 31, 2023, we expect to pay interest expense over the life of our debt obligations of approximately $133.6 million. These payments represent our estimated future interest payments on debt using our debt balances and the related weighted average effective interest rates as of March 31, 2023, which includes the effect of interest rate swap agreements. The actual interest expense recognized in our consolidated statements of comprehensive income will depend on the amount of debt, the length of time the debt is outstanding and the interest rate, which could be different from our assumptions on our remaining principal payments described above.</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Operating leases</w:t>
      </w:r>
    </w:p>
    <w:p>
      <w:pPr>
        <w:pStyle w:val="TextBody"/>
        <w:spacing w:lineRule="auto" w:line="288" w:before="180" w:after="283"/>
        <w:jc w:val="both"/>
        <w:rPr/>
      </w:pPr>
      <w:r>
        <w:rPr>
          <w:rFonts w:ascii="Calibri;sans-serif" w:hAnsi="Calibri;sans-serif"/>
          <w:b w:val="false"/>
          <w:color w:val="51555C"/>
          <w:sz w:val="20"/>
        </w:rPr>
        <w:t>As of March 31, 2023, we had remaining operating lease payments of $63.5 million. These payments have not been reduced by sublease income, incentive payments, reimbursement of leasehold improvements or the amount representing imputed interest of $10.4 million. Our operating leases are generally for corporate offices, subleased offices and certain equipment and furnit</w:t>
      </w:r>
      <w:r>
        <w:rPr>
          <w:rFonts w:ascii="Calibri;sans-serif" w:hAnsi="Calibri;sans-serif"/>
          <w:b w:val="false"/>
          <w:color w:val="51555C"/>
          <w:sz w:val="20"/>
          <w:highlight w:val="white"/>
        </w:rPr>
        <w:t>ure. Given our remote-first workforce strategy and real estate footprint optimization efforts, as discussed above, we do not anticipate entering any new, material operating leases for offices for the foreseeable future. See Note 8 to our unaud</w:t>
      </w:r>
      <w:r>
        <w:rPr>
          <w:rFonts w:ascii="Calibri;sans-serif" w:hAnsi="Calibri;sans-serif"/>
          <w:b w:val="false"/>
          <w:color w:val="51555C"/>
          <w:sz w:val="20"/>
        </w:rPr>
        <w:t>ited, condensed consolidated financial statements in this report for more information.</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Purchase obligations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2023, we had remaining purchase obligations of $280.7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consolidated balance sheets as of March 31, 2023, as we had not received the related services. See Note 8 to our unaudited, condensed consolidated financial statements in this report for more information.</w:t>
      </w:r>
    </w:p>
    <w:p>
      <w:pPr>
        <w:pStyle w:val="TextBody"/>
        <w:spacing w:lineRule="auto" w:line="288" w:before="180" w:after="283"/>
        <w:jc w:val="both"/>
        <w:rPr/>
      </w:pPr>
      <w:r>
        <w:rPr>
          <w:rFonts w:ascii="Calibri;sans-serif" w:hAnsi="Calibri;sans-serif"/>
          <w:b w:val="false"/>
          <w:color w:val="51555C"/>
          <w:sz w:val="20"/>
        </w:rPr>
        <w:t xml:space="preserve">The total liability for uncertain tax positions as of March 31, 2023 was </w:t>
      </w:r>
      <w:r>
        <w:rPr>
          <w:rFonts w:ascii="Calibri;sans-serif" w:hAnsi="Calibri;sans-serif"/>
          <w:b w:val="false"/>
          <w:color w:val="51555C"/>
          <w:sz w:val="20"/>
          <w:highlight w:val="white"/>
        </w:rPr>
        <w:t>$3.3 million</w:t>
      </w:r>
      <w:r>
        <w:rPr>
          <w:rFonts w:ascii="Calibri;sans-serif" w:hAnsi="Calibri;sans-serif"/>
          <w:b w:val="false"/>
          <w:color w:val="51555C"/>
          <w:sz w:val="20"/>
        </w:rPr>
        <w:t>. Our accrued interest and penalties related to tax positions taken on our tax returns was insignificant as of March 31, 2023.</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91540"/>
                <wp:effectExtent l="0" t="0" r="0" b="0"/>
                <wp:wrapNone/>
                <wp:docPr id="136" name="Frame41"/>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3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7" descr=""/>
                                                <pic:cNvPicPr>
                                                  <a:picLocks noChangeAspect="1" noChangeArrowheads="1"/>
                                                </pic:cNvPicPr>
                                              </pic:nvPicPr>
                                              <pic:blipFill>
                                                <a:blip r:embed="rId58"/>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40</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3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7" descr=""/>
                                          <pic:cNvPicPr>
                                            <a:picLocks noChangeAspect="1" noChangeArrowheads="1"/>
                                          </pic:cNvPicPr>
                                        </pic:nvPicPr>
                                        <pic:blipFill>
                                          <a:blip r:embed="rId58"/>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Contingent consideration</w:t>
      </w:r>
    </w:p>
    <w:p>
      <w:pPr>
        <w:pStyle w:val="TextBody"/>
        <w:spacing w:lineRule="auto" w:line="288" w:before="180" w:after="283"/>
        <w:jc w:val="both"/>
        <w:rPr/>
      </w:pPr>
      <w:r>
        <w:rPr>
          <w:rFonts w:ascii="Calibri;sans-serif" w:hAnsi="Calibri;sans-serif"/>
          <w:b w:val="false"/>
          <w:color w:val="51555C"/>
          <w:sz w:val="20"/>
        </w:rPr>
        <w:t xml:space="preserve">In connection with our acquisition of Kilter in August 2022, we may be required to pay up to a maximum of </w:t>
      </w:r>
      <w:r>
        <w:rPr>
          <w:rFonts w:ascii="Calibri;sans-serif" w:hAnsi="Calibri;sans-serif"/>
          <w:b w:val="false"/>
          <w:color w:val="51555C"/>
          <w:sz w:val="20"/>
          <w:highlight w:val="white"/>
        </w:rPr>
        <w:t>$3.0 million</w:t>
      </w:r>
      <w:r>
        <w:rPr>
          <w:color w:val="51555C"/>
        </w:rPr>
        <w:t xml:space="preserve"> </w:t>
      </w:r>
      <w:r>
        <w:rPr>
          <w:rFonts w:ascii="Calibri;sans-serif" w:hAnsi="Calibri;sans-serif"/>
          <w:b w:val="false"/>
          <w:color w:val="51555C"/>
          <w:sz w:val="20"/>
        </w:rPr>
        <w:t xml:space="preserve">in additional cash consideration if, during the two-year period commencing January 1, 2023, Kilter meets certain application participation targets. As of March 31, 2023, a liability for the contingent consideration is recorded at its acquisition-date fair value of </w:t>
      </w:r>
      <w:r>
        <w:rPr>
          <w:rFonts w:ascii="Calibri;sans-serif" w:hAnsi="Calibri;sans-serif"/>
          <w:b w:val="false"/>
          <w:color w:val="51555C"/>
          <w:sz w:val="20"/>
          <w:highlight w:val="white"/>
        </w:rPr>
        <w:t>$2.7 million</w:t>
      </w:r>
      <w:r>
        <w:rPr>
          <w:color w:val="51555C"/>
        </w:rPr>
        <w:t xml:space="preserve"> </w:t>
      </w:r>
      <w:r>
        <w:rPr>
          <w:rFonts w:ascii="Calibri;sans-serif" w:hAnsi="Calibri;sans-serif"/>
          <w:b w:val="false"/>
          <w:color w:val="51555C"/>
          <w:sz w:val="20"/>
        </w:rPr>
        <w:t>in other liabilities in our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539" w:type="dxa"/>
        <w:jc w:val="left"/>
        <w:tblInd w:w="0" w:type="dxa"/>
        <w:tblCellMar>
          <w:top w:w="28" w:type="dxa"/>
          <w:left w:w="28" w:type="dxa"/>
          <w:bottom w:w="28" w:type="dxa"/>
          <w:right w:w="28" w:type="dxa"/>
        </w:tblCellMar>
      </w:tblPr>
      <w:tblGrid>
        <w:gridCol w:w="1132"/>
        <w:gridCol w:w="996"/>
        <w:gridCol w:w="1411"/>
      </w:tblGrid>
      <w:tr>
        <w:trPr/>
        <w:tc>
          <w:tcPr>
            <w:tcW w:w="1132"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Foreign Currency Exchange Rates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Approximately 15% of our total revenue for the three months ended March 31, 2023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income as a component of stockholders’ equity, was a loss of $12.7 million as of March 31, 2023 and a loss of $14.9 million as of December 31, 2022. We have entered into foreign currency forward contracts to hedge a portion of the foreign currency exposure that arises on translation of our investments denominated in British Pounds into U.S. dollars.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three months ended March 31, 2023, foreign translation resulted in decreases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However, we currently expect that fluctuations in foreign currency exchange rates will have a significant negative impact on our total revenue for the full year 2023. For the three months ended March 31, 2023, the fluctuation in foreign currency exchange rates reduced our total revenue and our income from operations by $2.7 million and $0.3 million,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365" w:type="dxa"/>
        <w:jc w:val="left"/>
        <w:tblInd w:w="0" w:type="dxa"/>
        <w:tblCellMar>
          <w:top w:w="28" w:type="dxa"/>
          <w:left w:w="28" w:type="dxa"/>
          <w:bottom w:w="28" w:type="dxa"/>
          <w:right w:w="28" w:type="dxa"/>
        </w:tblCellMar>
      </w:tblPr>
      <w:tblGrid>
        <w:gridCol w:w="1398"/>
        <w:gridCol w:w="1229"/>
        <w:gridCol w:w="1738"/>
      </w:tblGrid>
      <w:tr>
        <w:trPr/>
        <w:tc>
          <w:tcPr>
            <w:tcW w:w="1398"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Critical Accounting Policies and Estimates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have been no significant changes in our critical accounting policies and estimates during the three months ended March 31, 2023 as compared to those disclosed in “Management’s Discussion and Analysis of Financial Condition and Results of Operations” included in our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769" w:type="dxa"/>
        <w:jc w:val="left"/>
        <w:tblInd w:w="0" w:type="dxa"/>
        <w:tblCellMar>
          <w:top w:w="28" w:type="dxa"/>
          <w:left w:w="28" w:type="dxa"/>
          <w:bottom w:w="28" w:type="dxa"/>
          <w:right w:w="28" w:type="dxa"/>
        </w:tblCellMar>
      </w:tblPr>
      <w:tblGrid>
        <w:gridCol w:w="1527"/>
        <w:gridCol w:w="1343"/>
        <w:gridCol w:w="1899"/>
      </w:tblGrid>
      <w:tr>
        <w:trPr/>
        <w:tc>
          <w:tcPr>
            <w:tcW w:w="1527"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Recently Issued Accounting Pronouncements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91540"/>
                <wp:effectExtent l="0" t="0" r="0" b="0"/>
                <wp:wrapNone/>
                <wp:docPr id="139" name="Frame42"/>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4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8" descr=""/>
                                                <pic:cNvPicPr>
                                                  <a:picLocks noChangeAspect="1" noChangeArrowheads="1"/>
                                                </pic:cNvPicPr>
                                              </pic:nvPicPr>
                                              <pic:blipFill>
                                                <a:blip r:embed="rId59"/>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4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8" descr=""/>
                                          <pic:cNvPicPr>
                                            <a:picLocks noChangeAspect="1" noChangeArrowheads="1"/>
                                          </pic:cNvPicPr>
                                        </pic:nvPicPr>
                                        <pic:blipFill>
                                          <a:blip r:embed="rId59"/>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41</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spacing w:lineRule="auto" w:line="288" w:before="300" w:after="283"/>
        <w:rPr>
          <w:rFonts w:ascii="Calibri;sans-serif" w:hAnsi="Calibri;sans-serif"/>
          <w:b/>
          <w:color w:val="004054"/>
          <w:sz w:val="32"/>
        </w:rPr>
      </w:pPr>
      <w:r>
        <w:rPr>
          <w:rFonts w:ascii="Calibri;sans-serif" w:hAnsi="Calibri;sans-serif"/>
          <w:b/>
          <w:color w:val="004054"/>
          <w:sz w:val="32"/>
        </w:rPr>
        <w:t>ITEM 3. QUANTITATIVE AND QUALITATIVE DISCLOSURES ABOUT MARKET RISK</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market rate sensitivity for interest rates and foreign currency exchange rates.</w:t>
      </w:r>
    </w:p>
    <w:tbl>
      <w:tblPr>
        <w:tblW w:w="1950" w:type="dxa"/>
        <w:jc w:val="left"/>
        <w:tblInd w:w="0" w:type="dxa"/>
        <w:tblCellMar>
          <w:top w:w="28" w:type="dxa"/>
          <w:left w:w="28" w:type="dxa"/>
          <w:bottom w:w="28" w:type="dxa"/>
          <w:right w:w="28" w:type="dxa"/>
        </w:tblCellMar>
      </w:tblPr>
      <w:tblGrid>
        <w:gridCol w:w="623"/>
        <w:gridCol w:w="548"/>
        <w:gridCol w:w="779"/>
      </w:tblGrid>
      <w:tr>
        <w:trPr/>
        <w:tc>
          <w:tcPr>
            <w:tcW w:w="62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Interest Rate Risk</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SOFR rates. The Financial Conduct Authority in the U.K. has stated that it plans to phase out all tenors of LIBOR by June 2023, therefore, we modified our financial contracts that were indexed to LIBOR to reference SOFR during 2022. These modifications did not have a significant financial impact. Due to the nature of our debt, the materiality of the fair values of the derivative instruments and the highly liquid, short-term nature and level of our cash and cash equivalents as of March 31, 2023, we believe that the risk of exposure to changing interest rates for those positions is immaterial. There were no significant changes in how we manage interest rate risk between December 31, 2022 and March 31, 2023.</w:t>
      </w:r>
    </w:p>
    <w:tbl>
      <w:tblPr>
        <w:tblW w:w="2369" w:type="dxa"/>
        <w:jc w:val="left"/>
        <w:tblInd w:w="0" w:type="dxa"/>
        <w:tblCellMar>
          <w:top w:w="28" w:type="dxa"/>
          <w:left w:w="28" w:type="dxa"/>
          <w:bottom w:w="28" w:type="dxa"/>
          <w:right w:w="28" w:type="dxa"/>
        </w:tblCellMar>
      </w:tblPr>
      <w:tblGrid>
        <w:gridCol w:w="758"/>
        <w:gridCol w:w="666"/>
        <w:gridCol w:w="945"/>
      </w:tblGrid>
      <w:tr>
        <w:trPr/>
        <w:tc>
          <w:tcPr>
            <w:tcW w:w="758"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Foreign Currency Risk</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our exposure to foreign currency exchange rate fluctuations, see “Management’s Discussion and Analysis of Financial Condition and Results of Operations — Foreign Currency Exchange Rates”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Calibri;sans-serif" w:hAnsi="Calibri;sans-serif"/>
          <w:b/>
          <w:color w:val="004054"/>
          <w:sz w:val="32"/>
        </w:rPr>
      </w:pPr>
      <w:r>
        <w:rPr>
          <w:rFonts w:ascii="Calibri;sans-serif" w:hAnsi="Calibri;sans-serif"/>
          <w:b/>
          <w:color w:val="004054"/>
          <w:sz w:val="32"/>
        </w:rPr>
        <w:t>ITEM 4. CONTROLS AND PROCEDURES</w:t>
      </w:r>
    </w:p>
    <w:tbl>
      <w:tblPr>
        <w:tblW w:w="5189" w:type="dxa"/>
        <w:jc w:val="left"/>
        <w:tblInd w:w="0" w:type="dxa"/>
        <w:tblCellMar>
          <w:top w:w="28" w:type="dxa"/>
          <w:left w:w="28" w:type="dxa"/>
          <w:bottom w:w="28" w:type="dxa"/>
          <w:right w:w="28" w:type="dxa"/>
        </w:tblCellMar>
      </w:tblPr>
      <w:tblGrid>
        <w:gridCol w:w="1662"/>
        <w:gridCol w:w="1461"/>
        <w:gridCol w:w="2066"/>
      </w:tblGrid>
      <w:tr>
        <w:trPr/>
        <w:tc>
          <w:tcPr>
            <w:tcW w:w="1662"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2066"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Evaluation of Disclosure Controls and Procedures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tbl>
      <w:tblPr>
        <w:tblW w:w="5534" w:type="dxa"/>
        <w:jc w:val="left"/>
        <w:tblInd w:w="0" w:type="dxa"/>
        <w:tblCellMar>
          <w:top w:w="28" w:type="dxa"/>
          <w:left w:w="28" w:type="dxa"/>
          <w:bottom w:w="28" w:type="dxa"/>
          <w:right w:w="28" w:type="dxa"/>
        </w:tblCellMar>
      </w:tblPr>
      <w:tblGrid>
        <w:gridCol w:w="1772"/>
        <w:gridCol w:w="1555"/>
        <w:gridCol w:w="2207"/>
      </w:tblGrid>
      <w:tr>
        <w:trPr/>
        <w:tc>
          <w:tcPr>
            <w:tcW w:w="1772"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2207"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Changes in Internal Control Over Financial Reporting</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No changes in internal control over financial reporting occurred during the most recent fiscal quarter ended March 31, 2023 with respect to our operations, which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91540"/>
                <wp:effectExtent l="0" t="0" r="0" b="0"/>
                <wp:wrapNone/>
                <wp:docPr id="142" name="Frame43"/>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4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9" descr=""/>
                                                <pic:cNvPicPr>
                                                  <a:picLocks noChangeAspect="1" noChangeArrowheads="1"/>
                                                </pic:cNvPicPr>
                                              </pic:nvPicPr>
                                              <pic:blipFill>
                                                <a:blip r:embed="rId6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42</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4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9" descr=""/>
                                          <pic:cNvPicPr>
                                            <a:picLocks noChangeAspect="1" noChangeArrowheads="1"/>
                                          </pic:cNvPicPr>
                                        </pic:nvPicPr>
                                        <pic:blipFill>
                                          <a:blip r:embed="rId60"/>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6562" w:type="dxa"/>
        <w:jc w:val="left"/>
        <w:tblInd w:w="0" w:type="dxa"/>
        <w:tblCellMar>
          <w:top w:w="28" w:type="dxa"/>
          <w:left w:w="28" w:type="dxa"/>
          <w:bottom w:w="28" w:type="dxa"/>
          <w:right w:w="28" w:type="dxa"/>
        </w:tblCellMar>
      </w:tblPr>
      <w:tblGrid>
        <w:gridCol w:w="124"/>
        <w:gridCol w:w="109"/>
        <w:gridCol w:w="109"/>
        <w:gridCol w:w="173"/>
        <w:gridCol w:w="173"/>
        <w:gridCol w:w="175"/>
        <w:gridCol w:w="1669"/>
        <w:gridCol w:w="1669"/>
        <w:gridCol w:w="23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76225" cy="276225"/>
                  <wp:effectExtent l="0" t="0" r="0" b="0"/>
                  <wp:docPr id="14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0" descr=""/>
                          <pic:cNvPicPr>
                            <a:picLocks noChangeAspect="1" noChangeArrowheads="1"/>
                          </pic:cNvPicPr>
                        </pic:nvPicPr>
                        <pic:blipFill>
                          <a:blip r:embed="rId61"/>
                          <a:stretch>
                            <a:fillRect/>
                          </a:stretch>
                        </pic:blipFill>
                        <pic:spPr bwMode="auto">
                          <a:xfrm>
                            <a:off x="0" y="0"/>
                            <a:ext cx="276225" cy="276225"/>
                          </a:xfrm>
                          <a:prstGeom prst="rect">
                            <a:avLst/>
                          </a:prstGeom>
                        </pic:spPr>
                      </pic:pic>
                    </a:graphicData>
                  </a:graphic>
                </wp:inline>
              </w:drawing>
            </w:r>
          </w:p>
        </w:tc>
        <w:tc>
          <w:tcPr>
            <w:tcW w:w="5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0535A"/>
                <w:sz w:val="44"/>
              </w:rPr>
            </w:pPr>
            <w:r>
              <w:rPr>
                <w:rFonts w:ascii="Calibri;sans-serif" w:hAnsi="Calibri;sans-serif"/>
                <w:b/>
                <w:color w:val="50535A"/>
                <w:sz w:val="44"/>
              </w:rPr>
              <w:t>PART II. OTHER INFORMATION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Calibri;sans-serif" w:hAnsi="Calibri;sans-serif"/>
          <w:b/>
          <w:color w:val="004054"/>
          <w:sz w:val="32"/>
        </w:rPr>
      </w:pPr>
      <w:r>
        <w:rPr>
          <w:rFonts w:ascii="Calibri;sans-serif" w:hAnsi="Calibri;sans-serif"/>
          <w:b/>
          <w:color w:val="004054"/>
          <w:sz w:val="32"/>
        </w:rPr>
        <w:t>ITEM 1. LEGAL PROCEEDINGS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our legal proceedings, see Note 8 to our unaudited, condensed consolidated financial statements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Calibri;sans-serif" w:hAnsi="Calibri;sans-serif"/>
          <w:b/>
          <w:color w:val="004054"/>
          <w:sz w:val="32"/>
        </w:rPr>
      </w:pPr>
      <w:r>
        <w:rPr>
          <w:rFonts w:ascii="Calibri;sans-serif" w:hAnsi="Calibri;sans-serif"/>
          <w:b/>
          <w:color w:val="004054"/>
          <w:sz w:val="32"/>
        </w:rPr>
        <w:t>ITEM 1A. RISK FACTORS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supplementing Item 1A. Risk Factors in our Annual Report on Form 10-K for the year ended December 31, 2022, as filed with the Securities and Exchange Commission on February 24, 2023 (the “Annual Report”). The following risk factors should be read in conjunction with the risk factors set forth in that Annual Report.</w:t>
      </w:r>
    </w:p>
    <w:tbl>
      <w:tblPr>
        <w:tblW w:w="1934" w:type="dxa"/>
        <w:jc w:val="left"/>
        <w:tblInd w:w="0" w:type="dxa"/>
        <w:tblCellMar>
          <w:top w:w="28" w:type="dxa"/>
          <w:left w:w="28" w:type="dxa"/>
          <w:bottom w:w="28" w:type="dxa"/>
          <w:right w:w="28" w:type="dxa"/>
        </w:tblCellMar>
      </w:tblPr>
      <w:tblGrid>
        <w:gridCol w:w="619"/>
        <w:gridCol w:w="543"/>
        <w:gridCol w:w="772"/>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Operational Risks</w:t>
            </w:r>
          </w:p>
        </w:tc>
      </w:tr>
    </w:tbl>
    <w:p>
      <w:pPr>
        <w:pStyle w:val="TextBody"/>
        <w:spacing w:lineRule="auto" w:line="288" w:before="180" w:after="283"/>
        <w:jc w:val="both"/>
        <w:rPr>
          <w:rFonts w:ascii="Calibri;sans-serif" w:hAnsi="Calibri;sans-serif"/>
          <w:b/>
          <w:i/>
          <w:color w:val="51555C"/>
          <w:sz w:val="20"/>
        </w:rPr>
      </w:pPr>
      <w:r>
        <w:rPr>
          <w:rFonts w:ascii="Calibri;sans-serif" w:hAnsi="Calibri;sans-serif"/>
          <w:b/>
          <w:i/>
          <w:color w:val="51555C"/>
          <w:sz w:val="20"/>
        </w:rPr>
        <w:t>The Security Incident has had, and may continue to have, numerous adverse effects on our business, results of operations, financial condition and cash flows.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Based on the nature of the incident, our research and third party (including law enforcement) investigation we believe that no data went beyond the cybercriminal, was or will be misused, or will be disseminated or otherwise made available publicly. However, our investigation into the Security Incident remains ongoing and may provide additional information.</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To date, we have received approximately 260 customer reimbursement requests and approximately 400 reservations of the right to seek expense recovery in the future from customers or their attorneys in the U.S., U.K. and Canada related to the Security Incident.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claims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49 state Attorneys General and the District of Columbia and a separate Civil Investigative Demand from the office of the California Attorney General relating to the Security Incident. In addition, we are subject to pending governmental actions or investigations by the U.S. Federal Trade Commission, the U.S. Department of Health and Human Services, the Office of the Australian Information Commissioner and the Office of the Privacy Commissioner of Canada. </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March 9, 2023, the Company reached a settlement with the SEC in connection with the Security Incident. This settlement fully resolves the previously disclosed SEC investigation of the Security Incident and is further described in the SEC Order. Under the terms of the SEC Order, the Company agreed to cease-and-desist from committing or causing any violations or any future violations of Sections 17(a)(2) and (3) of the Securities Act and Section 13(a) of the Exchange Act, and Rules 12b-20, 13a-13 and 13a-15(a) thereunder. As part of the SEC Order, the Company also agreed to pay, and has paid, a civil penalty in the amount of $3.0 million.</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91540"/>
                <wp:effectExtent l="0" t="0" r="0" b="0"/>
                <wp:wrapNone/>
                <wp:docPr id="146" name="Frame44"/>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4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1" descr=""/>
                                                <pic:cNvPicPr>
                                                  <a:picLocks noChangeAspect="1" noChangeArrowheads="1"/>
                                                </pic:cNvPicPr>
                                              </pic:nvPicPr>
                                              <pic:blipFill>
                                                <a:blip r:embed="rId62"/>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4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1" descr=""/>
                                          <pic:cNvPicPr>
                                            <a:picLocks noChangeAspect="1" noChangeArrowheads="1"/>
                                          </pic:cNvPicPr>
                                        </pic:nvPicPr>
                                        <pic:blipFill>
                                          <a:blip r:embed="rId62"/>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43</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See Note 8 to our unaudited, condensed consolidated financial statements included in this report for a more detailed description of the Security Incident and related matters.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For example, we have recorded approximately $30.2 million in aggregate liabilities for loss contingencies related to the Security Incident that we believe we can reasonably estimate as of March 31, 2023. It is reasonably possible that our estimated or actual losses may change in the near term for those matters and be materially in excess of the amounts accrued. Certain governmental authorities are seeking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Significant management time and Company resources have been, and are expected to continue to be, devoted to the Security Incident. For example, for the three months ended March 31, 2023, we incurred net pre-tax expense of $17.8 million related to the Security Incident, which included $7.6 million for ongoing legal fees and an additional accrual for loss contingencies of $10.2 million. During the three months ended March 31, 2023, we had net cash outlays of $9.2 million related to the Security Incident, which included ongoing legal fees and the $3.0 million civil penalty paid related to the SEC settlement (as discussed in Note 8). For full year 2023, we currently expect net pre-tax expense of approximately $20.0 million to $30.0 million and net cash outlays of approximately $25.0 million to $35.0 million for ongoing legal fees related to the Security Incident. Although we carry insurance against certain losses related to the Security Incident, we exceeded the limit of that insurance coverage in the first quarter of 2022. As a result, we will be responsible for all expenses or other losses (including penalties, fines or other judgments) or all types of claims that may arise in connection with the Security Incident, which could materially and adversely affect our liquidity and results of operations. (See Note 8 to our unaudited, condensed consolidated financial statements included in this report.) If any such fines or penalties were great enough that we could not pay them through funds generated from operating activities and/or cause a default under the 2020 Credit Facility, we may be forced to renegotiate or obtain a waiver under the 2020 Credit Facility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tbl>
      <w:tblPr>
        <w:tblW w:w="1620" w:type="dxa"/>
        <w:jc w:val="left"/>
        <w:tblInd w:w="0" w:type="dxa"/>
        <w:tblCellMar>
          <w:top w:w="28" w:type="dxa"/>
          <w:left w:w="28" w:type="dxa"/>
          <w:bottom w:w="28" w:type="dxa"/>
          <w:right w:w="28" w:type="dxa"/>
        </w:tblCellMar>
      </w:tblPr>
      <w:tblGrid>
        <w:gridCol w:w="518"/>
        <w:gridCol w:w="456"/>
        <w:gridCol w:w="646"/>
      </w:tblGrid>
      <w:tr>
        <w:trPr/>
        <w:tc>
          <w:tcPr>
            <w:tcW w:w="518"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Financial Risks</w:t>
            </w:r>
          </w:p>
        </w:tc>
      </w:tr>
    </w:tbl>
    <w:p>
      <w:pPr>
        <w:pStyle w:val="TextBody"/>
        <w:spacing w:lineRule="auto" w:line="288" w:before="180" w:after="283"/>
        <w:rPr>
          <w:rFonts w:ascii="Calibri;sans-serif" w:hAnsi="Calibri;sans-serif"/>
          <w:b/>
          <w:i/>
          <w:color w:val="51555C"/>
          <w:sz w:val="20"/>
        </w:rPr>
      </w:pPr>
      <w:r>
        <w:rPr>
          <w:rFonts w:ascii="Calibri;sans-serif" w:hAnsi="Calibri;sans-serif"/>
          <w:b/>
          <w:i/>
          <w:color w:val="51555C"/>
          <w:sz w:val="20"/>
        </w:rPr>
        <w:t>Adverse developments affecting the financial services industry, including events or risks involving liquidity, defaults or non-performance by financial institutions, could have a material adverse effect on our business, financial condition or results of operations.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Financial services 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 certain accounts and cash deposits, was placed into receivership with the Federal Deposit Insurance Corporation (FDIC), which resulted in all funds held at SVB being temporarily inaccessible by SVB’s customers, including Blackbaud. As of March 13, 2023, access to our cash and cash equivalents at SVB was fully restored. Although our cash balances at SVB are insignificant and we do not expect further developments at SVB to have a material impact on our cash and cash equivalents,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91540"/>
                <wp:effectExtent l="0" t="0" r="0" b="0"/>
                <wp:wrapNone/>
                <wp:docPr id="149" name="Frame45"/>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5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2" descr=""/>
                                                <pic:cNvPicPr>
                                                  <a:picLocks noChangeAspect="1" noChangeArrowheads="1"/>
                                                </pic:cNvPicPr>
                                              </pic:nvPicPr>
                                              <pic:blipFill>
                                                <a:blip r:embed="rId63"/>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44</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5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2" descr=""/>
                                          <pic:cNvPicPr>
                                            <a:picLocks noChangeAspect="1" noChangeArrowheads="1"/>
                                          </pic:cNvPicPr>
                                        </pic:nvPicPr>
                                        <pic:blipFill>
                                          <a:blip r:embed="rId63"/>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Although we seek to minimize our exposure to third-party losses of our cash and cash equivalents, we hold cash balances in several large financial institutions significantly in excess of FDIC insurance limits. Notwithstanding their large size and historical stability, these financial institutions are subject to risk or failure. In addition, we also maintain cash deposits in foreign banks, some of which are not insured or are partially insured by government agencies. Any delay in our ability to access our cash, cash equivalents and investments (or the loss of some or all of such funds) or to timely pay key vendors and others could have a material adverse effect on our business, financial condition or results of operations.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If one of our payment processing partners were to experience a significant disruption or fail, it could temporarily interrupt our ability to provide payment services to our customers, which could negatively impact our business, financial condition or results of operations.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concerns or rumors regarding the U.S. or international financial systems in general could result in less favorable commercial financing terms, including higher interest rates or costs and tighter financial and operating covenants, or systemic limitations on access to credit and liquidity sources, thereby making it more difficult for us to acquire financing on terms favorable to us, or at all. Any decline in available funding or access to our cash and liquidity resources could, among other things, adversely impact our ability to meet our operating expenses, financial obligations or other obligations, result in breaches of our contractual obligations or result in violations of federal, state and foreign laws. Any of these impacts, or any other impacts resulting from the factors described above or other related or similar factors not described above, could have material adverse impacts on our our business, financial condition or results of operations.</w:t>
      </w:r>
    </w:p>
    <w:tbl>
      <w:tblPr>
        <w:tblW w:w="2940" w:type="dxa"/>
        <w:jc w:val="left"/>
        <w:tblInd w:w="0" w:type="dxa"/>
        <w:tblCellMar>
          <w:top w:w="28" w:type="dxa"/>
          <w:left w:w="28" w:type="dxa"/>
          <w:bottom w:w="28" w:type="dxa"/>
          <w:right w:w="28" w:type="dxa"/>
        </w:tblCellMar>
      </w:tblPr>
      <w:tblGrid>
        <w:gridCol w:w="940"/>
        <w:gridCol w:w="827"/>
        <w:gridCol w:w="1173"/>
      </w:tblGrid>
      <w:tr>
        <w:trPr/>
        <w:tc>
          <w:tcPr>
            <w:tcW w:w="94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Legal and Compliance Risks</w:t>
            </w:r>
          </w:p>
        </w:tc>
      </w:tr>
    </w:tbl>
    <w:p>
      <w:pPr>
        <w:pStyle w:val="TextBody"/>
        <w:spacing w:lineRule="auto" w:line="288" w:before="180" w:after="283"/>
        <w:jc w:val="both"/>
        <w:rPr/>
      </w:pPr>
      <w:r>
        <w:rPr>
          <w:rFonts w:ascii="Calibri;sans-serif" w:hAnsi="Calibri;sans-serif"/>
          <w:b/>
          <w:i/>
          <w:color w:val="51555C"/>
          <w:sz w:val="20"/>
        </w:rPr>
        <w:t xml:space="preserve">Provisions in our organizational documents, our Stockholder Rights Agreement </w:t>
      </w:r>
      <w:r>
        <w:rPr>
          <w:rFonts w:ascii="Calibri;sans-serif" w:hAnsi="Calibri;sans-serif"/>
          <w:b w:val="false"/>
          <w:color w:val="51555C"/>
          <w:sz w:val="20"/>
        </w:rPr>
        <w:t>(as described below, the "Rights Agreement")</w:t>
      </w:r>
      <w:r>
        <w:rPr>
          <w:rFonts w:ascii="Calibri;sans-serif" w:hAnsi="Calibri;sans-serif"/>
          <w:b/>
          <w:i/>
          <w:color w:val="51555C"/>
          <w:sz w:val="20"/>
        </w:rPr>
        <w:t>, certain officer compensation arrangements and Delaware law may delay or prevent an acquisition or change of control of our Company that could be deemed beneficial to our stockholders.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Certain provisions in our organizational documents, the Rights Agreement, compensation arrangements with our officers and Delaware law (as summarized below) may have the effect of delaying, deferring, discouraging or preventing an acquisition or change in control of the Company or a change in our management. This includes tender offers for our common stock, proxy contests or other takeover attempts. These anti-takeover effects may discourage transactions that might result in the payment of a premium over the market price for shares of our common stock. Even in the absence of a takeover attempt, the existence of these provisions may adversely affect the prevailing market price of our common stock if they are viewed as discouraging takeover attempts in the future.</w:t>
      </w:r>
    </w:p>
    <w:p>
      <w:pPr>
        <w:pStyle w:val="TextBody"/>
        <w:spacing w:lineRule="auto" w:line="288" w:before="180" w:after="283"/>
        <w:jc w:val="both"/>
        <w:rPr/>
      </w:pPr>
      <w:r>
        <w:rPr>
          <w:rFonts w:ascii="Calibri;sans-serif" w:hAnsi="Calibri;sans-serif"/>
          <w:b w:val="false"/>
          <w:i/>
          <w:color w:val="51555C"/>
          <w:sz w:val="20"/>
        </w:rPr>
        <w:t>Certificate of Incorporation and Bylaw provisions.</w:t>
      </w:r>
      <w:r>
        <w:rPr>
          <w:color w:val="51555C"/>
        </w:rPr>
        <w:t xml:space="preserve"> </w:t>
      </w:r>
      <w:r>
        <w:rPr>
          <w:rFonts w:ascii="Calibri;sans-serif" w:hAnsi="Calibri;sans-serif"/>
          <w:b w:val="false"/>
          <w:color w:val="51555C"/>
          <w:sz w:val="20"/>
        </w:rPr>
        <w:t>The Board of Directors is divided into three classes of directors, as nearly equal in number as possible, with each class serving a staggered term of three years. The classification of directors will have the effect of making it more difficult and time-consuming for stockholders to change the composition of the Board of Directors, could discourage a third-party from making a tender offer or otherwise attempting to obtain control of the Company and may maintain the incumbency of the Board of Directors.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Bylaws contain an advance notice procedure for stockholders proposals to be brought before a meeting of stockholders, including any proposed nominations of persons for election to the Board of Directors. The Bylaws may have the effect of precluding the conduct of business at a meeting if the proper procedures are not followed and may discourage or deter a potential acquirer from conducting a solicitation of proxies to elect its own slate of directors or otherwise attempting to obtain control of the Company.</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Board of Directors has the authority to issue up to an aggregate of 20,000,000 shares of preferred stock in one 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 or series or the designation of such class or series, without further vote or action by the stockholders. This preferred stock, including the Series A Preferred Stock described below,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91540"/>
                <wp:effectExtent l="0" t="0" r="0" b="0"/>
                <wp:wrapNone/>
                <wp:docPr id="152" name="Frame46"/>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5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3" descr=""/>
                                                <pic:cNvPicPr>
                                                  <a:picLocks noChangeAspect="1" noChangeArrowheads="1"/>
                                                </pic:cNvPicPr>
                                              </pic:nvPicPr>
                                              <pic:blipFill>
                                                <a:blip r:embed="rId64"/>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5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3" descr=""/>
                                          <pic:cNvPicPr>
                                            <a:picLocks noChangeAspect="1" noChangeArrowheads="1"/>
                                          </pic:cNvPicPr>
                                        </pic:nvPicPr>
                                        <pic:blipFill>
                                          <a:blip r:embed="rId64"/>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45</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Board of Directors possesses the authority to call and hold emergency special 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w:t>
      </w:r>
    </w:p>
    <w:p>
      <w:pPr>
        <w:pStyle w:val="TextBody"/>
        <w:spacing w:lineRule="auto" w:line="288" w:before="180" w:after="283"/>
        <w:jc w:val="both"/>
        <w:rPr/>
      </w:pPr>
      <w:r>
        <w:rPr>
          <w:rFonts w:ascii="Calibri;sans-serif" w:hAnsi="Calibri;sans-serif"/>
          <w:b w:val="false"/>
          <w:i/>
          <w:color w:val="51555C"/>
          <w:sz w:val="20"/>
        </w:rPr>
        <w:t xml:space="preserve">Stockholder Rights Agreement. </w:t>
      </w:r>
      <w:r>
        <w:rPr>
          <w:rFonts w:ascii="Calibri;sans-serif" w:hAnsi="Calibri;sans-serif"/>
          <w:b w:val="false"/>
          <w:color w:val="51555C"/>
          <w:sz w:val="20"/>
        </w:rPr>
        <w:t>On October 7, 2022, the Company declared a dividend of one preferred share purchase right for each of the Company’s issued and outstanding shares of Common Stock. The description and terms of these Rights are set forth in the Stockholder Rights Agreement, dated as of October 7, 2022 (the “Rights Agreement”), by and between the Company and American Stock Transfer &amp; Trust Company, LLC (the “Rights Agent”). Each Right entitles the registered holder, subject to the terms of the Rights Agreement, to purchase from us one one-thousandth of a share of the Series A Junior Participating Preferred Stock, par value $0.001 per share (the “Series A Preferred Stock”) at a price of $313.00, subject to certain adjustments (as adjusted from time to time, the “Exercise Price”). Under the Rights Agreement, the Rights will become exercisable if an entity, person or group acquires beneficial ownership of 20% or more of the outstanding Common Stock in a transaction not approved by the Board of Directors. In the event that the Rights become exercisable due to the ownership threshold being crossed, each Right will entitle its holder (other than the person, entity or group triggering the Rights Plan, whose rights will become void and will not be exercisable) to purchase additional shares of Common Stock having a then-current market value of twice the Exercise Price, which would likely make any takeover or change of control attempt by such entity, person or group prohibitively expensive. Subject to the terms of the Rights Agreement, the Rights will expire on October 2, 2023. Additional information regarding the Rights Agreement is contained in a Form 8-K filed with the SEC on October 11, 2022.</w:t>
      </w:r>
    </w:p>
    <w:p>
      <w:pPr>
        <w:pStyle w:val="TextBody"/>
        <w:spacing w:lineRule="auto" w:line="288" w:before="180" w:after="283"/>
        <w:jc w:val="both"/>
        <w:rPr/>
      </w:pPr>
      <w:r>
        <w:rPr>
          <w:rFonts w:ascii="Calibri;sans-serif" w:hAnsi="Calibri;sans-serif"/>
          <w:b w:val="false"/>
          <w:i/>
          <w:color w:val="51555C"/>
          <w:sz w:val="20"/>
        </w:rPr>
        <w:t xml:space="preserve">Officer Compensation Arrangements. </w:t>
      </w:r>
      <w:r>
        <w:rPr>
          <w:rFonts w:ascii="Calibri;sans-serif" w:hAnsi="Calibri;sans-serif"/>
          <w:b w:val="false"/>
          <w:color w:val="51555C"/>
          <w:sz w:val="20"/>
        </w:rPr>
        <w:t>We have entered into an employment agreement with our Chief Executive Officer and retention agreements with certain of our officers, which provide that, upon the occurrence of a change in control of us and either the termination of their employment without cause (as defined) or their resignation for good reason (as defined), such persons would be entitled to certain termination or severance payments made by us (which may include a lump sum payment equal to defined percentages of compensation and accelerated vesting of certain equity stock awards paid in accordance with the terms and conditions of the respective agreement). Such provisions could significantly increase the costs to a third-party acquirer and/or deter such third-party from acquiring us.</w:t>
      </w:r>
    </w:p>
    <w:p>
      <w:pPr>
        <w:pStyle w:val="TextBody"/>
        <w:spacing w:lineRule="auto" w:line="288" w:before="180" w:after="283"/>
        <w:jc w:val="both"/>
        <w:rPr/>
      </w:pPr>
      <w:r>
        <w:rPr>
          <w:rFonts w:ascii="Calibri;sans-serif" w:hAnsi="Calibri;sans-serif"/>
          <w:b w:val="false"/>
          <w:i/>
          <w:color w:val="51555C"/>
          <w:sz w:val="20"/>
        </w:rPr>
        <w:t>Delaware anti-takeover law</w:t>
      </w:r>
      <w:r>
        <w:rPr>
          <w:rFonts w:ascii="Calibri;sans-serif" w:hAnsi="Calibri;sans-serif"/>
          <w:b w:val="false"/>
          <w:color w:val="51555C"/>
          <w:sz w:val="20"/>
        </w:rPr>
        <w:t>. We are subject to Section 203 of the Delaware General Corporation Law, an anti-takeover law. In general, Section 203 prohibits a publicly held Delaware corporation, such as the Company, from engaging in a “business combination” with an “interested stockholder” for a period of three years following the date the person became an interested stockholder, unless certain criteria are met. 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91540"/>
                <wp:effectExtent l="0" t="0" r="0" b="0"/>
                <wp:wrapNone/>
                <wp:docPr id="155" name="Frame47"/>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5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4" descr=""/>
                                                <pic:cNvPicPr>
                                                  <a:picLocks noChangeAspect="1" noChangeArrowheads="1"/>
                                                </pic:cNvPicPr>
                                              </pic:nvPicPr>
                                              <pic:blipFill>
                                                <a:blip r:embed="rId65"/>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46</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5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4" descr=""/>
                                          <pic:cNvPicPr>
                                            <a:picLocks noChangeAspect="1" noChangeArrowheads="1"/>
                                          </pic:cNvPicPr>
                                        </pic:nvPicPr>
                                        <pic:blipFill>
                                          <a:blip r:embed="rId65"/>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300" w:after="283"/>
        <w:rPr>
          <w:rFonts w:ascii="Calibri;sans-serif" w:hAnsi="Calibri;sans-serif"/>
          <w:b/>
          <w:color w:val="004054"/>
          <w:sz w:val="32"/>
        </w:rPr>
      </w:pPr>
      <w:r>
        <w:rPr>
          <w:rFonts w:ascii="Calibri;sans-serif" w:hAnsi="Calibri;sans-serif"/>
          <w:b/>
          <w:color w:val="004054"/>
          <w:sz w:val="32"/>
        </w:rPr>
        <w:t>ITEM 2. UNREGISTERED SALES OF EQUITY SECURITIES AND USE OF PROCEEDS</w:t>
      </w:r>
    </w:p>
    <w:tbl>
      <w:tblPr>
        <w:tblW w:w="3854" w:type="dxa"/>
        <w:jc w:val="left"/>
        <w:tblInd w:w="0" w:type="dxa"/>
        <w:tblCellMar>
          <w:top w:w="28" w:type="dxa"/>
          <w:left w:w="28" w:type="dxa"/>
          <w:bottom w:w="28" w:type="dxa"/>
          <w:right w:w="28" w:type="dxa"/>
        </w:tblCellMar>
      </w:tblPr>
      <w:tblGrid>
        <w:gridCol w:w="1235"/>
        <w:gridCol w:w="1085"/>
        <w:gridCol w:w="1534"/>
      </w:tblGrid>
      <w:tr>
        <w:trPr/>
        <w:tc>
          <w:tcPr>
            <w:tcW w:w="123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bottom w:val="single" w:sz="8" w:space="0" w:color="0CD973"/>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6880"/>
                <w:sz w:val="24"/>
              </w:rPr>
            </w:pPr>
            <w:r>
              <w:rPr>
                <w:rFonts w:ascii="Calibri;sans-serif" w:hAnsi="Calibri;sans-serif"/>
                <w:b/>
                <w:color w:val="006880"/>
                <w:sz w:val="24"/>
              </w:rPr>
              <w:t>Issuer Purchases of Equity Securities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provides information about shares of common stock acquired or repurchased during the three months ended March 31, 2023 under the stock repurchase program then in effect, as well as common stock withheld by us to satisfy the minimum tax obligations of employees due upon vesting of restricted stock awards and units.</w:t>
      </w:r>
    </w:p>
    <w:tbl>
      <w:tblPr>
        <w:tblW w:w="9006" w:type="dxa"/>
        <w:jc w:val="left"/>
        <w:tblInd w:w="0" w:type="dxa"/>
        <w:tblCellMar>
          <w:top w:w="28" w:type="dxa"/>
          <w:left w:w="28" w:type="dxa"/>
          <w:bottom w:w="28" w:type="dxa"/>
          <w:right w:w="28" w:type="dxa"/>
        </w:tblCellMar>
      </w:tblPr>
      <w:tblGrid>
        <w:gridCol w:w="1342"/>
        <w:gridCol w:w="1176"/>
        <w:gridCol w:w="1202"/>
        <w:gridCol w:w="413"/>
        <w:gridCol w:w="413"/>
        <w:gridCol w:w="316"/>
        <w:gridCol w:w="109"/>
        <w:gridCol w:w="109"/>
        <w:gridCol w:w="109"/>
        <w:gridCol w:w="211"/>
        <w:gridCol w:w="616"/>
        <w:gridCol w:w="109"/>
        <w:gridCol w:w="109"/>
        <w:gridCol w:w="109"/>
        <w:gridCol w:w="109"/>
        <w:gridCol w:w="345"/>
        <w:gridCol w:w="345"/>
        <w:gridCol w:w="346"/>
        <w:gridCol w:w="109"/>
        <w:gridCol w:w="109"/>
        <w:gridCol w:w="109"/>
        <w:gridCol w:w="211"/>
        <w:gridCol w:w="826"/>
        <w:gridCol w:w="154"/>
      </w:tblGrid>
      <w:tr>
        <w:trPr/>
        <w:tc>
          <w:tcPr>
            <w:tcW w:w="1342"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left"/>
              <w:rPr>
                <w:rFonts w:ascii="Calibri;sans-serif" w:hAnsi="Calibri;sans-serif"/>
                <w:b/>
                <w:color w:val="FFFFFF"/>
                <w:sz w:val="16"/>
              </w:rPr>
            </w:pPr>
            <w:r>
              <w:rPr>
                <w:rFonts w:ascii="Calibri;sans-serif" w:hAnsi="Calibri;sans-serif"/>
                <w:b/>
                <w:color w:val="FFFFFF"/>
                <w:sz w:val="16"/>
              </w:rPr>
              <w:t>Period</w:t>
            </w:r>
          </w:p>
        </w:tc>
        <w:tc>
          <w:tcPr>
            <w:tcW w:w="114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Total</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number</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of shares</w:t>
            </w:r>
          </w:p>
          <w:p>
            <w:pPr>
              <w:pStyle w:val="TableContents"/>
              <w:spacing w:lineRule="auto" w:line="288" w:before="0" w:after="0"/>
              <w:jc w:val="right"/>
              <w:rPr/>
            </w:pPr>
            <w:r>
              <w:rPr>
                <w:rFonts w:ascii="Calibri;sans-serif" w:hAnsi="Calibri;sans-serif"/>
                <w:b/>
                <w:color w:val="FFFFFF"/>
                <w:sz w:val="16"/>
              </w:rPr>
              <w:t>purchased</w:t>
            </w:r>
            <w:r>
              <w:rPr>
                <w:rFonts w:ascii="Calibri;sans-serif" w:hAnsi="Calibr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Total number</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of shares</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purchased as</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part of</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publicly</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announced</w:t>
            </w:r>
          </w:p>
          <w:p>
            <w:pPr>
              <w:pStyle w:val="TableContents"/>
              <w:spacing w:lineRule="auto" w:line="288" w:before="0" w:after="0"/>
              <w:jc w:val="right"/>
              <w:rPr>
                <w:rFonts w:ascii="Calibri;sans-serif" w:hAnsi="Calibri;sans-serif"/>
                <w:b/>
                <w:color w:val="FFFFFF"/>
                <w:sz w:val="16"/>
              </w:rPr>
            </w:pPr>
            <w:r>
              <w:rPr>
                <w:rFonts w:ascii="Calibri;sans-serif" w:hAnsi="Calibri;sans-serif"/>
                <w:b/>
                <w:color w:val="FFFFFF"/>
                <w:sz w:val="16"/>
              </w:rPr>
              <w:t>plans or</w:t>
            </w:r>
          </w:p>
          <w:p>
            <w:pPr>
              <w:pStyle w:val="TableContents"/>
              <w:spacing w:lineRule="auto" w:line="288" w:before="0" w:after="0"/>
              <w:jc w:val="right"/>
              <w:rPr/>
            </w:pPr>
            <w:r>
              <w:rPr>
                <w:rFonts w:ascii="Calibri;sans-serif" w:hAnsi="Calibri;sans-serif"/>
                <w:b/>
                <w:color w:val="FFFFFF"/>
                <w:sz w:val="16"/>
              </w:rPr>
              <w:t>programs</w:t>
            </w:r>
            <w:r>
              <w:rPr>
                <w:rFonts w:ascii="Calibri;sans-serif" w:hAnsi="Calibri;sans-serif"/>
                <w:b/>
                <w:color w:val="FFFFFF"/>
                <w:sz w:val="10"/>
              </w:rPr>
              <w:t>(2)</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Approximate</w:t>
              <w:br/>
              <w:t>dollar value</w:t>
              <w:br/>
              <w:t>of shares</w:t>
              <w:br/>
              <w:t>that may yet</w:t>
              <w:br/>
              <w:t>be purchased</w:t>
              <w:br/>
              <w:t>under the</w:t>
              <w:br/>
              <w:t>plans or</w:t>
              <w:br/>
              <w:t>programs</w:t>
              <w:br/>
              <w:t>(in thousands)</w:t>
            </w:r>
          </w:p>
        </w:tc>
      </w:tr>
      <w:tr>
        <w:trPr/>
        <w:tc>
          <w:tcPr>
            <w:tcW w:w="3720"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Beginning balance, January 1, 2023</w:t>
            </w:r>
          </w:p>
        </w:tc>
        <w:tc>
          <w:tcPr>
            <w:tcW w:w="1142"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January 1, 2023 through January 31, 2023</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February 1, 2023 through February 28, 2023</w:t>
            </w:r>
          </w:p>
        </w:tc>
        <w:tc>
          <w:tcPr>
            <w:tcW w:w="826"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533,597 </w:t>
            </w:r>
          </w:p>
        </w:tc>
        <w:tc>
          <w:tcPr>
            <w:tcW w:w="31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58.08 </w:t>
            </w:r>
          </w:p>
        </w:tc>
        <w:tc>
          <w:tcPr>
            <w:tcW w:w="109"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46"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March 1, 2023 through March 31, 2023</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51555C"/>
              </w:rPr>
            </w:pPr>
            <w:r>
              <w:rPr>
                <w:color w:val="51555C"/>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bottom w:val="single" w:sz="8" w:space="0" w:color="0CD973"/>
            </w:tcBorders>
            <w:shd w:fill="EBFB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Total</w:t>
            </w:r>
          </w:p>
        </w:tc>
        <w:tc>
          <w:tcPr>
            <w:tcW w:w="82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533,597 </w:t>
            </w:r>
          </w:p>
        </w:tc>
        <w:tc>
          <w:tcPr>
            <w:tcW w:w="3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58.08 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color w:val="51555C"/>
              </w:rPr>
            </w:pPr>
            <w:r>
              <w:rPr>
                <w:color w:val="51555C"/>
              </w:rPr>
              <w:t>— </w:t>
            </w:r>
          </w:p>
        </w:tc>
        <w:tc>
          <w:tcPr>
            <w:tcW w:w="3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533,597 shares in February withheld by us to satisfy the minimum tax obligations of employees due upon vesting of restricted stock awards and units. The level of this acquisition activity varies from period to period based upon the timing of award grants and vesting.</w:t>
      </w:r>
    </w:p>
    <w:p>
      <w:pPr>
        <w:pStyle w:val="TextBody"/>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(2)In December 2021, our Board of Directors reauthorized and replenished our stock repurchase program to authorize us to purchase up to $250.0 million of our outstanding shares of common stock. The program does not have an expiration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91540"/>
                <wp:effectExtent l="0" t="0" r="0" b="0"/>
                <wp:wrapNone/>
                <wp:docPr id="158" name="Frame48"/>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5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5" descr=""/>
                                                <pic:cNvPicPr>
                                                  <a:picLocks noChangeAspect="1" noChangeArrowheads="1"/>
                                                </pic:cNvPicPr>
                                              </pic:nvPicPr>
                                              <pic:blipFill>
                                                <a:blip r:embed="rId66"/>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6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5" descr=""/>
                                          <pic:cNvPicPr>
                                            <a:picLocks noChangeAspect="1" noChangeArrowheads="1"/>
                                          </pic:cNvPicPr>
                                        </pic:nvPicPr>
                                        <pic:blipFill>
                                          <a:blip r:embed="rId66"/>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47</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0" w:after="0"/>
        <w:rPr>
          <w:rFonts w:ascii="Calibri;sans-serif" w:hAnsi="Calibri;sans-serif"/>
          <w:b/>
          <w:color w:val="004054"/>
          <w:sz w:val="32"/>
        </w:rPr>
      </w:pPr>
      <w:r>
        <w:rPr>
          <w:rFonts w:ascii="Calibri;sans-serif" w:hAnsi="Calibri;sans-serif"/>
          <w:b/>
          <w:color w:val="004054"/>
          <w:sz w:val="32"/>
        </w:rPr>
        <w:t>ITEM 6. EXHIBITS</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exhibits listed below are filed or incorporated by reference as part of this Quarterly Report on Form 10-Q:</w:t>
      </w:r>
    </w:p>
    <w:tbl>
      <w:tblPr>
        <w:tblW w:w="10205" w:type="dxa"/>
        <w:jc w:val="left"/>
        <w:tblInd w:w="0" w:type="dxa"/>
        <w:tblCellMar>
          <w:top w:w="28" w:type="dxa"/>
          <w:left w:w="28" w:type="dxa"/>
          <w:bottom w:w="28" w:type="dxa"/>
          <w:right w:w="28" w:type="dxa"/>
        </w:tblCellMar>
      </w:tblPr>
      <w:tblGrid>
        <w:gridCol w:w="259"/>
        <w:gridCol w:w="228"/>
        <w:gridCol w:w="229"/>
        <w:gridCol w:w="109"/>
        <w:gridCol w:w="109"/>
        <w:gridCol w:w="109"/>
        <w:gridCol w:w="1917"/>
        <w:gridCol w:w="1591"/>
        <w:gridCol w:w="1597"/>
        <w:gridCol w:w="109"/>
        <w:gridCol w:w="109"/>
        <w:gridCol w:w="109"/>
        <w:gridCol w:w="286"/>
        <w:gridCol w:w="286"/>
        <w:gridCol w:w="287"/>
        <w:gridCol w:w="109"/>
        <w:gridCol w:w="109"/>
        <w:gridCol w:w="109"/>
        <w:gridCol w:w="155"/>
        <w:gridCol w:w="155"/>
        <w:gridCol w:w="156"/>
        <w:gridCol w:w="109"/>
        <w:gridCol w:w="109"/>
        <w:gridCol w:w="109"/>
        <w:gridCol w:w="267"/>
        <w:gridCol w:w="267"/>
        <w:gridCol w:w="268"/>
        <w:gridCol w:w="109"/>
        <w:gridCol w:w="109"/>
        <w:gridCol w:w="109"/>
        <w:gridCol w:w="180"/>
        <w:gridCol w:w="180"/>
        <w:gridCol w:w="262"/>
      </w:tblGrid>
      <w:tr>
        <w:trPr/>
        <w:tc>
          <w:tcPr>
            <w:tcW w:w="2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716"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5105"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3730"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Filed In</w:t>
            </w:r>
          </w:p>
        </w:tc>
      </w:tr>
      <w:tr>
        <w:trPr/>
        <w:tc>
          <w:tcPr>
            <w:tcW w:w="71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right"/>
              <w:rPr>
                <w:rFonts w:ascii="Calibri;sans-serif" w:hAnsi="Calibri;sans-serif"/>
                <w:b/>
                <w:color w:val="FFFFFF"/>
                <w:sz w:val="16"/>
              </w:rPr>
            </w:pPr>
            <w:r>
              <w:rPr>
                <w:rFonts w:ascii="Calibri;sans-serif" w:hAnsi="Calibr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510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Filed Herewith</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Exhibit 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spacing w:before="0" w:after="283"/>
              <w:rPr>
                <w:sz w:val="4"/>
                <w:szCs w:val="4"/>
              </w:rPr>
            </w:pPr>
            <w:r>
              <w:rPr>
                <w:sz w:val="4"/>
                <w:szCs w:val="4"/>
              </w:rPr>
            </w:r>
          </w:p>
        </w:tc>
        <w:tc>
          <w:tcPr>
            <w:tcW w:w="62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spacing w:lineRule="auto" w:line="288" w:before="0" w:after="283"/>
              <w:jc w:val="center"/>
              <w:rPr>
                <w:rFonts w:ascii="Calibri;sans-serif" w:hAnsi="Calibri;sans-serif"/>
                <w:b/>
                <w:color w:val="FFFFFF"/>
                <w:sz w:val="16"/>
              </w:rPr>
            </w:pPr>
            <w:r>
              <w:rPr>
                <w:rFonts w:ascii="Calibri;sans-serif" w:hAnsi="Calibri;sans-serif"/>
                <w:b/>
                <w:color w:val="FFFFFF"/>
                <w:sz w:val="16"/>
              </w:rPr>
              <w:t>Filing Date</w:t>
            </w:r>
          </w:p>
        </w:tc>
      </w:tr>
      <w:tr>
        <w:trPr/>
        <w:tc>
          <w:tcPr>
            <w:tcW w:w="716"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60" w:after="283"/>
              <w:jc w:val="right"/>
              <w:rPr/>
            </w:pPr>
            <w:hyperlink w:anchor="blkbq1202310-qexx101.htm">
              <w:r>
                <w:rPr>
                  <w:rStyle w:val="InternetLink"/>
                </w:rPr>
                <w:t>10.</w:t>
              </w:r>
            </w:hyperlink>
            <w:hyperlink w:anchor="blkbq1202310-qexx101.htm">
              <w:r>
                <w:rPr>
                  <w:rStyle w:val="InternetLink"/>
                </w:rPr>
                <w:t>1</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60" w:after="283"/>
              <w:jc w:val="left"/>
              <w:rPr/>
            </w:pPr>
            <w:hyperlink w:anchor="blkbq1202310-qexx101.htm">
              <w:r>
                <w:rPr>
                  <w:rStyle w:val="InternetLink"/>
                  <w:rFonts w:ascii="Calibri;sans-serif" w:hAnsi="Calibri;sans-serif"/>
                  <w:b w:val="false"/>
                  <w:color w:val="7A04DD"/>
                  <w:sz w:val="20"/>
                  <w:u w:val="single"/>
                </w:rPr>
                <w:t>Form of Retention Agreement dated as of April 24, 2023 between Blackbaud, Inc. and each of Anthony W. Boor, David J. Benjamin, Kevin P. Gregoire, Kevin R. McDearis, Kevin W. Mooney and Jon W. Olson</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4054"/>
            </w:tcBorders>
            <w:shd w:fill="EBFBFF" w:val="clear"/>
            <w:tcMar>
              <w:top w:w="3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top w:val="single" w:sz="8" w:space="0" w:color="004054"/>
            </w:tcBorders>
            <w:shd w:fill="EBFB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spacing w:lineRule="auto" w:line="288" w:before="60" w:after="283"/>
              <w:jc w:val="right"/>
              <w:rPr/>
            </w:pPr>
            <w:hyperlink w:anchor="blkbq1202310-qexx311.htm">
              <w:r>
                <w:rPr>
                  <w:rStyle w:val="InternetLink"/>
                  <w:rFonts w:ascii="Calibri;sans-serif" w:hAnsi="Calibri;sans-serif"/>
                  <w:b w:val="false"/>
                  <w:color w:val="7A04DD"/>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pPr>
            <w:hyperlink w:anchor="blkbq1202310-qexx311.htm">
              <w:r>
                <w:rPr>
                  <w:rStyle w:val="InternetLink"/>
                  <w:rFonts w:ascii="Calibri;sans-serif" w:hAnsi="Calibri;sans-serif"/>
                  <w:b w:val="false"/>
                  <w:color w:val="7A04DD"/>
                  <w:sz w:val="20"/>
                  <w:u w:val="single"/>
                </w:rPr>
                <w:t>Certification by the Chief Executive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EBFBFF" w:val="clear"/>
            <w:tcMar>
              <w:top w:w="0" w:type="dxa"/>
              <w:left w:w="0" w:type="dxa"/>
              <w:bottom w:w="0" w:type="dxa"/>
              <w:right w:w="0" w:type="dxa"/>
            </w:tcMar>
            <w:vAlign w:val="center"/>
          </w:tcPr>
          <w:p>
            <w:pPr>
              <w:pStyle w:val="TableContents"/>
              <w:spacing w:lineRule="auto" w:line="288" w:before="60" w:after="283"/>
              <w:jc w:val="right"/>
              <w:rPr/>
            </w:pPr>
            <w:hyperlink w:anchor="blkbq1202310-qexx312.htm">
              <w:r>
                <w:rPr>
                  <w:rStyle w:val="InternetLink"/>
                  <w:rFonts w:ascii="Calibri;sans-serif" w:hAnsi="Calibri;sans-serif"/>
                  <w:b w:val="false"/>
                  <w:color w:val="7A04DD"/>
                  <w:sz w:val="20"/>
                  <w:u w:val="single"/>
                </w:rPr>
                <w:t>31.2</w:t>
              </w:r>
            </w:hyperlink>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EBFBFF" w:val="clear"/>
            <w:tcMar>
              <w:top w:w="0" w:type="dxa"/>
              <w:left w:w="0" w:type="dxa"/>
              <w:bottom w:w="0" w:type="dxa"/>
              <w:right w:w="0" w:type="dxa"/>
            </w:tcMar>
            <w:vAlign w:val="center"/>
          </w:tcPr>
          <w:p>
            <w:pPr>
              <w:pStyle w:val="TableContents"/>
              <w:spacing w:lineRule="auto" w:line="288" w:before="60" w:after="283"/>
              <w:jc w:val="left"/>
              <w:rPr/>
            </w:pPr>
            <w:hyperlink w:anchor="blkbq1202310-qexx312.htm">
              <w:r>
                <w:rPr>
                  <w:rStyle w:val="InternetLink"/>
                  <w:rFonts w:ascii="Calibri;sans-serif" w:hAnsi="Calibri;sans-serif"/>
                  <w:b w:val="false"/>
                  <w:color w:val="7A04DD"/>
                  <w:sz w:val="20"/>
                  <w:u w:val="single"/>
                </w:rPr>
                <w:t>Certification by the Chief Financial Officer pursuant to Section 302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EBFB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spacing w:lineRule="auto" w:line="288" w:before="60" w:after="283"/>
              <w:jc w:val="right"/>
              <w:rPr/>
            </w:pPr>
            <w:hyperlink w:anchor="blkbq1202310-qexx321.htm">
              <w:r>
                <w:rPr>
                  <w:rStyle w:val="InternetLink"/>
                  <w:rFonts w:ascii="Calibri;sans-serif" w:hAnsi="Calibri;sans-serif"/>
                  <w:b w:val="false"/>
                  <w:color w:val="7A04DD"/>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FFFFFF" w:val="clear"/>
            <w:tcMar>
              <w:top w:w="0" w:type="dxa"/>
              <w:left w:w="0" w:type="dxa"/>
              <w:bottom w:w="0" w:type="dxa"/>
              <w:right w:w="0" w:type="dxa"/>
            </w:tcMar>
            <w:vAlign w:val="center"/>
          </w:tcPr>
          <w:p>
            <w:pPr>
              <w:pStyle w:val="TableContents"/>
              <w:spacing w:lineRule="auto" w:line="288" w:before="60" w:after="283"/>
              <w:jc w:val="left"/>
              <w:rPr/>
            </w:pPr>
            <w:hyperlink w:anchor="blkbq1202310-qexx321.htm">
              <w:r>
                <w:rPr>
                  <w:rStyle w:val="InternetLink"/>
                  <w:rFonts w:ascii="Calibri;sans-serif" w:hAnsi="Calibr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EBFBFF" w:val="clear"/>
            <w:tcMar>
              <w:top w:w="0" w:type="dxa"/>
              <w:left w:w="0" w:type="dxa"/>
              <w:bottom w:w="0" w:type="dxa"/>
              <w:right w:w="0" w:type="dxa"/>
            </w:tcMar>
            <w:vAlign w:val="center"/>
          </w:tcPr>
          <w:p>
            <w:pPr>
              <w:pStyle w:val="TableContents"/>
              <w:spacing w:lineRule="auto" w:line="288" w:before="60" w:after="283"/>
              <w:jc w:val="right"/>
              <w:rPr/>
            </w:pPr>
            <w:hyperlink w:anchor="blkbq1202310-qexx322.htm">
              <w:r>
                <w:rPr>
                  <w:rStyle w:val="InternetLink"/>
                  <w:rFonts w:ascii="Calibri;sans-serif" w:hAnsi="Calibri;sans-serif"/>
                  <w:b w:val="false"/>
                  <w:color w:val="7A04DD"/>
                  <w:sz w:val="20"/>
                  <w:u w:val="single"/>
                </w:rPr>
                <w:t>32.2</w:t>
              </w:r>
            </w:hyperlink>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EBFBFF" w:val="clear"/>
            <w:tcMar>
              <w:top w:w="0" w:type="dxa"/>
              <w:left w:w="0" w:type="dxa"/>
              <w:bottom w:w="0" w:type="dxa"/>
              <w:right w:w="0" w:type="dxa"/>
            </w:tcMar>
            <w:vAlign w:val="center"/>
          </w:tcPr>
          <w:p>
            <w:pPr>
              <w:pStyle w:val="TableContents"/>
              <w:spacing w:lineRule="auto" w:line="288" w:before="60" w:after="283"/>
              <w:jc w:val="left"/>
              <w:rPr/>
            </w:pPr>
            <w:hyperlink w:anchor="blkbq1202310-qexx322.htm">
              <w:r>
                <w:rPr>
                  <w:rStyle w:val="InternetLink"/>
                  <w:rFonts w:ascii="Calibri;sans-serif" w:hAnsi="Calibr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EBFB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101.SCH</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Schema Document.</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EBFB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101.DEF</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Definition Linkbase Document.</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EBFB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EBFBFF" w:val="clear"/>
            <w:tcMar>
              <w:top w:w="0" w:type="dxa"/>
              <w:left w:w="0" w:type="dxa"/>
              <w:bottom w:w="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101.PRE</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3"/>
            <w:tcBorders/>
            <w:shd w:fill="EBFB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Presentation Linkbase Document.</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EBFBFF"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EBFB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105"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59" w:type="dxa"/>
            <w:gridSpan w:val="3"/>
            <w:tcBorders>
              <w:bottom w:val="single" w:sz="8" w:space="0" w:color="0CD973"/>
            </w:tcBorders>
            <w:shd w:fill="FFFFFF" w:val="clear"/>
            <w:tcMar>
              <w:top w:w="0" w:type="dxa"/>
              <w:left w:w="0" w:type="dxa"/>
              <w:bottom w:w="30" w:type="dxa"/>
              <w:right w:w="0" w:type="dxa"/>
            </w:tcMar>
            <w:vAlign w:val="center"/>
          </w:tcPr>
          <w:p>
            <w:pPr>
              <w:pStyle w:val="TableContents"/>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02"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22" w:type="dxa"/>
            <w:gridSpan w:val="3"/>
            <w:tcBorders>
              <w:bottom w:val="single" w:sz="8" w:space="0" w:color="0CD973"/>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91540"/>
                <wp:effectExtent l="0" t="0" r="0" b="0"/>
                <wp:wrapNone/>
                <wp:docPr id="161" name="Frame49"/>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12" w:type="dxa"/>
                              <w:jc w:val="left"/>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6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6" descr=""/>
                                                <pic:cNvPicPr>
                                                  <a:picLocks noChangeAspect="1" noChangeArrowheads="1"/>
                                                </pic:cNvPicPr>
                                              </pic:nvPicPr>
                                              <pic:blipFill>
                                                <a:blip r:embed="rId67"/>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left"/>
                        <w:tblInd w:w="0" w:type="dxa"/>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48</w:t>
                            </w:r>
                          </w:p>
                        </w:tc>
                        <w:tc>
                          <w:tcPr>
                            <w:tcW w:w="1226"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23900" cy="190500"/>
                                  <wp:effectExtent l="0" t="0" r="0" b="0"/>
                                  <wp:docPr id="16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66" descr=""/>
                                          <pic:cNvPicPr>
                                            <a:picLocks noChangeAspect="1" noChangeArrowheads="1"/>
                                          </pic:cNvPicPr>
                                        </pic:nvPicPr>
                                        <pic:blipFill>
                                          <a:blip r:embed="rId67"/>
                                          <a:stretch>
                                            <a:fillRect/>
                                          </a:stretch>
                                        </pic:blipFill>
                                        <pic:spPr bwMode="auto">
                                          <a:xfrm>
                                            <a:off x="0" y="0"/>
                                            <a:ext cx="723900" cy="190500"/>
                                          </a:xfrm>
                                          <a:prstGeom prst="rect">
                                            <a:avLst/>
                                          </a:prstGeom>
                                        </pic:spPr>
                                      </pic:pic>
                                    </a:graphicData>
                                  </a:graphic>
                                </wp:inline>
                              </w:drawing>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2023 Form 10-Q</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00246672b5984694bf9fb8036f7c6186_16">
        <w:r>
          <w:rPr>
            <w:rStyle w:val="InternetLink"/>
            <w:rFonts w:ascii="Calibri;sans-serif" w:hAnsi="Calibri;sans-serif"/>
            <w:b w:val="false"/>
            <w:color w:val="7A04DD"/>
            <w:sz w:val="16"/>
            <w:u w:val="single"/>
          </w:rPr>
          <w:t>Table of Contents</w:t>
        </w:r>
      </w:hyperlink>
    </w:p>
    <w:p>
      <w:pPr>
        <w:pStyle w:val="TextBody"/>
        <w:spacing w:before="0" w:after="0"/>
        <w:rPr/>
      </w:pPr>
      <w:r>
        <w:rPr/>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3324" w:type="dxa"/>
        <w:jc w:val="left"/>
        <w:tblInd w:w="0" w:type="dxa"/>
        <w:tblCellMar>
          <w:top w:w="28" w:type="dxa"/>
          <w:left w:w="28" w:type="dxa"/>
          <w:bottom w:w="28" w:type="dxa"/>
          <w:right w:w="28" w:type="dxa"/>
        </w:tblCellMar>
      </w:tblPr>
      <w:tblGrid>
        <w:gridCol w:w="124"/>
        <w:gridCol w:w="109"/>
        <w:gridCol w:w="109"/>
        <w:gridCol w:w="173"/>
        <w:gridCol w:w="173"/>
        <w:gridCol w:w="175"/>
        <w:gridCol w:w="721"/>
        <w:gridCol w:w="721"/>
        <w:gridCol w:w="10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76225" cy="276225"/>
                  <wp:effectExtent l="0" t="0" r="0" b="0"/>
                  <wp:docPr id="16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7" descr=""/>
                          <pic:cNvPicPr>
                            <a:picLocks noChangeAspect="1" noChangeArrowheads="1"/>
                          </pic:cNvPicPr>
                        </pic:nvPicPr>
                        <pic:blipFill>
                          <a:blip r:embed="rId68"/>
                          <a:stretch>
                            <a:fillRect/>
                          </a:stretch>
                        </pic:blipFill>
                        <pic:spPr bwMode="auto">
                          <a:xfrm>
                            <a:off x="0" y="0"/>
                            <a:ext cx="276225" cy="276225"/>
                          </a:xfrm>
                          <a:prstGeom prst="rect">
                            <a:avLst/>
                          </a:prstGeom>
                        </pic:spPr>
                      </pic:pic>
                    </a:graphicData>
                  </a:graphic>
                </wp:inline>
              </w:drawing>
            </w:r>
          </w:p>
        </w:tc>
        <w:tc>
          <w:tcPr>
            <w:tcW w:w="24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0535A"/>
                <w:sz w:val="44"/>
              </w:rPr>
            </w:pPr>
            <w:r>
              <w:rPr>
                <w:rFonts w:ascii="Calibri;sans-serif" w:hAnsi="Calibri;sans-serif"/>
                <w:b/>
                <w:color w:val="50535A"/>
                <w:sz w:val="44"/>
              </w:rPr>
              <w:t>SIGNATURES</w:t>
            </w:r>
          </w:p>
        </w:tc>
      </w:tr>
    </w:tbl>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Pursuant to the requirements of the Securities Exchange Act of 1934, the Registrant has duly caused this Report to be signed on its behalf by the undersigned thereunto duly authorized.</w:t>
      </w:r>
    </w:p>
    <w:tbl>
      <w:tblPr>
        <w:tblW w:w="6494" w:type="dxa"/>
        <w:jc w:val="center"/>
        <w:tblInd w:w="0" w:type="dxa"/>
        <w:tblCellMar>
          <w:top w:w="28" w:type="dxa"/>
          <w:left w:w="28" w:type="dxa"/>
          <w:bottom w:w="28" w:type="dxa"/>
          <w:right w:w="28" w:type="dxa"/>
        </w:tblCellMar>
      </w:tblPr>
      <w:tblGrid>
        <w:gridCol w:w="190"/>
        <w:gridCol w:w="167"/>
        <w:gridCol w:w="168"/>
        <w:gridCol w:w="369"/>
        <w:gridCol w:w="369"/>
        <w:gridCol w:w="371"/>
        <w:gridCol w:w="240"/>
        <w:gridCol w:w="240"/>
        <w:gridCol w:w="240"/>
        <w:gridCol w:w="1205"/>
        <w:gridCol w:w="1205"/>
        <w:gridCol w:w="1730"/>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color w:val="51555C"/>
                <w:sz w:val="20"/>
              </w:rPr>
            </w:pPr>
            <w:r>
              <w:rPr>
                <w:rFonts w:ascii="Calibri;sans-serif" w:hAnsi="Calibri;sans-serif"/>
                <w:b/>
                <w:color w:val="51555C"/>
                <w:sz w:val="20"/>
              </w:rPr>
              <w:t>BLACKBAUD, INC.</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May 4, 2023</w:t>
            </w:r>
          </w:p>
        </w:tc>
        <w:tc>
          <w:tcPr>
            <w:tcW w:w="7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By:</w:t>
            </w:r>
          </w:p>
        </w:tc>
        <w:tc>
          <w:tcPr>
            <w:tcW w:w="41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President and Chief Executive Officer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May 4, 2023</w:t>
            </w:r>
          </w:p>
        </w:tc>
        <w:tc>
          <w:tcPr>
            <w:tcW w:w="7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By:</w:t>
            </w:r>
          </w:p>
        </w:tc>
        <w:tc>
          <w:tcPr>
            <w:tcW w:w="41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8" w:space="0" w:color="51555C"/>
            </w:tcBorders>
            <w:shd w:fill="auto" w:val="clear"/>
            <w:tcMar>
              <w:top w:w="3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4"/>
        </w:rPr>
      </w:pPr>
      <w:r>
        <w:rPr>
          <w:rFonts w:ascii="Arial;sans-serif" w:hAnsi="Arial;sans-serif"/>
          <w:b/>
          <w:color w:val="000000"/>
          <w:sz w:val="24"/>
        </w:rPr>
        <w:t>E</w:t>
      </w:r>
      <w:r>
        <w:rPr>
          <w:rFonts w:ascii="Arial;sans-serif" w:hAnsi="Arial;sans-serif"/>
          <w:b/>
          <w:color w:val="000000"/>
          <w:sz w:val="24"/>
        </w:rPr>
        <w:t>XHIBIT 10.1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91540"/>
                <wp:effectExtent l="0" t="0" r="0" b="0"/>
                <wp:wrapNone/>
                <wp:docPr id="165" name="Frame50"/>
                <a:graphic xmlns:a="http://schemas.openxmlformats.org/drawingml/2006/main">
                  <a:graphicData uri="http://schemas.microsoft.com/office/word/2010/wordprocessingShape">
                    <wps:wsp>
                      <wps:cNvSpPr txBox="1"/>
                      <wps:spPr>
                        <a:xfrm>
                          <a:off x="0" y="0"/>
                          <a:ext cx="6480175" cy="891540"/>
                        </a:xfrm>
                        <a:prstGeom prst="rect"/>
                      </wps:spPr>
                      <wps:txb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6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8" descr=""/>
                                                <pic:cNvPicPr>
                                                  <a:picLocks noChangeAspect="1" noChangeArrowheads="1"/>
                                                </pic:cNvPicPr>
                                              </pic:nvPicPr>
                                              <pic:blipFill>
                                                <a:blip r:embed="rId69"/>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407.95pt;mso-position-horizontal:left;mso-position-horizontal-relative:text">
                <v:textbox>
                  <w:txbxContent>
                    <w:tbl>
                      <w:tblPr>
                        <w:tblW w:w="3728" w:type="dxa"/>
                        <w:jc w:val="center"/>
                        <w:tblInd w:w="0" w:type="dxa"/>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2023 Form 10-Q</w:t>
                            </w:r>
                          </w:p>
                        </w:tc>
                        <w:tc>
                          <w:tcPr>
                            <w:tcW w:w="1241" w:type="dxa"/>
                            <w:gridSpan w:val="3"/>
                            <w:tcBorders/>
                            <w:shd w:fill="auto" w:val="clear"/>
                            <w:tcMar>
                              <w:top w:w="0" w:type="dxa"/>
                              <w:left w:w="0" w:type="dxa"/>
                              <w:bottom w:w="0" w:type="dxa"/>
                              <w:right w:w="0" w:type="dxa"/>
                            </w:tcMar>
                            <w:vAlign w:val="center"/>
                          </w:tcPr>
                          <w:p>
                            <w:pPr>
                              <w:pStyle w:val="TableContents"/>
                              <w:spacing w:before="60" w:after="283"/>
                              <w:jc w:val="center"/>
                              <w:rPr/>
                            </w:pPr>
                            <w:r>
                              <w:rPr/>
                              <w:drawing>
                                <wp:inline distT="0" distB="63500" distL="0" distR="0">
                                  <wp:extent cx="733425" cy="190500"/>
                                  <wp:effectExtent l="0" t="0" r="0" b="0"/>
                                  <wp:docPr id="16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8" descr=""/>
                                          <pic:cNvPicPr>
                                            <a:picLocks noChangeAspect="1" noChangeArrowheads="1"/>
                                          </pic:cNvPicPr>
                                        </pic:nvPicPr>
                                        <pic:blipFill>
                                          <a:blip r:embed="rId69"/>
                                          <a:stretch>
                                            <a:fillRect/>
                                          </a:stretch>
                                        </pic:blipFill>
                                        <pic:spPr bwMode="auto">
                                          <a:xfrm>
                                            <a:off x="0" y="0"/>
                                            <a:ext cx="73342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49</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Arial;sans-serif" w:hAnsi="Arial;sans-serif"/>
          <w:b/>
          <w:color w:val="000000"/>
          <w:sz w:val="20"/>
        </w:rPr>
      </w:pPr>
      <w:r>
        <w:rPr>
          <w:rFonts w:ascii="Arial;sans-serif" w:hAnsi="Arial;sans-serif"/>
          <w:b/>
          <w:color w:val="000000"/>
          <w:sz w:val="20"/>
        </w:rPr>
        <w:t>RETENTION AGREEMENT</w:t>
      </w:r>
    </w:p>
    <w:p>
      <w:pPr>
        <w:pStyle w:val="TextBody"/>
        <w:spacing w:before="0" w:after="0"/>
        <w:rPr/>
      </w:pPr>
      <w:r>
        <w:rPr/>
      </w:r>
    </w:p>
    <w:p>
      <w:pPr>
        <w:pStyle w:val="TextBody"/>
        <w:spacing w:before="0" w:after="0"/>
        <w:jc w:val="both"/>
        <w:rPr/>
      </w:pPr>
      <w:r>
        <w:rPr/>
      </w:r>
    </w:p>
    <w:p>
      <w:pPr>
        <w:pStyle w:val="TextBody"/>
        <w:spacing w:lineRule="auto" w:line="240" w:before="0" w:after="0"/>
        <w:rPr/>
      </w:pPr>
      <w:r>
        <w:rPr>
          <w:color w:val="000000"/>
        </w:rPr>
        <w:t>    </w:t>
      </w:r>
      <w:r>
        <w:rPr>
          <w:rFonts w:ascii="Arial;sans-serif" w:hAnsi="Arial;sans-serif"/>
          <w:b w:val="false"/>
          <w:color w:val="000000"/>
          <w:sz w:val="20"/>
        </w:rPr>
        <w:t>THIS RETENTION AGREEMENT (the “Agreement”), effective as of April ●, 2023, is made and entered into by and between Blackbaud, Inc., a Delaware corporation (the “Company”), and __________________ (“Employee”).</w:t>
      </w:r>
    </w:p>
    <w:p>
      <w:pPr>
        <w:pStyle w:val="TextBody"/>
        <w:spacing w:before="0" w:after="0"/>
        <w:rPr/>
      </w:pPr>
      <w:r>
        <w:rPr/>
      </w:r>
    </w:p>
    <w:p>
      <w:pPr>
        <w:pStyle w:val="TextBody"/>
        <w:spacing w:lineRule="auto" w:line="240" w:before="0" w:after="0"/>
        <w:jc w:val="center"/>
        <w:rPr/>
      </w:pPr>
      <w:r>
        <w:rPr>
          <w:rFonts w:ascii="Arial;sans-serif" w:hAnsi="Arial;sans-serif"/>
          <w:b/>
          <w:color w:val="000000"/>
          <w:sz w:val="20"/>
        </w:rPr>
        <w:t>WITNESSETH</w:t>
      </w:r>
      <w:r>
        <w:rPr>
          <w:rFonts w:ascii="Arial;sans-serif" w:hAnsi="Arial;sans-serif"/>
          <w:b w:val="false"/>
          <w:color w:val="000000"/>
          <w:sz w:val="20"/>
        </w:rPr>
        <w:t>:</w:t>
      </w:r>
    </w:p>
    <w:p>
      <w:pPr>
        <w:pStyle w:val="TextBody"/>
        <w:spacing w:before="0" w:after="0"/>
        <w:rPr/>
      </w:pPr>
      <w:r>
        <w:rPr/>
      </w:r>
    </w:p>
    <w:p>
      <w:pPr>
        <w:pStyle w:val="TextBody"/>
        <w:spacing w:lineRule="auto" w:line="240" w:before="0" w:after="0"/>
        <w:ind w:left="0" w:right="0" w:firstLine="720"/>
        <w:rPr>
          <w:rFonts w:ascii="Arial;sans-serif" w:hAnsi="Arial;sans-serif"/>
          <w:b w:val="false"/>
          <w:color w:val="000000"/>
          <w:sz w:val="20"/>
        </w:rPr>
      </w:pPr>
      <w:r>
        <w:rPr>
          <w:rFonts w:ascii="Arial;sans-serif" w:hAnsi="Arial;sans-serif"/>
          <w:b w:val="false"/>
          <w:color w:val="000000"/>
          <w:sz w:val="20"/>
        </w:rPr>
        <w:t>WHEREAS, the Company presently employs Employee; and</w:t>
      </w:r>
    </w:p>
    <w:p>
      <w:pPr>
        <w:pStyle w:val="TextBody"/>
        <w:spacing w:before="0" w:after="0"/>
        <w:rPr/>
      </w:pPr>
      <w:r>
        <w:rPr/>
      </w:r>
    </w:p>
    <w:p>
      <w:pPr>
        <w:pStyle w:val="TextBody"/>
        <w:spacing w:lineRule="auto" w:line="240" w:before="0" w:after="0"/>
        <w:rPr>
          <w:color w:val="000000"/>
        </w:rPr>
      </w:pPr>
      <w:r>
        <w:rPr>
          <w:color w:val="000000"/>
        </w:rPr>
        <w:t>    </w:t>
      </w:r>
      <w:r>
        <w:rPr>
          <w:rFonts w:ascii="Arial;sans-serif" w:hAnsi="Arial;sans-serif"/>
          <w:b w:val="false"/>
          <w:color w:val="000000"/>
          <w:sz w:val="20"/>
        </w:rPr>
        <w:t>WHEREAS, the Company and Employee desire to set forth consideration to be paid to Employee in the event that Employee’s employment with the Company is terminated without “Cause” by the Company or for “Good Reason” by Employee following a “Change in Control” of the Company, all as defined herein.</w:t>
      </w:r>
    </w:p>
    <w:p>
      <w:pPr>
        <w:pStyle w:val="TextBody"/>
        <w:spacing w:before="0" w:after="0"/>
        <w:rPr/>
      </w:pPr>
      <w:r>
        <w:rPr/>
      </w:r>
    </w:p>
    <w:p>
      <w:pPr>
        <w:pStyle w:val="TextBody"/>
        <w:spacing w:lineRule="auto" w:line="240" w:before="0" w:after="0"/>
        <w:rPr>
          <w:color w:val="000000"/>
        </w:rPr>
      </w:pPr>
      <w:r>
        <w:rPr>
          <w:color w:val="000000"/>
        </w:rPr>
        <w:t>    </w:t>
      </w:r>
      <w:r>
        <w:rPr>
          <w:rFonts w:ascii="Arial;sans-serif" w:hAnsi="Arial;sans-serif"/>
          <w:b w:val="false"/>
          <w:color w:val="000000"/>
          <w:sz w:val="20"/>
        </w:rPr>
        <w:t>NOW, THEREFORE, in consideration of the foregoing, the mutual promises herein contained, and other good and valuable consideration, including the continued employment of Employee by the Company and the compensation received by Employee from the Company from time to time, the receipt and sufficiency of which are hereby acknowledged, the parties hereto, intending to be legally bound, hereby agree as follows:</w:t>
      </w:r>
    </w:p>
    <w:p>
      <w:pPr>
        <w:pStyle w:val="TextBody"/>
        <w:spacing w:before="0" w:after="0"/>
        <w:rPr/>
      </w:pPr>
      <w:r>
        <w:rPr/>
      </w:r>
    </w:p>
    <w:p>
      <w:pPr>
        <w:pStyle w:val="TextBody"/>
        <w:spacing w:lineRule="auto" w:line="240" w:before="144" w:after="144"/>
        <w:ind w:left="0" w:right="0" w:hanging="720"/>
        <w:rPr/>
      </w:pPr>
      <w:r>
        <w:rPr>
          <w:rFonts w:ascii="Arial;sans-serif" w:hAnsi="Arial;sans-serif"/>
          <w:b w:val="false"/>
          <w:color w:val="000000"/>
          <w:sz w:val="20"/>
        </w:rPr>
        <w:t>1.    </w:t>
      </w:r>
      <w:r>
        <w:rPr>
          <w:rFonts w:ascii="Arial;sans-serif" w:hAnsi="Arial;sans-serif"/>
          <w:b/>
          <w:color w:val="000000"/>
          <w:sz w:val="20"/>
          <w:u w:val="single"/>
        </w:rPr>
        <w:t>Definitions</w:t>
      </w:r>
      <w:r>
        <w:rPr>
          <w:rFonts w:ascii="Arial;sans-serif" w:hAnsi="Arial;sans-serif"/>
          <w:b/>
          <w:color w:val="000000"/>
          <w:sz w:val="20"/>
        </w:rPr>
        <w:t xml:space="preserve">. </w:t>
      </w:r>
      <w:r>
        <w:rPr>
          <w:rFonts w:ascii="Arial;sans-serif" w:hAnsi="Arial;sans-serif"/>
          <w:b w:val="false"/>
          <w:color w:val="000000"/>
          <w:sz w:val="20"/>
        </w:rPr>
        <w:t>For the purposes of the Agreement, the following terms shall be defined as set out below:</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 xml:space="preserve">a. </w:t>
      </w:r>
      <w:r>
        <w:rPr>
          <w:color w:val="000000"/>
        </w:rPr>
        <w:t>“</w:t>
      </w:r>
      <w:r>
        <w:rPr>
          <w:rFonts w:ascii="Arial;sans-serif" w:hAnsi="Arial;sans-serif"/>
          <w:b/>
          <w:color w:val="000000"/>
          <w:sz w:val="20"/>
        </w:rPr>
        <w:t>Cause</w:t>
      </w:r>
      <w:r>
        <w:rPr>
          <w:rFonts w:ascii="Arial;sans-serif" w:hAnsi="Arial;sans-serif"/>
          <w:b w:val="false"/>
          <w:color w:val="000000"/>
          <w:sz w:val="20"/>
        </w:rPr>
        <w:t>.</w:t>
      </w:r>
      <w:r>
        <w:rPr>
          <w:color w:val="000000"/>
        </w:rPr>
        <w:t>” “</w:t>
      </w:r>
      <w:r>
        <w:rPr>
          <w:rFonts w:ascii="Arial;sans-serif" w:hAnsi="Arial;sans-serif"/>
          <w:b w:val="false"/>
          <w:color w:val="000000"/>
          <w:sz w:val="20"/>
        </w:rPr>
        <w:t>Cause” shall mean:</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i. Employee’s conviction of, or plea of no contest to, any crime (whether or not involving the Company) that constitutes a felony in the jurisdiction in which Employee is charged, other than unintentional motor vehicle felonies, routine traffic citations or a felony predicated exclusively on Employee’s Vicarious Liability. “Vicarious Liability” for purposes of this Agreement shall mean any act for which Employee is constructively liable, including, but not limited to, any liability that is based on acts of the Company for which Employee is charged solely as a result of his or her offices with the Company and in which he or she was not directly involved or did not have prior knowledge of such actions or intended actions;</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ii. Any act of theft, fraud or embezzlement, or any other willful misconduct or willfully dishonest behavior by Employee;</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iii. Employee’s failure or refusal to perform his or her reasonably-assigned duties (consistent with past practice of the Company and other than due to a Disability), provided that such failure or refusal is not corrected as promptly as practicable, and in any event within thirty (30) calendar days after Employee shall have received written notice from the Company stating the nature of such failure or refusal;</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 xml:space="preserve">iv. Employee’s willful violation of any of his or her obligations contained in that certain employee agreement between Employee and the Company, which violation is of a character that is likely to materially injure the Company, as determined by the Company in good faith; </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v. Personal conduct by Employee (including employee harassment or discrimination) which materially discredits or damages the Company or any subsidiary; and/or</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vi. Employee’s illegal use of controlled substances.</w:t>
      </w:r>
    </w:p>
    <w:p>
      <w:pPr>
        <w:pStyle w:val="TextBody"/>
        <w:spacing w:before="0" w:after="0"/>
        <w:rPr/>
      </w:pPr>
      <w:r>
        <w:rPr/>
      </w:r>
    </w:p>
    <w:p>
      <w:pPr>
        <w:pStyle w:val="TextBody"/>
        <w:spacing w:lineRule="auto" w:line="240"/>
        <w:ind w:left="0" w:right="0" w:hanging="720"/>
        <w:rPr/>
      </w:pPr>
      <w:r>
        <w:rPr>
          <w:color w:val="000000"/>
        </w:rPr>
        <w:t>    </w:t>
      </w:r>
      <w:r>
        <w:rPr>
          <w:rFonts w:ascii="Arial;sans-serif" w:hAnsi="Arial;sans-serif"/>
          <w:b w:val="false"/>
          <w:color w:val="000000"/>
          <w:sz w:val="20"/>
        </w:rPr>
        <w:t xml:space="preserve">b. </w:t>
      </w:r>
      <w:r>
        <w:rPr>
          <w:color w:val="000000"/>
        </w:rPr>
        <w:t>“</w:t>
      </w:r>
      <w:r>
        <w:rPr>
          <w:rFonts w:ascii="Arial;sans-serif" w:hAnsi="Arial;sans-serif"/>
          <w:b/>
          <w:color w:val="000000"/>
          <w:sz w:val="20"/>
        </w:rPr>
        <w:t>Change in Control</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A “Change in Control” shall be deemed to have occurred upon the consummation of (i) a merger or consolidation in which the shareholders of the Company immediately prior to the merger or consolidation cease to own at least 50% of the combined entity immediately following the merger or consolidation; (ii) a sale of all or substantially all of the assets of the Company; (iii) the acquisition by any individual, entity or group (within the meaning of Section 13(d)(3) or 14(d)(2) of </w:t>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68"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the Securities and Exchange Act of 1934, as amended) of beneficial ownership of any capital stock of the Company, if, after such acquisition, such individual, entity or group owns more than 50% of either (A) the then-outstanding common stock of the Company or (B) the combined voting power of the then-outstanding securities of the Company entitled to vote in the election of directors; or (iv) the liquidation or dissolution of the Company.</w:t>
      </w:r>
    </w:p>
    <w:p>
      <w:pPr>
        <w:pStyle w:val="TextBody"/>
        <w:spacing w:before="0" w:after="0"/>
        <w:ind w:left="0" w:right="0" w:hanging="720"/>
        <w:rPr/>
      </w:pPr>
      <w:r>
        <w:rPr/>
      </w:r>
    </w:p>
    <w:p>
      <w:pPr>
        <w:pStyle w:val="TextBody"/>
        <w:spacing w:lineRule="auto" w:line="240" w:before="0" w:after="0"/>
        <w:ind w:left="0" w:right="0" w:hanging="720"/>
        <w:rPr/>
      </w:pPr>
      <w:r>
        <w:rPr>
          <w:color w:val="000000"/>
        </w:rPr>
        <w:t>    </w:t>
      </w:r>
      <w:r>
        <w:rPr>
          <w:rFonts w:ascii="Arial;sans-serif" w:hAnsi="Arial;sans-serif"/>
          <w:b w:val="false"/>
          <w:color w:val="000000"/>
          <w:sz w:val="20"/>
        </w:rPr>
        <w:t xml:space="preserve">c. </w:t>
      </w:r>
      <w:r>
        <w:rPr>
          <w:color w:val="000000"/>
        </w:rPr>
        <w:t>“</w:t>
      </w:r>
      <w:r>
        <w:rPr>
          <w:rFonts w:ascii="Arial;sans-serif" w:hAnsi="Arial;sans-serif"/>
          <w:b/>
          <w:color w:val="000000"/>
          <w:sz w:val="20"/>
        </w:rPr>
        <w:t>Code.”</w:t>
      </w:r>
      <w:r>
        <w:rPr>
          <w:color w:val="000000"/>
        </w:rPr>
        <w:t xml:space="preserve"> </w:t>
      </w:r>
      <w:r>
        <w:rPr>
          <w:rFonts w:ascii="Arial;sans-serif" w:hAnsi="Arial;sans-serif"/>
          <w:b w:val="false"/>
          <w:color w:val="000000"/>
          <w:sz w:val="20"/>
        </w:rPr>
        <w:t xml:space="preserve">The “Code” shall mean the Internal Revenue Code of 1986, as amended. </w:t>
      </w:r>
    </w:p>
    <w:p>
      <w:pPr>
        <w:pStyle w:val="TextBody"/>
        <w:spacing w:lineRule="auto" w:line="240" w:before="0" w:after="0"/>
        <w:ind w:left="0" w:right="0" w:hanging="720"/>
        <w:rPr>
          <w:color w:val="000000"/>
        </w:rPr>
      </w:pPr>
      <w:r>
        <w:rPr>
          <w:color w:val="000000"/>
        </w:rPr>
        <w:t>    </w:t>
      </w:r>
    </w:p>
    <w:p>
      <w:pPr>
        <w:pStyle w:val="TextBody"/>
        <w:spacing w:lineRule="auto" w:line="240" w:before="0" w:after="0"/>
        <w:ind w:left="0" w:right="0" w:hanging="720"/>
        <w:rPr/>
      </w:pPr>
      <w:r>
        <w:rPr>
          <w:color w:val="000000"/>
        </w:rPr>
        <w:t>    </w:t>
      </w:r>
      <w:r>
        <w:rPr>
          <w:rFonts w:ascii="Arial;sans-serif" w:hAnsi="Arial;sans-serif"/>
          <w:b w:val="false"/>
          <w:color w:val="000000"/>
          <w:sz w:val="20"/>
        </w:rPr>
        <w:t xml:space="preserve">d. </w:t>
      </w:r>
      <w:r>
        <w:rPr>
          <w:color w:val="000000"/>
        </w:rPr>
        <w:t>“</w:t>
      </w:r>
      <w:r>
        <w:rPr>
          <w:rFonts w:ascii="Arial;sans-serif" w:hAnsi="Arial;sans-serif"/>
          <w:b/>
          <w:color w:val="000000"/>
          <w:sz w:val="20"/>
        </w:rPr>
        <w:t>Disability.”</w:t>
      </w:r>
      <w:r>
        <w:rPr>
          <w:color w:val="000000"/>
        </w:rPr>
        <w:t xml:space="preserve"> “</w:t>
      </w:r>
      <w:r>
        <w:rPr>
          <w:rFonts w:ascii="Arial;sans-serif" w:hAnsi="Arial;sans-serif"/>
          <w:b w:val="false"/>
          <w:color w:val="000000"/>
          <w:sz w:val="20"/>
        </w:rPr>
        <w:t xml:space="preserve">Disability” shall mean Employee’s inability due to a physical or mental impairment to perform the essential functions of his or her job, with or without reasonable accommodation, for a period of at least ninety (90) consecutive or non-consecutive days in any twelve (12) month period. </w:t>
      </w:r>
    </w:p>
    <w:p>
      <w:pPr>
        <w:pStyle w:val="TextBody"/>
        <w:spacing w:before="0" w:after="0"/>
        <w:ind w:left="0" w:right="0" w:hanging="720"/>
        <w:rPr/>
      </w:pPr>
      <w:r>
        <w:rPr/>
      </w:r>
    </w:p>
    <w:p>
      <w:pPr>
        <w:pStyle w:val="TextBody"/>
        <w:spacing w:lineRule="auto" w:line="240" w:before="0" w:after="0"/>
        <w:ind w:left="0" w:right="0" w:hanging="720"/>
        <w:rPr/>
      </w:pPr>
      <w:r>
        <w:rPr>
          <w:color w:val="000000"/>
        </w:rPr>
        <w:t>    </w:t>
      </w:r>
      <w:r>
        <w:rPr>
          <w:rFonts w:ascii="Arial;sans-serif" w:hAnsi="Arial;sans-serif"/>
          <w:b w:val="false"/>
          <w:color w:val="000000"/>
          <w:sz w:val="20"/>
        </w:rPr>
        <w:t xml:space="preserve">e. </w:t>
      </w:r>
      <w:r>
        <w:rPr>
          <w:color w:val="000000"/>
        </w:rPr>
        <w:t>“</w:t>
      </w:r>
      <w:r>
        <w:rPr>
          <w:rFonts w:ascii="Arial;sans-serif" w:hAnsi="Arial;sans-serif"/>
          <w:b/>
          <w:color w:val="000000"/>
          <w:sz w:val="20"/>
        </w:rPr>
        <w:t>Effective Date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“Effective Date” shall mean the date first written above.</w:t>
      </w:r>
      <w:r>
        <w:rPr>
          <w:color w:val="000000"/>
        </w:rPr>
        <w:t>    </w:t>
      </w:r>
    </w:p>
    <w:p>
      <w:pPr>
        <w:pStyle w:val="TextBody"/>
        <w:spacing w:before="0" w:after="0"/>
        <w:ind w:left="0" w:right="0" w:hanging="720"/>
        <w:rPr/>
      </w:pPr>
      <w:r>
        <w:rPr/>
      </w:r>
    </w:p>
    <w:p>
      <w:pPr>
        <w:pStyle w:val="TextBody"/>
        <w:spacing w:lineRule="auto" w:line="240" w:before="0" w:after="0"/>
        <w:ind w:left="0" w:right="0" w:hanging="720"/>
        <w:rPr/>
      </w:pPr>
      <w:r>
        <w:rPr>
          <w:color w:val="000000"/>
        </w:rPr>
        <w:t>    </w:t>
      </w:r>
      <w:r>
        <w:rPr>
          <w:rFonts w:ascii="Arial;sans-serif" w:hAnsi="Arial;sans-serif"/>
          <w:b w:val="false"/>
          <w:color w:val="000000"/>
          <w:sz w:val="20"/>
        </w:rPr>
        <w:t>f. “</w:t>
      </w:r>
      <w:r>
        <w:rPr>
          <w:rFonts w:ascii="Arial;sans-serif" w:hAnsi="Arial;sans-serif"/>
          <w:b/>
          <w:color w:val="000000"/>
          <w:sz w:val="20"/>
        </w:rPr>
        <w:t>Effective Release</w:t>
      </w:r>
      <w:r>
        <w:rPr>
          <w:rFonts w:ascii="Arial;sans-serif" w:hAnsi="Arial;sans-serif"/>
          <w:b w:val="false"/>
          <w:color w:val="000000"/>
          <w:sz w:val="20"/>
        </w:rPr>
        <w:t xml:space="preserve">.” An “Effective Release” shall mean a general release of claims in favor of the Company in a form reasonably acceptable to the Company’s counsel that is executed by Employee after the Termination Date by the deadline prescribed by the Company (which deadline shall comply with any consideration period required by applicable law) and that is not revoked by Employee within any legally-prescribed revocation period. </w:t>
      </w:r>
    </w:p>
    <w:p>
      <w:pPr>
        <w:pStyle w:val="TextBody"/>
        <w:spacing w:before="0" w:after="0"/>
        <w:ind w:left="0" w:right="0" w:hanging="720"/>
        <w:rPr/>
      </w:pPr>
      <w:r>
        <w:rPr/>
      </w:r>
    </w:p>
    <w:p>
      <w:pPr>
        <w:pStyle w:val="TextBody"/>
        <w:spacing w:lineRule="auto" w:line="240" w:before="0" w:after="0"/>
        <w:ind w:left="0" w:right="0" w:hanging="720"/>
        <w:rPr/>
      </w:pPr>
      <w:r>
        <w:rPr>
          <w:color w:val="000000"/>
        </w:rPr>
        <w:t>    </w:t>
      </w:r>
      <w:r>
        <w:rPr>
          <w:rFonts w:ascii="Arial;sans-serif" w:hAnsi="Arial;sans-serif"/>
          <w:b w:val="false"/>
          <w:color w:val="000000"/>
          <w:sz w:val="20"/>
        </w:rPr>
        <w:t xml:space="preserve">g. </w:t>
      </w:r>
      <w:r>
        <w:rPr>
          <w:color w:val="000000"/>
        </w:rPr>
        <w:t>“</w:t>
      </w:r>
      <w:r>
        <w:rPr>
          <w:rFonts w:ascii="Arial;sans-serif" w:hAnsi="Arial;sans-serif"/>
          <w:b/>
          <w:color w:val="000000"/>
          <w:sz w:val="20"/>
        </w:rPr>
        <w:t>Good Reason</w:t>
      </w:r>
      <w:r>
        <w:rPr>
          <w:rFonts w:ascii="Arial;sans-serif" w:hAnsi="Arial;sans-serif"/>
          <w:b w:val="false"/>
          <w:color w:val="000000"/>
          <w:sz w:val="20"/>
        </w:rPr>
        <w:t>.</w:t>
      </w:r>
      <w:r>
        <w:rPr>
          <w:color w:val="000000"/>
        </w:rPr>
        <w:t>” “</w:t>
      </w:r>
      <w:r>
        <w:rPr>
          <w:rFonts w:ascii="Arial;sans-serif" w:hAnsi="Arial;sans-serif"/>
          <w:b w:val="false"/>
          <w:color w:val="000000"/>
          <w:sz w:val="20"/>
        </w:rPr>
        <w:t xml:space="preserve">Good Reason” shall mean any of the occurrences described in (i) through (iv) below other than as consented to in writing by Employee, </w:t>
      </w:r>
      <w:r>
        <w:rPr>
          <w:rFonts w:ascii="Arial;sans-serif" w:hAnsi="Arial;sans-serif"/>
          <w:b w:val="false"/>
          <w:color w:val="000000"/>
          <w:sz w:val="20"/>
          <w:u w:val="single"/>
        </w:rPr>
        <w:t>provided, however</w:t>
      </w:r>
      <w:r>
        <w:rPr>
          <w:rFonts w:ascii="Arial;sans-serif" w:hAnsi="Arial;sans-serif"/>
          <w:b w:val="false"/>
          <w:color w:val="000000"/>
          <w:sz w:val="20"/>
        </w:rPr>
        <w:t>, that Employee must provide written notice to the Company of such occurrence and his or her anticipated termination for Good Reason within ninety (90) calendar days after the initial existence of such occurrence and such termination shall not become effective unless and until the occurrence goes uncorrected by the Company for thirty (30) calendar days after receiving detailed written notice from Employee:</w:t>
      </w:r>
    </w:p>
    <w:p>
      <w:pPr>
        <w:pStyle w:val="TextBody"/>
        <w:spacing w:before="0" w:after="0"/>
        <w:ind w:left="0" w:right="0" w:hanging="72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i. Any materially adverse change or material diminution in the office, title, duties, powers, authority or responsibilities of Employee, provided such change or diminution continues uncorrected for a period of thirty (30) calendar days after the Company shall have received written notice from Employee stating the nature of such change or diminution;</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 xml:space="preserve">ii. A material reduction made to Employee’s total annual compensation in the aggregate, which is measured against aggregate total annual compensation as of immediately prior to the Change in Control, with total compensation for this purpose to consider the following components: Employee’s base salary, target bonus opportunity, annual short-term incentive equity award, and annual long-term incentive equity award, and in determining whether there has been a reduction in Employee’s equity awards, equity awards are compared to the prior year’s equity awards and each are measured based on the value, terms and conditions of the equity award opportunity at the time of grant; </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iii. Failure of the Company to obtain the assumption in writing of its obligation to perform this Agreement by any purchaser of all or substantially all of the assets of the Company within thirty (30) calendar days after a sale or transfer of such assets; and/or</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 xml:space="preserve">iv. A relocation of Employee’s principal location as assigned to him or her by the Company, to a location more than forty (40) miles from his or her existing office location or existing principal residence location if the Company has not assigned Employee to an office location, provided that such relocation materially increases Employee’s commute to work, or a materially adverse change in the business travel requirements of Employee’s position. </w:t>
      </w:r>
    </w:p>
    <w:p>
      <w:pPr>
        <w:pStyle w:val="TextBody"/>
        <w:spacing w:lineRule="auto" w:line="240" w:before="0" w:after="0"/>
        <w:ind w:left="0" w:right="0" w:hanging="720"/>
        <w:rPr>
          <w:color w:val="000000"/>
        </w:rPr>
      </w:pPr>
      <w:r>
        <w:rPr>
          <w:color w:val="000000"/>
        </w:rPr>
        <w:t>    </w:t>
      </w:r>
    </w:p>
    <w:p>
      <w:pPr>
        <w:pStyle w:val="TextBody"/>
        <w:spacing w:lineRule="auto" w:line="240" w:before="0" w:after="0"/>
        <w:ind w:left="0" w:right="0" w:hanging="720"/>
        <w:rPr/>
      </w:pPr>
      <w:r>
        <w:rPr>
          <w:color w:val="000000"/>
        </w:rPr>
        <w:t>    </w:t>
      </w:r>
      <w:r>
        <w:rPr>
          <w:rFonts w:ascii="Arial;sans-serif" w:hAnsi="Arial;sans-serif"/>
          <w:b w:val="false"/>
          <w:color w:val="000000"/>
          <w:sz w:val="20"/>
        </w:rPr>
        <w:t>h. “</w:t>
      </w:r>
      <w:r>
        <w:rPr>
          <w:rFonts w:ascii="Arial;sans-serif" w:hAnsi="Arial;sans-serif"/>
          <w:b/>
          <w:color w:val="000000"/>
          <w:sz w:val="20"/>
        </w:rPr>
        <w:t>Term</w:t>
      </w:r>
      <w:r>
        <w:rPr>
          <w:rFonts w:ascii="Arial;sans-serif" w:hAnsi="Arial;sans-serif"/>
          <w:b w:val="false"/>
          <w:color w:val="000000"/>
          <w:sz w:val="20"/>
        </w:rPr>
        <w:t>.” The “Term” of this Agreement shall mean an initial period of three (3) years following the Effective Date, plus successive one (1) year renewal periods thereafter so long as the Company does not provide Employee with written notice of its intention not to renew this Agreement at least ninety (90) calendar days prior to the expiration of the initial three (3) year period or any additional one (1) year renewal period.</w:t>
      </w:r>
    </w:p>
    <w:p>
      <w:pPr>
        <w:pStyle w:val="TextBody"/>
        <w:spacing w:before="0" w:after="0"/>
        <w:ind w:left="0" w:right="0" w:hanging="720"/>
        <w:rPr/>
      </w:pPr>
      <w:r>
        <w:rPr/>
      </w:r>
    </w:p>
    <w:p>
      <w:pPr>
        <w:pStyle w:val="TextBody"/>
        <w:spacing w:lineRule="auto" w:line="240"/>
        <w:ind w:left="0" w:right="0" w:hanging="72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2100"/>
                <wp:effectExtent l="0" t="0" r="0" b="0"/>
                <wp:wrapNone/>
                <wp:docPr id="169" name="Frame5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p>
                      <w:pPr>
                        <w:pStyle w:val="TextBody"/>
                        <w:spacing w:before="0" w:after="0"/>
                        <w:rPr/>
                      </w:pPr>
                      <w:r>
                        <w:rPr/>
                      </w:r>
                    </w:p>
                  </w:txbxContent>
                </v:textbox>
              </v:rect>
            </w:pict>
          </mc:Fallback>
        </mc:AlternateContent>
      </w:r>
    </w:p>
    <w:p>
      <w:pPr>
        <w:pStyle w:val="TextBody"/>
        <w:spacing w:lineRule="auto" w:line="240" w:before="0" w:after="0"/>
        <w:rPr/>
      </w:pPr>
      <w:r>
        <w:rPr>
          <w:rFonts w:ascii="Arial;sans-serif" w:hAnsi="Arial;sans-serif"/>
          <w:b w:val="false"/>
          <w:color w:val="000000"/>
          <w:sz w:val="20"/>
        </w:rPr>
        <w:t xml:space="preserve">i. </w:t>
      </w:r>
      <w:r>
        <w:rPr>
          <w:color w:val="000000"/>
        </w:rPr>
        <w:t>“</w:t>
      </w:r>
      <w:r>
        <w:rPr>
          <w:rFonts w:ascii="Arial;sans-serif" w:hAnsi="Arial;sans-serif"/>
          <w:b/>
          <w:color w:val="000000"/>
          <w:sz w:val="20"/>
        </w:rPr>
        <w:t>Termination Compensation</w:t>
      </w:r>
      <w:r>
        <w:rPr>
          <w:rFonts w:ascii="Arial;sans-serif" w:hAnsi="Arial;sans-serif"/>
          <w:b w:val="false"/>
          <w:color w:val="000000"/>
          <w:sz w:val="20"/>
        </w:rPr>
        <w:t>.</w:t>
      </w:r>
      <w:r>
        <w:rPr>
          <w:color w:val="000000"/>
        </w:rPr>
        <w:t>” “</w:t>
      </w:r>
      <w:r>
        <w:rPr>
          <w:rFonts w:ascii="Arial;sans-serif" w:hAnsi="Arial;sans-serif"/>
          <w:b w:val="false"/>
          <w:color w:val="000000"/>
          <w:sz w:val="20"/>
        </w:rPr>
        <w:t>Termination Compensation” shall have the meaning ascribed to it in Section 2(a) of this Agreement.</w:t>
      </w:r>
    </w:p>
    <w:p>
      <w:pPr>
        <w:pStyle w:val="TextBody"/>
        <w:spacing w:before="0" w:after="0"/>
        <w:ind w:left="0" w:right="0" w:hanging="720"/>
        <w:rPr/>
      </w:pPr>
      <w:r>
        <w:rPr/>
      </w:r>
    </w:p>
    <w:p>
      <w:pPr>
        <w:pStyle w:val="TextBody"/>
        <w:spacing w:lineRule="auto" w:line="240" w:before="0" w:after="0"/>
        <w:ind w:left="0" w:right="0" w:hanging="720"/>
        <w:rPr/>
      </w:pPr>
      <w:r>
        <w:rPr>
          <w:color w:val="000000"/>
        </w:rPr>
        <w:t>    </w:t>
      </w:r>
      <w:r>
        <w:rPr>
          <w:rFonts w:ascii="Arial;sans-serif" w:hAnsi="Arial;sans-serif"/>
          <w:b w:val="false"/>
          <w:color w:val="000000"/>
          <w:sz w:val="20"/>
        </w:rPr>
        <w:t xml:space="preserve">j. </w:t>
      </w:r>
      <w:r>
        <w:rPr>
          <w:color w:val="000000"/>
        </w:rPr>
        <w:t>“</w:t>
      </w:r>
      <w:r>
        <w:rPr>
          <w:rFonts w:ascii="Arial;sans-serif" w:hAnsi="Arial;sans-serif"/>
          <w:b/>
          <w:color w:val="000000"/>
          <w:sz w:val="20"/>
        </w:rPr>
        <w:t>Termination Date</w:t>
      </w:r>
      <w:r>
        <w:rPr>
          <w:rFonts w:ascii="Arial;sans-serif" w:hAnsi="Arial;sans-serif"/>
          <w:b w:val="false"/>
          <w:color w:val="000000"/>
          <w:sz w:val="20"/>
        </w:rPr>
        <w:t>.</w:t>
      </w:r>
      <w:r>
        <w:rPr>
          <w:color w:val="000000"/>
        </w:rPr>
        <w:t>” “</w:t>
      </w:r>
      <w:r>
        <w:rPr>
          <w:rFonts w:ascii="Arial;sans-serif" w:hAnsi="Arial;sans-serif"/>
          <w:b w:val="false"/>
          <w:color w:val="000000"/>
          <w:sz w:val="20"/>
        </w:rPr>
        <w:t>Termination Date” shall mean the effective date of Employee’s termination of employment with the Company.</w:t>
      </w:r>
    </w:p>
    <w:p>
      <w:pPr>
        <w:pStyle w:val="TextBody"/>
        <w:spacing w:before="0" w:after="0"/>
        <w:ind w:left="0" w:right="0" w:hanging="720"/>
        <w:rPr/>
      </w:pPr>
      <w:r>
        <w:rPr/>
      </w:r>
    </w:p>
    <w:p>
      <w:pPr>
        <w:pStyle w:val="TextBody"/>
        <w:spacing w:lineRule="auto" w:line="240" w:before="0" w:after="0"/>
        <w:rPr/>
      </w:pPr>
      <w:r>
        <w:rPr>
          <w:rFonts w:ascii="Arial;sans-serif" w:hAnsi="Arial;sans-serif"/>
          <w:b w:val="false"/>
          <w:color w:val="000000"/>
          <w:sz w:val="20"/>
        </w:rPr>
        <w:t>2.    </w:t>
      </w:r>
      <w:r>
        <w:rPr>
          <w:rFonts w:ascii="Arial;sans-serif" w:hAnsi="Arial;sans-serif"/>
          <w:b/>
          <w:color w:val="000000"/>
          <w:sz w:val="20"/>
          <w:u w:val="single"/>
        </w:rPr>
        <w:t>Compensation upon Termination</w:t>
      </w:r>
      <w:r>
        <w:rPr>
          <w:rFonts w:ascii="Arial;sans-serif" w:hAnsi="Arial;sans-serif"/>
          <w:b w:val="false"/>
          <w:color w:val="000000"/>
          <w:sz w:val="20"/>
        </w:rPr>
        <w:t xml:space="preserve">. Upon termination of Employee’s employment by either party for any reason whatsoever, Employee shall be entitled to continue to receive his/her base salary, minus applicable withholdings required by law or authorized by Employee, and any accrued, unpaid and appropriately documented business expenses through the Termination Date. In addition, during the Term of this Agreement, upon termination of Employee’s employment within twelve (12) months after a Change in Control, either (i) by the Company without Cause, or (ii) by Employee for Good Reason, and in either case conditioned upon Employee’s timely execution of an Effective Release, Employee shall be entitled to, in lieu of any other severance benefit: </w:t>
      </w:r>
    </w:p>
    <w:p>
      <w:pPr>
        <w:pStyle w:val="TextBody"/>
        <w:spacing w:before="0" w:after="0"/>
        <w:rPr/>
      </w:pPr>
      <w:r>
        <w:rPr/>
      </w:r>
    </w:p>
    <w:p>
      <w:pPr>
        <w:pStyle w:val="TextBody"/>
        <w:spacing w:lineRule="auto" w:line="240" w:before="0" w:after="0"/>
        <w:ind w:left="0" w:right="0" w:hanging="720"/>
        <w:rPr>
          <w:color w:val="000000"/>
        </w:rPr>
      </w:pPr>
      <w:r>
        <w:rPr>
          <w:color w:val="000000"/>
        </w:rPr>
        <w:t>    </w:t>
      </w:r>
      <w:r>
        <w:rPr>
          <w:rFonts w:ascii="Arial;sans-serif" w:hAnsi="Arial;sans-serif"/>
          <w:b w:val="false"/>
          <w:color w:val="000000"/>
          <w:sz w:val="20"/>
        </w:rPr>
        <w:t xml:space="preserve">a.    Payment of an amount equal to one and one-half (1.5) times base salary at Employee’s annual rate in effect immediately prior to the Termination Date, minus applicable withholdings required by law or authorized by Employee (the “Termination Compensation”), with such amount to be paid in a lump sum within sixty (60) calendar days following the Termination Date (provided, for the avoidance of doubt, such payment is subject to Employee’s timely execution of an Effective Release); </w:t>
      </w:r>
    </w:p>
    <w:p>
      <w:pPr>
        <w:pStyle w:val="TextBody"/>
        <w:spacing w:before="0" w:after="0"/>
        <w:rPr/>
      </w:pPr>
      <w:r>
        <w:rPr/>
      </w:r>
    </w:p>
    <w:p>
      <w:pPr>
        <w:pStyle w:val="TextBody"/>
        <w:spacing w:lineRule="auto" w:line="240" w:before="0" w:after="0"/>
        <w:ind w:left="0" w:right="0" w:hanging="720"/>
        <w:rPr>
          <w:color w:val="000000"/>
        </w:rPr>
      </w:pPr>
      <w:r>
        <w:rPr>
          <w:color w:val="000000"/>
        </w:rPr>
        <w:t>    </w:t>
      </w:r>
      <w:r>
        <w:rPr>
          <w:rFonts w:ascii="Arial;sans-serif" w:hAnsi="Arial;sans-serif"/>
          <w:b w:val="false"/>
          <w:color w:val="000000"/>
          <w:sz w:val="20"/>
        </w:rPr>
        <w:t>b.    Conditioned on Employee’s proper and timely election pursuant to “COBRA” to continue medical, dental and/or vision insurance benefits as in effect for Employee and, if applicable, Employee’s eligible spouse and dependents, immediately prior to the Termination Date under the Company’s group health plan(s), prompt reimbursement on a taxable basis of Employee’s applicable COBRA premiums (cost) for such continued medical, dental and/or vision coverage minus applicable withholdings required by law or authorized by Employee until, with respect to each of such medical, dental and/or vision coverage separately, the earliest of: (i) twelve (12) months following the Termination Date; (ii) Employee becomes eligible for such insurance coverage from another employer or enrolls in or obtains such insurance coverage from another source; or (iii) Employee otherwise is no longer eligible for COBRA continuation coverage (provided, however, that if the Company cannot provide the reimbursement described in this Section 2(b) without incurring penalties under or violating applicable law, the Company and Employee shall cooperate in good faith to determine an alternative manner in which the Company shall provide substantially equivalent payments to Employee); and</w:t>
      </w:r>
    </w:p>
    <w:p>
      <w:pPr>
        <w:pStyle w:val="TextBody"/>
        <w:spacing w:before="0" w:after="0"/>
        <w:rPr/>
      </w:pPr>
      <w:r>
        <w:rPr/>
      </w:r>
    </w:p>
    <w:p>
      <w:pPr>
        <w:pStyle w:val="TextBody"/>
        <w:spacing w:lineRule="auto" w:line="240" w:before="0" w:after="0"/>
        <w:ind w:left="0" w:right="0" w:hanging="720"/>
        <w:rPr>
          <w:color w:val="000000"/>
        </w:rPr>
      </w:pPr>
      <w:r>
        <w:rPr>
          <w:color w:val="000000"/>
        </w:rPr>
        <w:t>    </w:t>
      </w:r>
      <w:r>
        <w:rPr>
          <w:rFonts w:ascii="Arial;sans-serif" w:hAnsi="Arial;sans-serif"/>
          <w:b w:val="false"/>
          <w:color w:val="000000"/>
          <w:sz w:val="20"/>
        </w:rPr>
        <w:t xml:space="preserve">c.    One hundred percent (100%) of all then outstanding and unvested stock options and other equity awards held by Employee shall become vested and immediately and fully exercisable, notwithstanding any provision in any award agreement, but subject to applicable withholdings required by law or authorized by Employee. For the avoidance of doubt, all performance-based restricted stock units and performance-based restricted stock previously granted to Employee shall be deemed to have achieved 100% of the minimum applicable performance targets in the event the applicable performance period has not been completed at the time of the Change in Control, unless otherwise provided in any purchase or other acquisition agreement the consummation of which gives rise to a Change in Control or as otherwise provided by the Board of Directors of the Company or the Compensation Committee of the Board of Directors of the Company in connection with such Change in Control. </w:t>
      </w:r>
    </w:p>
    <w:p>
      <w:pPr>
        <w:pStyle w:val="TextBody"/>
        <w:spacing w:before="0" w:after="0"/>
        <w:rPr/>
      </w:pPr>
      <w:r>
        <w:rPr/>
      </w:r>
    </w:p>
    <w:p>
      <w:pPr>
        <w:pStyle w:val="TextBody"/>
        <w:spacing w:lineRule="auto" w:line="240"/>
        <w:rPr>
          <w:rFonts w:ascii="Arial;sans-serif" w:hAnsi="Arial;sans-serif"/>
          <w:b w:val="false"/>
          <w:color w:val="000000"/>
          <w:sz w:val="20"/>
        </w:rPr>
      </w:pPr>
      <w:r>
        <w:rPr>
          <w:rFonts w:ascii="Arial;sans-serif" w:hAnsi="Arial;sans-serif"/>
          <w:b w:val="false"/>
          <w:color w:val="000000"/>
          <w:sz w:val="20"/>
        </w:rPr>
        <w:t xml:space="preserve">Notwithstanding the foregoing, if the Termination Compensation or other benefits provided to Employee pursuant to this Agreement are determined, in whole or in part, to constitute “nonqualified deferred compensation” within the meaning of Section 409A of the Code (“Section 409A”), then (i) if the sixty (60) calendar day period following the Termination Date begins in one calendar year and ends in the next calendar year, the Termination Compensation and/or other benefit shall not be paid until that next calendar year, and (ii) if Employee is deemed by the Company to be a “specified employee” within the meaning of Section 409A(2)(B)(i) of the Code, no payments of any of such Termination Compensation and/or other benefit that constitutes nonqualified deferred compensation shall made for six (6) months plus one (1) day after the Termination Date (the “New Payment Date”). The aggregate of any such payments that would have otherwise been paid during the period between the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2100"/>
                <wp:effectExtent l="0" t="0" r="0" b="0"/>
                <wp:wrapNone/>
                <wp:docPr id="170" name="Frame5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p>
                    <w:p>
                      <w:pPr>
                        <w:pStyle w:val="TextBody"/>
                        <w:spacing w:before="0" w:after="0"/>
                        <w:rPr/>
                      </w:pPr>
                      <w:r>
                        <w:rPr/>
                      </w:r>
                    </w:p>
                  </w:txbxContent>
                </v:textbox>
              </v:rect>
            </w:pict>
          </mc:Fallback>
        </mc:AlternateContent>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 xml:space="preserve">Termination Date and the New Payment Date shall be paid to Employee in a lump sum on the New Payment Date (or, if not a business day, the first business day thereafter). </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Upon termination of employment (i) due to Employee’s death, (ii) due to Employee’s Disability, (iii) by the Company for Cause, (iv) by Employee without Good Reason, or (v) following the Term of this Agreement, Employee shall not be entitled to any Termination Compensation or other additional compensation or benefits under this Agreement.</w:t>
      </w:r>
    </w:p>
    <w:p>
      <w:pPr>
        <w:pStyle w:val="TextBody"/>
        <w:spacing w:before="0" w:after="0"/>
        <w:ind w:left="0" w:right="0" w:hanging="720"/>
        <w:rPr/>
      </w:pPr>
      <w:r>
        <w:rPr/>
      </w:r>
    </w:p>
    <w:p>
      <w:pPr>
        <w:pStyle w:val="TextBody"/>
        <w:spacing w:lineRule="auto" w:line="240" w:before="0" w:after="0"/>
        <w:rPr/>
      </w:pPr>
      <w:r>
        <w:rPr>
          <w:rFonts w:ascii="Arial;sans-serif" w:hAnsi="Arial;sans-serif"/>
          <w:b w:val="false"/>
          <w:color w:val="000000"/>
          <w:sz w:val="20"/>
        </w:rPr>
        <w:t>3.    </w:t>
      </w:r>
      <w:r>
        <w:rPr>
          <w:rFonts w:ascii="Arial;sans-serif" w:hAnsi="Arial;sans-serif"/>
          <w:b/>
          <w:color w:val="000000"/>
          <w:sz w:val="20"/>
          <w:u w:val="single"/>
        </w:rPr>
        <w:t>Section 409A</w:t>
      </w:r>
      <w:r>
        <w:rPr>
          <w:rFonts w:ascii="Arial;sans-serif" w:hAnsi="Arial;sans-serif"/>
          <w:b/>
          <w:color w:val="000000"/>
          <w:sz w:val="20"/>
        </w:rPr>
        <w:t>.</w:t>
      </w:r>
      <w:r>
        <w:rPr>
          <w:color w:val="000000"/>
        </w:rPr>
        <w:t xml:space="preserve"> </w:t>
      </w:r>
      <w:r>
        <w:rPr>
          <w:rFonts w:ascii="Arial;sans-serif" w:hAnsi="Arial;sans-serif"/>
          <w:b w:val="false"/>
          <w:color w:val="000000"/>
          <w:sz w:val="20"/>
        </w:rPr>
        <w:t>It is intended that this Agreement and the payments and benefits hereunder will, to the fullest extent possible, be exempt from Section 409A and the Agreement shall be interpreted to that end to the fullest extent possible. In this regard, it is intended that the Termination Compensation and other benefits payable or provided under Section 2 be exempt from Section 409A to the maximum extent possible as a short-term deferral under Treas. Reg. §1.409A-1(b)(4) and/or as separation pay upon involuntary separation from service under Treas. Reg. §1.409A-1(b)(9)(iii) (and/or as otherwise exempt under Treas. Reg. §1.409A-1(b)(9)(v) to the extent applicable). However, to the extent that any such payment or benefit (or portion thereof) provided pursuant to this Agreement is determined to be subject to Section 409A, this Agreement shall be interpreted in a manner that complies with Section 409A to the fullest extent possible. A termination of employment shall not be deemed to have occurred for purposes of any provision of this Agreement providing for the payment of any amounts or benefits that are considered separation pay upon involuntary separation from service under Treas. Reg. §1.409A-1(b)(9)(iii) or nonqualified deferred compensation under Section 409A upon or following a termination of employment, unless such termination is also a “separation from service” within the meaning of Section 409A (and the payment thereof prior to a “separation from service” would violate Section 409A). For purposes of any such provision of this Agreement relating to any such payments or benefits, references to a “termination,” “termination of employment” or like terms shall mean “separation from service.” In no event may Employee, directly or indirectly, designate the calendar year of any payment to be made under this Agreement which constitutes a deferral of compensation within the meaning of Section 409A. Notwithstanding anything in this Agreement to the contrary, the right to receive installment payments hereunder shall be treated as a right to receive a series of separate payments in accordance with Section 409A and Treas. Reg. §1.409A-2(b)(2)(iii). With regard to any provision herein that provides for reimbursement of costs and expenses or in-kind benefits that are not excluded from Employee’s taxable income and are nonqualified deferred compensation subject to Section 409A, then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Employee’s taxable year following the taxable year in which the expense was incurred. Notwithstanding any other provisions of this Agreement, the Company does not guarantee that any nonqualified deferred compensation under this Agreement complies with or is exempt from Section 409A, and shall not have any liability to or indemnify Employee or any other person with respect to any tax consequences that arise from any failure to comply with or meet an exemption under Section 409A.</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4.    </w:t>
      </w:r>
      <w:r>
        <w:rPr>
          <w:rFonts w:ascii="Arial;sans-serif" w:hAnsi="Arial;sans-serif"/>
          <w:b/>
          <w:color w:val="000000"/>
          <w:sz w:val="20"/>
          <w:u w:val="single"/>
        </w:rPr>
        <w:t>Excess Parachute Payments</w:t>
      </w:r>
      <w:r>
        <w:rPr>
          <w:rFonts w:ascii="Arial;sans-serif" w:hAnsi="Arial;sans-serif"/>
          <w:b w:val="false"/>
          <w:color w:val="000000"/>
          <w:sz w:val="20"/>
        </w:rPr>
        <w:t xml:space="preserve">. If any payments or benefits received or to be received by Employee pursuant to this Agreement or otherwise in connection with or contingent on a change in ownership or control are deemed to be an “excess parachute payment” within the meaning of Section 280G of the Code (“Excess Parachute Payment”), then, at the Company’s election, such payments under this Agreement shall either be paid in full or reduced to the extent necessary to avoid being considered an Excess Parachute Payment, based upon the Company’s determination, in its sole discretion, as to which alternative results in the better tax consequences for Employee. </w:t>
      </w:r>
    </w:p>
    <w:p>
      <w:pPr>
        <w:pStyle w:val="TextBody"/>
        <w:spacing w:before="0" w:after="0"/>
        <w:rPr/>
      </w:pPr>
      <w:r>
        <w:rPr/>
      </w:r>
    </w:p>
    <w:p>
      <w:pPr>
        <w:pStyle w:val="TextBody"/>
        <w:spacing w:lineRule="auto" w:line="240"/>
        <w:rPr>
          <w:rFonts w:ascii="Arial;sans-serif" w:hAnsi="Arial;sans-serif"/>
          <w:b w:val="false"/>
          <w:color w:val="000000"/>
          <w:sz w:val="20"/>
        </w:rPr>
      </w:pPr>
      <w:r>
        <w:rPr>
          <w:rFonts w:ascii="Arial;sans-serif" w:hAnsi="Arial;sans-serif"/>
          <w:b w:val="false"/>
          <w:color w:val="000000"/>
          <w:sz w:val="20"/>
        </w:rPr>
        <w:t xml:space="preserve">Notwithstanding any other provision of this Agreement to the contrary, if any payments or benefits provided or to be provided to or for the benefit of Employee (or Employee’s beneficiary, legal representatives or estate, as the case may be) by the Company (or any successors thereto) (the “Payments”) that, but for this Section 4, would be considered Excess Parachute Payments, then such Payments shall be limited to the greatest amount which may be paid or provided to or in respect of under Section 280G of the Code without causing the imposition of an excise tax on Employee under Section 4999 of the Code (or any successor provision), but only if, by reason of such reduction, the net after-tax benefit to Employee of such reduced Payments shall exceed the net after-tax benefit of the Payments if such reduction were not made. The determination of whether any of the Payments </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2100"/>
                <wp:effectExtent l="0" t="0" r="0" b="0"/>
                <wp:wrapNone/>
                <wp:docPr id="171" name="Frame5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w:t>
                      </w:r>
                    </w:p>
                    <w:p>
                      <w:pPr>
                        <w:pStyle w:val="TextBody"/>
                        <w:spacing w:before="0" w:after="0"/>
                        <w:rPr/>
                      </w:pPr>
                      <w:r>
                        <w:rPr/>
                      </w:r>
                    </w:p>
                  </w:txbxContent>
                </v:textbox>
              </v:rect>
            </w:pict>
          </mc:Fallback>
        </mc:AlternateContent>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would be considered Excess Parachute Payments and the calculation of all the amounts referred to in this Section 4, including the relative net after-tax benefits (which shall take into account, without limitation, all applicable federal, state and local employment, income and excise taxes), shall be made by a nationally or regionally recognized accounting firm selected by the Company (the “Accounting Firm”). The Company and Employee agree to cooperate generally and in good faith regarding such determination. Any final determination by the Accounting Firm shall be binding upon the Company and Employee. In the event that the Payments to or in respect of Employee are to be reduced in accordance with this Section 4, the reductions shall be made in the following order: (i) any Payments that became fully vested prior to the Change in Control triggering application of this Section 4 and that pursuant to paragraph (b) of Treas. Reg. §1.280G-1, Q/A 24 are treated as Excess Parachute Payments solely by reason of the acceleration of their originally scheduled dates of payment shall be reduced, by cancellation of the acceleration of their dates of payment to the extent that would not result in Employee being subject to a tax under Section 409A of the Code; (ii) any severance payments or benefits, performance-based cash or performance-based equity incentive awards, or other Payments, in all cases the full amounts of which are treated as contingent on the triggering Change in Control under Section 280G of the Code pursuant to paragraph (a) of Treas. Reg. §1.280G-1, Q/A 24, shall be reduced to the extent that such reduction would not result in Employee being subject to a tax under Section 409A of the Code; (iii) any equity incentive awards, or cash nonqualified deferred compensation amounts, that vest solely based on Employee’s continued service with the Company, and that pursuant to paragraph (c) of Treas. Reg. §1.280G-1, Q/A 24 are treated as contingent on the triggering Change in Control event under Section 280G of the Code because they become vested as a result thereof, to the extent that such reduction would not result in Employee being subject to a tax under Section 409A of the Code; and (iv) reduction in any other payments or benefits to the extent necessary but in a manner that would not result in Employee being subject to a tax under Section 409A of the Code. Within each such category, the Payments that will result in the greatest present value reduction in the Payments with the least reduction in economic value to Employee shall be reduced first.</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5.    </w:t>
      </w:r>
      <w:r>
        <w:rPr>
          <w:rFonts w:ascii="Arial;sans-serif" w:hAnsi="Arial;sans-serif"/>
          <w:b/>
          <w:color w:val="000000"/>
          <w:sz w:val="20"/>
          <w:u w:val="single"/>
        </w:rPr>
        <w:t>Compensation Clawback Provision</w:t>
      </w:r>
      <w:r>
        <w:rPr>
          <w:rFonts w:ascii="Arial;sans-serif" w:hAnsi="Arial;sans-serif"/>
          <w:b w:val="false"/>
          <w:color w:val="000000"/>
          <w:sz w:val="20"/>
        </w:rPr>
        <w:t>. Employee agrees to promptly return to the Company any and all compensation received from the Company, as well as profits and gains attributable thereto, to the extent the Company is entitled or required to recover such amounts by the terms of any Company clawback or recoupment policy (as adopted, amended, implemented, and interpreted by the Company from time to time) and/or Section 954 of the Dodd-Frank Wall Street Reform and Consumer Protection Act of 2010 (as it may be amended from time to time), Section 304 of the Sarbanes Oxley Act of 2002 (as it may be amended from time to time), and/or any other applicable law (including any implementing rules and regulations promulgated under any applicable law).</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6.    </w:t>
      </w:r>
      <w:r>
        <w:rPr>
          <w:rFonts w:ascii="Arial;sans-serif" w:hAnsi="Arial;sans-serif"/>
          <w:b/>
          <w:color w:val="000000"/>
          <w:sz w:val="20"/>
          <w:u w:val="single"/>
        </w:rPr>
        <w:t>Employment At Will</w:t>
      </w:r>
      <w:r>
        <w:rPr>
          <w:rFonts w:ascii="Arial;sans-serif" w:hAnsi="Arial;sans-serif"/>
          <w:b w:val="false"/>
          <w:color w:val="000000"/>
          <w:sz w:val="20"/>
        </w:rPr>
        <w:t>. Nothing herein is meant to alter the “at will” status of Employee’s employment with the Company. Subject to the provisions of Section 2 regarding a “Change in Control,” Employee’s employment with the Company may be terminated at any time, for any or no cause or reason, by either Employee or by the Company.</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7.    </w:t>
      </w:r>
      <w:r>
        <w:rPr>
          <w:rFonts w:ascii="Arial;sans-serif" w:hAnsi="Arial;sans-serif"/>
          <w:b/>
          <w:color w:val="000000"/>
          <w:sz w:val="20"/>
          <w:u w:val="single"/>
        </w:rPr>
        <w:t>Notice</w:t>
      </w:r>
      <w:r>
        <w:rPr>
          <w:rFonts w:ascii="Arial;sans-serif" w:hAnsi="Arial;sans-serif"/>
          <w:b w:val="false"/>
          <w:color w:val="000000"/>
          <w:sz w:val="20"/>
        </w:rPr>
        <w:t>. Any notice required or permitted hereunder shall be made in writing (a) either by actual delivery of the notice into the hands of the party thereto entitled, by messenger, by fax or by over-night delivery service or (b) by the mailing of the notice in the United States mail, certified or registered mail, return receipt requested, all postage pre-paid and addressed to the party to whom the notice is to be given at the party’s respective address set forth below, or such other address as the parties may from time to time designate by written notice as herein provided.</w:t>
      </w:r>
    </w:p>
    <w:p>
      <w:pPr>
        <w:pStyle w:val="TextBody"/>
        <w:spacing w:before="0" w:after="0"/>
        <w:rPr/>
      </w:pPr>
      <w:r>
        <w:rPr/>
      </w:r>
    </w:p>
    <w:p>
      <w:pPr>
        <w:pStyle w:val="TextBody"/>
        <w:spacing w:lineRule="auto" w:line="240" w:before="0" w:after="0"/>
        <w:rPr>
          <w:color w:val="000000"/>
        </w:rPr>
      </w:pPr>
      <w:r>
        <w:rPr>
          <w:color w:val="000000"/>
        </w:rPr>
        <w:t>    </w:t>
      </w:r>
      <w:r>
        <w:rPr>
          <w:rFonts w:ascii="Arial;sans-serif" w:hAnsi="Arial;sans-serif"/>
          <w:b w:val="false"/>
          <w:color w:val="000000"/>
          <w:sz w:val="20"/>
        </w:rPr>
        <w:t>If to Employee:                See Company records</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r>
        <w:rPr>
          <w:rFonts w:ascii="Arial;sans-serif" w:hAnsi="Arial;sans-serif"/>
          <w:b w:val="false"/>
          <w:color w:val="000000"/>
          <w:sz w:val="20"/>
        </w:rPr>
        <w:t>If to the Company:            Blackbaud, Inc.</w:t>
      </w:r>
    </w:p>
    <w:p>
      <w:pPr>
        <w:pStyle w:val="TextBody"/>
        <w:spacing w:lineRule="auto" w:line="240" w:before="0" w:after="0"/>
        <w:rPr>
          <w:color w:val="000000"/>
        </w:rPr>
      </w:pPr>
      <w:r>
        <w:rPr>
          <w:color w:val="000000"/>
        </w:rPr>
        <w:t>                        </w:t>
      </w:r>
      <w:r>
        <w:rPr>
          <w:rFonts w:ascii="Arial;sans-serif" w:hAnsi="Arial;sans-serif"/>
          <w:b w:val="false"/>
          <w:color w:val="000000"/>
          <w:sz w:val="20"/>
        </w:rPr>
        <w:t>65 Fairchild Street</w:t>
      </w:r>
    </w:p>
    <w:p>
      <w:pPr>
        <w:pStyle w:val="TextBody"/>
        <w:spacing w:lineRule="auto" w:line="240" w:before="0" w:after="0"/>
        <w:rPr>
          <w:color w:val="000000"/>
        </w:rPr>
      </w:pPr>
      <w:r>
        <w:rPr>
          <w:color w:val="000000"/>
        </w:rPr>
        <w:t>                        </w:t>
      </w:r>
      <w:r>
        <w:rPr>
          <w:rFonts w:ascii="Arial;sans-serif" w:hAnsi="Arial;sans-serif"/>
          <w:b w:val="false"/>
          <w:color w:val="000000"/>
          <w:sz w:val="20"/>
        </w:rPr>
        <w:t xml:space="preserve">Charleston, SC 29492-7541 </w:t>
      </w:r>
    </w:p>
    <w:p>
      <w:pPr>
        <w:pStyle w:val="TextBody"/>
        <w:spacing w:lineRule="auto" w:line="240" w:before="0" w:after="0"/>
        <w:rPr>
          <w:color w:val="000000"/>
        </w:rPr>
      </w:pPr>
      <w:r>
        <w:rPr>
          <w:color w:val="000000"/>
        </w:rPr>
        <w:t>                        </w:t>
      </w:r>
      <w:r>
        <w:rPr>
          <w:rFonts w:ascii="Arial;sans-serif" w:hAnsi="Arial;sans-serif"/>
          <w:b w:val="false"/>
          <w:color w:val="000000"/>
          <w:sz w:val="20"/>
        </w:rPr>
        <w:t>Attn: Chief People and Culture Officer</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The notice shall be deemed to be received, if sent per subsection (a), on the date of its actual receipt by the party entitled thereto and, if sent per subsection (b), on the third day after the date of its mailing.</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2100"/>
                <wp:effectExtent l="0" t="0" r="0" b="0"/>
                <wp:wrapNone/>
                <wp:docPr id="172" name="Frame5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w:t>
                      </w:r>
                    </w:p>
                    <w:p>
                      <w:pPr>
                        <w:pStyle w:val="TextBody"/>
                        <w:spacing w:before="0" w:after="0"/>
                        <w:rPr/>
                      </w:pPr>
                      <w:r>
                        <w:rPr/>
                      </w:r>
                    </w:p>
                  </w:txbxContent>
                </v:textbox>
              </v:rect>
            </w:pict>
          </mc:Fallback>
        </mc:AlternateContent>
      </w:r>
    </w:p>
    <w:p>
      <w:pPr>
        <w:pStyle w:val="TextBody"/>
        <w:spacing w:lineRule="auto" w:line="240" w:before="0" w:after="0"/>
        <w:rPr/>
      </w:pPr>
      <w:r>
        <w:rPr>
          <w:rFonts w:ascii="Arial;sans-serif" w:hAnsi="Arial;sans-serif"/>
          <w:b w:val="false"/>
          <w:color w:val="000000"/>
          <w:sz w:val="20"/>
        </w:rPr>
        <w:t>8.    </w:t>
      </w:r>
      <w:r>
        <w:rPr>
          <w:rFonts w:ascii="Arial;sans-serif" w:hAnsi="Arial;sans-serif"/>
          <w:b/>
          <w:color w:val="000000"/>
          <w:sz w:val="20"/>
          <w:u w:val="single"/>
        </w:rPr>
        <w:t>Amendment</w:t>
      </w:r>
      <w:r>
        <w:rPr>
          <w:rFonts w:ascii="Arial;sans-serif" w:hAnsi="Arial;sans-serif"/>
          <w:b w:val="false"/>
          <w:color w:val="000000"/>
          <w:sz w:val="20"/>
        </w:rPr>
        <w:t>. No amendment or modification of this Agreement shall be valid or binding upon the Company unless made in writing and signed by a duly authorized representative of the Company, or upon Employee unless made in writing and signed by Employee.</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9.    </w:t>
      </w:r>
      <w:r>
        <w:rPr>
          <w:rFonts w:ascii="Arial;sans-serif" w:hAnsi="Arial;sans-serif"/>
          <w:b/>
          <w:color w:val="000000"/>
          <w:sz w:val="20"/>
          <w:u w:val="single"/>
        </w:rPr>
        <w:t>Entire Agreement</w:t>
      </w:r>
      <w:r>
        <w:rPr>
          <w:rFonts w:ascii="Arial;sans-serif" w:hAnsi="Arial;sans-serif"/>
          <w:b w:val="false"/>
          <w:color w:val="000000"/>
          <w:sz w:val="20"/>
        </w:rPr>
        <w:t>. This Agreement contains all of the terms agreed upon by the parties with respect to Employee’s compensation upon a change in control and supersedes all prior agreements, arrangements and communications between the parties dealing with such subject matter, whether oral or written, including without limitation any other retention agreement addressing a change in control of the Company.</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10.    </w:t>
      </w:r>
      <w:r>
        <w:rPr>
          <w:rFonts w:ascii="Arial;sans-serif" w:hAnsi="Arial;sans-serif"/>
          <w:b/>
          <w:color w:val="000000"/>
          <w:sz w:val="20"/>
          <w:u w:val="single"/>
        </w:rPr>
        <w:t>Governing Law</w:t>
      </w:r>
      <w:r>
        <w:rPr>
          <w:rFonts w:ascii="Arial;sans-serif" w:hAnsi="Arial;sans-serif"/>
          <w:b w:val="false"/>
          <w:color w:val="000000"/>
          <w:sz w:val="20"/>
        </w:rPr>
        <w:t>. This Agreement and all questions arising in connection herewith shall be governed by the laws of the State of South Carolina.</w:t>
      </w:r>
    </w:p>
    <w:p>
      <w:pPr>
        <w:pStyle w:val="TextBody"/>
        <w:spacing w:before="0" w:after="0"/>
        <w:rPr/>
      </w:pPr>
      <w:r>
        <w:rPr/>
      </w:r>
    </w:p>
    <w:p>
      <w:pPr>
        <w:pStyle w:val="TextBody"/>
        <w:spacing w:lineRule="auto" w:line="240" w:before="0" w:after="0"/>
        <w:rPr/>
      </w:pPr>
      <w:r>
        <w:rPr>
          <w:rFonts w:ascii="Arial;sans-serif" w:hAnsi="Arial;sans-serif"/>
          <w:b w:val="false"/>
          <w:color w:val="000000"/>
          <w:sz w:val="20"/>
        </w:rPr>
        <w:t>11.    </w:t>
      </w:r>
      <w:r>
        <w:rPr>
          <w:rFonts w:ascii="Arial;sans-serif" w:hAnsi="Arial;sans-serif"/>
          <w:b/>
          <w:color w:val="000000"/>
          <w:sz w:val="20"/>
          <w:u w:val="single"/>
        </w:rPr>
        <w:t>General Provisions</w:t>
      </w:r>
      <w:r>
        <w:rPr>
          <w:rFonts w:ascii="Arial;sans-serif" w:hAnsi="Arial;sans-serif"/>
          <w:b w:val="false"/>
          <w:color w:val="000000"/>
          <w:sz w:val="20"/>
        </w:rPr>
        <w:t>. This Agreement shall be binding upon and inure to the benefit of Employee and the Company and their respective heirs, executors, administrators, legal representatives, successors and assigns (provided, however, that this Agreement may not be assigned by Employee to any other person or entity). Any waiver or accommodation by the Company or Employee at any time shall not act as, or be deemed to be, a continuing waiver or accommodation and shall not require the Company or Employee to provide any future or later waiver or accommodation. This Agreement may be executed in any number of counterparts, each of which shall be deemed an original, but all of which, when taken together, shall be and constitute one and the same instrument.</w:t>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IN WITNESS WHEREOF, the parties have executed this Retention Agreement effective as of the day and year first above written.</w:t>
      </w:r>
    </w:p>
    <w:p>
      <w:pPr>
        <w:pStyle w:val="TextBody"/>
        <w:spacing w:before="0" w:after="0"/>
        <w:rPr/>
      </w:pPr>
      <w:r>
        <w:rPr/>
      </w:r>
    </w:p>
    <w:p>
      <w:pPr>
        <w:pStyle w:val="TextBody"/>
        <w:spacing w:lineRule="auto" w:line="240" w:before="0" w:after="0"/>
        <w:rPr>
          <w:color w:val="000000"/>
        </w:rPr>
      </w:pPr>
      <w:r>
        <w:rPr>
          <w:color w:val="000000"/>
        </w:rPr>
        <w:t>                            </w:t>
      </w:r>
      <w:r>
        <w:rPr>
          <w:rFonts w:ascii="Arial;sans-serif" w:hAnsi="Arial;sans-serif"/>
          <w:b w:val="false"/>
          <w:color w:val="000000"/>
          <w:sz w:val="20"/>
        </w:rPr>
        <w:t>BLACKBAUD, INC.</w:t>
      </w:r>
    </w:p>
    <w:p>
      <w:pPr>
        <w:pStyle w:val="TextBody"/>
        <w:spacing w:before="0" w:after="0"/>
        <w:rPr/>
      </w:pPr>
      <w:r>
        <w:rPr/>
      </w:r>
    </w:p>
    <w:p>
      <w:pPr>
        <w:pStyle w:val="TextBody"/>
        <w:spacing w:before="0" w:after="0"/>
        <w:rPr/>
      </w:pPr>
      <w:r>
        <w:rPr/>
      </w:r>
    </w:p>
    <w:p>
      <w:pPr>
        <w:pStyle w:val="TextBody"/>
        <w:spacing w:lineRule="auto" w:line="240" w:before="0" w:after="0"/>
        <w:rPr>
          <w:color w:val="000000"/>
        </w:rPr>
      </w:pPr>
      <w:r>
        <w:rPr>
          <w:color w:val="000000"/>
        </w:rPr>
        <w:t>                            </w:t>
      </w:r>
      <w:r>
        <w:rPr>
          <w:rFonts w:ascii="Arial;sans-serif" w:hAnsi="Arial;sans-serif"/>
          <w:b w:val="false"/>
          <w:color w:val="000000"/>
          <w:sz w:val="20"/>
        </w:rPr>
        <w:t>____________________________________</w:t>
      </w:r>
    </w:p>
    <w:p>
      <w:pPr>
        <w:pStyle w:val="TextBody"/>
        <w:spacing w:lineRule="auto" w:line="417" w:before="0" w:after="0"/>
        <w:rPr>
          <w:color w:val="000000"/>
        </w:rPr>
      </w:pPr>
      <w:r>
        <w:rPr>
          <w:color w:val="000000"/>
        </w:rPr>
        <w:t>                            </w:t>
      </w:r>
      <w:r>
        <w:rPr>
          <w:rFonts w:ascii="Arial;sans-serif" w:hAnsi="Arial;sans-serif"/>
          <w:b w:val="false"/>
          <w:color w:val="000000"/>
          <w:sz w:val="20"/>
        </w:rPr>
        <w:t xml:space="preserve">By: </w:t>
      </w:r>
    </w:p>
    <w:p>
      <w:pPr>
        <w:pStyle w:val="TextBody"/>
        <w:spacing w:lineRule="auto" w:line="417" w:before="0" w:after="0"/>
        <w:rPr>
          <w:color w:val="000000"/>
        </w:rPr>
      </w:pPr>
      <w:r>
        <w:rPr>
          <w:color w:val="000000"/>
        </w:rPr>
        <w:t>                            </w:t>
      </w:r>
      <w:r>
        <w:rPr>
          <w:rFonts w:ascii="Arial;sans-serif" w:hAnsi="Arial;sans-serif"/>
          <w:b w:val="false"/>
          <w:color w:val="000000"/>
          <w:sz w:val="20"/>
        </w:rPr>
        <w:t xml:space="preserve">Title: </w:t>
      </w:r>
    </w:p>
    <w:p>
      <w:pPr>
        <w:pStyle w:val="TextBody"/>
        <w:spacing w:before="0" w:after="0"/>
        <w:rPr/>
      </w:pPr>
      <w:r>
        <w:rPr/>
      </w:r>
    </w:p>
    <w:p>
      <w:pPr>
        <w:pStyle w:val="TextBody"/>
        <w:spacing w:lineRule="auto" w:line="240" w:before="0" w:after="0"/>
        <w:rPr>
          <w:color w:val="000000"/>
        </w:rPr>
      </w:pPr>
      <w:r>
        <w:rPr>
          <w:color w:val="000000"/>
        </w:rPr>
        <w:t>                            </w:t>
      </w:r>
      <w:r>
        <w:rPr>
          <w:rFonts w:ascii="Arial;sans-serif" w:hAnsi="Arial;sans-serif"/>
          <w:b w:val="false"/>
          <w:color w:val="000000"/>
          <w:sz w:val="20"/>
        </w:rPr>
        <w:t>EMPLOYEE</w:t>
      </w:r>
    </w:p>
    <w:p>
      <w:pPr>
        <w:pStyle w:val="TextBody"/>
        <w:spacing w:before="0" w:after="0"/>
        <w:rPr/>
      </w:pPr>
      <w:r>
        <w:rPr/>
      </w:r>
    </w:p>
    <w:p>
      <w:pPr>
        <w:pStyle w:val="TextBody"/>
        <w:spacing w:before="0" w:after="0"/>
        <w:rPr/>
      </w:pPr>
      <w:r>
        <w:rPr/>
      </w:r>
    </w:p>
    <w:p>
      <w:pPr>
        <w:pStyle w:val="TextBody"/>
        <w:spacing w:lineRule="auto" w:line="240" w:before="0" w:after="0"/>
        <w:rPr/>
      </w:pPr>
      <w:r>
        <w:rPr>
          <w:color w:val="000000"/>
        </w:rPr>
        <w:t>                            </w:t>
      </w:r>
      <w:r>
        <w:rPr>
          <w:color w:val="000000"/>
          <w:u w:val="single"/>
        </w:rPr>
        <w:t>                        </w:t>
      </w:r>
    </w:p>
    <w:p>
      <w:pPr>
        <w:pStyle w:val="TextBody"/>
        <w:spacing w:lineRule="auto" w:line="240"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2100"/>
                <wp:effectExtent l="0" t="0" r="0" b="0"/>
                <wp:wrapNone/>
                <wp:docPr id="173" name="Frame5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w:t>
                      </w:r>
                    </w:p>
                    <w:p>
                      <w:pPr>
                        <w:pStyle w:val="TextBody"/>
                        <w:spacing w:before="0" w:after="0"/>
                        <w:rPr/>
                      </w:pPr>
                      <w:r>
                        <w:rPr/>
                      </w:r>
                    </w:p>
                  </w:txbxContent>
                </v:textbox>
              </v:rect>
            </w:pict>
          </mc:Fallback>
        </mc:AlternateContent>
      </w:r>
    </w:p>
    <w:p>
      <w:pPr>
        <w:pStyle w:val="TextBody"/>
        <w:spacing w:lineRule="auto" w:line="288" w:before="0" w:after="0"/>
        <w:jc w:val="right"/>
        <w:rPr>
          <w:rFonts w:ascii="Calibri;sans-serif" w:hAnsi="Calibri;sans-serif"/>
          <w:b/>
          <w:color w:val="51555C"/>
          <w:sz w:val="20"/>
        </w:rPr>
      </w:pPr>
      <w:r>
        <w:rPr>
          <w:rFonts w:ascii="Calibri;sans-serif" w:hAnsi="Calibri;sans-serif"/>
          <w:b/>
          <w:color w:val="51555C"/>
          <w:sz w:val="20"/>
        </w:rPr>
        <w:t>EXHIBIT 31.1</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SECTION 302 OF THE SARBANES-OXLEY ACT OF 2002</w:t>
      </w:r>
    </w:p>
    <w:p>
      <w:pPr>
        <w:pStyle w:val="TextBody"/>
        <w:spacing w:lineRule="auto" w:line="288" w:before="180" w:after="283"/>
        <w:rPr>
          <w:rFonts w:ascii="Calibri;sans-serif" w:hAnsi="Calibri;sans-serif"/>
          <w:b w:val="false"/>
          <w:color w:val="51555C"/>
          <w:sz w:val="20"/>
        </w:rPr>
      </w:pPr>
      <w:r>
        <w:rPr>
          <w:rFonts w:ascii="Calibri;sans-serif" w:hAnsi="Calibri;sans-serif"/>
          <w:b w:val="false"/>
          <w:color w:val="51555C"/>
          <w:sz w:val="20"/>
        </w:rPr>
        <w:t>I, Michael P. Gianoni, certify that:</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1.I have reviewed this quarterly report on Form 10-Q of Blackbaud, Inc.;</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51555C"/>
        </w:rPr>
      </w:pPr>
      <w:r>
        <w:rPr>
          <w:color w:val="51555C"/>
        </w:rPr>
        <w:t> </w:t>
      </w:r>
    </w:p>
    <w:tbl>
      <w:tblPr>
        <w:tblW w:w="5351" w:type="dxa"/>
        <w:jc w:val="center"/>
        <w:tblInd w:w="0" w:type="dxa"/>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890"/>
        <w:gridCol w:w="890"/>
        <w:gridCol w:w="1265"/>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4, 2023</w:t>
            </w:r>
          </w:p>
        </w:tc>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3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President and Chief Executive Officer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74"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Calibri;sans-serif" w:hAnsi="Calibri;sans-serif"/>
          <w:b/>
          <w:color w:val="51555C"/>
          <w:sz w:val="20"/>
        </w:rPr>
      </w:pPr>
      <w:r>
        <w:rPr>
          <w:rFonts w:ascii="Calibri;sans-serif" w:hAnsi="Calibri;sans-serif"/>
          <w:b/>
          <w:color w:val="51555C"/>
          <w:sz w:val="20"/>
        </w:rPr>
        <w:t>EXHIBIT 31.2</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SECTION 302 OF THE SARBANES-OXLEY ACT OF 2002</w:t>
      </w:r>
    </w:p>
    <w:p>
      <w:pPr>
        <w:pStyle w:val="TextBody"/>
        <w:spacing w:lineRule="auto" w:line="288" w:before="180" w:after="283"/>
        <w:rPr>
          <w:rFonts w:ascii="Calibri;sans-serif" w:hAnsi="Calibri;sans-serif"/>
          <w:b w:val="false"/>
          <w:color w:val="51555C"/>
          <w:sz w:val="20"/>
        </w:rPr>
      </w:pPr>
      <w:r>
        <w:rPr>
          <w:rFonts w:ascii="Calibri;sans-serif" w:hAnsi="Calibri;sans-serif"/>
          <w:b w:val="false"/>
          <w:color w:val="51555C"/>
          <w:sz w:val="20"/>
        </w:rPr>
        <w:t>I, Anthony W. Boor, certify that:</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1.I have reviewed this quarterly report on Form 10-Q of Blackbaud, Inc.;</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Calibri;sans-serif" w:hAnsi="Calibri;sans-serif"/>
          <w:b w:val="false"/>
          <w:color w:val="51555C"/>
          <w:sz w:val="20"/>
        </w:rPr>
      </w:pPr>
      <w:r>
        <w:rPr>
          <w:rFonts w:ascii="Calibri;sans-serif" w:hAnsi="Calibri;sans-serif"/>
          <w:b w:val="false"/>
          <w:color w:val="51555C"/>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51555C"/>
        </w:rPr>
      </w:pPr>
      <w:r>
        <w:rPr>
          <w:color w:val="51555C"/>
        </w:rPr>
        <w:t> </w:t>
      </w:r>
    </w:p>
    <w:tbl>
      <w:tblPr>
        <w:tblW w:w="6446" w:type="dxa"/>
        <w:jc w:val="center"/>
        <w:tblInd w:w="0" w:type="dxa"/>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1209"/>
        <w:gridCol w:w="1209"/>
        <w:gridCol w:w="1722"/>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4, 2023</w:t>
            </w:r>
          </w:p>
        </w:tc>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75"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Calibri;sans-serif" w:hAnsi="Calibri;sans-serif"/>
          <w:b/>
          <w:color w:val="51555C"/>
          <w:sz w:val="20"/>
        </w:rPr>
      </w:pPr>
      <w:r>
        <w:rPr>
          <w:rFonts w:ascii="Calibri;sans-serif" w:hAnsi="Calibri;sans-serif"/>
          <w:b/>
          <w:color w:val="51555C"/>
          <w:sz w:val="20"/>
        </w:rPr>
        <w:t>EXHIBIT 32.1</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18 U.S.C. SECTION 1350, AS ADOPTED</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PURSUANT TO SECTION 906 OF THE SARBANES-OXLEY ACT OF 2002</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connection with the Quarterly Report on Form 10-Q of Blackbaud, Inc. (the “Company”) for the period ended March 31, 2023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pStyle w:val="TextBody"/>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1.The Report fully complies with the requirements of Section 13(a) or 15(d) of the Securities Exchange Act of 1934; and</w:t>
      </w:r>
    </w:p>
    <w:p>
      <w:pPr>
        <w:pStyle w:val="TextBody"/>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lineRule="auto" w:line="288" w:before="0" w:after="0"/>
        <w:rPr>
          <w:color w:val="51555C"/>
        </w:rPr>
      </w:pPr>
      <w:r>
        <w:rPr>
          <w:color w:val="51555C"/>
        </w:rPr>
        <w:t> </w:t>
      </w:r>
    </w:p>
    <w:tbl>
      <w:tblPr>
        <w:tblW w:w="5351" w:type="dxa"/>
        <w:jc w:val="left"/>
        <w:tblInd w:w="0" w:type="dxa"/>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890"/>
        <w:gridCol w:w="890"/>
        <w:gridCol w:w="1265"/>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4, 2023</w:t>
            </w:r>
          </w:p>
        </w:tc>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3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President and Chief Executive Officer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76"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Calibri;sans-serif" w:hAnsi="Calibri;sans-serif"/>
          <w:b/>
          <w:color w:val="51555C"/>
          <w:sz w:val="20"/>
        </w:rPr>
      </w:pPr>
      <w:r>
        <w:rPr>
          <w:rFonts w:ascii="Calibri;sans-serif" w:hAnsi="Calibri;sans-serif"/>
          <w:b/>
          <w:color w:val="51555C"/>
          <w:sz w:val="20"/>
        </w:rPr>
        <w:t>EXHIBIT 32.2</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18 U.S.C. SECTION 1350, AS ADOPTED</w:t>
      </w:r>
    </w:p>
    <w:p>
      <w:pPr>
        <w:pStyle w:val="TextBody"/>
        <w:spacing w:lineRule="auto" w:line="288" w:before="0" w:after="0"/>
        <w:jc w:val="center"/>
        <w:rPr>
          <w:rFonts w:ascii="Calibri;sans-serif" w:hAnsi="Calibri;sans-serif"/>
          <w:b/>
          <w:color w:val="51555C"/>
          <w:sz w:val="20"/>
        </w:rPr>
      </w:pPr>
      <w:r>
        <w:rPr>
          <w:rFonts w:ascii="Calibri;sans-serif" w:hAnsi="Calibri;sans-serif"/>
          <w:b/>
          <w:color w:val="51555C"/>
          <w:sz w:val="20"/>
        </w:rPr>
        <w:t>PURSUANT TO SECTION 906 OF THE SARBANES-OXLEY ACT OF 2002</w:t>
      </w:r>
    </w:p>
    <w:p>
      <w:pPr>
        <w:pStyle w:val="TextBody"/>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connection with the Quarterly Report on Form 10-Q of Blackbaud, Inc. (the “Company”) for the period ended March 31, 2023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pStyle w:val="TextBody"/>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1.The Report fully complies with the requirements of Section 13(a) or 15(d) of the Securities Exchange Act of 1934; and</w:t>
      </w:r>
    </w:p>
    <w:p>
      <w:pPr>
        <w:pStyle w:val="TextBody"/>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lineRule="auto" w:line="288" w:before="0" w:after="0"/>
        <w:rPr>
          <w:color w:val="51555C"/>
        </w:rPr>
      </w:pPr>
      <w:r>
        <w:rPr>
          <w:color w:val="51555C"/>
        </w:rPr>
        <w:t> </w:t>
      </w:r>
    </w:p>
    <w:tbl>
      <w:tblPr>
        <w:tblW w:w="6446" w:type="dxa"/>
        <w:jc w:val="left"/>
        <w:tblInd w:w="0" w:type="dxa"/>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1209"/>
        <w:gridCol w:w="1209"/>
        <w:gridCol w:w="1722"/>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4, 2023</w:t>
            </w:r>
          </w:p>
        </w:tc>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51555C"/>
              </w:rPr>
            </w:pPr>
            <w:r>
              <w:rPr>
                <w:color w:val="51555C"/>
              </w:rPr>
              <w:t> </w:t>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77"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29194</Words>
  <CharactersWithSpaces>190503</CharactersWithSpaces>
  <Paragraphs>2844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