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0"/>
        <w:spacing w:after="0"/>
        <w:rPr>
          <w:sz w:val="20"/>
          <w:szCs w:val="20"/>
          <w:color w:val="auto"/>
        </w:rPr>
      </w:pPr>
      <w:r>
        <w:rPr>
          <w:rFonts w:ascii="Arial" w:cs="Arial" w:eastAsia="Arial" w:hAnsi="Arial"/>
          <w:sz w:val="20"/>
          <w:szCs w:val="20"/>
          <w:b w:val="1"/>
          <w:bCs w:val="1"/>
          <w:color w:val="auto"/>
        </w:rPr>
        <w:t>UNITED STATES</w:t>
      </w:r>
    </w:p>
    <w:p>
      <w:pPr>
        <w:spacing w:after="0" w:line="24"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97" w:lineRule="exact"/>
        <w:rPr>
          <w:sz w:val="24"/>
          <w:szCs w:val="24"/>
          <w:color w:val="auto"/>
        </w:rPr>
      </w:pPr>
    </w:p>
    <w:p>
      <w:pPr>
        <w:ind w:left="700" w:right="2440" w:hanging="550"/>
        <w:spacing w:after="0" w:line="357" w:lineRule="auto"/>
        <w:tabs>
          <w:tab w:leader="none" w:pos="484"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September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4" w:lineRule="exact"/>
        <w:rPr>
          <w:sz w:val="24"/>
          <w:szCs w:val="24"/>
          <w:color w:val="auto"/>
        </w:rPr>
      </w:pPr>
    </w:p>
    <w:p>
      <w:pPr>
        <w:ind w:left="700"/>
        <w:spacing w:after="0"/>
        <w:tabs>
          <w:tab w:leader="none" w:pos="3700" w:val="left"/>
          <w:tab w:leader="none" w:pos="478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1794510</wp:posOffset>
            </wp:positionH>
            <wp:positionV relativeFrom="paragraph">
              <wp:posOffset>-14605</wp:posOffset>
            </wp:positionV>
            <wp:extent cx="1257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168910</wp:posOffset>
            </wp:positionV>
            <wp:extent cx="245173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Blackbaud,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14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11-2617163</w:t>
      </w:r>
    </w:p>
    <w:p>
      <w:pPr>
        <w:spacing w:after="0" w:line="79" w:lineRule="exact"/>
        <w:rPr>
          <w:sz w:val="24"/>
          <w:szCs w:val="24"/>
          <w:color w:val="auto"/>
        </w:rPr>
      </w:pPr>
    </w:p>
    <w:p>
      <w:pPr>
        <w:sectPr>
          <w:pgSz w:w="11900" w:h="16838" w:orient="portrait"/>
          <w:cols w:equalWidth="0" w:num="2">
            <w:col w:w="7320" w:space="720"/>
            <w:col w:w="3200"/>
          </w:cols>
          <w:pgMar w:left="320" w:top="922"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107" w:lineRule="exact"/>
        <w:rPr>
          <w:sz w:val="24"/>
          <w:szCs w:val="24"/>
          <w:color w:val="auto"/>
        </w:rPr>
      </w:pPr>
    </w:p>
    <w:p>
      <w:pPr>
        <w:sectPr>
          <w:pgSz w:w="11900" w:h="16838" w:orient="portrait"/>
          <w:cols w:equalWidth="0" w:num="2">
            <w:col w:w="6520" w:space="720"/>
            <w:col w:w="4000"/>
          </w:cols>
          <w:pgMar w:left="320" w:top="922"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65 Fairchild Street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Charleston, South Carolina 29492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(843) 216-6200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3"/>
          </w:tcPr>
          <w:p>
            <w:pPr>
              <w:jc w:val="center"/>
              <w:ind w:right="380"/>
              <w:spacing w:after="0"/>
              <w:rPr>
                <w:sz w:val="20"/>
                <w:szCs w:val="20"/>
                <w:color w:val="auto"/>
              </w:rPr>
            </w:pPr>
            <w:r>
              <w:rPr>
                <w:rFonts w:ascii="Arial" w:cs="Arial" w:eastAsia="Arial" w:hAnsi="Arial"/>
                <w:sz w:val="16"/>
                <w:szCs w:val="16"/>
                <w:color w:val="auto"/>
              </w:rPr>
              <w:t>Securities Registered Pursuant to Section 12(b) of the Act: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9"/>
        </w:trPr>
        <w:tc>
          <w:tcPr>
            <w:tcW w:w="1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Title of Each Class</w:t>
            </w:r>
          </w:p>
        </w:tc>
        <w:tc>
          <w:tcPr>
            <w:tcW w:w="1800" w:type="dxa"/>
            <w:vAlign w:val="bottom"/>
          </w:tcPr>
          <w:p>
            <w:pPr>
              <w:spacing w:after="0"/>
              <w:rPr>
                <w:sz w:val="18"/>
                <w:szCs w:val="18"/>
                <w:color w:val="auto"/>
              </w:rPr>
            </w:pPr>
          </w:p>
        </w:tc>
        <w:tc>
          <w:tcPr>
            <w:tcW w:w="1720" w:type="dxa"/>
            <w:vAlign w:val="bottom"/>
            <w:gridSpan w:val="2"/>
          </w:tcPr>
          <w:p>
            <w:pPr>
              <w:jc w:val="center"/>
              <w:ind w:left="319"/>
              <w:spacing w:after="0"/>
              <w:rPr>
                <w:sz w:val="20"/>
                <w:szCs w:val="20"/>
                <w:color w:val="auto"/>
              </w:rPr>
            </w:pPr>
            <w:r>
              <w:rPr>
                <w:rFonts w:ascii="Arial" w:cs="Arial" w:eastAsia="Arial" w:hAnsi="Arial"/>
                <w:sz w:val="16"/>
                <w:szCs w:val="16"/>
                <w:color w:val="auto"/>
              </w:rPr>
              <w:t>Trading Symbol(s)</w:t>
            </w:r>
          </w:p>
        </w:tc>
        <w:tc>
          <w:tcPr>
            <w:tcW w:w="1160" w:type="dxa"/>
            <w:vAlign w:val="bottom"/>
          </w:tcPr>
          <w:p>
            <w:pPr>
              <w:spacing w:after="0"/>
              <w:rPr>
                <w:sz w:val="18"/>
                <w:szCs w:val="18"/>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8"/>
        </w:trPr>
        <w:tc>
          <w:tcPr>
            <w:tcW w:w="46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Common Stock, $0.001 Par Value</w:t>
            </w:r>
          </w:p>
        </w:tc>
        <w:tc>
          <w:tcPr>
            <w:tcW w:w="4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BLKB</w:t>
            </w:r>
          </w:p>
        </w:tc>
        <w:tc>
          <w:tcPr>
            <w:tcW w:w="1160" w:type="dxa"/>
            <w:vAlign w:val="bottom"/>
          </w:tcPr>
          <w:p>
            <w:pPr>
              <w:spacing w:after="0"/>
              <w:rPr>
                <w:sz w:val="22"/>
                <w:szCs w:val="22"/>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Nasdaq Global Select Market</w:t>
            </w:r>
          </w:p>
        </w:tc>
      </w:tr>
      <w:tr>
        <w:trPr>
          <w:trHeight w:val="73"/>
        </w:trPr>
        <w:tc>
          <w:tcPr>
            <w:tcW w:w="14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bl>
    <w:p>
      <w:pPr>
        <w:spacing w:after="0" w:line="200" w:lineRule="exact"/>
        <w:rPr>
          <w:sz w:val="24"/>
          <w:szCs w:val="24"/>
          <w:color w:val="auto"/>
        </w:rPr>
      </w:pPr>
    </w:p>
    <w:p>
      <w:pPr>
        <w:spacing w:after="0" w:line="288"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19"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19"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8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2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97" w:lineRule="exact"/>
        <w:rPr>
          <w:sz w:val="24"/>
          <w:szCs w:val="24"/>
          <w:color w:val="auto"/>
        </w:rPr>
      </w:pPr>
    </w:p>
    <w:p>
      <w:pPr>
        <w:ind w:right="2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registrant is a shell company (as defined in Rule 12b-2 of the Exchange Act).</w:t>
      </w:r>
    </w:p>
    <w:p>
      <w:pPr>
        <w:spacing w:after="0" w:line="8"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October 29, 2021 was 48,176,560.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50535A"/>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320" w:type="dxa"/>
            <w:vAlign w:val="bottom"/>
            <w:gridSpan w:val="2"/>
          </w:tcPr>
          <w:p>
            <w:pPr>
              <w:ind w:left="20"/>
              <w:spacing w:after="0"/>
              <w:rPr>
                <w:rFonts w:ascii="Arial" w:cs="Arial" w:eastAsia="Arial" w:hAnsi="Arial"/>
                <w:sz w:val="20"/>
                <w:szCs w:val="20"/>
                <w:b w:val="1"/>
                <w:bCs w:val="1"/>
                <w:color w:val="71BF43"/>
              </w:rPr>
            </w:pPr>
            <w:hyperlink w:anchor="page2">
              <w:r>
                <w:rPr>
                  <w:rFonts w:ascii="Arial" w:cs="Arial" w:eastAsia="Arial" w:hAnsi="Arial"/>
                  <w:sz w:val="20"/>
                  <w:szCs w:val="20"/>
                  <w:b w:val="1"/>
                  <w:bCs w:val="1"/>
                  <w:color w:val="71BF43"/>
                </w:rPr>
                <w:t>CAUTIONARY STATEMENT REGARDING FORWARD-LOOKING STATEMENTS</w:t>
              </w:r>
            </w:hyperlink>
          </w:p>
        </w:tc>
        <w:tc>
          <w:tcPr>
            <w:tcW w:w="1880" w:type="dxa"/>
            <w:vAlign w:val="bottom"/>
          </w:tcPr>
          <w:p>
            <w:pPr>
              <w:ind w:left="1420"/>
              <w:spacing w:after="0"/>
              <w:rPr>
                <w:rFonts w:ascii="Arial" w:cs="Arial" w:eastAsia="Arial" w:hAnsi="Arial"/>
                <w:sz w:val="20"/>
                <w:szCs w:val="20"/>
                <w:b w:val="1"/>
                <w:bCs w:val="1"/>
                <w:color w:val="71BF43"/>
              </w:rPr>
            </w:pPr>
            <w:hyperlink w:anchor="page2">
              <w:r>
                <w:rPr>
                  <w:rFonts w:ascii="Arial" w:cs="Arial" w:eastAsia="Arial" w:hAnsi="Arial"/>
                  <w:sz w:val="20"/>
                  <w:szCs w:val="20"/>
                  <w:b w:val="1"/>
                  <w:bCs w:val="1"/>
                  <w:color w:val="71BF43"/>
                </w:rPr>
                <w:t>2</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r>
        <w:trPr>
          <w:trHeight w:val="524"/>
        </w:trPr>
        <w:tc>
          <w:tcPr>
            <w:tcW w:w="940" w:type="dxa"/>
            <w:vAlign w:val="bottom"/>
          </w:tcPr>
          <w:p>
            <w:pPr>
              <w:ind w:left="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PART I.</w:t>
              </w:r>
            </w:hyperlink>
          </w:p>
        </w:tc>
        <w:tc>
          <w:tcPr>
            <w:tcW w:w="8380" w:type="dxa"/>
            <w:vAlign w:val="bottom"/>
          </w:tcPr>
          <w:p>
            <w:pPr>
              <w:ind w:left="14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FINANCIAL INFORMATION</w:t>
              </w:r>
            </w:hyperlink>
          </w:p>
        </w:tc>
        <w:tc>
          <w:tcPr>
            <w:tcW w:w="1880" w:type="dxa"/>
            <w:vAlign w:val="bottom"/>
          </w:tcPr>
          <w:p>
            <w:pPr>
              <w:ind w:left="14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3</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r>
        <w:trPr>
          <w:trHeight w:val="331"/>
        </w:trPr>
        <w:tc>
          <w:tcPr>
            <w:tcW w:w="94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38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w:t>
              </w:r>
            </w:hyperlink>
          </w:p>
        </w:tc>
        <w:tc>
          <w:tcPr>
            <w:tcW w:w="188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(Unaudited)</w:t>
              </w:r>
            </w:hyperlink>
          </w:p>
        </w:tc>
        <w:tc>
          <w:tcPr>
            <w:tcW w:w="1880" w:type="dxa"/>
            <w:vAlign w:val="bottom"/>
          </w:tcPr>
          <w:p>
            <w:pPr>
              <w:ind w:left="1420"/>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Comprehensive Income (Unaudited)</w:t>
              </w:r>
            </w:hyperlink>
          </w:p>
        </w:tc>
        <w:tc>
          <w:tcPr>
            <w:tcW w:w="1880" w:type="dxa"/>
            <w:vAlign w:val="bottom"/>
          </w:tcPr>
          <w:p>
            <w:pPr>
              <w:ind w:left="1420"/>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Cash Flows (Unaudited)</w:t>
              </w:r>
            </w:hyperlink>
          </w:p>
        </w:tc>
        <w:tc>
          <w:tcPr>
            <w:tcW w:w="1880" w:type="dxa"/>
            <w:vAlign w:val="bottom"/>
          </w:tcPr>
          <w:p>
            <w:pPr>
              <w:ind w:left="14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Stockholders’ Equity (Unaudited)</w:t>
              </w:r>
            </w:hyperlink>
          </w:p>
        </w:tc>
        <w:tc>
          <w:tcPr>
            <w:tcW w:w="1880" w:type="dxa"/>
            <w:vAlign w:val="bottom"/>
          </w:tcPr>
          <w:p>
            <w:pPr>
              <w:ind w:left="14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 (Unaudited)</w:t>
              </w:r>
            </w:hyperlink>
          </w:p>
        </w:tc>
        <w:tc>
          <w:tcPr>
            <w:tcW w:w="1880" w:type="dxa"/>
            <w:vAlign w:val="bottom"/>
          </w:tcPr>
          <w:p>
            <w:pPr>
              <w:ind w:left="1420"/>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8380" w:type="dxa"/>
            <w:vAlign w:val="bottom"/>
          </w:tcPr>
          <w:p>
            <w:pPr>
              <w:ind w:left="140"/>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1880" w:type="dxa"/>
            <w:vAlign w:val="bottom"/>
          </w:tcPr>
          <w:p>
            <w:pPr>
              <w:ind w:left="1420"/>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Item 3.</w:t>
              </w:r>
            </w:hyperlink>
          </w:p>
        </w:tc>
        <w:tc>
          <w:tcPr>
            <w:tcW w:w="838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Quantitative and qualitative disclosures about market risk</w:t>
              </w:r>
            </w:hyperlink>
          </w:p>
        </w:tc>
        <w:tc>
          <w:tcPr>
            <w:tcW w:w="1880" w:type="dxa"/>
            <w:vAlign w:val="bottom"/>
          </w:tcPr>
          <w:p>
            <w:pPr>
              <w:ind w:left="1420"/>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Item 4.</w:t>
              </w:r>
            </w:hyperlink>
          </w:p>
        </w:tc>
        <w:tc>
          <w:tcPr>
            <w:tcW w:w="838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Controls and procedures</w:t>
              </w:r>
            </w:hyperlink>
          </w:p>
        </w:tc>
        <w:tc>
          <w:tcPr>
            <w:tcW w:w="1880" w:type="dxa"/>
            <w:vAlign w:val="bottom"/>
          </w:tcPr>
          <w:p>
            <w:pPr>
              <w:ind w:left="1420"/>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558"/>
        </w:trPr>
        <w:tc>
          <w:tcPr>
            <w:tcW w:w="940" w:type="dxa"/>
            <w:vAlign w:val="bottom"/>
          </w:tcPr>
          <w:p>
            <w:pPr>
              <w:ind w:left="20"/>
              <w:spacing w:after="0"/>
              <w:rPr>
                <w:rFonts w:ascii="Arial" w:cs="Arial" w:eastAsia="Arial" w:hAnsi="Arial"/>
                <w:sz w:val="20"/>
                <w:szCs w:val="20"/>
                <w:b w:val="1"/>
                <w:bCs w:val="1"/>
                <w:color w:val="71BF43"/>
              </w:rPr>
            </w:pPr>
            <w:hyperlink w:anchor="page45">
              <w:r>
                <w:rPr>
                  <w:rFonts w:ascii="Arial" w:cs="Arial" w:eastAsia="Arial" w:hAnsi="Arial"/>
                  <w:sz w:val="20"/>
                  <w:szCs w:val="20"/>
                  <w:b w:val="1"/>
                  <w:bCs w:val="1"/>
                  <w:color w:val="71BF43"/>
                </w:rPr>
                <w:t>PART II.</w:t>
              </w:r>
            </w:hyperlink>
          </w:p>
        </w:tc>
        <w:tc>
          <w:tcPr>
            <w:tcW w:w="8380" w:type="dxa"/>
            <w:vAlign w:val="bottom"/>
          </w:tcPr>
          <w:p>
            <w:pPr>
              <w:ind w:left="140"/>
              <w:spacing w:after="0"/>
              <w:rPr>
                <w:rFonts w:ascii="Arial" w:cs="Arial" w:eastAsia="Arial" w:hAnsi="Arial"/>
                <w:sz w:val="20"/>
                <w:szCs w:val="20"/>
                <w:b w:val="1"/>
                <w:bCs w:val="1"/>
                <w:color w:val="71BF43"/>
              </w:rPr>
            </w:pPr>
            <w:hyperlink w:anchor="page45">
              <w:r>
                <w:rPr>
                  <w:rFonts w:ascii="Arial" w:cs="Arial" w:eastAsia="Arial" w:hAnsi="Arial"/>
                  <w:sz w:val="20"/>
                  <w:szCs w:val="20"/>
                  <w:b w:val="1"/>
                  <w:bCs w:val="1"/>
                  <w:color w:val="71BF43"/>
                </w:rPr>
                <w:t>OTHER INFORMATION</w:t>
              </w:r>
            </w:hyperlink>
          </w:p>
        </w:tc>
        <w:tc>
          <w:tcPr>
            <w:tcW w:w="1880" w:type="dxa"/>
            <w:vAlign w:val="bottom"/>
          </w:tcPr>
          <w:p>
            <w:pPr>
              <w:ind w:left="1420"/>
              <w:spacing w:after="0"/>
              <w:rPr>
                <w:rFonts w:ascii="Arial" w:cs="Arial" w:eastAsia="Arial" w:hAnsi="Arial"/>
                <w:sz w:val="20"/>
                <w:szCs w:val="20"/>
                <w:b w:val="1"/>
                <w:bCs w:val="1"/>
                <w:color w:val="71BF43"/>
              </w:rPr>
            </w:pPr>
            <w:hyperlink w:anchor="page45">
              <w:r>
                <w:rPr>
                  <w:rFonts w:ascii="Arial" w:cs="Arial" w:eastAsia="Arial" w:hAnsi="Arial"/>
                  <w:sz w:val="20"/>
                  <w:szCs w:val="20"/>
                  <w:b w:val="1"/>
                  <w:bCs w:val="1"/>
                  <w:color w:val="71BF43"/>
                </w:rPr>
                <w:t>45</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r>
        <w:trPr>
          <w:trHeight w:val="331"/>
        </w:trPr>
        <w:tc>
          <w:tcPr>
            <w:tcW w:w="94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Item 1.</w:t>
              </w:r>
            </w:hyperlink>
          </w:p>
        </w:tc>
        <w:tc>
          <w:tcPr>
            <w:tcW w:w="838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Legal proceedings</w:t>
              </w:r>
            </w:hyperlink>
          </w:p>
        </w:tc>
        <w:tc>
          <w:tcPr>
            <w:tcW w:w="1880" w:type="dxa"/>
            <w:vAlign w:val="bottom"/>
          </w:tcPr>
          <w:p>
            <w:pPr>
              <w:ind w:left="1420"/>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Item 1A.</w:t>
              </w:r>
            </w:hyperlink>
          </w:p>
        </w:tc>
        <w:tc>
          <w:tcPr>
            <w:tcW w:w="838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Risk factors</w:t>
              </w:r>
            </w:hyperlink>
          </w:p>
        </w:tc>
        <w:tc>
          <w:tcPr>
            <w:tcW w:w="1880" w:type="dxa"/>
            <w:vAlign w:val="bottom"/>
          </w:tcPr>
          <w:p>
            <w:pPr>
              <w:ind w:left="1420"/>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7">
              <w:r>
                <w:rPr>
                  <w:rFonts w:ascii="Arial" w:cs="Arial" w:eastAsia="Arial" w:hAnsi="Arial"/>
                  <w:sz w:val="18"/>
                  <w:szCs w:val="18"/>
                  <w:color w:val="auto"/>
                </w:rPr>
                <w:t>Item 2.</w:t>
              </w:r>
            </w:hyperlink>
          </w:p>
        </w:tc>
        <w:tc>
          <w:tcPr>
            <w:tcW w:w="8380" w:type="dxa"/>
            <w:vAlign w:val="bottom"/>
          </w:tcPr>
          <w:p>
            <w:pPr>
              <w:ind w:left="140"/>
              <w:spacing w:after="0"/>
              <w:rPr>
                <w:rFonts w:ascii="Arial" w:cs="Arial" w:eastAsia="Arial" w:hAnsi="Arial"/>
                <w:sz w:val="18"/>
                <w:szCs w:val="18"/>
                <w:color w:val="auto"/>
              </w:rPr>
            </w:pPr>
            <w:hyperlink w:anchor="page47">
              <w:r>
                <w:rPr>
                  <w:rFonts w:ascii="Arial" w:cs="Arial" w:eastAsia="Arial" w:hAnsi="Arial"/>
                  <w:sz w:val="18"/>
                  <w:szCs w:val="18"/>
                  <w:color w:val="auto"/>
                </w:rPr>
                <w:t>Unregistered sales of equity securities and use of proceeds</w:t>
              </w:r>
            </w:hyperlink>
          </w:p>
        </w:tc>
        <w:tc>
          <w:tcPr>
            <w:tcW w:w="1880" w:type="dxa"/>
            <w:vAlign w:val="bottom"/>
          </w:tcPr>
          <w:p>
            <w:pPr>
              <w:ind w:left="1420"/>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7">
              <w:r>
                <w:rPr>
                  <w:rFonts w:ascii="Arial" w:cs="Arial" w:eastAsia="Arial" w:hAnsi="Arial"/>
                  <w:sz w:val="18"/>
                  <w:szCs w:val="18"/>
                  <w:color w:val="auto"/>
                </w:rPr>
                <w:t>Item 6.</w:t>
              </w:r>
            </w:hyperlink>
          </w:p>
        </w:tc>
        <w:tc>
          <w:tcPr>
            <w:tcW w:w="8380" w:type="dxa"/>
            <w:vAlign w:val="bottom"/>
          </w:tcPr>
          <w:p>
            <w:pPr>
              <w:ind w:left="140"/>
              <w:spacing w:after="0"/>
              <w:rPr>
                <w:rFonts w:ascii="Arial" w:cs="Arial" w:eastAsia="Arial" w:hAnsi="Arial"/>
                <w:sz w:val="18"/>
                <w:szCs w:val="18"/>
                <w:color w:val="auto"/>
              </w:rPr>
            </w:pPr>
            <w:hyperlink w:anchor="page47">
              <w:r>
                <w:rPr>
                  <w:rFonts w:ascii="Arial" w:cs="Arial" w:eastAsia="Arial" w:hAnsi="Arial"/>
                  <w:sz w:val="18"/>
                  <w:szCs w:val="18"/>
                  <w:color w:val="auto"/>
                </w:rPr>
                <w:t>Exhibits</w:t>
              </w:r>
            </w:hyperlink>
          </w:p>
        </w:tc>
        <w:tc>
          <w:tcPr>
            <w:tcW w:w="1880" w:type="dxa"/>
            <w:vAlign w:val="bottom"/>
          </w:tcPr>
          <w:p>
            <w:pPr>
              <w:ind w:left="1420"/>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557"/>
        </w:trPr>
        <w:tc>
          <w:tcPr>
            <w:tcW w:w="9320" w:type="dxa"/>
            <w:vAlign w:val="bottom"/>
            <w:gridSpan w:val="2"/>
          </w:tcPr>
          <w:p>
            <w:pPr>
              <w:ind w:left="20"/>
              <w:spacing w:after="0"/>
              <w:rPr>
                <w:rFonts w:ascii="Arial" w:cs="Arial" w:eastAsia="Arial" w:hAnsi="Arial"/>
                <w:sz w:val="20"/>
                <w:szCs w:val="20"/>
                <w:b w:val="1"/>
                <w:bCs w:val="1"/>
                <w:color w:val="71BF43"/>
              </w:rPr>
            </w:pPr>
            <w:hyperlink w:anchor="page48">
              <w:r>
                <w:rPr>
                  <w:rFonts w:ascii="Arial" w:cs="Arial" w:eastAsia="Arial" w:hAnsi="Arial"/>
                  <w:sz w:val="20"/>
                  <w:szCs w:val="20"/>
                  <w:b w:val="1"/>
                  <w:bCs w:val="1"/>
                  <w:color w:val="71BF43"/>
                </w:rPr>
                <w:t>SIGNATURES</w:t>
              </w:r>
            </w:hyperlink>
          </w:p>
        </w:tc>
        <w:tc>
          <w:tcPr>
            <w:tcW w:w="1880" w:type="dxa"/>
            <w:vAlign w:val="bottom"/>
          </w:tcPr>
          <w:p>
            <w:pPr>
              <w:ind w:left="1420"/>
              <w:spacing w:after="0"/>
              <w:rPr>
                <w:rFonts w:ascii="Arial" w:cs="Arial" w:eastAsia="Arial" w:hAnsi="Arial"/>
                <w:sz w:val="20"/>
                <w:szCs w:val="20"/>
                <w:b w:val="1"/>
                <w:bCs w:val="1"/>
                <w:color w:val="71BF43"/>
              </w:rPr>
            </w:pPr>
            <w:hyperlink w:anchor="page48">
              <w:r>
                <w:rPr>
                  <w:rFonts w:ascii="Arial" w:cs="Arial" w:eastAsia="Arial" w:hAnsi="Arial"/>
                  <w:sz w:val="20"/>
                  <w:szCs w:val="20"/>
                  <w:b w:val="1"/>
                  <w:bCs w:val="1"/>
                  <w:color w:val="71BF43"/>
                </w:rPr>
                <w:t>48</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796925</wp:posOffset>
            </wp:positionV>
            <wp:extent cx="67691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30"/>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80" w:right="640"/>
        <w:spacing w:after="0" w:line="281" w:lineRule="auto"/>
        <w:rPr>
          <w:sz w:val="20"/>
          <w:szCs w:val="20"/>
          <w:color w:val="auto"/>
        </w:rPr>
      </w:pPr>
      <w:r>
        <w:rPr>
          <w:rFonts w:ascii="Arial" w:cs="Arial" w:eastAsia="Arial" w:hAnsi="Arial"/>
          <w:sz w:val="40"/>
          <w:szCs w:val="40"/>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-492760</wp:posOffset>
            </wp:positionV>
            <wp:extent cx="1803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222885"/>
                    </a:xfrm>
                    <a:prstGeom prst="rect">
                      <a:avLst/>
                    </a:prstGeom>
                    <a:noFill/>
                  </pic:spPr>
                </pic:pic>
              </a:graphicData>
            </a:graphic>
          </wp:anchor>
        </w:drawing>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specific and overall impacts of the COVID-19 global pandemic on our financial condition and results of operations and on the markets and communities in which we and our customers and partners operate,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2020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pacing w:after="0" w:line="314"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auto"/>
        </w:rPr>
        <w:t>2</w:t>
      </w:r>
      <w:r>
        <w:rPr>
          <w:sz w:val="20"/>
          <w:szCs w:val="20"/>
          <w:color w:val="auto"/>
        </w:rPr>
        <w:tab/>
      </w:r>
      <w:r>
        <w:rPr>
          <w:sz w:val="1"/>
          <w:szCs w:val="1"/>
          <w:color w:val="auto"/>
        </w:rPr>
        <w:drawing>
          <wp:inline distT="0" distB="0" distL="0" distR="0">
            <wp:extent cx="676910" cy="171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ind w:left="680"/>
        <w:spacing w:after="0"/>
        <w:rPr>
          <w:sz w:val="20"/>
          <w:szCs w:val="20"/>
          <w:color w:val="auto"/>
        </w:rPr>
      </w:pPr>
      <w:r>
        <w:rPr>
          <w:rFonts w:ascii="Arial" w:cs="Arial" w:eastAsia="Arial" w:hAnsi="Arial"/>
          <w:sz w:val="40"/>
          <w:szCs w:val="40"/>
          <w:b w:val="1"/>
          <w:bCs w:val="1"/>
          <w:color w:val="50535A"/>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-272415</wp:posOffset>
            </wp:positionV>
            <wp:extent cx="17970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705" cy="24003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92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60" w:type="dxa"/>
            <w:vAlign w:val="bottom"/>
            <w:tcBorders>
              <w:bottom w:val="single" w:sz="8" w:color="ACACAC"/>
            </w:tcBorders>
            <w:shd w:val="clear" w:color="auto" w:fill="ACACAC"/>
          </w:tcPr>
          <w:p>
            <w:pPr>
              <w:spacing w:after="0"/>
              <w:rPr>
                <w:sz w:val="17"/>
                <w:szCs w:val="17"/>
                <w:color w:val="auto"/>
              </w:rPr>
            </w:pPr>
          </w:p>
        </w:tc>
        <w:tc>
          <w:tcPr>
            <w:tcW w:w="12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3"/>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F4F4F4"/>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27,591</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35,750</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216,122</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609,219</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Accounts receivable, net of allowance of $10,847 and $10,292 at September 30, 2021 and</w:t>
            </w:r>
          </w:p>
        </w:tc>
        <w:tc>
          <w:tcPr>
            <w:tcW w:w="360" w:type="dxa"/>
            <w:vAlign w:val="bottom"/>
            <w:shd w:val="clear" w:color="auto" w:fill="F4F4F4"/>
          </w:tcPr>
          <w:p>
            <w:pPr>
              <w:spacing w:after="0"/>
              <w:rPr>
                <w:sz w:val="19"/>
                <w:szCs w:val="19"/>
                <w:color w:val="auto"/>
              </w:rPr>
            </w:pPr>
          </w:p>
        </w:tc>
        <w:tc>
          <w:tcPr>
            <w:tcW w:w="128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December 31, 2020, respectively</w:t>
            </w:r>
          </w:p>
        </w:tc>
        <w:tc>
          <w:tcPr>
            <w:tcW w:w="360" w:type="dxa"/>
            <w:vAlign w:val="bottom"/>
            <w:shd w:val="clear" w:color="auto" w:fill="F4F4F4"/>
          </w:tcPr>
          <w:p>
            <w:pPr>
              <w:spacing w:after="0"/>
              <w:rPr>
                <w:sz w:val="18"/>
                <w:szCs w:val="18"/>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105,873</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95,404</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Customer funds receivable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6,076</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shd w:val="clear" w:color="auto" w:fill="F4F4F4"/>
          </w:tcPr>
          <w:p>
            <w:pPr>
              <w:spacing w:after="0"/>
              <w:rPr>
                <w:sz w:val="21"/>
                <w:szCs w:val="21"/>
                <w:color w:val="auto"/>
              </w:rPr>
            </w:pPr>
          </w:p>
        </w:tc>
        <w:tc>
          <w:tcPr>
            <w:tcW w:w="12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102,319</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78,366</w:t>
            </w:r>
          </w:p>
        </w:tc>
        <w:tc>
          <w:tcPr>
            <w:tcW w:w="20" w:type="dxa"/>
            <w:vAlign w:val="bottom"/>
          </w:tcPr>
          <w:p>
            <w:pPr>
              <w:spacing w:after="0"/>
              <w:rPr>
                <w:sz w:val="21"/>
                <w:szCs w:val="21"/>
                <w:color w:val="auto"/>
              </w:rPr>
            </w:pPr>
          </w:p>
        </w:tc>
      </w:tr>
      <w:tr>
        <w:trPr>
          <w:trHeight w:val="227"/>
        </w:trPr>
        <w:tc>
          <w:tcPr>
            <w:tcW w:w="79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457,981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819,060</w:t>
            </w:r>
          </w:p>
        </w:tc>
        <w:tc>
          <w:tcPr>
            <w:tcW w:w="20" w:type="dxa"/>
            <w:vAlign w:val="bottom"/>
          </w:tcPr>
          <w:p>
            <w:pPr>
              <w:spacing w:after="0"/>
              <w:rPr>
                <w:sz w:val="19"/>
                <w:szCs w:val="19"/>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Property and equipment, net</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103,346</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105,177</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19,652</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22,671</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Software development costs, net</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118,860</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111,827</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635,912</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635,854</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Intangible assets, net</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249,494</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277,506</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69,699</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72,639</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880"/>
              <w:spacing w:after="0"/>
              <w:rPr>
                <w:sz w:val="20"/>
                <w:szCs w:val="20"/>
                <w:color w:val="auto"/>
              </w:rPr>
            </w:pPr>
            <w:r>
              <w:rPr>
                <w:rFonts w:ascii="Arial" w:cs="Arial" w:eastAsia="Arial" w:hAnsi="Arial"/>
                <w:sz w:val="16"/>
                <w:szCs w:val="16"/>
                <w:b w:val="1"/>
                <w:bCs w:val="1"/>
                <w:color w:val="auto"/>
              </w:rPr>
              <w:t>Total assets</w:t>
            </w:r>
          </w:p>
        </w:tc>
        <w:tc>
          <w:tcPr>
            <w:tcW w:w="360" w:type="dxa"/>
            <w:vAlign w:val="bottom"/>
            <w:tcBorders>
              <w:bottom w:val="single" w:sz="8" w:color="auto"/>
            </w:tcBorders>
            <w:shd w:val="clear" w:color="auto" w:fill="F4F4F4"/>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1,654,944</w:t>
            </w:r>
          </w:p>
        </w:tc>
        <w:tc>
          <w:tcPr>
            <w:tcW w:w="400" w:type="dxa"/>
            <w:vAlign w:val="bottom"/>
            <w:tcBorders>
              <w:bottom w:val="single" w:sz="8" w:color="auto"/>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2,044,734</w:t>
            </w:r>
          </w:p>
        </w:tc>
        <w:tc>
          <w:tcPr>
            <w:tcW w:w="20" w:type="dxa"/>
            <w:vAlign w:val="bottom"/>
          </w:tcPr>
          <w:p>
            <w:pPr>
              <w:spacing w:after="0"/>
              <w:rPr>
                <w:sz w:val="21"/>
                <w:szCs w:val="2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Trade accounts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38,388</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27,836</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58,579</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52,228</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Due to customers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220,785</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608,264</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Debt, current portion</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12,948</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12,840</w:t>
            </w:r>
          </w:p>
        </w:tc>
        <w:tc>
          <w:tcPr>
            <w:tcW w:w="20" w:type="dxa"/>
            <w:vAlign w:val="bottom"/>
          </w:tcPr>
          <w:p>
            <w:pPr>
              <w:spacing w:after="0"/>
              <w:rPr>
                <w:sz w:val="21"/>
                <w:szCs w:val="21"/>
                <w:color w:val="auto"/>
              </w:rPr>
            </w:pPr>
          </w:p>
        </w:tc>
      </w:tr>
      <w:tr>
        <w:trPr>
          <w:trHeight w:val="237"/>
        </w:trPr>
        <w:tc>
          <w:tcPr>
            <w:tcW w:w="7920" w:type="dxa"/>
            <w:vAlign w:val="bottom"/>
            <w:tcBorders>
              <w:bottom w:val="single" w:sz="8" w:color="F4F4F4"/>
            </w:tcBorders>
          </w:tcPr>
          <w:p>
            <w:pPr>
              <w:ind w:left="460"/>
              <w:spacing w:after="0"/>
              <w:rPr>
                <w:sz w:val="20"/>
                <w:szCs w:val="20"/>
                <w:color w:val="auto"/>
              </w:rPr>
            </w:pPr>
            <w:r>
              <w:rPr>
                <w:rFonts w:ascii="Arial" w:cs="Arial" w:eastAsia="Arial" w:hAnsi="Arial"/>
                <w:sz w:val="16"/>
                <w:szCs w:val="16"/>
                <w:color w:val="auto"/>
              </w:rPr>
              <w:t>Deferred revenue, current portion</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329,426</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312,236</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66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660,126</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1,013,404</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Debt, net of current portion</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514,418</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518,193</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Deferred tax liability</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56,144</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54,086</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Deferred revenue, net of current portion</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4,528</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4,678</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Operating lease liabilities, net of current portion</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13,470</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17,357</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4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9,421</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10,866</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88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bottom w:val="single" w:sz="8" w:color="auto"/>
            </w:tcBorders>
            <w:shd w:val="clear" w:color="auto" w:fill="F4F4F4"/>
          </w:tcPr>
          <w:p>
            <w:pPr>
              <w:spacing w:after="0"/>
              <w:rPr>
                <w:sz w:val="21"/>
                <w:szCs w:val="21"/>
                <w:color w:val="auto"/>
              </w:rPr>
            </w:pPr>
          </w:p>
        </w:tc>
        <w:tc>
          <w:tcPr>
            <w:tcW w:w="12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1,258,107</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1,618,584</w:t>
            </w:r>
          </w:p>
        </w:tc>
        <w:tc>
          <w:tcPr>
            <w:tcW w:w="20" w:type="dxa"/>
            <w:vAlign w:val="bottom"/>
          </w:tcPr>
          <w:p>
            <w:pPr>
              <w:spacing w:after="0"/>
              <w:rPr>
                <w:sz w:val="21"/>
                <w:szCs w:val="21"/>
                <w:color w:val="auto"/>
              </w:rPr>
            </w:pPr>
          </w:p>
        </w:tc>
      </w:tr>
      <w:tr>
        <w:trPr>
          <w:trHeight w:val="213"/>
        </w:trPr>
        <w:tc>
          <w:tcPr>
            <w:tcW w:w="7920" w:type="dxa"/>
            <w:vAlign w:val="bottom"/>
          </w:tcPr>
          <w:p>
            <w:pPr>
              <w:ind w:left="240"/>
              <w:spacing w:after="0"/>
              <w:rPr>
                <w:sz w:val="20"/>
                <w:szCs w:val="20"/>
                <w:color w:val="auto"/>
              </w:rPr>
            </w:pPr>
            <w:r>
              <w:rPr>
                <w:rFonts w:ascii="Arial" w:cs="Arial" w:eastAsia="Arial" w:hAnsi="Arial"/>
                <w:sz w:val="16"/>
                <w:szCs w:val="16"/>
                <w:color w:val="auto"/>
              </w:rPr>
              <w:t>Commitments and contingencies (see Note 9)</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F4F4F4"/>
          </w:tcPr>
          <w:p>
            <w:pPr>
              <w:spacing w:after="0"/>
              <w:rPr>
                <w:sz w:val="21"/>
                <w:szCs w:val="21"/>
                <w:color w:val="auto"/>
              </w:rPr>
            </w:pPr>
          </w:p>
        </w:tc>
        <w:tc>
          <w:tcPr>
            <w:tcW w:w="128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Preferred stock; 20,000,000 shares authorized, none outstanding</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Common stock, $0.001 par value; 180,000,000 shares authorized, 62,353,643 and 60,904,638 shares</w:t>
            </w:r>
          </w:p>
        </w:tc>
        <w:tc>
          <w:tcPr>
            <w:tcW w:w="360" w:type="dxa"/>
            <w:vAlign w:val="bottom"/>
            <w:shd w:val="clear" w:color="auto" w:fill="F4F4F4"/>
          </w:tcPr>
          <w:p>
            <w:pPr>
              <w:spacing w:after="0"/>
              <w:rPr>
                <w:sz w:val="19"/>
                <w:szCs w:val="19"/>
                <w:color w:val="auto"/>
              </w:rPr>
            </w:pPr>
          </w:p>
        </w:tc>
        <w:tc>
          <w:tcPr>
            <w:tcW w:w="128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issued at September 30, 2021 and December 31, 2020, respectively</w:t>
            </w:r>
          </w:p>
        </w:tc>
        <w:tc>
          <w:tcPr>
            <w:tcW w:w="360" w:type="dxa"/>
            <w:vAlign w:val="bottom"/>
            <w:shd w:val="clear" w:color="auto" w:fill="F4F4F4"/>
          </w:tcPr>
          <w:p>
            <w:pPr>
              <w:spacing w:after="0"/>
              <w:rPr>
                <w:sz w:val="18"/>
                <w:szCs w:val="18"/>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62</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634,406</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544,963</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Treasury stock, at cost; 14,039,117 and 12,054,268 shares at September 30, 2021 and December 31,</w:t>
            </w:r>
          </w:p>
        </w:tc>
        <w:tc>
          <w:tcPr>
            <w:tcW w:w="360" w:type="dxa"/>
            <w:vAlign w:val="bottom"/>
            <w:shd w:val="clear" w:color="auto" w:fill="F4F4F4"/>
          </w:tcPr>
          <w:p>
            <w:pPr>
              <w:spacing w:after="0"/>
              <w:rPr>
                <w:sz w:val="19"/>
                <w:szCs w:val="19"/>
                <w:color w:val="auto"/>
              </w:rPr>
            </w:pPr>
          </w:p>
        </w:tc>
        <w:tc>
          <w:tcPr>
            <w:tcW w:w="128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2020, respectively</w:t>
            </w:r>
          </w:p>
        </w:tc>
        <w:tc>
          <w:tcPr>
            <w:tcW w:w="360" w:type="dxa"/>
            <w:vAlign w:val="bottom"/>
            <w:shd w:val="clear" w:color="auto" w:fill="F4F4F4"/>
          </w:tcPr>
          <w:p>
            <w:pPr>
              <w:spacing w:after="0"/>
              <w:rPr>
                <w:sz w:val="18"/>
                <w:szCs w:val="18"/>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(490,456)</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(353,091)</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3,319</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(2,497)</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auto"/>
            </w:tcBorders>
            <w:shd w:val="clear" w:color="auto" w:fill="F4F4F4"/>
          </w:tcPr>
          <w:p>
            <w:pPr>
              <w:spacing w:after="0"/>
              <w:rPr>
                <w:sz w:val="21"/>
                <w:szCs w:val="21"/>
                <w:color w:val="auto"/>
              </w:rPr>
            </w:pPr>
          </w:p>
        </w:tc>
        <w:tc>
          <w:tcPr>
            <w:tcW w:w="12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249,506</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236,714</w:t>
            </w:r>
          </w:p>
        </w:tc>
        <w:tc>
          <w:tcPr>
            <w:tcW w:w="20" w:type="dxa"/>
            <w:vAlign w:val="bottom"/>
          </w:tcPr>
          <w:p>
            <w:pPr>
              <w:spacing w:after="0"/>
              <w:rPr>
                <w:sz w:val="21"/>
                <w:szCs w:val="21"/>
                <w:color w:val="auto"/>
              </w:rPr>
            </w:pPr>
          </w:p>
        </w:tc>
      </w:tr>
      <w:tr>
        <w:trPr>
          <w:trHeight w:val="230"/>
        </w:trPr>
        <w:tc>
          <w:tcPr>
            <w:tcW w:w="7920" w:type="dxa"/>
            <w:vAlign w:val="bottom"/>
            <w:tcBorders>
              <w:bottom w:val="single" w:sz="8" w:color="F4F4F4"/>
            </w:tcBorders>
          </w:tcPr>
          <w:p>
            <w:pPr>
              <w:ind w:left="880"/>
              <w:spacing w:after="0"/>
              <w:rPr>
                <w:sz w:val="20"/>
                <w:szCs w:val="20"/>
                <w:color w:val="auto"/>
              </w:rPr>
            </w:pPr>
            <w:r>
              <w:rPr>
                <w:rFonts w:ascii="Arial" w:cs="Arial" w:eastAsia="Arial" w:hAnsi="Arial"/>
                <w:sz w:val="16"/>
                <w:szCs w:val="16"/>
                <w:b w:val="1"/>
                <w:bCs w:val="1"/>
                <w:color w:val="auto"/>
              </w:rPr>
              <w:t>Total stockholders’ equity</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396,837</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426,150</w:t>
            </w:r>
          </w:p>
        </w:tc>
        <w:tc>
          <w:tcPr>
            <w:tcW w:w="20" w:type="dxa"/>
            <w:vAlign w:val="bottom"/>
          </w:tcPr>
          <w:p>
            <w:pPr>
              <w:spacing w:after="0"/>
              <w:rPr>
                <w:sz w:val="20"/>
                <w:szCs w:val="20"/>
                <w:color w:val="auto"/>
              </w:rPr>
            </w:pPr>
          </w:p>
        </w:tc>
      </w:tr>
      <w:tr>
        <w:trPr>
          <w:trHeight w:val="237"/>
        </w:trPr>
        <w:tc>
          <w:tcPr>
            <w:tcW w:w="7920" w:type="dxa"/>
            <w:vAlign w:val="bottom"/>
            <w:tcBorders>
              <w:bottom w:val="single" w:sz="8" w:color="71BF43"/>
            </w:tcBorders>
            <w:shd w:val="clear" w:color="auto" w:fill="F4F4F4"/>
          </w:tcPr>
          <w:p>
            <w:pPr>
              <w:ind w:left="880"/>
              <w:spacing w:after="0"/>
              <w:rPr>
                <w:sz w:val="20"/>
                <w:szCs w:val="20"/>
                <w:color w:val="auto"/>
              </w:rPr>
            </w:pPr>
            <w:r>
              <w:rPr>
                <w:rFonts w:ascii="Arial" w:cs="Arial" w:eastAsia="Arial" w:hAnsi="Arial"/>
                <w:sz w:val="16"/>
                <w:szCs w:val="16"/>
                <w:b w:val="1"/>
                <w:bCs w:val="1"/>
                <w:color w:val="auto"/>
              </w:rPr>
              <w:t>Total liabilities and stockholders’ equity</w:t>
            </w:r>
          </w:p>
        </w:tc>
        <w:tc>
          <w:tcPr>
            <w:tcW w:w="360" w:type="dxa"/>
            <w:vAlign w:val="bottom"/>
            <w:tcBorders>
              <w:bottom w:val="single" w:sz="8" w:color="71BF43"/>
            </w:tcBorders>
            <w:shd w:val="clear" w:color="auto" w:fill="F4F4F4"/>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1,654,944</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2,044,734</w:t>
            </w:r>
          </w:p>
        </w:tc>
        <w:tc>
          <w:tcPr>
            <w:tcW w:w="20" w:type="dxa"/>
            <w:vAlign w:val="bottom"/>
          </w:tcPr>
          <w:p>
            <w:pPr>
              <w:spacing w:after="0"/>
              <w:rPr>
                <w:sz w:val="20"/>
                <w:szCs w:val="20"/>
                <w:color w:val="auto"/>
              </w:rPr>
            </w:pPr>
          </w:p>
        </w:tc>
      </w:tr>
    </w:tbl>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302260</wp:posOffset>
            </wp:positionV>
            <wp:extent cx="6769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16"/>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 w:name="page5"/>
    <w:bookmarkEnd w:id="4"/>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Borders>
              <w:top w:val="single" w:sz="8" w:color="ACACAC"/>
            </w:tcBorders>
            <w:shd w:val="clear" w:color="auto" w:fill="ACACAC"/>
          </w:tcPr>
          <w:p>
            <w:pPr>
              <w:spacing w:after="0"/>
              <w:rPr>
                <w:sz w:val="16"/>
                <w:szCs w:val="16"/>
                <w:color w:val="auto"/>
              </w:rPr>
            </w:pPr>
          </w:p>
        </w:tc>
        <w:tc>
          <w:tcPr>
            <w:tcW w:w="2620" w:type="dxa"/>
            <w:vAlign w:val="bottom"/>
            <w:tcBorders>
              <w:top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Borders>
              <w:top w:val="single" w:sz="8" w:color="ACACAC"/>
            </w:tcBorders>
          </w:tcPr>
          <w:p>
            <w:pPr>
              <w:spacing w:after="0"/>
              <w:rPr>
                <w:sz w:val="16"/>
                <w:szCs w:val="16"/>
                <w:color w:val="auto"/>
              </w:rPr>
            </w:pPr>
          </w:p>
        </w:tc>
        <w:tc>
          <w:tcPr>
            <w:tcW w:w="2640" w:type="dxa"/>
            <w:vAlign w:val="bottom"/>
            <w:tcBorders>
              <w:top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90"/>
        </w:trPr>
        <w:tc>
          <w:tcPr>
            <w:tcW w:w="5900" w:type="dxa"/>
            <w:vAlign w:val="bottom"/>
            <w:shd w:val="clear" w:color="auto" w:fill="ACACAC"/>
          </w:tcPr>
          <w:p>
            <w:pPr>
              <w:spacing w:after="0"/>
              <w:rPr>
                <w:sz w:val="16"/>
                <w:szCs w:val="16"/>
                <w:color w:val="auto"/>
              </w:rPr>
            </w:pPr>
          </w:p>
        </w:tc>
        <w:tc>
          <w:tcPr>
            <w:tcW w:w="1310" w:type="dxa"/>
            <w:vAlign w:val="bottom"/>
            <w:shd w:val="clear" w:color="auto" w:fill="ACACAC"/>
          </w:tcPr>
          <w:p>
            <w:pPr>
              <w:spacing w:after="0"/>
              <w:rPr>
                <w:sz w:val="16"/>
                <w:szCs w:val="16"/>
                <w:color w:val="auto"/>
              </w:rPr>
            </w:pP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132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30"/>
        </w:trPr>
        <w:tc>
          <w:tcPr>
            <w:tcW w:w="59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6"/>
        </w:trPr>
        <w:tc>
          <w:tcPr>
            <w:tcW w:w="590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shd w:val="clear" w:color="auto" w:fill="ACACAC"/>
          </w:tcPr>
          <w:p>
            <w:pPr>
              <w:spacing w:after="0"/>
              <w:rPr>
                <w:sz w:val="2"/>
                <w:szCs w:val="2"/>
                <w:color w:val="auto"/>
              </w:rPr>
            </w:pPr>
          </w:p>
        </w:tc>
        <w:tc>
          <w:tcPr>
            <w:tcW w:w="1320" w:type="dxa"/>
            <w:vAlign w:val="bottom"/>
            <w:shd w:val="clear" w:color="auto" w:fill="ACACA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3402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Revenue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ind w:left="240"/>
              <w:spacing w:after="0"/>
              <w:rPr>
                <w:sz w:val="20"/>
                <w:szCs w:val="20"/>
                <w:color w:val="auto"/>
              </w:rPr>
            </w:pPr>
            <w:r>
              <w:rPr>
                <w:rFonts w:ascii="Arial" w:cs="Arial" w:eastAsia="Arial" w:hAnsi="Arial"/>
                <w:sz w:val="16"/>
                <w:szCs w:val="16"/>
                <w:color w:val="auto"/>
              </w:rPr>
              <w:t>Recurring</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218,530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200,102</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642,266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621,229</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One-time services and other</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12,688</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14,899</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37,583</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49,384</w:t>
            </w:r>
          </w:p>
        </w:tc>
      </w:tr>
      <w:tr>
        <w:trPr>
          <w:trHeight w:val="227"/>
        </w:trPr>
        <w:tc>
          <w:tcPr>
            <w:tcW w:w="5900" w:type="dxa"/>
            <w:vAlign w:val="bottom"/>
          </w:tcPr>
          <w:p>
            <w:pPr>
              <w:ind w:left="46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231,218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679,849</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670,613</w:t>
            </w:r>
          </w:p>
        </w:tc>
      </w:tr>
      <w:tr>
        <w:trPr>
          <w:trHeight w:val="25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Cost of revenue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Cost of recurring</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95,823</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84,251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279,123</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265,172</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Cost of one-time services and other</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11,858</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14,434</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40,013</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43,317</w:t>
            </w:r>
          </w:p>
        </w:tc>
      </w:tr>
      <w:tr>
        <w:trPr>
          <w:trHeight w:val="230"/>
        </w:trPr>
        <w:tc>
          <w:tcPr>
            <w:tcW w:w="590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cost of revenue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107,681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98,685</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319,136</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308,489</w:t>
            </w:r>
          </w:p>
        </w:tc>
      </w:tr>
      <w:tr>
        <w:trPr>
          <w:trHeight w:val="24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123,537</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116,316</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360,713</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362,124</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Sales, marketing and customer success</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44,703</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48,460</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138,948</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159,149</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31,566</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22,783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90,967</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72,655</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34,733</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34,132</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97,328</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89,829</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558</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1,674</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2,219</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Restructuring</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131</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263</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179</w:t>
            </w:r>
          </w:p>
        </w:tc>
      </w:tr>
      <w:tr>
        <w:trPr>
          <w:trHeight w:val="230"/>
        </w:trPr>
        <w:tc>
          <w:tcPr>
            <w:tcW w:w="590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111,691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106,229</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329,180</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324,031</w:t>
            </w:r>
          </w:p>
        </w:tc>
      </w:tr>
      <w:tr>
        <w:trPr>
          <w:trHeight w:val="24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11,846</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10,087</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31,533</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38,093</w:t>
            </w:r>
          </w:p>
        </w:tc>
      </w:tr>
      <w:tr>
        <w:trPr>
          <w:trHeight w:val="227"/>
        </w:trPr>
        <w:tc>
          <w:tcPr>
            <w:tcW w:w="59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(4,003)</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(14,171)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(12,049)</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862</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339</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2,242</w:t>
            </w:r>
          </w:p>
        </w:tc>
      </w:tr>
      <w:tr>
        <w:trPr>
          <w:trHeight w:val="22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Income before provision for income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8,705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17,701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28,286</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2,517</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1,756</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4,946</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6,948</w:t>
            </w:r>
          </w:p>
        </w:tc>
      </w:tr>
      <w:tr>
        <w:trPr>
          <w:trHeight w:val="230"/>
        </w:trPr>
        <w:tc>
          <w:tcPr>
            <w:tcW w:w="5900" w:type="dxa"/>
            <w:vAlign w:val="bottom"/>
            <w:tcBorders>
              <w:bottom w:val="single" w:sz="8" w:color="F4F4F4"/>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6,188</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4,876</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21,338</w:t>
            </w:r>
          </w:p>
        </w:tc>
      </w:tr>
      <w:tr>
        <w:trPr>
          <w:trHeight w:val="230"/>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0.13</w:t>
            </w:r>
          </w:p>
        </w:tc>
        <w:tc>
          <w:tcPr>
            <w:tcW w:w="28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0.26</w:t>
            </w:r>
          </w:p>
        </w:tc>
        <w:tc>
          <w:tcPr>
            <w:tcW w:w="28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0.44</w:t>
            </w:r>
          </w:p>
        </w:tc>
      </w:tr>
      <w:tr>
        <w:trPr>
          <w:trHeight w:val="23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Common shares and equivalents outstanding</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Basic weighted average shares</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47,542,746</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48,271,139</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47,554,746</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48,182,799</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Diluted weighted average shares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48,274,072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48,859,707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48,259,956</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48,582,068</w:t>
            </w:r>
          </w:p>
        </w:tc>
      </w:tr>
      <w:tr>
        <w:trPr>
          <w:trHeight w:val="25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Other comprehensive (loss) income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(3,234)</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(1,954)</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Unrealized gain (loss) on derivative instruments, net of tax</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262</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4,756</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(1,628)</w:t>
            </w:r>
          </w:p>
        </w:tc>
      </w:tr>
      <w:tr>
        <w:trPr>
          <w:trHeight w:val="230"/>
        </w:trPr>
        <w:tc>
          <w:tcPr>
            <w:tcW w:w="590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other comprehensive (loss) income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5,816</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w:t>
            </w:r>
          </w:p>
        </w:tc>
      </w:tr>
      <w:tr>
        <w:trPr>
          <w:trHeight w:val="237"/>
        </w:trPr>
        <w:tc>
          <w:tcPr>
            <w:tcW w:w="59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6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3,216</w:t>
            </w:r>
          </w:p>
        </w:tc>
        <w:tc>
          <w:tcPr>
            <w:tcW w:w="28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10,480</w:t>
            </w:r>
          </w:p>
        </w:tc>
        <w:tc>
          <w:tcPr>
            <w:tcW w:w="100" w:type="dxa"/>
            <w:vAlign w:val="bottom"/>
            <w:tcBorders>
              <w:bottom w:val="single" w:sz="8" w:color="71BF43"/>
            </w:tcBorders>
            <w:shd w:val="clear" w:color="auto" w:fill="F4F4F4"/>
          </w:tcPr>
          <w:p>
            <w:pPr>
              <w:spacing w:after="0"/>
              <w:rPr>
                <w:sz w:val="20"/>
                <w:szCs w:val="20"/>
                <w:color w:val="auto"/>
              </w:rPr>
            </w:pPr>
          </w:p>
        </w:tc>
        <w:tc>
          <w:tcPr>
            <w:tcW w:w="26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18,571</w:t>
            </w:r>
          </w:p>
        </w:tc>
        <w:tc>
          <w:tcPr>
            <w:tcW w:w="28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17,756</w:t>
            </w:r>
          </w:p>
        </w:tc>
      </w:tr>
    </w:tbl>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auto"/>
        </w:rPr>
        <w:t>4</w:t>
      </w:r>
      <w:r>
        <w:rPr>
          <w:sz w:val="20"/>
          <w:szCs w:val="20"/>
          <w:color w:val="auto"/>
        </w:rPr>
        <w:tab/>
      </w:r>
      <w:r>
        <w:rPr>
          <w:sz w:val="1"/>
          <w:szCs w:val="1"/>
          <w:color w:val="auto"/>
        </w:rPr>
        <w:drawing>
          <wp:inline distT="0" distB="0" distL="0" distR="0">
            <wp:extent cx="67691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 w:name="page6"/>
    <w:bookmarkEnd w:id="5"/>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780" w:type="dxa"/>
            <w:vAlign w:val="bottom"/>
            <w:shd w:val="clear" w:color="auto" w:fill="ACACAC"/>
          </w:tcPr>
          <w:p>
            <w:pPr>
              <w:spacing w:after="0"/>
              <w:rPr>
                <w:sz w:val="16"/>
                <w:szCs w:val="16"/>
                <w:color w:val="auto"/>
              </w:rPr>
            </w:pPr>
          </w:p>
        </w:tc>
        <w:tc>
          <w:tcPr>
            <w:tcW w:w="24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90"/>
        </w:trPr>
        <w:tc>
          <w:tcPr>
            <w:tcW w:w="8780" w:type="dxa"/>
            <w:vAlign w:val="bottom"/>
            <w:shd w:val="clear" w:color="auto" w:fill="ACACAC"/>
          </w:tcPr>
          <w:p>
            <w:pPr>
              <w:spacing w:after="0"/>
              <w:rPr>
                <w:sz w:val="16"/>
                <w:szCs w:val="16"/>
                <w:color w:val="auto"/>
              </w:rPr>
            </w:pPr>
          </w:p>
        </w:tc>
        <w:tc>
          <w:tcPr>
            <w:tcW w:w="1220" w:type="dxa"/>
            <w:vAlign w:val="bottom"/>
            <w:shd w:val="clear" w:color="auto" w:fill="ACACAC"/>
          </w:tcPr>
          <w:p>
            <w:pPr>
              <w:spacing w:after="0"/>
              <w:rPr>
                <w:sz w:val="16"/>
                <w:szCs w:val="16"/>
                <w:color w:val="auto"/>
              </w:rPr>
            </w:pPr>
          </w:p>
        </w:tc>
        <w:tc>
          <w:tcPr>
            <w:tcW w:w="1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30"/>
        </w:trPr>
        <w:tc>
          <w:tcPr>
            <w:tcW w:w="87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6"/>
        </w:trPr>
        <w:tc>
          <w:tcPr>
            <w:tcW w:w="8780" w:type="dxa"/>
            <w:vAlign w:val="bottom"/>
            <w:shd w:val="clear" w:color="auto" w:fill="ACACAC"/>
          </w:tcPr>
          <w:p>
            <w:pPr>
              <w:spacing w:after="0"/>
              <w:rPr>
                <w:sz w:val="2"/>
                <w:szCs w:val="2"/>
                <w:color w:val="auto"/>
              </w:rPr>
            </w:pPr>
          </w:p>
        </w:tc>
        <w:tc>
          <w:tcPr>
            <w:tcW w:w="1220" w:type="dxa"/>
            <w:vAlign w:val="bottom"/>
            <w:shd w:val="clear" w:color="auto" w:fill="ACACAC"/>
          </w:tcPr>
          <w:p>
            <w:pPr>
              <w:spacing w:after="0"/>
              <w:rPr>
                <w:sz w:val="2"/>
                <w:szCs w:val="2"/>
                <w:color w:val="auto"/>
              </w:rPr>
            </w:pPr>
          </w:p>
        </w:tc>
        <w:tc>
          <w:tcPr>
            <w:tcW w:w="1220" w:type="dxa"/>
            <w:vAlign w:val="bottom"/>
            <w:shd w:val="clear" w:color="auto" w:fill="ACACA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7115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-153670</wp:posOffset>
            </wp:positionV>
            <wp:extent cx="1551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7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12,755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21,338</w:t>
            </w:r>
          </w:p>
        </w:tc>
      </w:tr>
      <w:tr>
        <w:trPr>
          <w:trHeight w:val="253"/>
        </w:trPr>
        <w:tc>
          <w:tcPr>
            <w:tcW w:w="87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60,484</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68,755</w:t>
            </w: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Provision for credit losses and sales returns</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7,992</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10,156</w:t>
            </w: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89,480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54,556</w:t>
            </w: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Deferred taxes</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400</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1,879</w:t>
            </w: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Amortization of deferred financing costs and discount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1,234</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Other non-cash adjustments</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(527)</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2,203</w:t>
            </w: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Changes in operating assets and liabilities, net of acquisition and disposal of businesses: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(18,779)</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(18,319)</w:t>
            </w:r>
          </w:p>
        </w:tc>
      </w:tr>
      <w:tr>
        <w:trPr>
          <w:trHeight w:val="233"/>
        </w:trPr>
        <w:tc>
          <w:tcPr>
            <w:tcW w:w="878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(14,169)</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4,292</w:t>
            </w: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Trade accounts payable</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10,728</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(17,203)</w:t>
            </w:r>
          </w:p>
        </w:tc>
      </w:tr>
      <w:tr>
        <w:trPr>
          <w:trHeight w:val="233"/>
        </w:trPr>
        <w:tc>
          <w:tcPr>
            <w:tcW w:w="8780" w:type="dxa"/>
            <w:vAlign w:val="bottom"/>
          </w:tcPr>
          <w:p>
            <w:pPr>
              <w:ind w:left="66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2,790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(31,595)</w:t>
            </w: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auto"/>
            </w:tcBorders>
            <w:shd w:val="clear" w:color="auto" w:fill="F4F4F4"/>
          </w:tcPr>
          <w:p>
            <w:pPr>
              <w:spacing w:after="0"/>
              <w:rPr>
                <w:sz w:val="21"/>
                <w:szCs w:val="21"/>
                <w:color w:val="auto"/>
              </w:rPr>
            </w:pPr>
          </w:p>
        </w:tc>
        <w:tc>
          <w:tcPr>
            <w:tcW w:w="8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17,400</w:t>
            </w:r>
          </w:p>
        </w:tc>
        <w:tc>
          <w:tcPr>
            <w:tcW w:w="340" w:type="dxa"/>
            <w:vAlign w:val="bottom"/>
            <w:tcBorders>
              <w:bottom w:val="single" w:sz="8" w:color="auto"/>
            </w:tcBorders>
            <w:shd w:val="clear" w:color="auto" w:fill="F4F4F4"/>
          </w:tcPr>
          <w:p>
            <w:pPr>
              <w:spacing w:after="0"/>
              <w:rPr>
                <w:sz w:val="21"/>
                <w:szCs w:val="21"/>
                <w:color w:val="auto"/>
              </w:rPr>
            </w:pPr>
          </w:p>
        </w:tc>
        <w:tc>
          <w:tcPr>
            <w:tcW w:w="8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12,534</w:t>
            </w:r>
          </w:p>
        </w:tc>
      </w:tr>
      <w:tr>
        <w:trPr>
          <w:trHeight w:val="227"/>
        </w:trPr>
        <w:tc>
          <w:tcPr>
            <w:tcW w:w="8780" w:type="dxa"/>
            <w:vAlign w:val="bottom"/>
          </w:tcPr>
          <w:p>
            <w:pPr>
              <w:ind w:left="88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169,788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109,165</w:t>
            </w:r>
          </w:p>
        </w:tc>
      </w:tr>
      <w:tr>
        <w:trPr>
          <w:trHeight w:val="253"/>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r>
      <w:tr>
        <w:trPr>
          <w:trHeight w:val="233"/>
        </w:trPr>
        <w:tc>
          <w:tcPr>
            <w:tcW w:w="8780" w:type="dxa"/>
            <w:vAlign w:val="bottom"/>
          </w:tcPr>
          <w:p>
            <w:pPr>
              <w:ind w:left="24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(8,332)</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(25,836)</w:t>
            </w:r>
          </w:p>
        </w:tc>
      </w:tr>
      <w:tr>
        <w:trPr>
          <w:trHeight w:val="253"/>
        </w:trPr>
        <w:tc>
          <w:tcPr>
            <w:tcW w:w="878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Capitalized software development costs</w:t>
            </w:r>
          </w:p>
        </w:tc>
        <w:tc>
          <w:tcPr>
            <w:tcW w:w="320" w:type="dxa"/>
            <w:vAlign w:val="bottom"/>
            <w:tcBorders>
              <w:bottom w:val="single" w:sz="8" w:color="auto"/>
            </w:tcBorders>
            <w:shd w:val="clear" w:color="auto" w:fill="F4F4F4"/>
          </w:tcPr>
          <w:p>
            <w:pPr>
              <w:spacing w:after="0"/>
              <w:rPr>
                <w:sz w:val="21"/>
                <w:szCs w:val="21"/>
                <w:color w:val="auto"/>
              </w:rPr>
            </w:pPr>
          </w:p>
        </w:tc>
        <w:tc>
          <w:tcPr>
            <w:tcW w:w="8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(29,661)</w:t>
            </w:r>
          </w:p>
        </w:tc>
        <w:tc>
          <w:tcPr>
            <w:tcW w:w="340" w:type="dxa"/>
            <w:vAlign w:val="bottom"/>
            <w:tcBorders>
              <w:bottom w:val="single" w:sz="8" w:color="auto"/>
            </w:tcBorders>
            <w:shd w:val="clear" w:color="auto" w:fill="F4F4F4"/>
          </w:tcPr>
          <w:p>
            <w:pPr>
              <w:spacing w:after="0"/>
              <w:rPr>
                <w:sz w:val="21"/>
                <w:szCs w:val="21"/>
                <w:color w:val="auto"/>
              </w:rPr>
            </w:pPr>
          </w:p>
        </w:tc>
        <w:tc>
          <w:tcPr>
            <w:tcW w:w="8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(32,028)</w:t>
            </w:r>
          </w:p>
        </w:tc>
      </w:tr>
      <w:tr>
        <w:trPr>
          <w:trHeight w:val="227"/>
        </w:trPr>
        <w:tc>
          <w:tcPr>
            <w:tcW w:w="8780" w:type="dxa"/>
            <w:vAlign w:val="bottom"/>
          </w:tcPr>
          <w:p>
            <w:pPr>
              <w:ind w:left="88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(37,993)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(57,864)</w:t>
            </w:r>
          </w:p>
        </w:tc>
      </w:tr>
      <w:tr>
        <w:trPr>
          <w:trHeight w:val="253"/>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r>
    </w:tbl>
    <w:p>
      <w:pPr>
        <w:spacing w:after="0" w:line="29"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260"/>
        <w:spacing w:after="0"/>
        <w:rPr>
          <w:sz w:val="20"/>
          <w:szCs w:val="20"/>
          <w:color w:val="auto"/>
        </w:rPr>
      </w:pPr>
      <w:r>
        <w:rPr>
          <w:rFonts w:ascii="Arial" w:cs="Arial" w:eastAsia="Arial" w:hAnsi="Arial"/>
          <w:sz w:val="16"/>
          <w:szCs w:val="16"/>
          <w:color w:val="auto"/>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Payments on debt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Employee taxes paid for withheld shares upon equity award settlement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Change in due to customers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Change in 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Purchase of treasury stock</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Dividend payments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cash equivalents and restricted cash</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40"/>
        <w:spacing w:after="0"/>
        <w:tabs>
          <w:tab w:leader="none" w:pos="1720" w:val="left"/>
        </w:tabs>
        <w:rPr>
          <w:sz w:val="20"/>
          <w:szCs w:val="20"/>
          <w:color w:val="auto"/>
        </w:rPr>
      </w:pPr>
      <w:r>
        <w:rPr>
          <w:rFonts w:ascii="Arial" w:cs="Arial" w:eastAsia="Arial" w:hAnsi="Arial"/>
          <w:sz w:val="16"/>
          <w:szCs w:val="16"/>
          <w:color w:val="auto"/>
        </w:rPr>
        <w:t>128,300</w:t>
      </w:r>
      <w:r>
        <w:rPr>
          <w:sz w:val="20"/>
          <w:szCs w:val="20"/>
          <w:color w:val="auto"/>
        </w:rPr>
        <w:tab/>
      </w:r>
      <w:r>
        <w:rPr>
          <w:rFonts w:ascii="Arial" w:cs="Arial" w:eastAsia="Arial" w:hAnsi="Arial"/>
          <w:sz w:val="16"/>
          <w:szCs w:val="16"/>
          <w:color w:val="auto"/>
        </w:rPr>
        <w:t>267,400</w:t>
      </w:r>
    </w:p>
    <w:p>
      <w:pPr>
        <w:spacing w:after="0" w:line="59" w:lineRule="exact"/>
        <w:rPr>
          <w:sz w:val="20"/>
          <w:szCs w:val="20"/>
          <w:color w:val="auto"/>
        </w:rPr>
      </w:pPr>
    </w:p>
    <w:p>
      <w:pPr>
        <w:jc w:val="both"/>
        <w:ind w:left="480"/>
        <w:spacing w:after="0"/>
        <w:tabs>
          <w:tab w:leader="none" w:pos="1660" w:val="left"/>
        </w:tabs>
        <w:rPr>
          <w:sz w:val="20"/>
          <w:szCs w:val="20"/>
          <w:color w:val="auto"/>
        </w:rPr>
      </w:pPr>
      <w:r>
        <w:rPr>
          <w:rFonts w:ascii="Arial" w:cs="Arial" w:eastAsia="Arial" w:hAnsi="Arial"/>
          <w:sz w:val="16"/>
          <w:szCs w:val="16"/>
          <w:color w:val="auto"/>
        </w:rPr>
        <w:t>(131,272)</w:t>
      </w:r>
      <w:r>
        <w:rPr>
          <w:sz w:val="20"/>
          <w:szCs w:val="20"/>
          <w:color w:val="auto"/>
        </w:rPr>
        <w:tab/>
      </w:r>
      <w:r>
        <w:rPr>
          <w:rFonts w:ascii="Arial" w:cs="Arial" w:eastAsia="Arial" w:hAnsi="Arial"/>
          <w:sz w:val="16"/>
          <w:szCs w:val="16"/>
          <w:color w:val="auto"/>
        </w:rPr>
        <w:t>(290,999)</w:t>
      </w:r>
    </w:p>
    <w:p>
      <w:pPr>
        <w:spacing w:after="0" w:line="5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—(593)</w:t>
      </w:r>
    </w:p>
    <w:p>
      <w:pPr>
        <w:spacing w:after="0" w:line="59" w:lineRule="exact"/>
        <w:rPr>
          <w:sz w:val="20"/>
          <w:szCs w:val="20"/>
          <w:color w:val="auto"/>
        </w:rPr>
      </w:pPr>
    </w:p>
    <w:p>
      <w:pPr>
        <w:jc w:val="both"/>
        <w:ind w:left="560"/>
        <w:spacing w:after="0"/>
        <w:tabs>
          <w:tab w:leader="none" w:pos="1760" w:val="left"/>
        </w:tabs>
        <w:rPr>
          <w:sz w:val="20"/>
          <w:szCs w:val="20"/>
          <w:color w:val="auto"/>
        </w:rPr>
      </w:pPr>
      <w:r>
        <w:rPr>
          <w:rFonts w:ascii="Arial" w:cs="Arial" w:eastAsia="Arial" w:hAnsi="Arial"/>
          <w:sz w:val="16"/>
          <w:szCs w:val="16"/>
          <w:color w:val="auto"/>
        </w:rPr>
        <w:t>(39,012)</w:t>
      </w:r>
      <w:r>
        <w:rPr>
          <w:sz w:val="20"/>
          <w:szCs w:val="20"/>
          <w:color w:val="auto"/>
        </w:rPr>
        <w:tab/>
      </w:r>
      <w:r>
        <w:rPr>
          <w:rFonts w:ascii="Arial" w:cs="Arial" w:eastAsia="Arial" w:hAnsi="Arial"/>
          <w:sz w:val="16"/>
          <w:szCs w:val="16"/>
          <w:color w:val="auto"/>
        </w:rPr>
        <w:t>(21,286)</w:t>
      </w:r>
    </w:p>
    <w:p>
      <w:pPr>
        <w:spacing w:after="0" w:line="5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—4</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(386,973)(337,821)</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(5,838)(4,495)</w:t>
      </w:r>
    </w:p>
    <w:p>
      <w:pPr>
        <w:spacing w:after="0" w:line="59" w:lineRule="exact"/>
        <w:rPr>
          <w:sz w:val="20"/>
          <w:szCs w:val="20"/>
          <w:color w:val="auto"/>
        </w:rPr>
      </w:pPr>
    </w:p>
    <w:p>
      <w:pPr>
        <w:ind w:left="560"/>
        <w:spacing w:after="0"/>
        <w:tabs>
          <w:tab w:leader="none" w:pos="2160" w:val="left"/>
        </w:tabs>
        <w:rPr>
          <w:sz w:val="20"/>
          <w:szCs w:val="20"/>
          <w:color w:val="auto"/>
        </w:rPr>
      </w:pPr>
      <w:r>
        <w:rPr>
          <w:rFonts w:ascii="Arial" w:cs="Arial" w:eastAsia="Arial" w:hAnsi="Arial"/>
          <w:sz w:val="16"/>
          <w:szCs w:val="16"/>
          <w:color w:val="auto"/>
        </w:rPr>
        <w:t>(98,353)</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—(5,960)</w:t>
      </w:r>
    </w:p>
    <w:p>
      <w:pPr>
        <w:spacing w:after="0" w:line="73" w:lineRule="exact"/>
        <w:rPr>
          <w:sz w:val="20"/>
          <w:szCs w:val="20"/>
          <w:color w:val="auto"/>
        </w:rPr>
      </w:pPr>
    </w:p>
    <w:p>
      <w:pPr>
        <w:jc w:val="both"/>
        <w:ind w:left="480"/>
        <w:spacing w:after="0"/>
        <w:tabs>
          <w:tab w:leader="none" w:pos="1660" w:val="left"/>
        </w:tabs>
        <w:rPr>
          <w:sz w:val="20"/>
          <w:szCs w:val="20"/>
          <w:color w:val="auto"/>
        </w:rPr>
      </w:pPr>
      <w:r>
        <w:rPr>
          <w:rFonts w:ascii="Arial" w:cs="Arial" w:eastAsia="Arial" w:hAnsi="Arial"/>
          <w:sz w:val="16"/>
          <w:szCs w:val="16"/>
          <w:color w:val="auto"/>
        </w:rPr>
        <w:t>(533,148)</w:t>
      </w:r>
      <w:r>
        <w:rPr>
          <w:sz w:val="20"/>
          <w:szCs w:val="20"/>
          <w:color w:val="auto"/>
        </w:rPr>
        <w:tab/>
      </w:r>
      <w:r>
        <w:rPr>
          <w:rFonts w:ascii="Arial" w:cs="Arial" w:eastAsia="Arial" w:hAnsi="Arial"/>
          <w:sz w:val="16"/>
          <w:szCs w:val="16"/>
          <w:color w:val="auto"/>
        </w:rPr>
        <w:t>(393,750)</w:t>
      </w:r>
    </w:p>
    <w:p>
      <w:pPr>
        <w:spacing w:after="0" w:line="59" w:lineRule="exact"/>
        <w:rPr>
          <w:sz w:val="20"/>
          <w:szCs w:val="20"/>
          <w:color w:val="auto"/>
        </w:rPr>
      </w:pPr>
    </w:p>
    <w:p>
      <w:pPr>
        <w:ind w:left="2000" w:hanging="1061"/>
        <w:spacing w:after="0"/>
        <w:tabs>
          <w:tab w:leader="none" w:pos="2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(623)</w:t>
      </w:r>
    </w:p>
    <w:p>
      <w:pPr>
        <w:spacing w:after="0" w:line="72"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(401,256)(343,072)</w:t>
      </w:r>
    </w:p>
    <w:p>
      <w:pPr>
        <w:spacing w:after="0" w:line="59"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644,969577,295</w:t>
      </w:r>
    </w:p>
    <w:p>
      <w:pPr>
        <w:spacing w:after="0" w:line="73" w:lineRule="exact"/>
        <w:rPr>
          <w:sz w:val="20"/>
          <w:szCs w:val="20"/>
          <w:color w:val="auto"/>
        </w:rPr>
      </w:pPr>
    </w:p>
    <w:p>
      <w:pPr>
        <w:spacing w:after="0"/>
        <w:tabs>
          <w:tab w:leader="none" w:pos="520" w:val="left"/>
          <w:tab w:leader="none" w:pos="1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243,713 $</w:t>
      </w:r>
      <w:r>
        <w:rPr>
          <w:sz w:val="20"/>
          <w:szCs w:val="20"/>
          <w:color w:val="auto"/>
        </w:rPr>
        <w:tab/>
      </w:r>
      <w:r>
        <w:rPr>
          <w:rFonts w:ascii="Arial" w:cs="Arial" w:eastAsia="Arial" w:hAnsi="Arial"/>
          <w:sz w:val="16"/>
          <w:szCs w:val="16"/>
          <w:color w:val="auto"/>
        </w:rPr>
        <w:t>234,223</w:t>
      </w:r>
    </w:p>
    <w:p>
      <w:pPr>
        <w:spacing w:after="0" w:line="200" w:lineRule="exact"/>
        <w:rPr>
          <w:sz w:val="20"/>
          <w:szCs w:val="20"/>
          <w:color w:val="auto"/>
        </w:rPr>
      </w:pPr>
    </w:p>
    <w:p>
      <w:pPr>
        <w:sectPr>
          <w:pgSz w:w="11900" w:h="16838" w:orient="portrait"/>
          <w:cols w:equalWidth="0" w:num="2">
            <w:col w:w="8100" w:space="720"/>
            <w:col w:w="2440"/>
          </w:cols>
          <w:pgMar w:left="320" w:top="1440" w:right="319" w:bottom="1440" w:gutter="0" w:footer="0" w:header="0"/>
          <w:type w:val="continuous"/>
        </w:sectPr>
      </w:pPr>
    </w:p>
    <w:p>
      <w:pPr>
        <w:spacing w:after="0" w:line="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tcBorders>
              <w:bottom w:val="single" w:sz="8" w:color="ACACAC"/>
            </w:tcBorders>
            <w:shd w:val="clear" w:color="auto" w:fill="ACACAC"/>
          </w:tcPr>
          <w:p>
            <w:pPr>
              <w:spacing w:after="0"/>
              <w:rPr>
                <w:sz w:val="17"/>
                <w:szCs w:val="17"/>
                <w:color w:val="auto"/>
              </w:rPr>
            </w:pPr>
          </w:p>
        </w:tc>
        <w:tc>
          <w:tcPr>
            <w:tcW w:w="12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17"/>
                <w:szCs w:val="17"/>
                <w:color w:val="auto"/>
              </w:rPr>
            </w:pPr>
          </w:p>
        </w:tc>
        <w:tc>
          <w:tcPr>
            <w:tcW w:w="12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3"/>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F4F4F4"/>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27,591</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35,750</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0"/>
              <w:spacing w:after="0"/>
              <w:rPr>
                <w:sz w:val="20"/>
                <w:szCs w:val="20"/>
                <w:color w:val="auto"/>
              </w:rPr>
            </w:pPr>
            <w:r>
              <w:rPr>
                <w:rFonts w:ascii="Arial" w:cs="Arial" w:eastAsia="Arial" w:hAnsi="Arial"/>
                <w:sz w:val="16"/>
                <w:szCs w:val="16"/>
                <w:color w:val="auto"/>
              </w:rPr>
              <w:t>Restricted cash</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216,122</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609,219</w:t>
            </w:r>
          </w:p>
        </w:tc>
        <w:tc>
          <w:tcPr>
            <w:tcW w:w="20" w:type="dxa"/>
            <w:vAlign w:val="bottom"/>
          </w:tcPr>
          <w:p>
            <w:pPr>
              <w:spacing w:after="0"/>
              <w:rPr>
                <w:sz w:val="20"/>
                <w:szCs w:val="20"/>
                <w:color w:val="auto"/>
              </w:rPr>
            </w:pPr>
          </w:p>
        </w:tc>
      </w:tr>
      <w:tr>
        <w:trPr>
          <w:trHeight w:val="236"/>
        </w:trPr>
        <w:tc>
          <w:tcPr>
            <w:tcW w:w="792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6"/>
                <w:szCs w:val="16"/>
                <w:color w:val="auto"/>
              </w:rPr>
              <w:t>Total cash, cash equivalents and restricted cash in the statement of cash flows</w:t>
            </w:r>
          </w:p>
        </w:tc>
        <w:tc>
          <w:tcPr>
            <w:tcW w:w="380" w:type="dxa"/>
            <w:vAlign w:val="bottom"/>
            <w:tcBorders>
              <w:bottom w:val="single" w:sz="8" w:color="71BF43"/>
            </w:tcBorders>
            <w:shd w:val="clear" w:color="auto" w:fill="F4F4F4"/>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243,713</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644,969</w:t>
            </w:r>
          </w:p>
        </w:tc>
        <w:tc>
          <w:tcPr>
            <w:tcW w:w="20" w:type="dxa"/>
            <w:vAlign w:val="bottom"/>
          </w:tcPr>
          <w:p>
            <w:pPr>
              <w:spacing w:after="0"/>
              <w:rPr>
                <w:sz w:val="20"/>
                <w:szCs w:val="20"/>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559435</wp:posOffset>
            </wp:positionV>
            <wp:extent cx="67691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16"/>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shd w:val="clear" w:color="auto" w:fill="ACACAC"/>
          </w:tcPr>
          <w:p>
            <w:pPr>
              <w:spacing w:after="0"/>
              <w:rPr>
                <w:sz w:val="19"/>
                <w:szCs w:val="19"/>
                <w:color w:val="auto"/>
              </w:rPr>
            </w:pPr>
          </w:p>
        </w:tc>
        <w:tc>
          <w:tcPr>
            <w:tcW w:w="9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ACACAC"/>
          </w:tcPr>
          <w:p>
            <w:pPr>
              <w:spacing w:after="0"/>
              <w:rPr>
                <w:sz w:val="14"/>
                <w:szCs w:val="14"/>
                <w:color w:val="auto"/>
              </w:rPr>
            </w:pPr>
          </w:p>
        </w:tc>
        <w:tc>
          <w:tcPr>
            <w:tcW w:w="16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Additional</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other</w:t>
            </w:r>
          </w:p>
        </w:tc>
        <w:tc>
          <w:tcPr>
            <w:tcW w:w="2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580" w:type="dxa"/>
            <w:vAlign w:val="bottom"/>
            <w:shd w:val="clear" w:color="auto" w:fill="ACACAC"/>
          </w:tcPr>
          <w:p>
            <w:pPr>
              <w:spacing w:after="0"/>
              <w:rPr>
                <w:sz w:val="10"/>
                <w:szCs w:val="10"/>
                <w:color w:val="auto"/>
              </w:rPr>
            </w:pPr>
          </w:p>
        </w:tc>
        <w:tc>
          <w:tcPr>
            <w:tcW w:w="1680" w:type="dxa"/>
            <w:vAlign w:val="bottom"/>
            <w:gridSpan w:val="3"/>
            <w:vMerge w:val="continue"/>
            <w:shd w:val="clear" w:color="auto" w:fill="ACACAC"/>
          </w:tcPr>
          <w:p>
            <w:pPr>
              <w:spacing w:after="0"/>
              <w:rPr>
                <w:sz w:val="10"/>
                <w:szCs w:val="10"/>
                <w:color w:val="auto"/>
              </w:rPr>
            </w:pP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paid-in</w:t>
            </w: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16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200" w:type="dxa"/>
            <w:vAlign w:val="bottom"/>
            <w:shd w:val="clear" w:color="auto" w:fill="ACACAC"/>
          </w:tcPr>
          <w:p>
            <w:pPr>
              <w:spacing w:after="0"/>
              <w:rPr>
                <w:sz w:val="10"/>
                <w:szCs w:val="10"/>
                <w:color w:val="auto"/>
              </w:rPr>
            </w:pPr>
          </w:p>
        </w:tc>
        <w:tc>
          <w:tcPr>
            <w:tcW w:w="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100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580" w:type="dxa"/>
            <w:vAlign w:val="bottom"/>
            <w:shd w:val="clear" w:color="auto" w:fill="ACACAC"/>
          </w:tcPr>
          <w:p>
            <w:pPr>
              <w:spacing w:after="0"/>
              <w:rPr>
                <w:sz w:val="3"/>
                <w:szCs w:val="3"/>
                <w:color w:val="auto"/>
              </w:rPr>
            </w:pPr>
          </w:p>
        </w:tc>
        <w:tc>
          <w:tcPr>
            <w:tcW w:w="980" w:type="dxa"/>
            <w:vAlign w:val="bottom"/>
            <w:shd w:val="clear" w:color="auto" w:fill="ACACAC"/>
          </w:tcPr>
          <w:p>
            <w:pPr>
              <w:spacing w:after="0"/>
              <w:rPr>
                <w:sz w:val="3"/>
                <w:szCs w:val="3"/>
                <w:color w:val="auto"/>
              </w:rPr>
            </w:pPr>
          </w:p>
        </w:tc>
        <w:tc>
          <w:tcPr>
            <w:tcW w:w="120" w:type="dxa"/>
            <w:vAlign w:val="bottom"/>
            <w:shd w:val="clear" w:color="auto" w:fill="ACACAC"/>
          </w:tcPr>
          <w:p>
            <w:pPr>
              <w:spacing w:after="0"/>
              <w:rPr>
                <w:sz w:val="3"/>
                <w:szCs w:val="3"/>
                <w:color w:val="auto"/>
              </w:rPr>
            </w:pPr>
          </w:p>
        </w:tc>
        <w:tc>
          <w:tcPr>
            <w:tcW w:w="580" w:type="dxa"/>
            <w:vAlign w:val="bottom"/>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160" w:type="dxa"/>
            <w:vAlign w:val="bottom"/>
            <w:gridSpan w:val="2"/>
            <w:vMerge w:val="continue"/>
            <w:shd w:val="clear" w:color="auto" w:fill="ACACAC"/>
          </w:tcPr>
          <w:p>
            <w:pPr>
              <w:spacing w:after="0"/>
              <w:rPr>
                <w:sz w:val="3"/>
                <w:szCs w:val="3"/>
                <w:color w:val="auto"/>
              </w:rPr>
            </w:pPr>
          </w:p>
        </w:tc>
        <w:tc>
          <w:tcPr>
            <w:tcW w:w="200" w:type="dxa"/>
            <w:vAlign w:val="bottom"/>
            <w:shd w:val="clear" w:color="auto" w:fill="ACACAC"/>
          </w:tcPr>
          <w:p>
            <w:pPr>
              <w:spacing w:after="0"/>
              <w:rPr>
                <w:sz w:val="3"/>
                <w:szCs w:val="3"/>
                <w:color w:val="auto"/>
              </w:rPr>
            </w:pPr>
          </w:p>
        </w:tc>
        <w:tc>
          <w:tcPr>
            <w:tcW w:w="740" w:type="dxa"/>
            <w:vAlign w:val="bottom"/>
            <w:vMerge w:val="continue"/>
            <w:shd w:val="clear" w:color="auto" w:fill="ACACAC"/>
          </w:tcPr>
          <w:p>
            <w:pPr>
              <w:spacing w:after="0"/>
              <w:rPr>
                <w:sz w:val="3"/>
                <w:szCs w:val="3"/>
                <w:color w:val="auto"/>
              </w:rPr>
            </w:pPr>
          </w:p>
        </w:tc>
        <w:tc>
          <w:tcPr>
            <w:tcW w:w="1000" w:type="dxa"/>
            <w:vAlign w:val="bottom"/>
            <w:gridSpan w:val="2"/>
            <w:vMerge w:val="continue"/>
            <w:shd w:val="clear" w:color="auto" w:fill="ACACAC"/>
          </w:tcPr>
          <w:p>
            <w:pPr>
              <w:spacing w:after="0"/>
              <w:rPr>
                <w:sz w:val="3"/>
                <w:szCs w:val="3"/>
                <w:color w:val="auto"/>
              </w:rPr>
            </w:pPr>
          </w:p>
        </w:tc>
        <w:tc>
          <w:tcPr>
            <w:tcW w:w="20" w:type="dxa"/>
            <w:vAlign w:val="bottom"/>
            <w:shd w:val="clear" w:color="auto" w:fill="ACAC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bottom w:val="single" w:sz="8" w:color="ACACAC"/>
            </w:tcBorders>
            <w:shd w:val="clear" w:color="auto" w:fill="ACACAC"/>
          </w:tcPr>
          <w:p>
            <w:pPr>
              <w:spacing w:after="0"/>
              <w:rPr>
                <w:sz w:val="17"/>
                <w:szCs w:val="17"/>
                <w:color w:val="auto"/>
              </w:rPr>
            </w:pPr>
          </w:p>
        </w:tc>
        <w:tc>
          <w:tcPr>
            <w:tcW w:w="5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ACACAC"/>
            </w:tcBorders>
            <w:shd w:val="clear" w:color="auto" w:fill="ACACAC"/>
          </w:tcPr>
          <w:p>
            <w:pPr>
              <w:spacing w:after="0"/>
              <w:rPr>
                <w:sz w:val="17"/>
                <w:szCs w:val="17"/>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income (loss)</w:t>
            </w:r>
          </w:p>
        </w:tc>
        <w:tc>
          <w:tcPr>
            <w:tcW w:w="200" w:type="dxa"/>
            <w:vAlign w:val="bottom"/>
            <w:tcBorders>
              <w:bottom w:val="single" w:sz="8" w:color="ACACAC"/>
            </w:tcBorders>
            <w:shd w:val="clear" w:color="auto" w:fill="ACACAC"/>
          </w:tcPr>
          <w:p>
            <w:pPr>
              <w:spacing w:after="0"/>
              <w:rPr>
                <w:sz w:val="17"/>
                <w:szCs w:val="17"/>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22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80" w:type="dxa"/>
            <w:vAlign w:val="bottom"/>
          </w:tcPr>
          <w:p>
            <w:pPr>
              <w:jc w:val="right"/>
              <w:spacing w:after="0"/>
              <w:rPr>
                <w:sz w:val="20"/>
                <w:szCs w:val="20"/>
                <w:color w:val="auto"/>
              </w:rPr>
            </w:pPr>
            <w:r>
              <w:rPr>
                <w:rFonts w:ascii="Arial" w:cs="Arial" w:eastAsia="Arial" w:hAnsi="Arial"/>
                <w:sz w:val="16"/>
                <w:szCs w:val="16"/>
                <w:color w:val="auto"/>
              </w:rPr>
              <w:t>60,904,638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544,963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(353,091)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(2,497)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236,714</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426,150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Purchase of 465,821 treasury shares under stock repurchase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program</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206,418</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Employee taxes paid for 240,867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(18,426)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29,995</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spacing w:after="0"/>
              <w:rPr>
                <w:sz w:val="20"/>
                <w:szCs w:val="20"/>
                <w:color w:val="auto"/>
              </w:rPr>
            </w:pPr>
            <w:r>
              <w:rPr>
                <w:rFonts w:ascii="Arial" w:cs="Arial" w:eastAsia="Arial" w:hAnsi="Arial"/>
                <w:sz w:val="16"/>
                <w:szCs w:val="16"/>
                <w:color w:val="auto"/>
              </w:rPr>
              <w:t>519,009</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(34,789)</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61,595,276</w:t>
            </w:r>
          </w:p>
        </w:tc>
        <w:tc>
          <w:tcPr>
            <w:tcW w:w="12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62</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574,958</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(399,583)</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4,163</w:t>
            </w:r>
          </w:p>
        </w:tc>
        <w:tc>
          <w:tcPr>
            <w:tcW w:w="20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236,560</w:t>
            </w:r>
          </w:p>
        </w:tc>
        <w:tc>
          <w:tcPr>
            <w:tcW w:w="220" w:type="dxa"/>
            <w:vAlign w:val="bottom"/>
            <w:shd w:val="clear" w:color="auto" w:fill="F4F4F4"/>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416,160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6,731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Purchase of 405,047 treasury shares under stock repurchase</w:t>
            </w:r>
          </w:p>
        </w:tc>
        <w:tc>
          <w:tcPr>
            <w:tcW w:w="98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program</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8"/>
                <w:szCs w:val="18"/>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(30,008)</w:t>
            </w:r>
          </w:p>
        </w:tc>
        <w:tc>
          <w:tcPr>
            <w:tcW w:w="16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8"/>
                <w:szCs w:val="18"/>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6"/>
                <w:szCs w:val="16"/>
                <w:color w:val="auto"/>
              </w:rPr>
              <w:t>804,323</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Employee taxes paid for 285,521 withheld shares upon equity</w:t>
            </w:r>
          </w:p>
        </w:tc>
        <w:tc>
          <w:tcPr>
            <w:tcW w:w="98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8"/>
                <w:szCs w:val="18"/>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(20,286)</w:t>
            </w:r>
          </w:p>
        </w:tc>
        <w:tc>
          <w:tcPr>
            <w:tcW w:w="16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8"/>
                <w:szCs w:val="18"/>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30,528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9,431</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tcPr>
          <w:p>
            <w:pPr>
              <w:jc w:val="right"/>
              <w:spacing w:after="0"/>
              <w:rPr>
                <w:sz w:val="20"/>
                <w:szCs w:val="20"/>
                <w:color w:val="auto"/>
              </w:rPr>
            </w:pPr>
            <w:r>
              <w:rPr>
                <w:rFonts w:ascii="Arial" w:cs="Arial" w:eastAsia="Arial" w:hAnsi="Arial"/>
                <w:sz w:val="16"/>
                <w:szCs w:val="16"/>
                <w:color w:val="auto"/>
              </w:rPr>
              <w:t>(76,316)</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F4F4F4"/>
          </w:tcPr>
          <w:p>
            <w:pPr>
              <w:spacing w:after="0"/>
              <w:rPr>
                <w:sz w:val="21"/>
                <w:szCs w:val="21"/>
                <w:color w:val="auto"/>
              </w:rPr>
            </w:pPr>
          </w:p>
        </w:tc>
        <w:tc>
          <w:tcPr>
            <w:tcW w:w="5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21"/>
                <w:szCs w:val="21"/>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21"/>
                <w:szCs w:val="21"/>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21"/>
                <w:szCs w:val="21"/>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2,128</w:t>
            </w:r>
          </w:p>
        </w:tc>
        <w:tc>
          <w:tcPr>
            <w:tcW w:w="200" w:type="dxa"/>
            <w:vAlign w:val="bottom"/>
            <w:tcBorders>
              <w:bottom w:val="single" w:sz="8" w:color="auto"/>
            </w:tcBorders>
            <w:shd w:val="clear" w:color="auto" w:fill="F4F4F4"/>
          </w:tcPr>
          <w:p>
            <w:pPr>
              <w:spacing w:after="0"/>
              <w:rPr>
                <w:sz w:val="21"/>
                <w:szCs w:val="21"/>
                <w:color w:val="auto"/>
              </w:rPr>
            </w:pPr>
          </w:p>
        </w:tc>
        <w:tc>
          <w:tcPr>
            <w:tcW w:w="7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F4F4F4"/>
          </w:tcPr>
          <w:p>
            <w:pPr>
              <w:spacing w:after="0"/>
              <w:rPr>
                <w:sz w:val="21"/>
                <w:szCs w:val="21"/>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2,128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980" w:type="dxa"/>
            <w:vAlign w:val="bottom"/>
          </w:tcPr>
          <w:p>
            <w:pPr>
              <w:jc w:val="right"/>
              <w:spacing w:after="0"/>
              <w:rPr>
                <w:sz w:val="20"/>
                <w:szCs w:val="20"/>
                <w:color w:val="auto"/>
              </w:rPr>
            </w:pPr>
            <w:r>
              <w:rPr>
                <w:rFonts w:ascii="Arial" w:cs="Arial" w:eastAsia="Arial" w:hAnsi="Arial"/>
                <w:sz w:val="16"/>
                <w:szCs w:val="16"/>
                <w:color w:val="auto"/>
              </w:rPr>
              <w:t>62,332,714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605,486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(449,877)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6,291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243,312</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405,274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6,188</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Purchase of 583,280 treasury shares under stock repurchase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program</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(40,279)</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(40,279)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908</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Employee taxes paid for 4,313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28,920</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28,926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spacing w:after="0"/>
              <w:rPr>
                <w:sz w:val="20"/>
                <w:szCs w:val="20"/>
                <w:color w:val="auto"/>
              </w:rPr>
            </w:pPr>
            <w:r>
              <w:rPr>
                <w:rFonts w:ascii="Arial" w:cs="Arial" w:eastAsia="Arial" w:hAnsi="Arial"/>
                <w:sz w:val="16"/>
                <w:szCs w:val="16"/>
                <w:color w:val="auto"/>
              </w:rPr>
              <w:t>54,132</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(34,111)</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loss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9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62,353,643</w:t>
            </w:r>
          </w:p>
        </w:tc>
        <w:tc>
          <w:tcPr>
            <w:tcW w:w="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634,406</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(490,456)</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3,319</w:t>
            </w:r>
          </w:p>
        </w:tc>
        <w:tc>
          <w:tcPr>
            <w:tcW w:w="200" w:type="dxa"/>
            <w:vAlign w:val="bottom"/>
            <w:tcBorders>
              <w:bottom w:val="single" w:sz="8" w:color="71BF43"/>
            </w:tcBorders>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249,506</w:t>
            </w:r>
          </w:p>
        </w:tc>
        <w:tc>
          <w:tcPr>
            <w:tcW w:w="220" w:type="dxa"/>
            <w:vAlign w:val="bottom"/>
            <w:tcBorders>
              <w:bottom w:val="single" w:sz="8" w:color="71BF43"/>
            </w:tcBorders>
            <w:shd w:val="clear" w:color="auto" w:fill="F4F4F4"/>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396,837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-5228590</wp:posOffset>
            </wp:positionV>
            <wp:extent cx="10718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hanging="314"/>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651510" cy="1714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shd w:val="clear" w:color="auto" w:fill="ACACAC"/>
          </w:tcPr>
          <w:p>
            <w:pPr>
              <w:spacing w:after="0"/>
              <w:rPr>
                <w:sz w:val="19"/>
                <w:szCs w:val="19"/>
                <w:color w:val="auto"/>
              </w:rPr>
            </w:pPr>
          </w:p>
        </w:tc>
        <w:tc>
          <w:tcPr>
            <w:tcW w:w="9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ACACAC"/>
          </w:tcPr>
          <w:p>
            <w:pPr>
              <w:spacing w:after="0"/>
              <w:rPr>
                <w:sz w:val="14"/>
                <w:szCs w:val="14"/>
                <w:color w:val="auto"/>
              </w:rPr>
            </w:pPr>
          </w:p>
        </w:tc>
        <w:tc>
          <w:tcPr>
            <w:tcW w:w="16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Additional</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other</w:t>
            </w:r>
          </w:p>
        </w:tc>
        <w:tc>
          <w:tcPr>
            <w:tcW w:w="2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580" w:type="dxa"/>
            <w:vAlign w:val="bottom"/>
            <w:shd w:val="clear" w:color="auto" w:fill="ACACAC"/>
          </w:tcPr>
          <w:p>
            <w:pPr>
              <w:spacing w:after="0"/>
              <w:rPr>
                <w:sz w:val="10"/>
                <w:szCs w:val="10"/>
                <w:color w:val="auto"/>
              </w:rPr>
            </w:pPr>
          </w:p>
        </w:tc>
        <w:tc>
          <w:tcPr>
            <w:tcW w:w="1680" w:type="dxa"/>
            <w:vAlign w:val="bottom"/>
            <w:gridSpan w:val="3"/>
            <w:vMerge w:val="continue"/>
            <w:shd w:val="clear" w:color="auto" w:fill="ACACAC"/>
          </w:tcPr>
          <w:p>
            <w:pPr>
              <w:spacing w:after="0"/>
              <w:rPr>
                <w:sz w:val="10"/>
                <w:szCs w:val="10"/>
                <w:color w:val="auto"/>
              </w:rPr>
            </w:pP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paid-in</w:t>
            </w: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16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200" w:type="dxa"/>
            <w:vAlign w:val="bottom"/>
            <w:shd w:val="clear" w:color="auto" w:fill="ACACAC"/>
          </w:tcPr>
          <w:p>
            <w:pPr>
              <w:spacing w:after="0"/>
              <w:rPr>
                <w:sz w:val="10"/>
                <w:szCs w:val="10"/>
                <w:color w:val="auto"/>
              </w:rPr>
            </w:pPr>
          </w:p>
        </w:tc>
        <w:tc>
          <w:tcPr>
            <w:tcW w:w="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100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580" w:type="dxa"/>
            <w:vAlign w:val="bottom"/>
            <w:shd w:val="clear" w:color="auto" w:fill="ACACAC"/>
          </w:tcPr>
          <w:p>
            <w:pPr>
              <w:spacing w:after="0"/>
              <w:rPr>
                <w:sz w:val="3"/>
                <w:szCs w:val="3"/>
                <w:color w:val="auto"/>
              </w:rPr>
            </w:pPr>
          </w:p>
        </w:tc>
        <w:tc>
          <w:tcPr>
            <w:tcW w:w="980" w:type="dxa"/>
            <w:vAlign w:val="bottom"/>
            <w:shd w:val="clear" w:color="auto" w:fill="ACACAC"/>
          </w:tcPr>
          <w:p>
            <w:pPr>
              <w:spacing w:after="0"/>
              <w:rPr>
                <w:sz w:val="3"/>
                <w:szCs w:val="3"/>
                <w:color w:val="auto"/>
              </w:rPr>
            </w:pPr>
          </w:p>
        </w:tc>
        <w:tc>
          <w:tcPr>
            <w:tcW w:w="120" w:type="dxa"/>
            <w:vAlign w:val="bottom"/>
            <w:shd w:val="clear" w:color="auto" w:fill="ACACAC"/>
          </w:tcPr>
          <w:p>
            <w:pPr>
              <w:spacing w:after="0"/>
              <w:rPr>
                <w:sz w:val="3"/>
                <w:szCs w:val="3"/>
                <w:color w:val="auto"/>
              </w:rPr>
            </w:pPr>
          </w:p>
        </w:tc>
        <w:tc>
          <w:tcPr>
            <w:tcW w:w="580" w:type="dxa"/>
            <w:vAlign w:val="bottom"/>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160" w:type="dxa"/>
            <w:vAlign w:val="bottom"/>
            <w:gridSpan w:val="2"/>
            <w:vMerge w:val="continue"/>
            <w:shd w:val="clear" w:color="auto" w:fill="ACACAC"/>
          </w:tcPr>
          <w:p>
            <w:pPr>
              <w:spacing w:after="0"/>
              <w:rPr>
                <w:sz w:val="3"/>
                <w:szCs w:val="3"/>
                <w:color w:val="auto"/>
              </w:rPr>
            </w:pPr>
          </w:p>
        </w:tc>
        <w:tc>
          <w:tcPr>
            <w:tcW w:w="200" w:type="dxa"/>
            <w:vAlign w:val="bottom"/>
            <w:shd w:val="clear" w:color="auto" w:fill="ACACAC"/>
          </w:tcPr>
          <w:p>
            <w:pPr>
              <w:spacing w:after="0"/>
              <w:rPr>
                <w:sz w:val="3"/>
                <w:szCs w:val="3"/>
                <w:color w:val="auto"/>
              </w:rPr>
            </w:pPr>
          </w:p>
        </w:tc>
        <w:tc>
          <w:tcPr>
            <w:tcW w:w="740" w:type="dxa"/>
            <w:vAlign w:val="bottom"/>
            <w:vMerge w:val="continue"/>
            <w:shd w:val="clear" w:color="auto" w:fill="ACACAC"/>
          </w:tcPr>
          <w:p>
            <w:pPr>
              <w:spacing w:after="0"/>
              <w:rPr>
                <w:sz w:val="3"/>
                <w:szCs w:val="3"/>
                <w:color w:val="auto"/>
              </w:rPr>
            </w:pPr>
          </w:p>
        </w:tc>
        <w:tc>
          <w:tcPr>
            <w:tcW w:w="1000" w:type="dxa"/>
            <w:vAlign w:val="bottom"/>
            <w:gridSpan w:val="2"/>
            <w:vMerge w:val="continue"/>
            <w:shd w:val="clear" w:color="auto" w:fill="ACACAC"/>
          </w:tcPr>
          <w:p>
            <w:pPr>
              <w:spacing w:after="0"/>
              <w:rPr>
                <w:sz w:val="3"/>
                <w:szCs w:val="3"/>
                <w:color w:val="auto"/>
              </w:rPr>
            </w:pPr>
          </w:p>
        </w:tc>
        <w:tc>
          <w:tcPr>
            <w:tcW w:w="20" w:type="dxa"/>
            <w:vAlign w:val="bottom"/>
            <w:shd w:val="clear" w:color="auto" w:fill="ACAC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bottom w:val="single" w:sz="8" w:color="ACACAC"/>
            </w:tcBorders>
            <w:shd w:val="clear" w:color="auto" w:fill="ACACAC"/>
          </w:tcPr>
          <w:p>
            <w:pPr>
              <w:spacing w:after="0"/>
              <w:rPr>
                <w:sz w:val="17"/>
                <w:szCs w:val="17"/>
                <w:color w:val="auto"/>
              </w:rPr>
            </w:pPr>
          </w:p>
        </w:tc>
        <w:tc>
          <w:tcPr>
            <w:tcW w:w="5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ACACAC"/>
            </w:tcBorders>
            <w:shd w:val="clear" w:color="auto" w:fill="ACACAC"/>
          </w:tcPr>
          <w:p>
            <w:pPr>
              <w:spacing w:after="0"/>
              <w:rPr>
                <w:sz w:val="17"/>
                <w:szCs w:val="17"/>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income (loss)</w:t>
            </w:r>
          </w:p>
        </w:tc>
        <w:tc>
          <w:tcPr>
            <w:tcW w:w="200" w:type="dxa"/>
            <w:vAlign w:val="bottom"/>
            <w:tcBorders>
              <w:bottom w:val="single" w:sz="8" w:color="ACACAC"/>
            </w:tcBorders>
            <w:shd w:val="clear" w:color="auto" w:fill="ACACAC"/>
          </w:tcPr>
          <w:p>
            <w:pPr>
              <w:spacing w:after="0"/>
              <w:rPr>
                <w:sz w:val="17"/>
                <w:szCs w:val="17"/>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22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80" w:type="dxa"/>
            <w:vAlign w:val="bottom"/>
          </w:tcPr>
          <w:p>
            <w:pPr>
              <w:jc w:val="right"/>
              <w:spacing w:after="0"/>
              <w:rPr>
                <w:sz w:val="20"/>
                <w:szCs w:val="20"/>
                <w:color w:val="auto"/>
              </w:rPr>
            </w:pPr>
            <w:r>
              <w:rPr>
                <w:rFonts w:ascii="Arial" w:cs="Arial" w:eastAsia="Arial" w:hAnsi="Arial"/>
                <w:sz w:val="16"/>
                <w:szCs w:val="16"/>
                <w:color w:val="auto"/>
              </w:rPr>
              <w:t>60,206,091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457,804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(290,665)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234,855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396,764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4,639</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4,639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Payment of dividends ($0.12 per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(5,960)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Exercise of stock options and vesting of restricted stock units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210,057</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Employee taxes paid for 245,358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(19,782)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13,539</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13,580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spacing w:after="0"/>
              <w:rPr>
                <w:sz w:val="20"/>
                <w:szCs w:val="20"/>
                <w:color w:val="auto"/>
              </w:rPr>
            </w:pPr>
            <w:r>
              <w:rPr>
                <w:rFonts w:ascii="Arial" w:cs="Arial" w:eastAsia="Arial" w:hAnsi="Arial"/>
                <w:sz w:val="16"/>
                <w:szCs w:val="16"/>
                <w:color w:val="auto"/>
              </w:rPr>
              <w:t>563,947</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(47,456)</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loss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60,932,639</w:t>
            </w:r>
          </w:p>
        </w:tc>
        <w:tc>
          <w:tcPr>
            <w:tcW w:w="12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471,344</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(310,447)</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(14,140)</w:t>
            </w:r>
          </w:p>
        </w:tc>
        <w:tc>
          <w:tcPr>
            <w:tcW w:w="20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233,575</w:t>
            </w:r>
          </w:p>
        </w:tc>
        <w:tc>
          <w:tcPr>
            <w:tcW w:w="220" w:type="dxa"/>
            <w:vAlign w:val="bottom"/>
            <w:shd w:val="clear" w:color="auto" w:fill="F4F4F4"/>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380,393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Exercise of stock options and vesting of restricted stock units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7,111</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Employee taxes paid for 21,200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20,103</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20,133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spacing w:after="0"/>
              <w:rPr>
                <w:sz w:val="20"/>
                <w:szCs w:val="20"/>
                <w:color w:val="auto"/>
              </w:rPr>
            </w:pPr>
            <w:r>
              <w:rPr>
                <w:rFonts w:ascii="Arial" w:cs="Arial" w:eastAsia="Arial" w:hAnsi="Arial"/>
                <w:sz w:val="16"/>
                <w:szCs w:val="16"/>
                <w:color w:val="auto"/>
              </w:rPr>
              <w:t>20,776</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(59,426)</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loss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60,901,100</w:t>
            </w:r>
          </w:p>
        </w:tc>
        <w:tc>
          <w:tcPr>
            <w:tcW w:w="12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491,450</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(311,661)</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(14,476)</w:t>
            </w:r>
          </w:p>
        </w:tc>
        <w:tc>
          <w:tcPr>
            <w:tcW w:w="20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245,428</w:t>
            </w:r>
          </w:p>
        </w:tc>
        <w:tc>
          <w:tcPr>
            <w:tcW w:w="220" w:type="dxa"/>
            <w:vAlign w:val="bottom"/>
            <w:shd w:val="clear" w:color="auto" w:fill="F4F4F4"/>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410,802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4,876</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906</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Employee taxes paid for 4,574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20,819</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20,843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spacing w:after="0"/>
              <w:rPr>
                <w:sz w:val="20"/>
                <w:szCs w:val="20"/>
                <w:color w:val="auto"/>
              </w:rPr>
            </w:pPr>
            <w:r>
              <w:rPr>
                <w:rFonts w:ascii="Arial" w:cs="Arial" w:eastAsia="Arial" w:hAnsi="Arial"/>
                <w:sz w:val="16"/>
                <w:szCs w:val="16"/>
                <w:color w:val="auto"/>
              </w:rPr>
              <w:t>48,783</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(46,864)</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9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60,903,925</w:t>
            </w:r>
          </w:p>
        </w:tc>
        <w:tc>
          <w:tcPr>
            <w:tcW w:w="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512,269</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(311,951)</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(8,872)</w:t>
            </w:r>
          </w:p>
        </w:tc>
        <w:tc>
          <w:tcPr>
            <w:tcW w:w="200" w:type="dxa"/>
            <w:vAlign w:val="bottom"/>
            <w:tcBorders>
              <w:bottom w:val="single" w:sz="8" w:color="71BF43"/>
            </w:tcBorders>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250,328</w:t>
            </w:r>
          </w:p>
        </w:tc>
        <w:tc>
          <w:tcPr>
            <w:tcW w:w="220" w:type="dxa"/>
            <w:vAlign w:val="bottom"/>
            <w:tcBorders>
              <w:bottom w:val="single" w:sz="8" w:color="71BF43"/>
            </w:tcBorders>
            <w:shd w:val="clear" w:color="auto" w:fill="F4F4F4"/>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441,835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-4559935</wp:posOffset>
            </wp:positionV>
            <wp:extent cx="10718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816610</wp:posOffset>
            </wp:positionV>
            <wp:extent cx="65976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480" w:type="dxa"/>
            <w:vAlign w:val="bottom"/>
          </w:tcPr>
          <w:p>
            <w:pPr>
              <w:ind w:left="7880"/>
              <w:spacing w:after="0"/>
              <w:rPr>
                <w:sz w:val="20"/>
                <w:szCs w:val="20"/>
                <w:color w:val="auto"/>
              </w:rPr>
            </w:pPr>
            <w:r>
              <w:rPr>
                <w:rFonts w:ascii="Arial" w:cs="Arial" w:eastAsia="Arial" w:hAnsi="Arial"/>
                <w:sz w:val="14"/>
                <w:szCs w:val="14"/>
                <w:color w:val="auto"/>
              </w:rPr>
              <w:t>Third Quarter 2021 Form 10-Q</w:t>
            </w: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29"/>
        </w:trPr>
        <w:tc>
          <w:tcPr>
            <w:tcW w:w="10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four decades, we are headquartered in Charleston, South Carolina, and have operations in the United States, Australia, Canada, Costa Rica and the United Kingdom.</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financial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condensed consolidated interim financial statements have been prepared pursuant to the rules and regulations of the United States Securities and Exchange Commission ("SEC") for interim financial reporting. These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consolidated balance sheet at December 31, 2020 has been derived from the audited consolidated financial statements at that date. Operating results and cash flows for the nine months ended September 30, 2021 are not necessarily indicative of the results that may be expected for the fiscal year ending December 31, 2021, or any other future period. Certain information and footnote disclosures normally included in annual financial statements prepared in accordance with GAAP have been omitted in accordance with the rules and regulations for interim reporting of the SEC. These condensed consolidated interim financial statements should be read in conjunction with the consolidated financial statements and notes thereto included in our Annual Report on Form 10-K for the year ended December 31, 2020, and other forms filed with the SEC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Blackbaud, Inc. and its wholly owned subsidiaries.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 ("CEO").</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discussed in Note 13, beginning in the second quarter of 2021, we combined our General Markets Group ("GMG") and Enterprise Markets Group ("EMG") into a single U.S. Markets Group ("UMG") and moved our Corporations vertical under our International Markets Group ("IMG"). This change was made to better align our resources toward customer retention and growth which, are key objectives as we progress toward our long-term aspirational goals. The change did not impact our conclusions that we have one operating and reportable segment and one goodwill reporting unit.</w:t>
      </w:r>
    </w:p>
    <w:p>
      <w:pPr>
        <w:spacing w:after="0" w:line="32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8</w:t>
      </w:r>
      <w:r>
        <w:rPr>
          <w:sz w:val="20"/>
          <w:szCs w:val="20"/>
          <w:color w:val="auto"/>
        </w:rPr>
        <w:tab/>
      </w:r>
      <w:r>
        <w:rPr>
          <w:sz w:val="1"/>
          <w:szCs w:val="1"/>
          <w:color w:val="auto"/>
        </w:rPr>
        <w:drawing>
          <wp:inline distT="0" distB="0" distL="0" distR="0">
            <wp:extent cx="651510" cy="171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 related to COVID-19</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are subject to risks and uncertainties as a result of the global COVID-19 pandemic. We believe that COVID-19 may continue to significantly impact our vertical markets and geographies, but the magnitude of the impact on our business cannot be determined at this time due to numerous uncertainties, including the duration of the outbreak, the severity of variants which may develop, travel restrictions and business closures, the effectiveness of vaccination programs and other actions taken to contain the disease and other unforeseeable consequences.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loss contingencies and insurance recoveries, among others. Changes in the facts or circumstances underlying these estimates, including due to COVID-19, could result in material changes and actual results could materially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are no recently issued accounting pronouncements that we expect to have a material impact on our consolidated financial statements when adopted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There have been no new or material changes to our significant accounting policies described in our Annual Report on Form 10-K for the year ended December 31, 2020, filed with the SEC on February 23, 2021.</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change in goodwill during the nine months ended September 30, 2021,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tcBorders>
              <w:bottom w:val="single" w:sz="8" w:color="ACACAC"/>
            </w:tcBorders>
            <w:shd w:val="clear" w:color="auto" w:fill="ACACAC"/>
          </w:tcPr>
          <w:p>
            <w:pPr>
              <w:spacing w:after="0"/>
              <w:rPr>
                <w:sz w:val="19"/>
                <w:szCs w:val="19"/>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ACACAC"/>
            </w:tcBorders>
            <w:shd w:val="clear" w:color="auto" w:fill="ACACAC"/>
          </w:tcPr>
          <w:p>
            <w:pPr>
              <w:spacing w:after="0"/>
              <w:rPr>
                <w:sz w:val="19"/>
                <w:szCs w:val="19"/>
                <w:color w:val="auto"/>
              </w:rPr>
            </w:pPr>
          </w:p>
        </w:tc>
      </w:tr>
      <w:tr>
        <w:trPr>
          <w:trHeight w:val="250"/>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635,854</w:t>
            </w:r>
          </w:p>
        </w:tc>
        <w:tc>
          <w:tcPr>
            <w:tcW w:w="20" w:type="dxa"/>
            <w:vAlign w:val="bottom"/>
          </w:tcPr>
          <w:p>
            <w:pPr>
              <w:spacing w:after="0"/>
              <w:rPr>
                <w:sz w:val="21"/>
                <w:szCs w:val="21"/>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Effect of foreign currency translation</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r>
      <w:tr>
        <w:trPr>
          <w:trHeight w:val="27"/>
        </w:trPr>
        <w:tc>
          <w:tcPr>
            <w:tcW w:w="980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635,912</w:t>
            </w:r>
          </w:p>
        </w:tc>
        <w:tc>
          <w:tcPr>
            <w:tcW w:w="20" w:type="dxa"/>
            <w:vAlign w:val="bottom"/>
          </w:tcPr>
          <w:p>
            <w:pPr>
              <w:spacing w:after="0"/>
              <w:rPr>
                <w:sz w:val="21"/>
                <w:szCs w:val="21"/>
                <w:color w:val="auto"/>
              </w:rPr>
            </w:pPr>
          </w:p>
        </w:tc>
      </w:tr>
      <w:tr>
        <w:trPr>
          <w:trHeight w:val="20"/>
        </w:trPr>
        <w:tc>
          <w:tcPr>
            <w:tcW w:w="9800" w:type="dxa"/>
            <w:vAlign w:val="bottom"/>
            <w:shd w:val="clear" w:color="auto" w:fill="71BF43"/>
          </w:tcPr>
          <w:p>
            <w:pPr>
              <w:spacing w:after="0" w:line="20" w:lineRule="exact"/>
              <w:rPr>
                <w:sz w:val="1"/>
                <w:szCs w:val="1"/>
                <w:color w:val="auto"/>
              </w:rPr>
            </w:pPr>
          </w:p>
        </w:tc>
        <w:tc>
          <w:tcPr>
            <w:tcW w:w="42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compute basic earnings per share by dividing net income available to common stockholders by the weighted average number of common shares outstanding during the period. Diluted earnings per share is computed by dividing net income available to common stockholders by the weighted average number of common shares and dilutive potential common shares outstanding during the period. Diluted earnings per share reflect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218440</wp:posOffset>
            </wp:positionV>
            <wp:extent cx="65976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32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26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26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90"/>
        </w:trPr>
        <w:tc>
          <w:tcPr>
            <w:tcW w:w="5900" w:type="dxa"/>
            <w:vAlign w:val="bottom"/>
            <w:shd w:val="clear" w:color="auto" w:fill="ACACAC"/>
          </w:tcPr>
          <w:p>
            <w:pPr>
              <w:spacing w:after="0"/>
              <w:rPr>
                <w:sz w:val="16"/>
                <w:szCs w:val="16"/>
                <w:color w:val="auto"/>
              </w:rPr>
            </w:pPr>
          </w:p>
        </w:tc>
        <w:tc>
          <w:tcPr>
            <w:tcW w:w="1310" w:type="dxa"/>
            <w:vAlign w:val="bottom"/>
            <w:shd w:val="clear" w:color="auto" w:fill="ACACAC"/>
          </w:tcPr>
          <w:p>
            <w:pPr>
              <w:spacing w:after="0"/>
              <w:rPr>
                <w:sz w:val="16"/>
                <w:szCs w:val="16"/>
                <w:color w:val="auto"/>
              </w:rPr>
            </w:pP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132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29"/>
        </w:trPr>
        <w:tc>
          <w:tcPr>
            <w:tcW w:w="59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6"/>
        </w:trPr>
        <w:tc>
          <w:tcPr>
            <w:tcW w:w="590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shd w:val="clear" w:color="auto" w:fill="ACACAC"/>
          </w:tcPr>
          <w:p>
            <w:pPr>
              <w:spacing w:after="0"/>
              <w:rPr>
                <w:sz w:val="2"/>
                <w:szCs w:val="2"/>
                <w:color w:val="auto"/>
              </w:rPr>
            </w:pPr>
          </w:p>
        </w:tc>
        <w:tc>
          <w:tcPr>
            <w:tcW w:w="1320" w:type="dxa"/>
            <w:vAlign w:val="bottom"/>
            <w:shd w:val="clear" w:color="auto" w:fill="ACACA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34029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6,188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12,755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21,338</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5900" w:type="dxa"/>
            <w:vAlign w:val="bottom"/>
          </w:tcPr>
          <w:p>
            <w:pPr>
              <w:ind w:left="14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47,542,746</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48,271,139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47,554,746</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48,182,799</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Stock-based awards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731,326</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705,210</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399,269</w:t>
            </w:r>
          </w:p>
        </w:tc>
      </w:tr>
      <w:tr>
        <w:trPr>
          <w:trHeight w:val="27"/>
        </w:trPr>
        <w:tc>
          <w:tcPr>
            <w:tcW w:w="590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Weighted average common shares assuming dilution</w:t>
            </w:r>
          </w:p>
        </w:tc>
        <w:tc>
          <w:tcPr>
            <w:tcW w:w="220" w:type="dxa"/>
            <w:vAlign w:val="bottom"/>
            <w:tcBorders>
              <w:bottom w:val="single" w:sz="8" w:color="F4F4F4"/>
            </w:tcBorders>
            <w:shd w:val="clear" w:color="auto" w:fill="F4F4F4"/>
          </w:tcPr>
          <w:p>
            <w:pPr>
              <w:spacing w:after="0"/>
              <w:rPr>
                <w:sz w:val="22"/>
                <w:szCs w:val="22"/>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48,274,072</w:t>
            </w:r>
          </w:p>
        </w:tc>
        <w:tc>
          <w:tcPr>
            <w:tcW w:w="24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48,859,707</w:t>
            </w:r>
          </w:p>
        </w:tc>
        <w:tc>
          <w:tcPr>
            <w:tcW w:w="100" w:type="dxa"/>
            <w:vAlign w:val="bottom"/>
            <w:tcBorders>
              <w:bottom w:val="single" w:sz="8" w:color="F4F4F4"/>
            </w:tcBorders>
            <w:shd w:val="clear" w:color="auto" w:fill="F4F4F4"/>
          </w:tcPr>
          <w:p>
            <w:pPr>
              <w:spacing w:after="0"/>
              <w:rPr>
                <w:sz w:val="22"/>
                <w:szCs w:val="22"/>
                <w:color w:val="auto"/>
              </w:rPr>
            </w:pPr>
          </w:p>
        </w:tc>
        <w:tc>
          <w:tcPr>
            <w:tcW w:w="220" w:type="dxa"/>
            <w:vAlign w:val="bottom"/>
            <w:tcBorders>
              <w:bottom w:val="single" w:sz="8" w:color="F4F4F4"/>
            </w:tcBorders>
            <w:shd w:val="clear" w:color="auto" w:fill="F4F4F4"/>
          </w:tcPr>
          <w:p>
            <w:pPr>
              <w:spacing w:after="0"/>
              <w:rPr>
                <w:sz w:val="22"/>
                <w:szCs w:val="22"/>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48,259,956</w:t>
            </w:r>
          </w:p>
        </w:tc>
        <w:tc>
          <w:tcPr>
            <w:tcW w:w="26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48,582,068</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0.44</w:t>
            </w:r>
          </w:p>
        </w:tc>
      </w:tr>
      <w:tr>
        <w:trPr>
          <w:trHeight w:val="243"/>
        </w:trPr>
        <w:tc>
          <w:tcPr>
            <w:tcW w:w="59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9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240" w:type="dxa"/>
            <w:vAlign w:val="bottom"/>
            <w:shd w:val="clear" w:color="auto" w:fill="F4F4F4"/>
          </w:tcPr>
          <w:p>
            <w:pPr>
              <w:spacing w:after="0"/>
              <w:rPr>
                <w:sz w:val="23"/>
                <w:szCs w:val="23"/>
                <w:color w:val="auto"/>
              </w:rPr>
            </w:pPr>
          </w:p>
        </w:tc>
        <w:tc>
          <w:tcPr>
            <w:tcW w:w="110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26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r>
      <w:tr>
        <w:trPr>
          <w:trHeight w:val="242"/>
        </w:trPr>
        <w:tc>
          <w:tcPr>
            <w:tcW w:w="5900" w:type="dxa"/>
            <w:vAlign w:val="bottom"/>
          </w:tcPr>
          <w:p>
            <w:pPr>
              <w:ind w:left="20"/>
              <w:spacing w:after="0"/>
              <w:rPr>
                <w:sz w:val="20"/>
                <w:szCs w:val="20"/>
                <w:color w:val="auto"/>
              </w:rPr>
            </w:pPr>
            <w:r>
              <w:rPr>
                <w:rFonts w:ascii="Arial" w:cs="Arial" w:eastAsia="Arial" w:hAnsi="Arial"/>
                <w:sz w:val="18"/>
                <w:szCs w:val="18"/>
                <w:color w:val="auto"/>
              </w:rPr>
              <w:t>Anti-dilutive shares excluded from calculations of diluted earnings per</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5900" w:type="dxa"/>
            <w:vAlign w:val="bottom"/>
          </w:tcPr>
          <w:p>
            <w:pPr>
              <w:ind w:left="20"/>
              <w:spacing w:after="0"/>
              <w:rPr>
                <w:sz w:val="20"/>
                <w:szCs w:val="20"/>
                <w:color w:val="auto"/>
              </w:rPr>
            </w:pPr>
            <w:r>
              <w:rPr>
                <w:rFonts w:ascii="Arial" w:cs="Arial" w:eastAsia="Arial" w:hAnsi="Arial"/>
                <w:sz w:val="18"/>
                <w:szCs w:val="18"/>
                <w:color w:val="auto"/>
              </w:rPr>
              <w:t>share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904,100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915,226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1,034,091</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1,036,445</w:t>
            </w:r>
          </w:p>
        </w:tc>
      </w:tr>
      <w:tr>
        <w:trPr>
          <w:trHeight w:val="27"/>
        </w:trPr>
        <w:tc>
          <w:tcPr>
            <w:tcW w:w="590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26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r>
    </w:tbl>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We use a three-tier fair value hierarchy to measure fair value. This hierarchy prioritizes the inputs into three broad levels as follows:</w:t>
      </w:r>
    </w:p>
    <w:p>
      <w:pPr>
        <w:spacing w:after="0" w:line="171" w:lineRule="exact"/>
        <w:rPr>
          <w:sz w:val="20"/>
          <w:szCs w:val="20"/>
          <w:color w:val="auto"/>
        </w:rPr>
      </w:pPr>
    </w:p>
    <w:p>
      <w:pPr>
        <w:ind w:left="700" w:hanging="28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171" w:lineRule="exact"/>
        <w:rPr>
          <w:rFonts w:ascii="Arial" w:cs="Arial" w:eastAsia="Arial" w:hAnsi="Arial"/>
          <w:sz w:val="18"/>
          <w:szCs w:val="18"/>
          <w:color w:val="auto"/>
        </w:rPr>
      </w:pPr>
    </w:p>
    <w:p>
      <w:pPr>
        <w:jc w:val="both"/>
        <w:ind w:left="740" w:right="20" w:hanging="327"/>
        <w:spacing w:after="0" w:line="256" w:lineRule="auto"/>
        <w:tabs>
          <w:tab w:leader="none" w:pos="708"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147" w:lineRule="exact"/>
        <w:rPr>
          <w:rFonts w:ascii="Arial" w:cs="Arial" w:eastAsia="Arial" w:hAnsi="Arial"/>
          <w:sz w:val="18"/>
          <w:szCs w:val="18"/>
          <w:color w:val="auto"/>
        </w:rPr>
      </w:pPr>
    </w:p>
    <w:p>
      <w:pPr>
        <w:ind w:left="700" w:hanging="28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that are measured at fair value on a recurring basis consisted of the following, as of the dates indicated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00" w:type="dxa"/>
            <w:vAlign w:val="bottom"/>
            <w:shd w:val="clear" w:color="auto" w:fill="ACACAC"/>
          </w:tcPr>
          <w:p>
            <w:pPr>
              <w:spacing w:after="0"/>
              <w:rPr>
                <w:sz w:val="18"/>
                <w:szCs w:val="18"/>
                <w:color w:val="auto"/>
              </w:rPr>
            </w:pPr>
          </w:p>
        </w:tc>
        <w:tc>
          <w:tcPr>
            <w:tcW w:w="3320" w:type="dxa"/>
            <w:vAlign w:val="bottom"/>
            <w:shd w:val="clear" w:color="auto" w:fill="ACACAC"/>
          </w:tcPr>
          <w:p>
            <w:pPr>
              <w:spacing w:after="0"/>
              <w:rPr>
                <w:sz w:val="18"/>
                <w:szCs w:val="18"/>
                <w:color w:val="auto"/>
              </w:rPr>
            </w:pPr>
          </w:p>
        </w:tc>
        <w:tc>
          <w:tcPr>
            <w:tcW w:w="560" w:type="dxa"/>
            <w:vAlign w:val="bottom"/>
            <w:shd w:val="clear" w:color="auto" w:fill="ACACAC"/>
          </w:tcPr>
          <w:p>
            <w:pPr>
              <w:spacing w:after="0"/>
              <w:rPr>
                <w:sz w:val="18"/>
                <w:szCs w:val="18"/>
                <w:color w:val="auto"/>
              </w:rPr>
            </w:pPr>
          </w:p>
        </w:tc>
        <w:tc>
          <w:tcPr>
            <w:tcW w:w="94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560" w:type="dxa"/>
            <w:vAlign w:val="bottom"/>
            <w:shd w:val="clear" w:color="auto" w:fill="ACACAC"/>
          </w:tcPr>
          <w:p>
            <w:pPr>
              <w:spacing w:after="0"/>
              <w:rPr>
                <w:sz w:val="18"/>
                <w:szCs w:val="18"/>
                <w:color w:val="auto"/>
              </w:rPr>
            </w:pPr>
          </w:p>
        </w:tc>
        <w:tc>
          <w:tcPr>
            <w:tcW w:w="2560" w:type="dxa"/>
            <w:vAlign w:val="bottom"/>
            <w:gridSpan w:val="4"/>
            <w:shd w:val="clear" w:color="auto" w:fill="ACACAC"/>
          </w:tcPr>
          <w:p>
            <w:pPr>
              <w:jc w:val="right"/>
              <w:spacing w:after="0"/>
              <w:rPr>
                <w:sz w:val="20"/>
                <w:szCs w:val="20"/>
                <w:color w:val="auto"/>
              </w:rPr>
            </w:pPr>
            <w:r>
              <w:rPr>
                <w:rFonts w:ascii="Arial" w:cs="Arial" w:eastAsia="Arial" w:hAnsi="Arial"/>
                <w:sz w:val="14"/>
                <w:szCs w:val="14"/>
                <w:b w:val="1"/>
                <w:bCs w:val="1"/>
                <w:color w:val="FFFFFF"/>
              </w:rPr>
              <w:t>Fair value measurement using</w:t>
            </w:r>
          </w:p>
        </w:tc>
        <w:tc>
          <w:tcPr>
            <w:tcW w:w="100" w:type="dxa"/>
            <w:vAlign w:val="bottom"/>
            <w:shd w:val="clear" w:color="auto" w:fill="ACACAC"/>
          </w:tcPr>
          <w:p>
            <w:pPr>
              <w:spacing w:after="0"/>
              <w:rPr>
                <w:sz w:val="18"/>
                <w:szCs w:val="18"/>
                <w:color w:val="auto"/>
              </w:rPr>
            </w:pPr>
          </w:p>
        </w:tc>
        <w:tc>
          <w:tcPr>
            <w:tcW w:w="540" w:type="dxa"/>
            <w:vAlign w:val="bottom"/>
            <w:shd w:val="clear" w:color="auto" w:fill="ACACAC"/>
          </w:tcPr>
          <w:p>
            <w:pPr>
              <w:spacing w:after="0"/>
              <w:rPr>
                <w:sz w:val="18"/>
                <w:szCs w:val="18"/>
                <w:color w:val="auto"/>
              </w:rPr>
            </w:pPr>
          </w:p>
        </w:tc>
        <w:tc>
          <w:tcPr>
            <w:tcW w:w="96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r>
      <w:tr>
        <w:trPr>
          <w:trHeight w:val="235"/>
        </w:trPr>
        <w:tc>
          <w:tcPr>
            <w:tcW w:w="1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320" w:type="dxa"/>
            <w:vAlign w:val="bottom"/>
            <w:tcBorders>
              <w:bottom w:val="single" w:sz="8" w:color="ACACAC"/>
            </w:tcBorders>
            <w:shd w:val="clear" w:color="auto" w:fill="ACACAC"/>
          </w:tcPr>
          <w:p>
            <w:pPr>
              <w:spacing w:after="0"/>
              <w:rPr>
                <w:sz w:val="20"/>
                <w:szCs w:val="20"/>
                <w:color w:val="auto"/>
              </w:rPr>
            </w:pPr>
          </w:p>
        </w:tc>
        <w:tc>
          <w:tcPr>
            <w:tcW w:w="56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ind w:left="440"/>
              <w:spacing w:after="0"/>
              <w:rPr>
                <w:sz w:val="20"/>
                <w:szCs w:val="20"/>
                <w:color w:val="auto"/>
              </w:rPr>
            </w:pPr>
            <w:r>
              <w:rPr>
                <w:rFonts w:ascii="Arial" w:cs="Arial" w:eastAsia="Arial" w:hAnsi="Arial"/>
                <w:sz w:val="14"/>
                <w:szCs w:val="14"/>
                <w:b w:val="1"/>
                <w:bCs w:val="1"/>
                <w:color w:val="FFFFFF"/>
              </w:rPr>
              <w:t>Level 1</w:t>
            </w:r>
          </w:p>
        </w:tc>
        <w:tc>
          <w:tcPr>
            <w:tcW w:w="100" w:type="dxa"/>
            <w:vAlign w:val="bottom"/>
            <w:tcBorders>
              <w:bottom w:val="single" w:sz="8" w:color="ACACAC"/>
            </w:tcBorders>
            <w:shd w:val="clear" w:color="auto" w:fill="ACACAC"/>
          </w:tcPr>
          <w:p>
            <w:pPr>
              <w:spacing w:after="0"/>
              <w:rPr>
                <w:sz w:val="20"/>
                <w:szCs w:val="20"/>
                <w:color w:val="auto"/>
              </w:rPr>
            </w:pPr>
          </w:p>
        </w:tc>
        <w:tc>
          <w:tcPr>
            <w:tcW w:w="56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ind w:left="440"/>
              <w:spacing w:after="0"/>
              <w:rPr>
                <w:sz w:val="20"/>
                <w:szCs w:val="20"/>
                <w:color w:val="auto"/>
              </w:rPr>
            </w:pPr>
            <w:r>
              <w:rPr>
                <w:rFonts w:ascii="Arial" w:cs="Arial" w:eastAsia="Arial" w:hAnsi="Arial"/>
                <w:sz w:val="14"/>
                <w:szCs w:val="14"/>
                <w:b w:val="1"/>
                <w:bCs w:val="1"/>
                <w:color w:val="FFFFFF"/>
              </w:rPr>
              <w:t>Level 2</w:t>
            </w:r>
          </w:p>
        </w:tc>
        <w:tc>
          <w:tcPr>
            <w:tcW w:w="120" w:type="dxa"/>
            <w:vAlign w:val="bottom"/>
            <w:tcBorders>
              <w:bottom w:val="single" w:sz="8" w:color="ACACAC"/>
            </w:tcBorders>
            <w:shd w:val="clear" w:color="auto" w:fill="ACACAC"/>
          </w:tcPr>
          <w:p>
            <w:pPr>
              <w:spacing w:after="0"/>
              <w:rPr>
                <w:sz w:val="20"/>
                <w:szCs w:val="20"/>
                <w:color w:val="auto"/>
              </w:rPr>
            </w:pPr>
          </w:p>
        </w:tc>
        <w:tc>
          <w:tcPr>
            <w:tcW w:w="56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Level 3</w:t>
            </w:r>
          </w:p>
        </w:tc>
        <w:tc>
          <w:tcPr>
            <w:tcW w:w="100" w:type="dxa"/>
            <w:vAlign w:val="bottom"/>
            <w:tcBorders>
              <w:bottom w:val="single" w:sz="8" w:color="ACACAC"/>
            </w:tcBorders>
            <w:shd w:val="clear" w:color="auto" w:fill="ACACAC"/>
          </w:tcPr>
          <w:p>
            <w:pPr>
              <w:spacing w:after="0"/>
              <w:rPr>
                <w:sz w:val="20"/>
                <w:szCs w:val="20"/>
                <w:color w:val="auto"/>
              </w:rPr>
            </w:pPr>
          </w:p>
        </w:tc>
        <w:tc>
          <w:tcPr>
            <w:tcW w:w="54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492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b w:val="1"/>
                <w:bCs w:val="1"/>
                <w:color w:val="auto"/>
              </w:rPr>
              <w:t>Fair value as of September 30, 2021</w:t>
            </w: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4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3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tcBorders>
              <w:bottom w:val="single" w:sz="8" w:color="F4F4F4"/>
            </w:tcBorders>
            <w:gridSpan w:val="2"/>
            <w:shd w:val="clear" w:color="auto" w:fill="F4F4F4"/>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ind w:left="420"/>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F4F4F4"/>
            </w:tcBorders>
            <w:shd w:val="clear" w:color="auto" w:fill="F4F4F4"/>
          </w:tcPr>
          <w:p>
            <w:pPr>
              <w:spacing w:after="0"/>
              <w:rPr>
                <w:sz w:val="23"/>
                <w:szCs w:val="23"/>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2,283</w:t>
            </w:r>
          </w:p>
        </w:tc>
        <w:tc>
          <w:tcPr>
            <w:tcW w:w="20" w:type="dxa"/>
            <w:vAlign w:val="bottom"/>
          </w:tcPr>
          <w:p>
            <w:pPr>
              <w:spacing w:after="0"/>
              <w:rPr>
                <w:sz w:val="23"/>
                <w:szCs w:val="23"/>
                <w:color w:val="auto"/>
              </w:rPr>
            </w:pPr>
          </w:p>
        </w:tc>
      </w:tr>
      <w:tr>
        <w:trPr>
          <w:trHeight w:val="237"/>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Total financial assets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20" w:type="dxa"/>
            <w:vAlign w:val="bottom"/>
          </w:tcPr>
          <w:p>
            <w:pPr>
              <w:spacing w:after="0"/>
              <w:rPr>
                <w:sz w:val="20"/>
                <w:szCs w:val="20"/>
                <w:color w:val="auto"/>
              </w:rPr>
            </w:pPr>
          </w:p>
        </w:tc>
      </w:tr>
      <w:tr>
        <w:trPr>
          <w:trHeight w:val="27"/>
        </w:trPr>
        <w:tc>
          <w:tcPr>
            <w:tcW w:w="49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gridSpan w:val="2"/>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as of December 31, 2020</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6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Financial liabilities:</w:t>
            </w:r>
          </w:p>
        </w:tc>
        <w:tc>
          <w:tcPr>
            <w:tcW w:w="33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4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20"/>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21"/>
                <w:szCs w:val="21"/>
                <w:color w:val="auto"/>
              </w:rPr>
            </w:pPr>
          </w:p>
        </w:tc>
      </w:tr>
      <w:tr>
        <w:trPr>
          <w:trHeight w:val="27"/>
        </w:trPr>
        <w:tc>
          <w:tcPr>
            <w:tcW w:w="4920" w:type="dxa"/>
            <w:vAlign w:val="bottom"/>
            <w:tcBorders>
              <w:bottom w:val="single" w:sz="8" w:color="F4F4F4"/>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4920" w:type="dxa"/>
            <w:vAlign w:val="bottom"/>
            <w:tcBorders>
              <w:bottom w:val="single" w:sz="8" w:color="F4F4F4"/>
            </w:tcBorders>
            <w:gridSpan w:val="2"/>
            <w:shd w:val="clear" w:color="auto" w:fill="F4F4F4"/>
          </w:tcPr>
          <w:p>
            <w:pPr>
              <w:ind w:left="240"/>
              <w:spacing w:after="0"/>
              <w:rPr>
                <w:sz w:val="20"/>
                <w:szCs w:val="20"/>
                <w:color w:val="auto"/>
              </w:rPr>
            </w:pPr>
            <w:r>
              <w:rPr>
                <w:rFonts w:ascii="Arial" w:cs="Arial" w:eastAsia="Arial" w:hAnsi="Arial"/>
                <w:sz w:val="18"/>
                <w:szCs w:val="18"/>
                <w:color w:val="auto"/>
              </w:rPr>
              <w:t>Total financial liabilities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ind w:left="420"/>
              <w:spacing w:after="0"/>
              <w:rPr>
                <w:sz w:val="20"/>
                <w:szCs w:val="20"/>
                <w:color w:val="auto"/>
              </w:rPr>
            </w:pPr>
            <w:r>
              <w:rPr>
                <w:rFonts w:ascii="Arial" w:cs="Arial" w:eastAsia="Arial" w:hAnsi="Arial"/>
                <w:sz w:val="18"/>
                <w:szCs w:val="18"/>
                <w:color w:val="auto"/>
              </w:rPr>
              <w:t>4,159</w:t>
            </w:r>
          </w:p>
        </w:tc>
        <w:tc>
          <w:tcPr>
            <w:tcW w:w="120" w:type="dxa"/>
            <w:vAlign w:val="bottom"/>
            <w:tcBorders>
              <w:bottom w:val="single" w:sz="8" w:color="F4F4F4"/>
            </w:tcBorders>
            <w:shd w:val="clear" w:color="auto" w:fill="F4F4F4"/>
          </w:tcPr>
          <w:p>
            <w:pPr>
              <w:spacing w:after="0"/>
              <w:rPr>
                <w:sz w:val="22"/>
                <w:szCs w:val="22"/>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22"/>
                <w:szCs w:val="22"/>
                <w:color w:val="auto"/>
              </w:rPr>
            </w:pPr>
          </w:p>
        </w:tc>
      </w:tr>
      <w:tr>
        <w:trPr>
          <w:trHeight w:val="684"/>
        </w:trPr>
        <w:tc>
          <w:tcPr>
            <w:tcW w:w="1600" w:type="dxa"/>
            <w:vAlign w:val="bottom"/>
            <w:tcBorders>
              <w:top w:val="single" w:sz="8" w:color="71BF43"/>
            </w:tcBorders>
          </w:tcPr>
          <w:p>
            <w:pPr>
              <w:ind w:left="20"/>
              <w:spacing w:after="0"/>
              <w:rPr>
                <w:sz w:val="20"/>
                <w:szCs w:val="20"/>
                <w:color w:val="auto"/>
              </w:rPr>
            </w:pPr>
            <w:r>
              <w:rPr>
                <w:rFonts w:ascii="Arial" w:cs="Arial" w:eastAsia="Arial" w:hAnsi="Arial"/>
                <w:sz w:val="14"/>
                <w:szCs w:val="14"/>
                <w:color w:val="auto"/>
              </w:rPr>
              <w:t>10</w:t>
            </w:r>
          </w:p>
        </w:tc>
        <w:tc>
          <w:tcPr>
            <w:tcW w:w="3320" w:type="dxa"/>
            <w:vAlign w:val="bottom"/>
            <w:tcBorders>
              <w:top w:val="single" w:sz="8" w:color="71BF43"/>
            </w:tcBorders>
          </w:tcPr>
          <w:p>
            <w:pPr>
              <w:ind w:left="40"/>
              <w:spacing w:after="0"/>
              <w:rPr>
                <w:sz w:val="20"/>
                <w:szCs w:val="20"/>
                <w:color w:val="auto"/>
              </w:rPr>
            </w:pPr>
            <w:r>
              <w:rPr>
                <w:rFonts w:ascii="Arial" w:cs="Arial" w:eastAsia="Arial" w:hAnsi="Arial"/>
                <w:sz w:val="14"/>
                <w:szCs w:val="14"/>
                <w:color w:val="auto"/>
              </w:rPr>
              <w:t>Third Quarter 2021 Form 10-Q</w:t>
            </w:r>
          </w:p>
        </w:tc>
        <w:tc>
          <w:tcPr>
            <w:tcW w:w="560" w:type="dxa"/>
            <w:vAlign w:val="bottom"/>
            <w:tcBorders>
              <w:top w:val="single" w:sz="8" w:color="71BF43"/>
            </w:tcBorders>
          </w:tcPr>
          <w:p>
            <w:pPr>
              <w:spacing w:after="0"/>
              <w:rPr>
                <w:sz w:val="24"/>
                <w:szCs w:val="24"/>
                <w:color w:val="auto"/>
              </w:rPr>
            </w:pPr>
          </w:p>
        </w:tc>
        <w:tc>
          <w:tcPr>
            <w:tcW w:w="94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560" w:type="dxa"/>
            <w:vAlign w:val="bottom"/>
            <w:tcBorders>
              <w:top w:val="single" w:sz="8" w:color="71BF43"/>
            </w:tcBorders>
          </w:tcPr>
          <w:p>
            <w:pPr>
              <w:spacing w:after="0"/>
              <w:rPr>
                <w:sz w:val="24"/>
                <w:szCs w:val="24"/>
                <w:color w:val="auto"/>
              </w:rPr>
            </w:pPr>
          </w:p>
        </w:tc>
        <w:tc>
          <w:tcPr>
            <w:tcW w:w="940" w:type="dxa"/>
            <w:vAlign w:val="bottom"/>
            <w:tcBorders>
              <w:top w:val="single" w:sz="8" w:color="71BF43"/>
            </w:tcBorders>
          </w:tcPr>
          <w:p>
            <w:pPr>
              <w:spacing w:after="0"/>
              <w:rPr>
                <w:sz w:val="24"/>
                <w:szCs w:val="24"/>
                <w:color w:val="auto"/>
              </w:rPr>
            </w:pPr>
          </w:p>
        </w:tc>
        <w:tc>
          <w:tcPr>
            <w:tcW w:w="120" w:type="dxa"/>
            <w:vAlign w:val="bottom"/>
            <w:tcBorders>
              <w:top w:val="single" w:sz="8" w:color="71BF43"/>
            </w:tcBorders>
          </w:tcPr>
          <w:p>
            <w:pPr>
              <w:spacing w:after="0"/>
              <w:rPr>
                <w:sz w:val="24"/>
                <w:szCs w:val="24"/>
                <w:color w:val="auto"/>
              </w:rPr>
            </w:pPr>
          </w:p>
        </w:tc>
        <w:tc>
          <w:tcPr>
            <w:tcW w:w="560" w:type="dxa"/>
            <w:vAlign w:val="bottom"/>
            <w:tcBorders>
              <w:top w:val="single" w:sz="8" w:color="71BF43"/>
            </w:tcBorders>
          </w:tcPr>
          <w:p>
            <w:pPr>
              <w:spacing w:after="0"/>
              <w:rPr>
                <w:sz w:val="24"/>
                <w:szCs w:val="24"/>
                <w:color w:val="auto"/>
              </w:rPr>
            </w:pPr>
          </w:p>
        </w:tc>
        <w:tc>
          <w:tcPr>
            <w:tcW w:w="94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540" w:type="dxa"/>
            <w:vAlign w:val="bottom"/>
            <w:tcBorders>
              <w:top w:val="single" w:sz="8" w:color="71BF43"/>
            </w:tcBorders>
          </w:tcPr>
          <w:p>
            <w:pPr>
              <w:spacing w:after="0"/>
              <w:rPr>
                <w:sz w:val="24"/>
                <w:szCs w:val="24"/>
                <w:color w:val="auto"/>
              </w:rPr>
            </w:pPr>
          </w:p>
        </w:tc>
        <w:tc>
          <w:tcPr>
            <w:tcW w:w="960" w:type="dxa"/>
            <w:vAlign w:val="bottom"/>
            <w:tcBorders>
              <w:top w:val="single" w:sz="8" w:color="71BF43"/>
            </w:tcBorders>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16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-2382520</wp:posOffset>
            </wp:positionV>
            <wp:extent cx="3000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Our derivative instruments within the scope of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required to be recorded at fair value. Our derivative instruments that are recorded at fair value include interest rate swaps. See Note 8 for additional information about our derivative instruments.</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fair value of our interest rate swaps was based on model-driven valuations using LIBOR rates, which are observable at commonly quoted intervals. Accordingly, our interest rate swaps are classified within Level 2 of the fair value hierarchy. The Financial Conduct Authority in the U.K. has stated that it plans to phase out all tenors of LIBOR by June 2023.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the carrying amounts of our cash and cash equivalents, restricted cash, accounts receivable, trade accounts payable, accrued expenses and other current liabilities and due to customers approximate their fair values at September 30, 2021 and December 31, 2020, due to the immediate or short-term maturity of these instruments.</w:t>
      </w:r>
    </w:p>
    <w:p>
      <w:pPr>
        <w:spacing w:after="0" w:line="1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believe the carrying amount of our debt approximates its fair value at September 30, 2021 and December 31, 2020, as the debt bears interest rates that approximate market value. As LIBOR rates are observable at commonly quoted intervals, our debt under the 2020 Credit Facility (as defined below) is classified within Level 2 of the fair value hierarchy. Our fixed rate debt is also classified within Level 2 of the fair value hierarchy.</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did not transfer any assets or liabilities among the levels within the fair value hierarchy during the nine months ended September 30, 2021. Additionally, we did not hold any Level 3 assets or liabilities during the nine months ended September 30,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5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were no material non-recurring fair value adjustments to our long-lived assets, intangible assets, goodwill and operating lease ROU assets during the nine months ended September 30, 2021.</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shd w:val="clear" w:color="auto" w:fill="ACACAC"/>
          </w:tcPr>
          <w:p>
            <w:pPr>
              <w:spacing w:after="0"/>
              <w:rPr>
                <w:sz w:val="16"/>
                <w:szCs w:val="16"/>
                <w:color w:val="auto"/>
              </w:rPr>
            </w:pPr>
          </w:p>
        </w:tc>
        <w:tc>
          <w:tcPr>
            <w:tcW w:w="278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202"/>
        </w:trPr>
        <w:tc>
          <w:tcPr>
            <w:tcW w:w="516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780" w:type="dxa"/>
            <w:vAlign w:val="bottom"/>
            <w:shd w:val="clear" w:color="auto" w:fill="ACACAC"/>
          </w:tcPr>
          <w:p>
            <w:pPr>
              <w:spacing w:after="0"/>
              <w:rPr>
                <w:sz w:val="17"/>
                <w:szCs w:val="17"/>
                <w:color w:val="auto"/>
              </w:rPr>
            </w:pPr>
          </w:p>
        </w:tc>
        <w:tc>
          <w:tcPr>
            <w:tcW w:w="380" w:type="dxa"/>
            <w:vAlign w:val="bottom"/>
            <w:shd w:val="clear" w:color="auto" w:fill="ACACAC"/>
          </w:tcPr>
          <w:p>
            <w:pPr>
              <w:spacing w:after="0"/>
              <w:rPr>
                <w:sz w:val="17"/>
                <w:szCs w:val="17"/>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7"/>
                <w:szCs w:val="17"/>
                <w:color w:val="auto"/>
              </w:rPr>
            </w:pPr>
          </w:p>
        </w:tc>
      </w:tr>
      <w:tr>
        <w:trPr>
          <w:trHeight w:val="250"/>
        </w:trPr>
        <w:tc>
          <w:tcPr>
            <w:tcW w:w="51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Restricted cash due to customers</w:t>
            </w:r>
          </w:p>
        </w:tc>
        <w:tc>
          <w:tcPr>
            <w:tcW w:w="3160" w:type="dxa"/>
            <w:vAlign w:val="bottom"/>
            <w:tcBorders>
              <w:bottom w:val="single" w:sz="8" w:color="F4F4F4"/>
            </w:tcBorders>
            <w:gridSpan w:val="2"/>
            <w:shd w:val="clear" w:color="auto" w:fill="F4F4F4"/>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214,709</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607,943</w:t>
            </w:r>
          </w:p>
        </w:tc>
        <w:tc>
          <w:tcPr>
            <w:tcW w:w="2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Real estate escrow balances</w:t>
            </w:r>
          </w:p>
        </w:tc>
        <w:tc>
          <w:tcPr>
            <w:tcW w:w="2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Pr>
          <w:p>
            <w:pPr>
              <w:spacing w:after="0"/>
              <w:rPr>
                <w:sz w:val="21"/>
                <w:szCs w:val="21"/>
                <w:color w:val="auto"/>
              </w:rPr>
            </w:pPr>
          </w:p>
        </w:tc>
      </w:tr>
      <w:tr>
        <w:trPr>
          <w:trHeight w:val="27"/>
        </w:trPr>
        <w:tc>
          <w:tcPr>
            <w:tcW w:w="5160" w:type="dxa"/>
            <w:vAlign w:val="bottom"/>
            <w:tcBorders>
              <w:bottom w:val="single" w:sz="8" w:color="F4F4F4"/>
            </w:tcBorders>
          </w:tcPr>
          <w:p>
            <w:pPr>
              <w:spacing w:after="0"/>
              <w:rPr>
                <w:sz w:val="2"/>
                <w:szCs w:val="2"/>
                <w:color w:val="auto"/>
              </w:rPr>
            </w:pPr>
          </w:p>
        </w:tc>
        <w:tc>
          <w:tcPr>
            <w:tcW w:w="278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51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restricted cash</w:t>
            </w:r>
          </w:p>
        </w:tc>
        <w:tc>
          <w:tcPr>
            <w:tcW w:w="3160" w:type="dxa"/>
            <w:vAlign w:val="bottom"/>
            <w:tcBorders>
              <w:bottom w:val="single" w:sz="8" w:color="F4F4F4"/>
            </w:tcBorders>
            <w:gridSpan w:val="2"/>
            <w:shd w:val="clear" w:color="auto" w:fill="F4F4F4"/>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216,122</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609,219</w:t>
            </w:r>
          </w:p>
        </w:tc>
        <w:tc>
          <w:tcPr>
            <w:tcW w:w="20" w:type="dxa"/>
            <w:vAlign w:val="bottom"/>
          </w:tcPr>
          <w:p>
            <w:pPr>
              <w:spacing w:after="0"/>
              <w:rPr>
                <w:sz w:val="22"/>
                <w:szCs w:val="22"/>
                <w:color w:val="auto"/>
              </w:rPr>
            </w:pPr>
          </w:p>
        </w:tc>
      </w:tr>
      <w:tr>
        <w:trPr>
          <w:trHeight w:val="684"/>
        </w:trPr>
        <w:tc>
          <w:tcPr>
            <w:tcW w:w="5160" w:type="dxa"/>
            <w:vAlign w:val="bottom"/>
            <w:tcBorders>
              <w:top w:val="single" w:sz="8" w:color="8CBE4F"/>
            </w:tcBorders>
          </w:tcPr>
          <w:p>
            <w:pPr>
              <w:spacing w:after="0"/>
              <w:rPr>
                <w:sz w:val="24"/>
                <w:szCs w:val="24"/>
                <w:color w:val="auto"/>
              </w:rPr>
            </w:pPr>
          </w:p>
        </w:tc>
        <w:tc>
          <w:tcPr>
            <w:tcW w:w="4440" w:type="dxa"/>
            <w:vAlign w:val="bottom"/>
            <w:tcBorders>
              <w:top w:val="single" w:sz="8" w:color="8CBE4F"/>
            </w:tcBorders>
            <w:gridSpan w:val="3"/>
          </w:tcPr>
          <w:p>
            <w:pPr>
              <w:jc w:val="right"/>
              <w:spacing w:after="0"/>
              <w:rPr>
                <w:sz w:val="20"/>
                <w:szCs w:val="20"/>
                <w:color w:val="auto"/>
              </w:rPr>
            </w:pPr>
            <w:r>
              <w:rPr>
                <w:rFonts w:ascii="Arial" w:cs="Arial" w:eastAsia="Arial" w:hAnsi="Arial"/>
                <w:sz w:val="14"/>
                <w:szCs w:val="14"/>
                <w:color w:val="auto"/>
              </w:rPr>
              <w:t>Third Quarter 2021 Form 10-Q</w:t>
            </w:r>
          </w:p>
        </w:tc>
        <w:tc>
          <w:tcPr>
            <w:tcW w:w="400" w:type="dxa"/>
            <w:vAlign w:val="bottom"/>
            <w:tcBorders>
              <w:top w:val="single" w:sz="8" w:color="8CBE4F"/>
            </w:tcBorders>
          </w:tcPr>
          <w:p>
            <w:pPr>
              <w:spacing w:after="0"/>
              <w:rPr>
                <w:sz w:val="24"/>
                <w:szCs w:val="24"/>
                <w:color w:val="auto"/>
              </w:rPr>
            </w:pPr>
          </w:p>
        </w:tc>
        <w:tc>
          <w:tcPr>
            <w:tcW w:w="1240" w:type="dxa"/>
            <w:vAlign w:val="bottom"/>
            <w:tcBorders>
              <w:top w:val="single" w:sz="8" w:color="8CBE4F"/>
            </w:tcBorders>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24"/>
                <w:szCs w:val="24"/>
                <w:color w:val="auto"/>
              </w:rPr>
            </w:pPr>
          </w:p>
        </w:tc>
      </w:tr>
      <w:tr>
        <w:trPr>
          <w:trHeight w:val="316"/>
        </w:trPr>
        <w:tc>
          <w:tcPr>
            <w:tcW w:w="51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-368300</wp:posOffset>
            </wp:positionV>
            <wp:extent cx="65976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tcBorders>
              <w:bottom w:val="single" w:sz="8" w:color="ACACAC"/>
            </w:tcBorders>
            <w:shd w:val="clear" w:color="auto" w:fill="ACACAC"/>
          </w:tcPr>
          <w:p>
            <w:pPr>
              <w:spacing w:after="0"/>
              <w:rPr>
                <w:sz w:val="17"/>
                <w:szCs w:val="17"/>
                <w:color w:val="auto"/>
              </w:rPr>
            </w:pPr>
          </w:p>
        </w:tc>
        <w:tc>
          <w:tcPr>
            <w:tcW w:w="12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Costs of obtaining contracts</w:t>
            </w:r>
            <w:r>
              <w:rPr>
                <w:rFonts w:ascii="Arial" w:cs="Arial" w:eastAsia="Arial" w:hAnsi="Arial"/>
                <w:sz w:val="23"/>
                <w:szCs w:val="23"/>
                <w:color w:val="auto"/>
                <w:vertAlign w:val="superscript"/>
              </w:rPr>
              <w:t>(1)(2)</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78,656</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84,914</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Prepaid software maintenance and subscriptions</w:t>
            </w:r>
            <w:r>
              <w:rPr>
                <w:rFonts w:ascii="Arial" w:cs="Arial" w:eastAsia="Arial" w:hAnsi="Arial"/>
                <w:sz w:val="23"/>
                <w:szCs w:val="23"/>
                <w:color w:val="auto"/>
                <w:vertAlign w:val="superscript"/>
              </w:rPr>
              <w:t>(3)</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28,904</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24,471</w:t>
            </w:r>
          </w:p>
        </w:tc>
        <w:tc>
          <w:tcPr>
            <w:tcW w:w="20" w:type="dxa"/>
            <w:vAlign w:val="bottom"/>
          </w:tcPr>
          <w:p>
            <w:pPr>
              <w:spacing w:after="0"/>
              <w:rPr>
                <w:sz w:val="24"/>
                <w:szCs w:val="24"/>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Receivables for probable insurance recoveries</w:t>
            </w:r>
            <w:r>
              <w:rPr>
                <w:rFonts w:ascii="Arial" w:cs="Arial" w:eastAsia="Arial" w:hAnsi="Arial"/>
                <w:sz w:val="23"/>
                <w:szCs w:val="23"/>
                <w:color w:val="auto"/>
                <w:vertAlign w:val="superscript"/>
              </w:rPr>
              <w:t>(4)(5)</w:t>
            </w:r>
          </w:p>
        </w:tc>
        <w:tc>
          <w:tcPr>
            <w:tcW w:w="380" w:type="dxa"/>
            <w:vAlign w:val="bottom"/>
            <w:shd w:val="clear" w:color="auto" w:fill="F4F4F4"/>
          </w:tcPr>
          <w:p>
            <w:pPr>
              <w:spacing w:after="0"/>
              <w:rPr>
                <w:sz w:val="24"/>
                <w:szCs w:val="24"/>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25,936</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Implementation costs for cloud computing arrangements, net</w:t>
            </w:r>
            <w:r>
              <w:rPr>
                <w:rFonts w:ascii="Arial" w:cs="Arial" w:eastAsia="Arial" w:hAnsi="Arial"/>
                <w:sz w:val="23"/>
                <w:szCs w:val="23"/>
                <w:color w:val="auto"/>
                <w:vertAlign w:val="superscript"/>
              </w:rPr>
              <w:t>(6)(7)</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12,430</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11,298</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Unbilled accounts receivable</w:t>
            </w:r>
          </w:p>
        </w:tc>
        <w:tc>
          <w:tcPr>
            <w:tcW w:w="380" w:type="dxa"/>
            <w:vAlign w:val="bottom"/>
            <w:tcBorders>
              <w:bottom w:val="single" w:sz="8" w:color="F4F4F4"/>
            </w:tcBorders>
            <w:shd w:val="clear" w:color="auto" w:fill="F4F4F4"/>
          </w:tcPr>
          <w:p>
            <w:pPr>
              <w:spacing w:after="0"/>
              <w:rPr>
                <w:sz w:val="21"/>
                <w:szCs w:val="21"/>
                <w:color w:val="auto"/>
              </w:rPr>
            </w:pP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6,302</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10,385</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3,331</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F4F4F4"/>
            </w:tcBorders>
            <w:shd w:val="clear" w:color="auto" w:fill="F4F4F4"/>
          </w:tcPr>
          <w:p>
            <w:pPr>
              <w:spacing w:after="0"/>
              <w:rPr>
                <w:sz w:val="21"/>
                <w:szCs w:val="21"/>
                <w:color w:val="auto"/>
              </w:rPr>
            </w:pP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2,283</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Taxes, prepaid and receivable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F4F4F4"/>
            </w:tcBorders>
            <w:shd w:val="clear" w:color="auto" w:fill="F4F4F4"/>
          </w:tcPr>
          <w:p>
            <w:pPr>
              <w:spacing w:after="0"/>
              <w:rPr>
                <w:sz w:val="23"/>
                <w:szCs w:val="23"/>
                <w:color w:val="auto"/>
              </w:rPr>
            </w:pP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12,703</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10,332</w:t>
            </w:r>
          </w:p>
        </w:tc>
        <w:tc>
          <w:tcPr>
            <w:tcW w:w="20" w:type="dxa"/>
            <w:vAlign w:val="bottom"/>
          </w:tcPr>
          <w:p>
            <w:pPr>
              <w:spacing w:after="0"/>
              <w:rPr>
                <w:sz w:val="23"/>
                <w:szCs w:val="23"/>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8"/>
                <w:szCs w:val="18"/>
                <w:color w:val="auto"/>
              </w:rPr>
              <w:t>Total prepaid expenses and other assets</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172,018</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151,005</w:t>
            </w:r>
          </w:p>
        </w:tc>
        <w:tc>
          <w:tcPr>
            <w:tcW w:w="2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Less: Long-term portion</w:t>
            </w:r>
          </w:p>
        </w:tc>
        <w:tc>
          <w:tcPr>
            <w:tcW w:w="380" w:type="dxa"/>
            <w:vAlign w:val="bottom"/>
            <w:tcBorders>
              <w:bottom w:val="single" w:sz="8" w:color="F4F4F4"/>
            </w:tcBorders>
            <w:shd w:val="clear" w:color="auto" w:fill="F4F4F4"/>
          </w:tcPr>
          <w:p>
            <w:pPr>
              <w:spacing w:after="0"/>
              <w:rPr>
                <w:sz w:val="23"/>
                <w:szCs w:val="23"/>
                <w:color w:val="auto"/>
              </w:rPr>
            </w:pP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69,699</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72,639</w:t>
            </w:r>
          </w:p>
        </w:tc>
        <w:tc>
          <w:tcPr>
            <w:tcW w:w="20" w:type="dxa"/>
            <w:vAlign w:val="bottom"/>
          </w:tcPr>
          <w:p>
            <w:pPr>
              <w:spacing w:after="0"/>
              <w:rPr>
                <w:sz w:val="23"/>
                <w:szCs w:val="23"/>
                <w:color w:val="auto"/>
              </w:rPr>
            </w:pP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102,319</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78,366</w:t>
            </w:r>
          </w:p>
        </w:tc>
        <w:tc>
          <w:tcPr>
            <w:tcW w:w="20" w:type="dxa"/>
            <w:vAlign w:val="bottom"/>
          </w:tcPr>
          <w:p>
            <w:pPr>
              <w:spacing w:after="0"/>
              <w:rPr>
                <w:sz w:val="20"/>
                <w:szCs w:val="20"/>
                <w:color w:val="auto"/>
              </w:rPr>
            </w:pPr>
          </w:p>
        </w:tc>
      </w:tr>
      <w:tr>
        <w:trPr>
          <w:trHeight w:val="27"/>
        </w:trPr>
        <w:tc>
          <w:tcPr>
            <w:tcW w:w="7940" w:type="dxa"/>
            <w:vAlign w:val="bottom"/>
            <w:tcBorders>
              <w:bottom w:val="single" w:sz="8" w:color="71BF43"/>
            </w:tcBorders>
          </w:tcPr>
          <w:p>
            <w:pPr>
              <w:spacing w:after="0"/>
              <w:rPr>
                <w:sz w:val="2"/>
                <w:szCs w:val="2"/>
                <w:color w:val="auto"/>
              </w:rPr>
            </w:pPr>
          </w:p>
        </w:tc>
        <w:tc>
          <w:tcPr>
            <w:tcW w:w="380" w:type="dxa"/>
            <w:vAlign w:val="bottom"/>
            <w:tcBorders>
              <w:bottom w:val="single" w:sz="8" w:color="71BF43"/>
            </w:tcBorders>
          </w:tcPr>
          <w:p>
            <w:pPr>
              <w:spacing w:after="0"/>
              <w:rPr>
                <w:sz w:val="2"/>
                <w:szCs w:val="2"/>
                <w:color w:val="auto"/>
              </w:rPr>
            </w:pPr>
          </w:p>
        </w:tc>
        <w:tc>
          <w:tcPr>
            <w:tcW w:w="128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124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99" w:lineRule="exact"/>
        <w:rPr>
          <w:sz w:val="20"/>
          <w:szCs w:val="20"/>
          <w:color w:val="auto"/>
        </w:rPr>
      </w:pPr>
    </w:p>
    <w:p>
      <w:pPr>
        <w:ind w:left="340" w:right="40" w:hanging="332"/>
        <w:spacing w:after="0" w:line="241" w:lineRule="auto"/>
        <w:tabs>
          <w:tab w:leader="none" w:pos="354"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expense from costs of obtaining contracts was $8.8 million and $26.9 million for the three and nine months ended September 30, 2021, respectively, and $9.4 million and $28.2 million for the three and nine months ended September 30, 2020, respectively.</w:t>
      </w: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current portion of costs of obtaining contracts as of September 30, 2021 and December 31, 2020 was $30.3 million and $31.9 million, respectively.</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5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current portion of prepaid software maintenance and subscriptions as of September 30, 2021 and December 31, 2020 was $25.4 million and $19.8 million, respectively.</w:t>
      </w:r>
    </w:p>
    <w:p>
      <w:pPr>
        <w:spacing w:after="0" w:line="162"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All receivables for probable insurance recoveries are classified as current.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discussion of the Security Incident at Note 9.</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costs primarily relate to the multi-year implementations of our new global enterprise resource planning and customer relationship management systems.</w:t>
      </w:r>
    </w:p>
    <w:p>
      <w:pPr>
        <w:spacing w:after="0" w:line="1" w:lineRule="exact"/>
        <w:rPr>
          <w:rFonts w:ascii="Arial" w:cs="Arial" w:eastAsia="Arial" w:hAnsi="Arial"/>
          <w:sz w:val="14"/>
          <w:szCs w:val="14"/>
          <w:color w:val="auto"/>
        </w:rPr>
      </w:pPr>
    </w:p>
    <w:p>
      <w:pPr>
        <w:jc w:val="both"/>
        <w:ind w:left="340" w:right="20" w:hanging="332"/>
        <w:spacing w:after="0" w:line="249" w:lineRule="auto"/>
        <w:tabs>
          <w:tab w:leader="none" w:pos="354"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expense from capitalized cloud computing implementation costs was insignificant and $1.3 million for the three and nine months ended September 30, 2021, respectively, and insignificant for the three and nine months ended September 30, 2020. Accumulated amortization for these costs was $2.5 million as of September 30, 2021 and $1.1 million as of December 31,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216"/>
        </w:trPr>
        <w:tc>
          <w:tcPr>
            <w:tcW w:w="79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shd w:val="clear" w:color="auto" w:fill="ACACAC"/>
          </w:tcPr>
          <w:p>
            <w:pPr>
              <w:spacing w:after="0"/>
              <w:rPr>
                <w:sz w:val="18"/>
                <w:szCs w:val="18"/>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8"/>
                <w:szCs w:val="18"/>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8"/>
                <w:szCs w:val="18"/>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Accrued legal costs</w:t>
            </w:r>
            <w:r>
              <w:rPr>
                <w:rFonts w:ascii="Arial" w:cs="Arial" w:eastAsia="Arial" w:hAnsi="Arial"/>
                <w:sz w:val="23"/>
                <w:szCs w:val="23"/>
                <w:color w:val="auto"/>
                <w:vertAlign w:val="superscript"/>
              </w:rPr>
              <w:t>(1)</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21,341</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4,808</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Taxes payable</w:t>
            </w:r>
            <w:r>
              <w:rPr>
                <w:rFonts w:ascii="Arial" w:cs="Arial" w:eastAsia="Arial" w:hAnsi="Arial"/>
                <w:sz w:val="23"/>
                <w:szCs w:val="23"/>
                <w:color w:val="auto"/>
                <w:vertAlign w:val="superscript"/>
              </w:rPr>
              <w:t>(2)</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14,430</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19,577</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380" w:type="dxa"/>
            <w:vAlign w:val="bottom"/>
            <w:tcBorders>
              <w:bottom w:val="single" w:sz="8" w:color="F4F4F4"/>
            </w:tcBorders>
            <w:shd w:val="clear" w:color="auto" w:fill="F4F4F4"/>
          </w:tcPr>
          <w:p>
            <w:pPr>
              <w:spacing w:after="0"/>
              <w:rPr>
                <w:sz w:val="21"/>
                <w:szCs w:val="21"/>
                <w:color w:val="auto"/>
              </w:rPr>
            </w:pP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9,359</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Customer credit balances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6,539</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5,874</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commissions and salaries</w:t>
            </w:r>
          </w:p>
        </w:tc>
        <w:tc>
          <w:tcPr>
            <w:tcW w:w="380" w:type="dxa"/>
            <w:vAlign w:val="bottom"/>
            <w:tcBorders>
              <w:bottom w:val="single" w:sz="8" w:color="F4F4F4"/>
            </w:tcBorders>
            <w:shd w:val="clear" w:color="auto" w:fill="F4F4F4"/>
          </w:tcPr>
          <w:p>
            <w:pPr>
              <w:spacing w:after="0"/>
              <w:rPr>
                <w:sz w:val="21"/>
                <w:szCs w:val="21"/>
                <w:color w:val="auto"/>
              </w:rPr>
            </w:pP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4,084</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5,010</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Unrecognized tax benefit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3,351</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health care costs</w:t>
            </w:r>
          </w:p>
        </w:tc>
        <w:tc>
          <w:tcPr>
            <w:tcW w:w="380" w:type="dxa"/>
            <w:vAlign w:val="bottom"/>
            <w:tcBorders>
              <w:bottom w:val="single" w:sz="8" w:color="F4F4F4"/>
            </w:tcBorders>
            <w:shd w:val="clear" w:color="auto" w:fill="F4F4F4"/>
          </w:tcPr>
          <w:p>
            <w:pPr>
              <w:spacing w:after="0"/>
              <w:rPr>
                <w:sz w:val="21"/>
                <w:szCs w:val="21"/>
                <w:color w:val="auto"/>
              </w:rPr>
            </w:pP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2,440</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vacation costs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2,207</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F4F4F4"/>
            </w:tcBorders>
            <w:shd w:val="clear" w:color="auto" w:fill="F4F4F4"/>
          </w:tcPr>
          <w:p>
            <w:pPr>
              <w:spacing w:after="0"/>
              <w:rPr>
                <w:sz w:val="21"/>
                <w:szCs w:val="21"/>
                <w:color w:val="auto"/>
              </w:rPr>
            </w:pP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6,143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6,304</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79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accrued expenses and other liabilities</w:t>
            </w:r>
          </w:p>
        </w:tc>
        <w:tc>
          <w:tcPr>
            <w:tcW w:w="380" w:type="dxa"/>
            <w:vAlign w:val="bottom"/>
            <w:tcBorders>
              <w:bottom w:val="single" w:sz="8" w:color="F4F4F4"/>
            </w:tcBorders>
            <w:shd w:val="clear" w:color="auto" w:fill="F4F4F4"/>
          </w:tcPr>
          <w:p>
            <w:pPr>
              <w:spacing w:after="0"/>
              <w:rPr>
                <w:sz w:val="21"/>
                <w:szCs w:val="21"/>
                <w:color w:val="auto"/>
              </w:rPr>
            </w:pP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68,000</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63,094</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9,421</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10,866</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58,579</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52,228</w:t>
            </w:r>
          </w:p>
        </w:tc>
        <w:tc>
          <w:tcPr>
            <w:tcW w:w="20" w:type="dxa"/>
            <w:vAlign w:val="bottom"/>
          </w:tcPr>
          <w:p>
            <w:pPr>
              <w:spacing w:after="0"/>
              <w:rPr>
                <w:sz w:val="21"/>
                <w:szCs w:val="21"/>
                <w:color w:val="auto"/>
              </w:rPr>
            </w:pPr>
          </w:p>
        </w:tc>
      </w:tr>
      <w:tr>
        <w:trPr>
          <w:trHeight w:val="20"/>
        </w:trPr>
        <w:tc>
          <w:tcPr>
            <w:tcW w:w="794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28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accrued legal costs are classified as current. The increase in accrued legal costs from December 31, 2020 was primarily due to the Security Incident. See Note 9.</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54"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deferred payments of the employer's portion of Social Security taxes during 2020 under the Coronavirus, Aid, Relief and Economic Security Act ("CARES Act"), half of which was due by the end of calendar year 2021 with the remainder due by the end of calendar year 2022.</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12</w:t>
      </w:r>
      <w:r>
        <w:rPr>
          <w:sz w:val="20"/>
          <w:szCs w:val="20"/>
          <w:color w:val="auto"/>
        </w:rPr>
        <w:tab/>
      </w:r>
      <w:r>
        <w:rPr>
          <w:sz w:val="1"/>
          <w:szCs w:val="1"/>
          <w:color w:val="auto"/>
        </w:rPr>
        <w:drawing>
          <wp:inline distT="0" distB="0" distL="0" distR="0">
            <wp:extent cx="651510" cy="171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shd w:val="clear" w:color="auto" w:fill="ACACAC"/>
          </w:tcPr>
          <w:p>
            <w:pPr>
              <w:spacing w:after="0"/>
              <w:rPr>
                <w:sz w:val="16"/>
                <w:szCs w:val="16"/>
                <w:color w:val="auto"/>
              </w:rPr>
            </w:pPr>
          </w:p>
        </w:tc>
        <w:tc>
          <w:tcPr>
            <w:tcW w:w="68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14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680" w:type="dxa"/>
            <w:vAlign w:val="bottom"/>
            <w:shd w:val="clear" w:color="auto" w:fill="ACACAC"/>
          </w:tcPr>
          <w:p>
            <w:pPr>
              <w:spacing w:after="0"/>
              <w:rPr>
                <w:sz w:val="16"/>
                <w:szCs w:val="16"/>
                <w:color w:val="auto"/>
              </w:rPr>
            </w:pPr>
          </w:p>
        </w:tc>
        <w:tc>
          <w:tcPr>
            <w:tcW w:w="94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r>
      <w:tr>
        <w:trPr>
          <w:trHeight w:val="190"/>
        </w:trPr>
        <w:tc>
          <w:tcPr>
            <w:tcW w:w="4600" w:type="dxa"/>
            <w:vAlign w:val="bottom"/>
            <w:shd w:val="clear" w:color="auto" w:fill="ACACAC"/>
          </w:tcPr>
          <w:p>
            <w:pPr>
              <w:spacing w:after="0"/>
              <w:rPr>
                <w:sz w:val="16"/>
                <w:szCs w:val="16"/>
                <w:color w:val="auto"/>
              </w:rPr>
            </w:pPr>
          </w:p>
        </w:tc>
        <w:tc>
          <w:tcPr>
            <w:tcW w:w="68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14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680" w:type="dxa"/>
            <w:vAlign w:val="bottom"/>
            <w:shd w:val="clear" w:color="auto" w:fill="ACACAC"/>
          </w:tcPr>
          <w:p>
            <w:pPr>
              <w:spacing w:after="0"/>
              <w:rPr>
                <w:sz w:val="16"/>
                <w:szCs w:val="16"/>
                <w:color w:val="auto"/>
              </w:rPr>
            </w:pPr>
          </w:p>
        </w:tc>
        <w:tc>
          <w:tcPr>
            <w:tcW w:w="94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6"/>
                <w:szCs w:val="16"/>
                <w:color w:val="auto"/>
              </w:rPr>
            </w:pPr>
          </w:p>
        </w:tc>
      </w:tr>
      <w:tr>
        <w:trPr>
          <w:trHeight w:val="236"/>
        </w:trPr>
        <w:tc>
          <w:tcPr>
            <w:tcW w:w="4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8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60" w:type="dxa"/>
            <w:vAlign w:val="bottom"/>
            <w:tcBorders>
              <w:bottom w:val="single" w:sz="8" w:color="ACACAC"/>
            </w:tcBorders>
            <w:shd w:val="clear" w:color="auto" w:fill="ACACAC"/>
          </w:tcPr>
          <w:p>
            <w:pPr>
              <w:spacing w:after="0"/>
              <w:rPr>
                <w:sz w:val="20"/>
                <w:szCs w:val="20"/>
                <w:color w:val="auto"/>
              </w:rPr>
            </w:pPr>
          </w:p>
        </w:tc>
        <w:tc>
          <w:tcPr>
            <w:tcW w:w="148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Borders>
              <w:bottom w:val="single" w:sz="8" w:color="F4F4F4"/>
            </w:tcBorders>
          </w:tcPr>
          <w:p>
            <w:pPr>
              <w:spacing w:after="0"/>
              <w:rPr>
                <w:sz w:val="20"/>
                <w:szCs w:val="20"/>
                <w:color w:val="auto"/>
              </w:rPr>
            </w:pPr>
          </w:p>
        </w:tc>
        <w:tc>
          <w:tcPr>
            <w:tcW w:w="68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0" w:type="dxa"/>
            <w:vAlign w:val="bottom"/>
            <w:tcBorders>
              <w:bottom w:val="single" w:sz="8" w:color="ACACAC"/>
            </w:tcBorders>
            <w:shd w:val="clear" w:color="auto" w:fill="ACACAC"/>
          </w:tcPr>
          <w:p>
            <w:pPr>
              <w:spacing w:after="0"/>
              <w:rPr>
                <w:sz w:val="20"/>
                <w:szCs w:val="20"/>
                <w:color w:val="auto"/>
              </w:rPr>
            </w:pPr>
          </w:p>
        </w:tc>
        <w:tc>
          <w:tcPr>
            <w:tcW w:w="14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49"/>
        </w:trPr>
        <w:tc>
          <w:tcPr>
            <w:tcW w:w="46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income</w:t>
            </w:r>
          </w:p>
        </w:tc>
        <w:tc>
          <w:tcPr>
            <w:tcW w:w="680" w:type="dxa"/>
            <w:vAlign w:val="bottom"/>
            <w:tcBorders>
              <w:bottom w:val="single" w:sz="8" w:color="F4F4F4"/>
            </w:tcBorders>
            <w:shd w:val="clear" w:color="auto" w:fill="F4F4F4"/>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F4F4F4"/>
              <w:right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767</w:t>
            </w:r>
          </w:p>
        </w:tc>
        <w:tc>
          <w:tcPr>
            <w:tcW w:w="780" w:type="dxa"/>
            <w:vAlign w:val="bottom"/>
            <w:tcBorders>
              <w:bottom w:val="single" w:sz="8" w:color="F4F4F4"/>
            </w:tcBorders>
            <w:gridSpan w:val="2"/>
            <w:shd w:val="clear" w:color="auto" w:fill="F4F4F4"/>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6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843</w:t>
            </w:r>
          </w:p>
        </w:tc>
        <w:tc>
          <w:tcPr>
            <w:tcW w:w="20" w:type="dxa"/>
            <w:vAlign w:val="bottom"/>
          </w:tcPr>
          <w:p>
            <w:pPr>
              <w:spacing w:after="0"/>
              <w:rPr>
                <w:sz w:val="21"/>
                <w:szCs w:val="21"/>
                <w:color w:val="auto"/>
              </w:rPr>
            </w:pPr>
          </w:p>
        </w:tc>
      </w:tr>
      <w:tr>
        <w:trPr>
          <w:trHeight w:val="27"/>
        </w:trPr>
        <w:tc>
          <w:tcPr>
            <w:tcW w:w="4600" w:type="dxa"/>
            <w:vAlign w:val="bottom"/>
            <w:tcBorders>
              <w:bottom w:val="single" w:sz="8" w:color="F4F4F4"/>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6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Other income, net</w:t>
            </w:r>
          </w:p>
        </w:tc>
        <w:tc>
          <w:tcPr>
            <w:tcW w:w="680" w:type="dxa"/>
            <w:vAlign w:val="bottom"/>
            <w:tcBorders>
              <w:bottom w:val="single" w:sz="8" w:color="F4F4F4"/>
            </w:tcBorders>
            <w:shd w:val="clear" w:color="auto" w:fill="F4F4F4"/>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F4F4F4"/>
              <w:right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542</w:t>
            </w:r>
          </w:p>
        </w:tc>
        <w:tc>
          <w:tcPr>
            <w:tcW w:w="780" w:type="dxa"/>
            <w:vAlign w:val="bottom"/>
            <w:tcBorders>
              <w:bottom w:val="single" w:sz="8" w:color="F4F4F4"/>
            </w:tcBorders>
            <w:gridSpan w:val="2"/>
            <w:shd w:val="clear" w:color="auto" w:fill="F4F4F4"/>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21"/>
                <w:szCs w:val="21"/>
                <w:color w:val="auto"/>
              </w:rPr>
            </w:pPr>
          </w:p>
        </w:tc>
      </w:tr>
      <w:tr>
        <w:trPr>
          <w:trHeight w:val="20"/>
        </w:trPr>
        <w:tc>
          <w:tcPr>
            <w:tcW w:w="4600" w:type="dxa"/>
            <w:vAlign w:val="bottom"/>
            <w:shd w:val="clear" w:color="auto" w:fill="71BF43"/>
          </w:tcPr>
          <w:p>
            <w:pPr>
              <w:spacing w:after="0" w:line="20" w:lineRule="exact"/>
              <w:rPr>
                <w:sz w:val="1"/>
                <w:szCs w:val="1"/>
                <w:color w:val="auto"/>
              </w:rPr>
            </w:pPr>
          </w:p>
        </w:tc>
        <w:tc>
          <w:tcPr>
            <w:tcW w:w="68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160" w:type="dxa"/>
            <w:vAlign w:val="bottom"/>
            <w:shd w:val="clear" w:color="auto" w:fill="71BF43"/>
          </w:tcPr>
          <w:p>
            <w:pPr>
              <w:spacing w:after="0" w:line="20" w:lineRule="exact"/>
              <w:rPr>
                <w:sz w:val="1"/>
                <w:szCs w:val="1"/>
                <w:color w:val="auto"/>
              </w:rPr>
            </w:pPr>
          </w:p>
        </w:tc>
        <w:tc>
          <w:tcPr>
            <w:tcW w:w="1480" w:type="dxa"/>
            <w:vAlign w:val="bottom"/>
            <w:tcBorders>
              <w:right w:val="single" w:sz="8" w:color="71BF43"/>
            </w:tcBorders>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68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200" w:type="dxa"/>
            <w:vAlign w:val="bottom"/>
            <w:shd w:val="clear" w:color="auto" w:fill="71BF43"/>
          </w:tcPr>
          <w:p>
            <w:pPr>
              <w:spacing w:after="0" w:line="20" w:lineRule="exact"/>
              <w:rPr>
                <w:sz w:val="1"/>
                <w:szCs w:val="1"/>
                <w:color w:val="auto"/>
              </w:rPr>
            </w:pPr>
          </w:p>
        </w:tc>
        <w:tc>
          <w:tcPr>
            <w:tcW w:w="14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-685165</wp:posOffset>
            </wp:positionV>
            <wp:extent cx="42259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our debt balances and the related weighted average effective interest rates, which includes the effect of interest rate swap agreements.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20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240" w:type="dxa"/>
            <w:vAlign w:val="bottom"/>
            <w:shd w:val="clear" w:color="auto" w:fill="ACACAC"/>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shd w:val="clear" w:color="auto" w:fill="ACACAC"/>
          </w:tcPr>
          <w:p>
            <w:pPr>
              <w:spacing w:after="0"/>
              <w:rPr>
                <w:sz w:val="16"/>
                <w:szCs w:val="16"/>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20" w:type="dxa"/>
            <w:vAlign w:val="bottom"/>
            <w:shd w:val="clear" w:color="auto" w:fill="ACACAC"/>
          </w:tcPr>
          <w:p>
            <w:pPr>
              <w:spacing w:after="0"/>
              <w:rPr>
                <w:sz w:val="16"/>
                <w:szCs w:val="16"/>
                <w:color w:val="auto"/>
              </w:rPr>
            </w:pPr>
          </w:p>
        </w:tc>
      </w:tr>
      <w:tr>
        <w:trPr>
          <w:trHeight w:val="190"/>
        </w:trPr>
        <w:tc>
          <w:tcPr>
            <w:tcW w:w="482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20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Debt balance at</w:t>
            </w:r>
          </w:p>
        </w:tc>
        <w:tc>
          <w:tcPr>
            <w:tcW w:w="100" w:type="dxa"/>
            <w:vAlign w:val="bottom"/>
          </w:tcPr>
          <w:p>
            <w:pPr>
              <w:spacing w:after="0"/>
              <w:rPr>
                <w:sz w:val="16"/>
                <w:szCs w:val="16"/>
                <w:color w:val="auto"/>
              </w:rPr>
            </w:pPr>
          </w:p>
        </w:tc>
        <w:tc>
          <w:tcPr>
            <w:tcW w:w="1660" w:type="dxa"/>
            <w:vAlign w:val="bottom"/>
            <w:shd w:val="clear" w:color="auto" w:fill="ACACAC"/>
          </w:tcPr>
          <w:p>
            <w:pPr>
              <w:spacing w:after="0"/>
              <w:rPr>
                <w:sz w:val="16"/>
                <w:szCs w:val="16"/>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20" w:type="dxa"/>
            <w:vAlign w:val="bottom"/>
            <w:shd w:val="clear" w:color="auto" w:fill="ACACAC"/>
          </w:tcPr>
          <w:p>
            <w:pPr>
              <w:spacing w:after="0"/>
              <w:rPr>
                <w:sz w:val="16"/>
                <w:szCs w:val="16"/>
                <w:color w:val="auto"/>
              </w:rPr>
            </w:pPr>
          </w:p>
        </w:tc>
      </w:tr>
      <w:tr>
        <w:trPr>
          <w:trHeight w:val="201"/>
        </w:trPr>
        <w:tc>
          <w:tcPr>
            <w:tcW w:w="4820" w:type="dxa"/>
            <w:vAlign w:val="bottom"/>
            <w:shd w:val="clear" w:color="auto" w:fill="ACACAC"/>
          </w:tcPr>
          <w:p>
            <w:pPr>
              <w:spacing w:after="0"/>
              <w:rPr>
                <w:sz w:val="17"/>
                <w:szCs w:val="17"/>
                <w:color w:val="auto"/>
              </w:rPr>
            </w:pPr>
          </w:p>
        </w:tc>
        <w:tc>
          <w:tcPr>
            <w:tcW w:w="300" w:type="dxa"/>
            <w:vAlign w:val="bottom"/>
            <w:shd w:val="clear" w:color="auto" w:fill="ACACAC"/>
          </w:tcPr>
          <w:p>
            <w:pPr>
              <w:spacing w:after="0"/>
              <w:rPr>
                <w:sz w:val="17"/>
                <w:szCs w:val="17"/>
                <w:color w:val="auto"/>
              </w:rPr>
            </w:pPr>
          </w:p>
        </w:tc>
        <w:tc>
          <w:tcPr>
            <w:tcW w:w="12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6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7"/>
                <w:szCs w:val="17"/>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7"/>
                <w:szCs w:val="17"/>
                <w:color w:val="auto"/>
              </w:rPr>
            </w:pPr>
          </w:p>
        </w:tc>
      </w:tr>
      <w:tr>
        <w:trPr>
          <w:trHeight w:val="196"/>
        </w:trPr>
        <w:tc>
          <w:tcPr>
            <w:tcW w:w="48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tcBorders>
              <w:bottom w:val="single" w:sz="8" w:color="ACACAC"/>
            </w:tcBorders>
            <w:shd w:val="clear" w:color="auto" w:fill="ACACAC"/>
          </w:tcPr>
          <w:p>
            <w:pPr>
              <w:spacing w:after="0"/>
              <w:rPr>
                <w:sz w:val="17"/>
                <w:szCs w:val="17"/>
                <w:color w:val="auto"/>
              </w:rPr>
            </w:pPr>
          </w:p>
        </w:tc>
        <w:tc>
          <w:tcPr>
            <w:tcW w:w="12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Borders>
              <w:bottom w:val="single" w:sz="8" w:color="F4F4F4"/>
            </w:tcBorders>
          </w:tcPr>
          <w:p>
            <w:pPr>
              <w:spacing w:after="0"/>
              <w:rPr>
                <w:sz w:val="17"/>
                <w:szCs w:val="17"/>
                <w:color w:val="auto"/>
              </w:rPr>
            </w:pP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Credit facility:</w:t>
            </w:r>
          </w:p>
        </w:tc>
        <w:tc>
          <w:tcPr>
            <w:tcW w:w="300" w:type="dxa"/>
            <w:vAlign w:val="bottom"/>
            <w:tcBorders>
              <w:bottom w:val="single" w:sz="8" w:color="F4F4F4"/>
            </w:tcBorders>
            <w:shd w:val="clear" w:color="auto" w:fill="F4F4F4"/>
          </w:tcPr>
          <w:p>
            <w:pPr>
              <w:spacing w:after="0"/>
              <w:rPr>
                <w:sz w:val="21"/>
                <w:szCs w:val="21"/>
                <w:color w:val="auto"/>
              </w:rPr>
            </w:pPr>
          </w:p>
        </w:tc>
        <w:tc>
          <w:tcPr>
            <w:tcW w:w="120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8"/>
                <w:szCs w:val="18"/>
                <w:color w:val="auto"/>
              </w:rPr>
              <w:t>Revolving credit 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69,625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2.23 %</w:t>
            </w:r>
          </w:p>
        </w:tc>
        <w:tc>
          <w:tcPr>
            <w:tcW w:w="1660" w:type="dxa"/>
            <w:vAlign w:val="bottom"/>
          </w:tcPr>
          <w:p>
            <w:pPr>
              <w:jc w:val="right"/>
              <w:spacing w:after="0"/>
              <w:rPr>
                <w:sz w:val="20"/>
                <w:szCs w:val="20"/>
                <w:color w:val="auto"/>
              </w:rPr>
            </w:pPr>
            <w:r>
              <w:rPr>
                <w:rFonts w:ascii="Arial" w:cs="Arial" w:eastAsia="Arial" w:hAnsi="Arial"/>
                <w:sz w:val="18"/>
                <w:szCs w:val="18"/>
                <w:color w:val="auto"/>
              </w:rPr>
              <w:t>1.83 %</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Term loans</w:t>
            </w:r>
          </w:p>
        </w:tc>
        <w:tc>
          <w:tcPr>
            <w:tcW w:w="300" w:type="dxa"/>
            <w:vAlign w:val="bottom"/>
            <w:tcBorders>
              <w:bottom w:val="single" w:sz="8" w:color="F4F4F4"/>
            </w:tcBorders>
            <w:shd w:val="clear" w:color="auto" w:fill="F4F4F4"/>
          </w:tcPr>
          <w:p>
            <w:pPr>
              <w:spacing w:after="0"/>
              <w:rPr>
                <w:sz w:val="21"/>
                <w:szCs w:val="21"/>
                <w:color w:val="auto"/>
              </w:rPr>
            </w:pPr>
          </w:p>
        </w:tc>
        <w:tc>
          <w:tcPr>
            <w:tcW w:w="1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392,500</w:t>
            </w:r>
          </w:p>
        </w:tc>
        <w:tc>
          <w:tcPr>
            <w:tcW w:w="2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400,000</w:t>
            </w:r>
          </w:p>
        </w:tc>
        <w:tc>
          <w:tcPr>
            <w:tcW w:w="176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2.04 %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3.12 %</w:t>
            </w:r>
          </w:p>
        </w:tc>
        <w:tc>
          <w:tcPr>
            <w:tcW w:w="20" w:type="dxa"/>
            <w:vAlign w:val="bottom"/>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59,779</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60,626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1660" w:type="dxa"/>
            <w:vAlign w:val="bottom"/>
          </w:tcPr>
          <w:p>
            <w:pPr>
              <w:jc w:val="right"/>
              <w:spacing w:after="0"/>
              <w:rPr>
                <w:sz w:val="20"/>
                <w:szCs w:val="20"/>
                <w:color w:val="auto"/>
              </w:rPr>
            </w:pPr>
            <w:r>
              <w:rPr>
                <w:rFonts w:ascii="Arial" w:cs="Arial" w:eastAsia="Arial" w:hAnsi="Arial"/>
                <w:sz w:val="18"/>
                <w:szCs w:val="18"/>
                <w:color w:val="auto"/>
              </w:rPr>
              <w:t>5.22 %</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debt</w:t>
            </w:r>
          </w:p>
        </w:tc>
        <w:tc>
          <w:tcPr>
            <w:tcW w:w="300" w:type="dxa"/>
            <w:vAlign w:val="bottom"/>
            <w:tcBorders>
              <w:bottom w:val="single" w:sz="8" w:color="F4F4F4"/>
            </w:tcBorders>
            <w:shd w:val="clear" w:color="auto" w:fill="F4F4F4"/>
          </w:tcPr>
          <w:p>
            <w:pPr>
              <w:spacing w:after="0"/>
              <w:rPr>
                <w:sz w:val="23"/>
                <w:szCs w:val="23"/>
                <w:color w:val="auto"/>
              </w:rPr>
            </w:pPr>
          </w:p>
        </w:tc>
        <w:tc>
          <w:tcPr>
            <w:tcW w:w="1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2,232</w:t>
            </w:r>
          </w:p>
        </w:tc>
        <w:tc>
          <w:tcPr>
            <w:tcW w:w="26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3,926</w:t>
            </w:r>
          </w:p>
        </w:tc>
        <w:tc>
          <w:tcPr>
            <w:tcW w:w="176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20" w:type="dxa"/>
            <w:vAlign w:val="bottom"/>
          </w:tcPr>
          <w:p>
            <w:pPr>
              <w:spacing w:after="0"/>
              <w:rPr>
                <w:sz w:val="23"/>
                <w:szCs w:val="23"/>
                <w:color w:val="auto"/>
              </w:rPr>
            </w:pPr>
          </w:p>
        </w:tc>
      </w:tr>
      <w:tr>
        <w:trPr>
          <w:trHeight w:val="237"/>
        </w:trPr>
        <w:tc>
          <w:tcPr>
            <w:tcW w:w="482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529,511</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534,177</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2.44 %</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3.21 %</w:t>
            </w:r>
          </w:p>
        </w:tc>
        <w:tc>
          <w:tcPr>
            <w:tcW w:w="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300" w:type="dxa"/>
            <w:vAlign w:val="bottom"/>
            <w:tcBorders>
              <w:bottom w:val="single" w:sz="8" w:color="F4F4F4"/>
            </w:tcBorders>
            <w:shd w:val="clear" w:color="auto" w:fill="F4F4F4"/>
          </w:tcPr>
          <w:p>
            <w:pPr>
              <w:spacing w:after="0"/>
              <w:rPr>
                <w:sz w:val="21"/>
                <w:szCs w:val="21"/>
                <w:color w:val="auto"/>
              </w:rPr>
            </w:pPr>
          </w:p>
        </w:tc>
        <w:tc>
          <w:tcPr>
            <w:tcW w:w="1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2,145</w:t>
            </w:r>
          </w:p>
        </w:tc>
        <w:tc>
          <w:tcPr>
            <w:tcW w:w="2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Less: Debt, current portion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12,948</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12,840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2.47 %</w:t>
            </w:r>
          </w:p>
        </w:tc>
        <w:tc>
          <w:tcPr>
            <w:tcW w:w="1660" w:type="dxa"/>
            <w:vAlign w:val="bottom"/>
          </w:tcPr>
          <w:p>
            <w:pPr>
              <w:jc w:val="right"/>
              <w:spacing w:after="0"/>
              <w:rPr>
                <w:sz w:val="20"/>
                <w:szCs w:val="20"/>
                <w:color w:val="auto"/>
              </w:rPr>
            </w:pPr>
            <w:r>
              <w:rPr>
                <w:rFonts w:ascii="Arial" w:cs="Arial" w:eastAsia="Arial" w:hAnsi="Arial"/>
                <w:sz w:val="18"/>
                <w:szCs w:val="18"/>
                <w:color w:val="auto"/>
              </w:rPr>
              <w:t>2.61 %</w:t>
            </w:r>
          </w:p>
        </w:tc>
        <w:tc>
          <w:tcPr>
            <w:tcW w:w="20" w:type="dxa"/>
            <w:vAlign w:val="bottom"/>
          </w:tcPr>
          <w:p>
            <w:pPr>
              <w:spacing w:after="0"/>
              <w:rPr>
                <w:sz w:val="21"/>
                <w:szCs w:val="21"/>
                <w:color w:val="auto"/>
              </w:rPr>
            </w:pPr>
          </w:p>
        </w:tc>
      </w:tr>
      <w:tr>
        <w:trPr>
          <w:trHeight w:val="27"/>
        </w:trPr>
        <w:tc>
          <w:tcPr>
            <w:tcW w:w="4820" w:type="dxa"/>
            <w:vAlign w:val="bottom"/>
            <w:tcBorders>
              <w:bottom w:val="single" w:sz="8" w:color="F4F4F4"/>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Debt, net of current portion</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514,418</w:t>
            </w:r>
          </w:p>
        </w:tc>
        <w:tc>
          <w:tcPr>
            <w:tcW w:w="26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518,193</w:t>
            </w:r>
          </w:p>
        </w:tc>
        <w:tc>
          <w:tcPr>
            <w:tcW w:w="176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2.44 %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3.22 %</w:t>
            </w:r>
          </w:p>
        </w:tc>
        <w:tc>
          <w:tcPr>
            <w:tcW w:w="20" w:type="dxa"/>
            <w:vAlign w:val="bottom"/>
          </w:tcPr>
          <w:p>
            <w:pPr>
              <w:spacing w:after="0"/>
              <w:rPr>
                <w:sz w:val="21"/>
                <w:szCs w:val="21"/>
                <w:color w:val="auto"/>
              </w:rPr>
            </w:pPr>
          </w:p>
        </w:tc>
      </w:tr>
      <w:tr>
        <w:trPr>
          <w:trHeight w:val="20"/>
        </w:trPr>
        <w:tc>
          <w:tcPr>
            <w:tcW w:w="482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200" w:type="dxa"/>
            <w:vAlign w:val="bottom"/>
            <w:shd w:val="clear" w:color="auto" w:fill="71BF43"/>
          </w:tcPr>
          <w:p>
            <w:pPr>
              <w:spacing w:after="0" w:line="20" w:lineRule="exact"/>
              <w:rPr>
                <w:sz w:val="1"/>
                <w:szCs w:val="1"/>
                <w:color w:val="auto"/>
              </w:rPr>
            </w:pPr>
          </w:p>
        </w:tc>
        <w:tc>
          <w:tcPr>
            <w:tcW w:w="26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1660" w:type="dxa"/>
            <w:vAlign w:val="bottom"/>
            <w:shd w:val="clear" w:color="auto" w:fill="71BF43"/>
          </w:tcPr>
          <w:p>
            <w:pPr>
              <w:spacing w:after="0" w:line="20" w:lineRule="exact"/>
              <w:rPr>
                <w:sz w:val="1"/>
                <w:szCs w:val="1"/>
                <w:color w:val="auto"/>
              </w:rPr>
            </w:pPr>
          </w:p>
        </w:tc>
        <w:tc>
          <w:tcPr>
            <w:tcW w:w="16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-1824990</wp:posOffset>
            </wp:positionV>
            <wp:extent cx="4088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credit facility</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October 2020, we entered into a five-year $900.0 million senior credit facility (the "2020 Credit Facility"). At September 30, 2021, we were in compliance with our debt covenants under the 2020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August 2020, we completed the purchase of our global headquarters facility. As part of the purchase price, we assumed the Seller’s obligations under two senior secured notes with an aggregate outstanding principal amount of $61.1 million (collectively, the “Real Estate Loans”). At September 30, 2021, we were in compliance with our debt covenants under the Real Estate Loans.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currently effective financing agreements as of September 30,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shd w:val="clear" w:color="auto" w:fill="ACACAC"/>
          </w:tcPr>
          <w:p>
            <w:pPr>
              <w:spacing w:after="0"/>
              <w:rPr>
                <w:sz w:val="16"/>
                <w:szCs w:val="16"/>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First Annual</w:t>
            </w:r>
          </w:p>
        </w:tc>
        <w:tc>
          <w:tcPr>
            <w:tcW w:w="360" w:type="dxa"/>
            <w:vAlign w:val="bottom"/>
            <w:shd w:val="clear" w:color="auto" w:fill="ACACAC"/>
          </w:tcPr>
          <w:p>
            <w:pPr>
              <w:spacing w:after="0"/>
              <w:rPr>
                <w:sz w:val="16"/>
                <w:szCs w:val="16"/>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Original Loan</w:t>
            </w:r>
          </w:p>
        </w:tc>
        <w:tc>
          <w:tcPr>
            <w:tcW w:w="20" w:type="dxa"/>
            <w:vAlign w:val="bottom"/>
            <w:shd w:val="clear" w:color="auto" w:fill="ACACAC"/>
          </w:tcPr>
          <w:p>
            <w:pPr>
              <w:spacing w:after="0"/>
              <w:rPr>
                <w:sz w:val="16"/>
                <w:szCs w:val="16"/>
                <w:color w:val="auto"/>
              </w:rPr>
            </w:pPr>
          </w:p>
        </w:tc>
      </w:tr>
      <w:tr>
        <w:trPr>
          <w:trHeight w:val="196"/>
        </w:trPr>
        <w:tc>
          <w:tcPr>
            <w:tcW w:w="48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Annual Payments</w:t>
            </w:r>
          </w:p>
        </w:tc>
        <w:tc>
          <w:tcPr>
            <w:tcW w:w="16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Payment Due</w:t>
            </w:r>
          </w:p>
        </w:tc>
        <w:tc>
          <w:tcPr>
            <w:tcW w:w="360" w:type="dxa"/>
            <w:vAlign w:val="bottom"/>
            <w:tcBorders>
              <w:bottom w:val="single" w:sz="8" w:color="ACACAC"/>
            </w:tcBorders>
            <w:shd w:val="clear" w:color="auto" w:fill="ACACAC"/>
          </w:tcPr>
          <w:p>
            <w:pPr>
              <w:spacing w:after="0"/>
              <w:rPr>
                <w:sz w:val="17"/>
                <w:szCs w:val="17"/>
                <w:color w:val="auto"/>
              </w:rPr>
            </w:pPr>
          </w:p>
        </w:tc>
        <w:tc>
          <w:tcPr>
            <w:tcW w:w="11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48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Effective dates of agreements:</w:t>
            </w:r>
          </w:p>
        </w:tc>
        <w:tc>
          <w:tcPr>
            <w:tcW w:w="152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80" w:type="dxa"/>
            <w:vAlign w:val="bottom"/>
          </w:tcPr>
          <w:p>
            <w:pPr>
              <w:ind w:left="140"/>
              <w:spacing w:after="0"/>
              <w:rPr>
                <w:sz w:val="20"/>
                <w:szCs w:val="20"/>
                <w:color w:val="auto"/>
              </w:rPr>
            </w:pPr>
            <w:r>
              <w:rPr>
                <w:rFonts w:ascii="Arial" w:cs="Arial" w:eastAsia="Arial" w:hAnsi="Arial"/>
                <w:sz w:val="18"/>
                <w:szCs w:val="18"/>
                <w:color w:val="auto"/>
              </w:rPr>
              <w:t>December 2019</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c>
          <w:tcPr>
            <w:tcW w:w="1660" w:type="dxa"/>
            <w:vAlign w:val="bottom"/>
          </w:tcPr>
          <w:p>
            <w:pPr>
              <w:jc w:val="right"/>
              <w:ind w:right="1"/>
              <w:spacing w:after="0"/>
              <w:rPr>
                <w:sz w:val="20"/>
                <w:szCs w:val="20"/>
                <w:color w:val="auto"/>
              </w:rPr>
            </w:pPr>
            <w:r>
              <w:rPr>
                <w:rFonts w:ascii="Arial" w:cs="Arial" w:eastAsia="Arial" w:hAnsi="Arial"/>
                <w:sz w:val="18"/>
                <w:szCs w:val="18"/>
                <w:color w:val="auto"/>
              </w:rPr>
              <w:t>4</w:t>
            </w:r>
          </w:p>
        </w:tc>
        <w:tc>
          <w:tcPr>
            <w:tcW w:w="1640" w:type="dxa"/>
            <w:vAlign w:val="bottom"/>
          </w:tcPr>
          <w:p>
            <w:pPr>
              <w:jc w:val="right"/>
              <w:spacing w:after="0"/>
              <w:rPr>
                <w:sz w:val="20"/>
                <w:szCs w:val="20"/>
                <w:color w:val="auto"/>
              </w:rPr>
            </w:pPr>
            <w:r>
              <w:rPr>
                <w:rFonts w:ascii="Arial" w:cs="Arial" w:eastAsia="Arial" w:hAnsi="Arial"/>
                <w:sz w:val="18"/>
                <w:szCs w:val="18"/>
                <w:color w:val="auto"/>
              </w:rPr>
              <w:t>January 2020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2,150</w:t>
            </w:r>
          </w:p>
        </w:tc>
        <w:tc>
          <w:tcPr>
            <w:tcW w:w="2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8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January 2020</w:t>
            </w:r>
          </w:p>
        </w:tc>
        <w:tc>
          <w:tcPr>
            <w:tcW w:w="15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w:t>
            </w:r>
          </w:p>
        </w:tc>
        <w:tc>
          <w:tcPr>
            <w:tcW w:w="166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8"/>
                <w:szCs w:val="18"/>
                <w:color w:val="auto"/>
              </w:rPr>
              <w:t>3</w:t>
            </w:r>
          </w:p>
        </w:tc>
        <w:tc>
          <w:tcPr>
            <w:tcW w:w="16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March 2020</w:t>
            </w:r>
          </w:p>
        </w:tc>
        <w:tc>
          <w:tcPr>
            <w:tcW w:w="360" w:type="dxa"/>
            <w:vAlign w:val="bottom"/>
            <w:tcBorders>
              <w:bottom w:val="single" w:sz="8" w:color="F4F4F4"/>
            </w:tcBorders>
            <w:shd w:val="clear" w:color="auto" w:fill="F4F4F4"/>
          </w:tcPr>
          <w:p>
            <w:pPr>
              <w:spacing w:after="0"/>
              <w:rPr>
                <w:sz w:val="23"/>
                <w:szCs w:val="23"/>
                <w:color w:val="auto"/>
              </w:rPr>
            </w:pPr>
          </w:p>
        </w:tc>
        <w:tc>
          <w:tcPr>
            <w:tcW w:w="118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8"/>
                <w:szCs w:val="18"/>
                <w:color w:val="auto"/>
              </w:rPr>
              <w:t>3,470</w:t>
            </w:r>
          </w:p>
        </w:tc>
        <w:tc>
          <w:tcPr>
            <w:tcW w:w="20" w:type="dxa"/>
            <w:vAlign w:val="bottom"/>
          </w:tcPr>
          <w:p>
            <w:pPr>
              <w:spacing w:after="0"/>
              <w:rPr>
                <w:sz w:val="23"/>
                <w:szCs w:val="23"/>
                <w:color w:val="auto"/>
              </w:rPr>
            </w:pPr>
          </w:p>
        </w:tc>
      </w:tr>
      <w:tr>
        <w:trPr>
          <w:trHeight w:val="670"/>
        </w:trPr>
        <w:tc>
          <w:tcPr>
            <w:tcW w:w="4880" w:type="dxa"/>
            <w:vAlign w:val="bottom"/>
            <w:tcBorders>
              <w:top w:val="single" w:sz="8" w:color="8CBE4F"/>
            </w:tcBorders>
          </w:tcPr>
          <w:p>
            <w:pPr>
              <w:spacing w:after="0"/>
              <w:rPr>
                <w:sz w:val="24"/>
                <w:szCs w:val="24"/>
                <w:color w:val="auto"/>
              </w:rPr>
            </w:pPr>
          </w:p>
        </w:tc>
        <w:tc>
          <w:tcPr>
            <w:tcW w:w="1520" w:type="dxa"/>
            <w:vAlign w:val="bottom"/>
            <w:tcBorders>
              <w:top w:val="single" w:sz="8" w:color="8CBE4F"/>
            </w:tcBorders>
          </w:tcPr>
          <w:p>
            <w:pPr>
              <w:spacing w:after="0"/>
              <w:rPr>
                <w:sz w:val="24"/>
                <w:szCs w:val="24"/>
                <w:color w:val="auto"/>
              </w:rPr>
            </w:pPr>
          </w:p>
        </w:tc>
        <w:tc>
          <w:tcPr>
            <w:tcW w:w="3300" w:type="dxa"/>
            <w:vAlign w:val="bottom"/>
            <w:tcBorders>
              <w:top w:val="single" w:sz="8" w:color="8CBE4F"/>
            </w:tcBorders>
            <w:gridSpan w:val="2"/>
          </w:tcPr>
          <w:p>
            <w:pPr>
              <w:jc w:val="right"/>
              <w:ind w:right="39"/>
              <w:spacing w:after="0"/>
              <w:rPr>
                <w:sz w:val="20"/>
                <w:szCs w:val="20"/>
                <w:color w:val="auto"/>
              </w:rPr>
            </w:pPr>
            <w:r>
              <w:rPr>
                <w:rFonts w:ascii="Arial" w:cs="Arial" w:eastAsia="Arial" w:hAnsi="Arial"/>
                <w:sz w:val="14"/>
                <w:szCs w:val="14"/>
                <w:color w:val="auto"/>
              </w:rPr>
              <w:t>Third Quarter 2021 Form 10-Q</w:t>
            </w:r>
          </w:p>
        </w:tc>
        <w:tc>
          <w:tcPr>
            <w:tcW w:w="360" w:type="dxa"/>
            <w:vAlign w:val="bottom"/>
            <w:tcBorders>
              <w:top w:val="single" w:sz="8" w:color="8CBE4F"/>
            </w:tcBorders>
          </w:tcPr>
          <w:p>
            <w:pPr>
              <w:spacing w:after="0"/>
              <w:rPr>
                <w:sz w:val="24"/>
                <w:szCs w:val="24"/>
                <w:color w:val="auto"/>
              </w:rPr>
            </w:pPr>
          </w:p>
        </w:tc>
        <w:tc>
          <w:tcPr>
            <w:tcW w:w="1180" w:type="dxa"/>
            <w:vAlign w:val="bottom"/>
            <w:tcBorders>
              <w:top w:val="single" w:sz="8" w:color="8CBE4F"/>
            </w:tcBorders>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24"/>
                <w:szCs w:val="24"/>
                <w:color w:val="auto"/>
              </w:rPr>
            </w:pPr>
          </w:p>
        </w:tc>
      </w:tr>
      <w:tr>
        <w:trPr>
          <w:trHeight w:val="329"/>
        </w:trPr>
        <w:tc>
          <w:tcPr>
            <w:tcW w:w="48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generally use derivative instruments to manage our variable interest rate risk. We have entered into interest rate swap agreements, which effectively convert portions of our variable rate debt under the 2020 Credit Facility to a fixed rate for the term of the swap agreements. We designated each of the interest rate swap agreements as a cash flow hedge at the inception of the contracts.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notional values of our derivative instruments were as follows as of September 30,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shd w:val="clear" w:color="auto" w:fill="ACACAC"/>
          </w:tcPr>
          <w:p>
            <w:pPr>
              <w:spacing w:after="0"/>
              <w:rPr>
                <w:sz w:val="16"/>
                <w:szCs w:val="16"/>
                <w:color w:val="auto"/>
              </w:rPr>
            </w:pPr>
          </w:p>
        </w:tc>
        <w:tc>
          <w:tcPr>
            <w:tcW w:w="2080" w:type="dxa"/>
            <w:vAlign w:val="bottom"/>
            <w:shd w:val="clear" w:color="auto" w:fill="ACACAC"/>
          </w:tcPr>
          <w:p>
            <w:pPr>
              <w:spacing w:after="0"/>
              <w:rPr>
                <w:sz w:val="16"/>
                <w:szCs w:val="16"/>
                <w:color w:val="auto"/>
              </w:rPr>
            </w:pPr>
          </w:p>
        </w:tc>
        <w:tc>
          <w:tcPr>
            <w:tcW w:w="12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Notional</w:t>
            </w:r>
          </w:p>
        </w:tc>
        <w:tc>
          <w:tcPr>
            <w:tcW w:w="20" w:type="dxa"/>
            <w:vAlign w:val="bottom"/>
            <w:shd w:val="clear" w:color="auto" w:fill="ACACAC"/>
          </w:tcPr>
          <w:p>
            <w:pPr>
              <w:spacing w:after="0"/>
              <w:rPr>
                <w:sz w:val="16"/>
                <w:szCs w:val="16"/>
                <w:color w:val="auto"/>
              </w:rPr>
            </w:pPr>
          </w:p>
        </w:tc>
      </w:tr>
      <w:tr>
        <w:trPr>
          <w:trHeight w:val="196"/>
        </w:trPr>
        <w:tc>
          <w:tcPr>
            <w:tcW w:w="65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32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Term of derivative instrument</w:t>
            </w:r>
          </w:p>
        </w:tc>
        <w:tc>
          <w:tcPr>
            <w:tcW w:w="380" w:type="dxa"/>
            <w:vAlign w:val="bottom"/>
            <w:tcBorders>
              <w:bottom w:val="single" w:sz="8" w:color="ACACAC"/>
            </w:tcBorders>
            <w:shd w:val="clear" w:color="auto" w:fill="ACACAC"/>
          </w:tcPr>
          <w:p>
            <w:pPr>
              <w:spacing w:after="0"/>
              <w:rPr>
                <w:sz w:val="17"/>
                <w:szCs w:val="17"/>
                <w:color w:val="auto"/>
              </w:rPr>
            </w:pP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65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08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June 2021</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July 2021</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21"/>
                <w:szCs w:val="21"/>
                <w:color w:val="auto"/>
              </w:rPr>
            </w:pPr>
          </w:p>
        </w:tc>
      </w:tr>
      <w:tr>
        <w:trPr>
          <w:trHeight w:val="27"/>
        </w:trPr>
        <w:tc>
          <w:tcPr>
            <w:tcW w:w="6560" w:type="dxa"/>
            <w:vAlign w:val="bottom"/>
            <w:tcBorders>
              <w:bottom w:val="single" w:sz="8" w:color="F4F4F4"/>
            </w:tcBorders>
          </w:tcPr>
          <w:p>
            <w:pPr>
              <w:spacing w:after="0"/>
              <w:rPr>
                <w:sz w:val="2"/>
                <w:szCs w:val="2"/>
                <w:color w:val="auto"/>
              </w:rPr>
            </w:pPr>
          </w:p>
        </w:tc>
        <w:tc>
          <w:tcPr>
            <w:tcW w:w="2080" w:type="dxa"/>
            <w:vAlign w:val="bottom"/>
            <w:tcBorders>
              <w:bottom w:val="single" w:sz="8" w:color="F4F4F4"/>
            </w:tcBorders>
          </w:tcPr>
          <w:p>
            <w:pPr>
              <w:spacing w:after="0"/>
              <w:rPr>
                <w:sz w:val="2"/>
                <w:szCs w:val="2"/>
                <w:color w:val="auto"/>
              </w:rPr>
            </w:pPr>
          </w:p>
        </w:tc>
        <w:tc>
          <w:tcPr>
            <w:tcW w:w="12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560" w:type="dxa"/>
            <w:vAlign w:val="bottom"/>
            <w:tcBorders>
              <w:bottom w:val="single" w:sz="8" w:color="F4F4F4"/>
            </w:tcBorders>
            <w:shd w:val="clear" w:color="auto" w:fill="F4F4F4"/>
          </w:tcPr>
          <w:p>
            <w:pPr>
              <w:spacing w:after="0"/>
              <w:rPr>
                <w:sz w:val="21"/>
                <w:szCs w:val="21"/>
                <w:color w:val="auto"/>
              </w:rPr>
            </w:pPr>
          </w:p>
        </w:tc>
        <w:tc>
          <w:tcPr>
            <w:tcW w:w="208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435,000</w:t>
            </w:r>
          </w:p>
        </w:tc>
        <w:tc>
          <w:tcPr>
            <w:tcW w:w="20" w:type="dxa"/>
            <w:vAlign w:val="bottom"/>
          </w:tcPr>
          <w:p>
            <w:pPr>
              <w:spacing w:after="0"/>
              <w:rPr>
                <w:sz w:val="21"/>
                <w:szCs w:val="21"/>
                <w:color w:val="auto"/>
              </w:rPr>
            </w:pPr>
          </w:p>
        </w:tc>
      </w:tr>
      <w:tr>
        <w:trPr>
          <w:trHeight w:val="20"/>
        </w:trPr>
        <w:tc>
          <w:tcPr>
            <w:tcW w:w="6560" w:type="dxa"/>
            <w:vAlign w:val="bottom"/>
            <w:shd w:val="clear" w:color="auto" w:fill="71BF43"/>
          </w:tcPr>
          <w:p>
            <w:pPr>
              <w:spacing w:after="0" w:line="20" w:lineRule="exact"/>
              <w:rPr>
                <w:sz w:val="1"/>
                <w:szCs w:val="1"/>
                <w:color w:val="auto"/>
              </w:rPr>
            </w:pPr>
          </w:p>
        </w:tc>
        <w:tc>
          <w:tcPr>
            <w:tcW w:w="208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98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00" w:type="dxa"/>
            <w:vAlign w:val="bottom"/>
            <w:shd w:val="clear" w:color="auto" w:fill="ACACAC"/>
          </w:tcPr>
          <w:p>
            <w:pPr>
              <w:spacing w:after="0"/>
              <w:rPr>
                <w:sz w:val="18"/>
                <w:szCs w:val="18"/>
                <w:color w:val="auto"/>
              </w:rPr>
            </w:pPr>
          </w:p>
        </w:tc>
        <w:tc>
          <w:tcPr>
            <w:tcW w:w="90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240" w:type="dxa"/>
            <w:vAlign w:val="bottom"/>
            <w:shd w:val="clear" w:color="auto" w:fill="ACACAC"/>
          </w:tcPr>
          <w:p>
            <w:pPr>
              <w:spacing w:after="0"/>
              <w:rPr>
                <w:sz w:val="18"/>
                <w:szCs w:val="18"/>
                <w:color w:val="auto"/>
              </w:rPr>
            </w:pPr>
          </w:p>
        </w:tc>
        <w:tc>
          <w:tcPr>
            <w:tcW w:w="580" w:type="dxa"/>
            <w:vAlign w:val="bottom"/>
            <w:shd w:val="clear" w:color="auto" w:fill="ACACAC"/>
          </w:tcPr>
          <w:p>
            <w:pPr>
              <w:spacing w:after="0"/>
              <w:rPr>
                <w:sz w:val="18"/>
                <w:szCs w:val="18"/>
                <w:color w:val="auto"/>
              </w:rPr>
            </w:pPr>
          </w:p>
        </w:tc>
        <w:tc>
          <w:tcPr>
            <w:tcW w:w="1560" w:type="dxa"/>
            <w:vAlign w:val="bottom"/>
            <w:gridSpan w:val="2"/>
            <w:shd w:val="clear" w:color="auto" w:fill="ACACAC"/>
          </w:tcPr>
          <w:p>
            <w:pPr>
              <w:jc w:val="right"/>
              <w:ind w:right="164"/>
              <w:spacing w:after="0"/>
              <w:rPr>
                <w:sz w:val="20"/>
                <w:szCs w:val="20"/>
                <w:color w:val="auto"/>
              </w:rPr>
            </w:pPr>
            <w:r>
              <w:rPr>
                <w:rFonts w:ascii="Arial" w:cs="Arial" w:eastAsia="Arial" w:hAnsi="Arial"/>
                <w:sz w:val="14"/>
                <w:szCs w:val="14"/>
                <w:b w:val="1"/>
                <w:bCs w:val="1"/>
                <w:color w:val="FFFFFF"/>
              </w:rPr>
              <w:t>Asset derivatives</w:t>
            </w:r>
          </w:p>
        </w:tc>
        <w:tc>
          <w:tcPr>
            <w:tcW w:w="220" w:type="dxa"/>
            <w:vAlign w:val="bottom"/>
            <w:shd w:val="clear" w:color="auto" w:fill="ACACAC"/>
          </w:tcPr>
          <w:p>
            <w:pPr>
              <w:spacing w:after="0"/>
              <w:rPr>
                <w:sz w:val="18"/>
                <w:szCs w:val="18"/>
                <w:color w:val="auto"/>
              </w:rPr>
            </w:pPr>
          </w:p>
        </w:tc>
        <w:tc>
          <w:tcPr>
            <w:tcW w:w="240" w:type="dxa"/>
            <w:vAlign w:val="bottom"/>
            <w:tcBorders>
              <w:right w:val="single" w:sz="8" w:color="ACACAC"/>
            </w:tcBorders>
            <w:shd w:val="clear" w:color="auto" w:fill="ACACAC"/>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62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2280" w:type="dxa"/>
            <w:vAlign w:val="bottom"/>
            <w:gridSpan w:val="2"/>
            <w:shd w:val="clear" w:color="auto" w:fill="ACACAC"/>
          </w:tcPr>
          <w:p>
            <w:pPr>
              <w:jc w:val="right"/>
              <w:ind w:right="535"/>
              <w:spacing w:after="0"/>
              <w:rPr>
                <w:sz w:val="20"/>
                <w:szCs w:val="20"/>
                <w:color w:val="auto"/>
              </w:rPr>
            </w:pPr>
            <w:r>
              <w:rPr>
                <w:rFonts w:ascii="Arial" w:cs="Arial" w:eastAsia="Arial" w:hAnsi="Arial"/>
                <w:sz w:val="14"/>
                <w:szCs w:val="14"/>
                <w:b w:val="1"/>
                <w:bCs w:val="1"/>
                <w:color w:val="FFFFFF"/>
              </w:rPr>
              <w:t>Liability derivatives</w:t>
            </w: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600" w:type="dxa"/>
            <w:vAlign w:val="bottom"/>
            <w:shd w:val="clear" w:color="auto" w:fill="ACACAC"/>
          </w:tcPr>
          <w:p>
            <w:pPr>
              <w:spacing w:after="0"/>
              <w:rPr>
                <w:sz w:val="17"/>
                <w:szCs w:val="17"/>
                <w:color w:val="auto"/>
              </w:rPr>
            </w:pPr>
          </w:p>
        </w:tc>
        <w:tc>
          <w:tcPr>
            <w:tcW w:w="900" w:type="dxa"/>
            <w:vAlign w:val="bottom"/>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220" w:type="dxa"/>
            <w:vAlign w:val="bottom"/>
            <w:shd w:val="clear" w:color="auto" w:fill="ACACAC"/>
          </w:tcPr>
          <w:p>
            <w:pPr>
              <w:spacing w:after="0"/>
              <w:rPr>
                <w:sz w:val="17"/>
                <w:szCs w:val="17"/>
                <w:color w:val="auto"/>
              </w:rPr>
            </w:pPr>
          </w:p>
        </w:tc>
        <w:tc>
          <w:tcPr>
            <w:tcW w:w="1240" w:type="dxa"/>
            <w:vAlign w:val="bottom"/>
            <w:shd w:val="clear" w:color="auto" w:fill="ACACAC"/>
          </w:tcPr>
          <w:p>
            <w:pPr>
              <w:spacing w:after="0"/>
              <w:rPr>
                <w:sz w:val="17"/>
                <w:szCs w:val="17"/>
                <w:color w:val="auto"/>
              </w:rPr>
            </w:pPr>
          </w:p>
        </w:tc>
        <w:tc>
          <w:tcPr>
            <w:tcW w:w="13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280" w:type="dxa"/>
            <w:vAlign w:val="bottom"/>
            <w:tcBorders>
              <w:right w:val="single" w:sz="8" w:color="ACACAC"/>
            </w:tcBorders>
            <w:gridSpan w:val="3"/>
            <w:shd w:val="clear" w:color="auto" w:fill="ACACAC"/>
          </w:tcPr>
          <w:p>
            <w:pPr>
              <w:jc w:val="right"/>
              <w:ind w:right="40"/>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1620" w:type="dxa"/>
            <w:vAlign w:val="bottom"/>
            <w:shd w:val="clear" w:color="auto" w:fill="ACACAC"/>
          </w:tcPr>
          <w:p>
            <w:pPr>
              <w:spacing w:after="0"/>
              <w:rPr>
                <w:sz w:val="17"/>
                <w:szCs w:val="17"/>
                <w:color w:val="auto"/>
              </w:rPr>
            </w:pPr>
          </w:p>
        </w:tc>
        <w:tc>
          <w:tcPr>
            <w:tcW w:w="22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1220" w:type="dxa"/>
            <w:vAlign w:val="bottom"/>
            <w:shd w:val="clear" w:color="auto" w:fill="ACACAC"/>
          </w:tcPr>
          <w:p>
            <w:pPr>
              <w:spacing w:after="0"/>
              <w:rPr>
                <w:sz w:val="20"/>
                <w:szCs w:val="20"/>
                <w:color w:val="auto"/>
              </w:rPr>
            </w:pPr>
            <w:r>
              <w:rPr>
                <w:rFonts w:ascii="Arial" w:cs="Arial" w:eastAsia="Arial" w:hAnsi="Arial"/>
                <w:sz w:val="14"/>
                <w:szCs w:val="14"/>
                <w:b w:val="1"/>
                <w:bCs w:val="1"/>
                <w:color w:val="FFFFFF"/>
              </w:rPr>
              <w:t>September 30,</w:t>
            </w: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00" w:type="dxa"/>
            <w:vAlign w:val="bottom"/>
            <w:tcBorders>
              <w:bottom w:val="single" w:sz="8" w:color="ACACAC"/>
            </w:tcBorders>
            <w:shd w:val="clear" w:color="auto" w:fill="ACACAC"/>
          </w:tcPr>
          <w:p>
            <w:pPr>
              <w:spacing w:after="0"/>
              <w:rPr>
                <w:sz w:val="17"/>
                <w:szCs w:val="17"/>
                <w:color w:val="auto"/>
              </w:rPr>
            </w:pPr>
          </w:p>
        </w:tc>
        <w:tc>
          <w:tcPr>
            <w:tcW w:w="1700" w:type="dxa"/>
            <w:vAlign w:val="bottom"/>
            <w:tcBorders>
              <w:bottom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580" w:type="dxa"/>
            <w:vAlign w:val="bottom"/>
            <w:tcBorders>
              <w:bottom w:val="single" w:sz="8" w:color="ACACAC"/>
            </w:tcBorders>
            <w:shd w:val="clear" w:color="auto" w:fill="ACACAC"/>
          </w:tcPr>
          <w:p>
            <w:pPr>
              <w:spacing w:after="0"/>
              <w:rPr>
                <w:sz w:val="17"/>
                <w:szCs w:val="17"/>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820" w:type="dxa"/>
            <w:vAlign w:val="bottom"/>
            <w:tcBorders>
              <w:bottom w:val="single" w:sz="8" w:color="ACACAC"/>
            </w:tcBorders>
            <w:shd w:val="clear" w:color="auto" w:fill="ACACAC"/>
          </w:tcPr>
          <w:p>
            <w:pPr>
              <w:spacing w:after="0"/>
              <w:rPr>
                <w:sz w:val="17"/>
                <w:szCs w:val="17"/>
                <w:color w:val="auto"/>
              </w:rPr>
            </w:pPr>
          </w:p>
        </w:tc>
        <w:tc>
          <w:tcPr>
            <w:tcW w:w="460" w:type="dxa"/>
            <w:vAlign w:val="bottom"/>
            <w:tcBorders>
              <w:bottom w:val="single" w:sz="8" w:color="ACACAC"/>
              <w:right w:val="single" w:sz="8" w:color="ACACAC"/>
            </w:tcBorders>
            <w:gridSpan w:val="2"/>
            <w:shd w:val="clear" w:color="auto" w:fill="ACACAC"/>
          </w:tcPr>
          <w:p>
            <w:pPr>
              <w:jc w:val="right"/>
              <w:ind w:right="40"/>
              <w:spacing w:after="0"/>
              <w:rPr>
                <w:sz w:val="20"/>
                <w:szCs w:val="20"/>
                <w:color w:val="auto"/>
              </w:rPr>
            </w:pPr>
            <w:r>
              <w:rPr>
                <w:rFonts w:ascii="Arial" w:cs="Arial" w:eastAsia="Arial" w:hAnsi="Arial"/>
                <w:sz w:val="14"/>
                <w:szCs w:val="14"/>
                <w:b w:val="1"/>
                <w:bCs w:val="1"/>
                <w:color w:val="FFFFFF"/>
              </w:rPr>
              <w:t>2020</w:t>
            </w:r>
          </w:p>
        </w:tc>
        <w:tc>
          <w:tcPr>
            <w:tcW w:w="100" w:type="dxa"/>
            <w:vAlign w:val="bottom"/>
            <w:tcBorders>
              <w:bottom w:val="single" w:sz="8" w:color="F4F4F4"/>
            </w:tcBorders>
          </w:tcPr>
          <w:p>
            <w:pPr>
              <w:spacing w:after="0"/>
              <w:rPr>
                <w:sz w:val="17"/>
                <w:szCs w:val="17"/>
                <w:color w:val="auto"/>
              </w:rPr>
            </w:pPr>
          </w:p>
        </w:tc>
        <w:tc>
          <w:tcPr>
            <w:tcW w:w="120" w:type="dxa"/>
            <w:vAlign w:val="bottom"/>
            <w:tcBorders>
              <w:bottom w:val="single" w:sz="8" w:color="ACACAC"/>
            </w:tcBorders>
            <w:shd w:val="clear" w:color="auto" w:fill="ACACAC"/>
          </w:tcPr>
          <w:p>
            <w:pPr>
              <w:spacing w:after="0"/>
              <w:rPr>
                <w:sz w:val="17"/>
                <w:szCs w:val="17"/>
                <w:color w:val="auto"/>
              </w:rPr>
            </w:pPr>
          </w:p>
        </w:tc>
        <w:tc>
          <w:tcPr>
            <w:tcW w:w="16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220" w:type="dxa"/>
            <w:vAlign w:val="bottom"/>
            <w:tcBorders>
              <w:bottom w:val="single" w:sz="8" w:color="ACACAC"/>
            </w:tcBorders>
            <w:shd w:val="clear" w:color="auto" w:fill="ACACAC"/>
          </w:tcPr>
          <w:p>
            <w:pPr>
              <w:spacing w:after="0"/>
              <w:rPr>
                <w:sz w:val="17"/>
                <w:szCs w:val="17"/>
                <w:color w:val="auto"/>
              </w:rPr>
            </w:pPr>
          </w:p>
        </w:tc>
        <w:tc>
          <w:tcPr>
            <w:tcW w:w="1320" w:type="dxa"/>
            <w:vAlign w:val="bottom"/>
            <w:tcBorders>
              <w:bottom w:val="single" w:sz="8" w:color="ACACAC"/>
            </w:tcBorders>
            <w:gridSpan w:val="2"/>
            <w:shd w:val="clear" w:color="auto" w:fill="ACACAC"/>
          </w:tcPr>
          <w:p>
            <w:pPr>
              <w:jc w:val="right"/>
              <w:ind w:right="142"/>
              <w:spacing w:after="0"/>
              <w:rPr>
                <w:sz w:val="20"/>
                <w:szCs w:val="20"/>
                <w:color w:val="auto"/>
              </w:rPr>
            </w:pPr>
            <w:r>
              <w:rPr>
                <w:rFonts w:ascii="Arial" w:cs="Arial" w:eastAsia="Arial" w:hAnsi="Arial"/>
                <w:sz w:val="14"/>
                <w:szCs w:val="14"/>
                <w:b w:val="1"/>
                <w:bCs w:val="1"/>
                <w:color w:val="FFFFFF"/>
              </w:rPr>
              <w:t>2021</w:t>
            </w: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00" w:type="dxa"/>
            <w:vAlign w:val="bottom"/>
            <w:gridSpan w:val="2"/>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2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740" w:type="dxa"/>
            <w:vAlign w:val="bottom"/>
            <w:shd w:val="clear" w:color="auto" w:fill="F4F4F4"/>
          </w:tcPr>
          <w:p>
            <w:pPr>
              <w:spacing w:after="0"/>
              <w:rPr>
                <w:sz w:val="19"/>
                <w:szCs w:val="19"/>
                <w:color w:val="auto"/>
              </w:rPr>
            </w:pPr>
          </w:p>
        </w:tc>
        <w:tc>
          <w:tcPr>
            <w:tcW w:w="82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240" w:type="dxa"/>
            <w:vAlign w:val="bottom"/>
            <w:tcBorders>
              <w:right w:val="single" w:sz="8" w:color="F4F4F4"/>
            </w:tcBorders>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162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122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F4F4F4"/>
          </w:tcPr>
          <w:p>
            <w:pPr>
              <w:ind w:left="20"/>
              <w:spacing w:after="0"/>
              <w:rPr>
                <w:sz w:val="20"/>
                <w:szCs w:val="20"/>
                <w:color w:val="auto"/>
              </w:rPr>
            </w:pPr>
            <w:r>
              <w:rPr>
                <w:rFonts w:ascii="Arial" w:cs="Arial" w:eastAsia="Arial" w:hAnsi="Arial"/>
                <w:sz w:val="18"/>
                <w:szCs w:val="18"/>
                <w:b w:val="1"/>
                <w:bCs w:val="1"/>
                <w:color w:val="auto"/>
              </w:rPr>
              <w:t>designated as hedging</w:t>
            </w:r>
          </w:p>
        </w:tc>
        <w:tc>
          <w:tcPr>
            <w:tcW w:w="240" w:type="dxa"/>
            <w:vAlign w:val="bottom"/>
            <w:shd w:val="clear" w:color="auto" w:fill="F4F4F4"/>
          </w:tcPr>
          <w:p>
            <w:pPr>
              <w:spacing w:after="0"/>
              <w:rPr>
                <w:sz w:val="18"/>
                <w:szCs w:val="18"/>
                <w:color w:val="auto"/>
              </w:rPr>
            </w:pPr>
          </w:p>
        </w:tc>
        <w:tc>
          <w:tcPr>
            <w:tcW w:w="220" w:type="dxa"/>
            <w:vAlign w:val="bottom"/>
            <w:shd w:val="clear" w:color="auto" w:fill="F4F4F4"/>
          </w:tcPr>
          <w:p>
            <w:pPr>
              <w:spacing w:after="0"/>
              <w:rPr>
                <w:sz w:val="18"/>
                <w:szCs w:val="18"/>
                <w:color w:val="auto"/>
              </w:rPr>
            </w:pPr>
          </w:p>
        </w:tc>
        <w:tc>
          <w:tcPr>
            <w:tcW w:w="1240" w:type="dxa"/>
            <w:vAlign w:val="bottom"/>
            <w:shd w:val="clear" w:color="auto" w:fill="F4F4F4"/>
          </w:tcPr>
          <w:p>
            <w:pPr>
              <w:spacing w:after="0"/>
              <w:rPr>
                <w:sz w:val="18"/>
                <w:szCs w:val="18"/>
                <w:color w:val="auto"/>
              </w:rPr>
            </w:pPr>
          </w:p>
        </w:tc>
        <w:tc>
          <w:tcPr>
            <w:tcW w:w="580" w:type="dxa"/>
            <w:vAlign w:val="bottom"/>
            <w:shd w:val="clear" w:color="auto" w:fill="F4F4F4"/>
          </w:tcPr>
          <w:p>
            <w:pPr>
              <w:spacing w:after="0"/>
              <w:rPr>
                <w:sz w:val="18"/>
                <w:szCs w:val="18"/>
                <w:color w:val="auto"/>
              </w:rPr>
            </w:pPr>
          </w:p>
        </w:tc>
        <w:tc>
          <w:tcPr>
            <w:tcW w:w="740" w:type="dxa"/>
            <w:vAlign w:val="bottom"/>
            <w:shd w:val="clear" w:color="auto" w:fill="F4F4F4"/>
          </w:tcPr>
          <w:p>
            <w:pPr>
              <w:spacing w:after="0"/>
              <w:rPr>
                <w:sz w:val="18"/>
                <w:szCs w:val="18"/>
                <w:color w:val="auto"/>
              </w:rPr>
            </w:pPr>
          </w:p>
        </w:tc>
        <w:tc>
          <w:tcPr>
            <w:tcW w:w="820" w:type="dxa"/>
            <w:vAlign w:val="bottom"/>
            <w:shd w:val="clear" w:color="auto" w:fill="F4F4F4"/>
          </w:tcPr>
          <w:p>
            <w:pPr>
              <w:spacing w:after="0"/>
              <w:rPr>
                <w:sz w:val="18"/>
                <w:szCs w:val="18"/>
                <w:color w:val="auto"/>
              </w:rPr>
            </w:pPr>
          </w:p>
        </w:tc>
        <w:tc>
          <w:tcPr>
            <w:tcW w:w="220" w:type="dxa"/>
            <w:vAlign w:val="bottom"/>
            <w:shd w:val="clear" w:color="auto" w:fill="F4F4F4"/>
          </w:tcPr>
          <w:p>
            <w:pPr>
              <w:spacing w:after="0"/>
              <w:rPr>
                <w:sz w:val="18"/>
                <w:szCs w:val="18"/>
                <w:color w:val="auto"/>
              </w:rPr>
            </w:pPr>
          </w:p>
        </w:tc>
        <w:tc>
          <w:tcPr>
            <w:tcW w:w="240" w:type="dxa"/>
            <w:vAlign w:val="bottom"/>
            <w:tcBorders>
              <w:right w:val="single" w:sz="8" w:color="F4F4F4"/>
            </w:tcBorders>
            <w:shd w:val="clear" w:color="auto" w:fill="F4F4F4"/>
          </w:tcPr>
          <w:p>
            <w:pPr>
              <w:spacing w:after="0"/>
              <w:rPr>
                <w:sz w:val="18"/>
                <w:szCs w:val="18"/>
                <w:color w:val="auto"/>
              </w:rPr>
            </w:pPr>
          </w:p>
        </w:tc>
        <w:tc>
          <w:tcPr>
            <w:tcW w:w="100" w:type="dxa"/>
            <w:vAlign w:val="bottom"/>
            <w:shd w:val="clear" w:color="auto" w:fill="F4F4F4"/>
          </w:tcPr>
          <w:p>
            <w:pPr>
              <w:spacing w:after="0"/>
              <w:rPr>
                <w:sz w:val="18"/>
                <w:szCs w:val="18"/>
                <w:color w:val="auto"/>
              </w:rPr>
            </w:pPr>
          </w:p>
        </w:tc>
        <w:tc>
          <w:tcPr>
            <w:tcW w:w="120" w:type="dxa"/>
            <w:vAlign w:val="bottom"/>
            <w:shd w:val="clear" w:color="auto" w:fill="F4F4F4"/>
          </w:tcPr>
          <w:p>
            <w:pPr>
              <w:spacing w:after="0"/>
              <w:rPr>
                <w:sz w:val="18"/>
                <w:szCs w:val="18"/>
                <w:color w:val="auto"/>
              </w:rPr>
            </w:pPr>
          </w:p>
        </w:tc>
        <w:tc>
          <w:tcPr>
            <w:tcW w:w="1620" w:type="dxa"/>
            <w:vAlign w:val="bottom"/>
            <w:shd w:val="clear" w:color="auto" w:fill="F4F4F4"/>
          </w:tcPr>
          <w:p>
            <w:pPr>
              <w:spacing w:after="0"/>
              <w:rPr>
                <w:sz w:val="18"/>
                <w:szCs w:val="18"/>
                <w:color w:val="auto"/>
              </w:rPr>
            </w:pPr>
          </w:p>
        </w:tc>
        <w:tc>
          <w:tcPr>
            <w:tcW w:w="220" w:type="dxa"/>
            <w:vAlign w:val="bottom"/>
            <w:shd w:val="clear" w:color="auto" w:fill="F4F4F4"/>
          </w:tcPr>
          <w:p>
            <w:pPr>
              <w:spacing w:after="0"/>
              <w:rPr>
                <w:sz w:val="18"/>
                <w:szCs w:val="18"/>
                <w:color w:val="auto"/>
              </w:rPr>
            </w:pPr>
          </w:p>
        </w:tc>
        <w:tc>
          <w:tcPr>
            <w:tcW w:w="100" w:type="dxa"/>
            <w:vAlign w:val="bottom"/>
            <w:shd w:val="clear" w:color="auto" w:fill="F4F4F4"/>
          </w:tcPr>
          <w:p>
            <w:pPr>
              <w:spacing w:after="0"/>
              <w:rPr>
                <w:sz w:val="18"/>
                <w:szCs w:val="18"/>
                <w:color w:val="auto"/>
              </w:rPr>
            </w:pPr>
          </w:p>
        </w:tc>
        <w:tc>
          <w:tcPr>
            <w:tcW w:w="1220" w:type="dxa"/>
            <w:vAlign w:val="bottom"/>
            <w:shd w:val="clear" w:color="auto" w:fill="F4F4F4"/>
          </w:tcPr>
          <w:p>
            <w:pPr>
              <w:spacing w:after="0"/>
              <w:rPr>
                <w:sz w:val="18"/>
                <w:szCs w:val="18"/>
                <w:color w:val="auto"/>
              </w:rPr>
            </w:pPr>
          </w:p>
        </w:tc>
        <w:tc>
          <w:tcPr>
            <w:tcW w:w="1060" w:type="dxa"/>
            <w:vAlign w:val="bottom"/>
            <w:shd w:val="clear" w:color="auto" w:fill="F4F4F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instruments:</w:t>
            </w:r>
          </w:p>
        </w:tc>
        <w:tc>
          <w:tcPr>
            <w:tcW w:w="90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580" w:type="dxa"/>
            <w:vAlign w:val="bottom"/>
            <w:tcBorders>
              <w:bottom w:val="single" w:sz="8" w:color="F4F4F4"/>
            </w:tcBorders>
            <w:shd w:val="clear" w:color="auto" w:fill="F4F4F4"/>
          </w:tcPr>
          <w:p>
            <w:pPr>
              <w:spacing w:after="0"/>
              <w:rPr>
                <w:sz w:val="21"/>
                <w:szCs w:val="21"/>
                <w:color w:val="auto"/>
              </w:rPr>
            </w:pPr>
          </w:p>
        </w:tc>
        <w:tc>
          <w:tcPr>
            <w:tcW w:w="74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right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62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00" w:type="dxa"/>
            <w:vAlign w:val="bottom"/>
            <w:gridSpan w:val="2"/>
          </w:tcPr>
          <w:p>
            <w:pPr>
              <w:ind w:left="140"/>
              <w:spacing w:after="0"/>
              <w:rPr>
                <w:sz w:val="20"/>
                <w:szCs w:val="20"/>
                <w:color w:val="auto"/>
              </w:rPr>
            </w:pPr>
            <w:r>
              <w:rPr>
                <w:rFonts w:ascii="Arial" w:cs="Arial" w:eastAsia="Arial" w:hAnsi="Arial"/>
                <w:sz w:val="18"/>
                <w:szCs w:val="18"/>
                <w:color w:val="auto"/>
              </w:rPr>
              <w:t>Interest rate swaps, current</w:t>
            </w:r>
          </w:p>
        </w:tc>
        <w:tc>
          <w:tcPr>
            <w:tcW w:w="2280" w:type="dxa"/>
            <w:vAlign w:val="bottom"/>
            <w:gridSpan w:val="4"/>
          </w:tcPr>
          <w:p>
            <w:pPr>
              <w:jc w:val="right"/>
              <w:ind w:right="528"/>
              <w:spacing w:after="0"/>
              <w:rPr>
                <w:sz w:val="20"/>
                <w:szCs w:val="20"/>
                <w:color w:val="auto"/>
              </w:rPr>
            </w:pPr>
            <w:r>
              <w:rPr>
                <w:rFonts w:ascii="Arial" w:cs="Arial" w:eastAsia="Arial" w:hAnsi="Arial"/>
                <w:sz w:val="18"/>
                <w:szCs w:val="18"/>
                <w:color w:val="auto"/>
              </w:rPr>
              <w:t>Prepaid expenses</w:t>
            </w: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40"/>
              <w:spacing w:after="0"/>
              <w:rPr>
                <w:sz w:val="20"/>
                <w:szCs w:val="20"/>
                <w:color w:val="auto"/>
              </w:rPr>
            </w:pPr>
            <w:r>
              <w:rPr>
                <w:rFonts w:ascii="Arial" w:cs="Arial" w:eastAsia="Arial" w:hAnsi="Arial"/>
                <w:sz w:val="18"/>
                <w:szCs w:val="18"/>
                <w:color w:val="auto"/>
              </w:rPr>
              <w:t>portion</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528"/>
              <w:spacing w:after="0"/>
              <w:rPr>
                <w:sz w:val="20"/>
                <w:szCs w:val="20"/>
                <w:color w:val="auto"/>
              </w:rPr>
            </w:pPr>
            <w:r>
              <w:rPr>
                <w:rFonts w:ascii="Arial" w:cs="Arial" w:eastAsia="Arial" w:hAnsi="Arial"/>
                <w:sz w:val="18"/>
                <w:szCs w:val="18"/>
                <w:color w:val="auto"/>
              </w:rPr>
              <w:t>and other</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and other</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388"/>
              <w:spacing w:after="0"/>
              <w:rPr>
                <w:sz w:val="20"/>
                <w:szCs w:val="20"/>
                <w:color w:val="auto"/>
              </w:rPr>
            </w:pPr>
            <w:r>
              <w:rPr>
                <w:rFonts w:ascii="Arial" w:cs="Arial" w:eastAsia="Arial" w:hAnsi="Arial"/>
                <w:sz w:val="18"/>
                <w:szCs w:val="18"/>
                <w:color w:val="auto"/>
              </w:rPr>
              <w:t>current assets $</w:t>
            </w:r>
          </w:p>
        </w:tc>
        <w:tc>
          <w:tcPr>
            <w:tcW w:w="1560" w:type="dxa"/>
            <w:vAlign w:val="bottom"/>
            <w:gridSpan w:val="2"/>
          </w:tcPr>
          <w:p>
            <w:pPr>
              <w:jc w:val="right"/>
              <w:ind w:right="624"/>
              <w:spacing w:after="0"/>
              <w:rPr>
                <w:sz w:val="20"/>
                <w:szCs w:val="20"/>
                <w:color w:val="auto"/>
              </w:rPr>
            </w:pPr>
            <w:r>
              <w:rPr>
                <w:rFonts w:ascii="Arial" w:cs="Arial" w:eastAsia="Arial" w:hAnsi="Arial"/>
                <w:sz w:val="18"/>
                <w:szCs w:val="18"/>
                <w:color w:val="auto"/>
              </w:rPr>
              <w:t>— $</w:t>
            </w:r>
          </w:p>
        </w:tc>
        <w:tc>
          <w:tcPr>
            <w:tcW w:w="6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current liabilities $</w:t>
            </w:r>
          </w:p>
        </w:tc>
        <w:tc>
          <w:tcPr>
            <w:tcW w:w="100" w:type="dxa"/>
            <w:vAlign w:val="bottom"/>
          </w:tcPr>
          <w:p>
            <w:pPr>
              <w:spacing w:after="0"/>
              <w:rPr>
                <w:sz w:val="18"/>
                <w:szCs w:val="18"/>
                <w:color w:val="auto"/>
              </w:rPr>
            </w:pPr>
          </w:p>
        </w:tc>
        <w:tc>
          <w:tcPr>
            <w:tcW w:w="1220" w:type="dxa"/>
            <w:vAlign w:val="bottom"/>
          </w:tcPr>
          <w:p>
            <w:pPr>
              <w:ind w:left="76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2,698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500" w:type="dxa"/>
            <w:vAlign w:val="bottom"/>
            <w:gridSpan w:val="2"/>
            <w:shd w:val="clear" w:color="auto" w:fill="F4F4F4"/>
          </w:tcPr>
          <w:p>
            <w:pPr>
              <w:ind w:left="140"/>
              <w:spacing w:after="0"/>
              <w:rPr>
                <w:sz w:val="20"/>
                <w:szCs w:val="20"/>
                <w:color w:val="auto"/>
              </w:rPr>
            </w:pPr>
            <w:r>
              <w:rPr>
                <w:rFonts w:ascii="Arial" w:cs="Arial" w:eastAsia="Arial" w:hAnsi="Arial"/>
                <w:sz w:val="18"/>
                <w:szCs w:val="18"/>
                <w:color w:val="auto"/>
              </w:rPr>
              <w:t>Interest rate swaps, long-</w:t>
            </w:r>
          </w:p>
        </w:tc>
        <w:tc>
          <w:tcPr>
            <w:tcW w:w="240" w:type="dxa"/>
            <w:vAlign w:val="bottom"/>
            <w:shd w:val="clear" w:color="auto" w:fill="F4F4F4"/>
          </w:tcPr>
          <w:p>
            <w:pPr>
              <w:spacing w:after="0"/>
              <w:rPr>
                <w:sz w:val="21"/>
                <w:szCs w:val="21"/>
                <w:color w:val="auto"/>
              </w:rPr>
            </w:pPr>
          </w:p>
        </w:tc>
        <w:tc>
          <w:tcPr>
            <w:tcW w:w="22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580" w:type="dxa"/>
            <w:vAlign w:val="bottom"/>
            <w:shd w:val="clear" w:color="auto" w:fill="F4F4F4"/>
          </w:tcPr>
          <w:p>
            <w:pPr>
              <w:spacing w:after="0"/>
              <w:rPr>
                <w:sz w:val="21"/>
                <w:szCs w:val="21"/>
                <w:color w:val="auto"/>
              </w:rPr>
            </w:pPr>
          </w:p>
        </w:tc>
        <w:tc>
          <w:tcPr>
            <w:tcW w:w="740" w:type="dxa"/>
            <w:vAlign w:val="bottom"/>
            <w:shd w:val="clear" w:color="auto" w:fill="F4F4F4"/>
          </w:tcPr>
          <w:p>
            <w:pPr>
              <w:spacing w:after="0"/>
              <w:rPr>
                <w:sz w:val="21"/>
                <w:szCs w:val="21"/>
                <w:color w:val="auto"/>
              </w:rPr>
            </w:pPr>
          </w:p>
        </w:tc>
        <w:tc>
          <w:tcPr>
            <w:tcW w:w="820" w:type="dxa"/>
            <w:vAlign w:val="bottom"/>
            <w:shd w:val="clear" w:color="auto" w:fill="F4F4F4"/>
          </w:tcPr>
          <w:p>
            <w:pPr>
              <w:spacing w:after="0"/>
              <w:rPr>
                <w:sz w:val="21"/>
                <w:szCs w:val="21"/>
                <w:color w:val="auto"/>
              </w:rPr>
            </w:pPr>
          </w:p>
        </w:tc>
        <w:tc>
          <w:tcPr>
            <w:tcW w:w="220" w:type="dxa"/>
            <w:vAlign w:val="bottom"/>
            <w:shd w:val="clear" w:color="auto" w:fill="F4F4F4"/>
          </w:tcPr>
          <w:p>
            <w:pPr>
              <w:spacing w:after="0"/>
              <w:rPr>
                <w:sz w:val="21"/>
                <w:szCs w:val="21"/>
                <w:color w:val="auto"/>
              </w:rPr>
            </w:pPr>
          </w:p>
        </w:tc>
        <w:tc>
          <w:tcPr>
            <w:tcW w:w="240" w:type="dxa"/>
            <w:vAlign w:val="bottom"/>
            <w:tcBorders>
              <w:right w:val="single" w:sz="8" w:color="F4F4F4"/>
            </w:tcBorders>
            <w:shd w:val="clear" w:color="auto" w:fill="F4F4F4"/>
          </w:tcPr>
          <w:p>
            <w:pPr>
              <w:spacing w:after="0"/>
              <w:rPr>
                <w:sz w:val="21"/>
                <w:szCs w:val="21"/>
                <w:color w:val="auto"/>
              </w:rPr>
            </w:pPr>
          </w:p>
        </w:tc>
        <w:tc>
          <w:tcPr>
            <w:tcW w:w="100" w:type="dxa"/>
            <w:vAlign w:val="bottom"/>
            <w:shd w:val="clear" w:color="auto" w:fill="F4F4F4"/>
          </w:tcPr>
          <w:p>
            <w:pPr>
              <w:spacing w:after="0"/>
              <w:rPr>
                <w:sz w:val="21"/>
                <w:szCs w:val="21"/>
                <w:color w:val="auto"/>
              </w:rPr>
            </w:pPr>
          </w:p>
        </w:tc>
        <w:tc>
          <w:tcPr>
            <w:tcW w:w="120" w:type="dxa"/>
            <w:vAlign w:val="bottom"/>
            <w:shd w:val="clear" w:color="auto" w:fill="F4F4F4"/>
          </w:tcPr>
          <w:p>
            <w:pPr>
              <w:spacing w:after="0"/>
              <w:rPr>
                <w:sz w:val="21"/>
                <w:szCs w:val="21"/>
                <w:color w:val="auto"/>
              </w:rPr>
            </w:pPr>
          </w:p>
        </w:tc>
        <w:tc>
          <w:tcPr>
            <w:tcW w:w="1620" w:type="dxa"/>
            <w:vAlign w:val="bottom"/>
            <w:shd w:val="clear" w:color="auto" w:fill="F4F4F4"/>
          </w:tcPr>
          <w:p>
            <w:pPr>
              <w:spacing w:after="0"/>
              <w:rPr>
                <w:sz w:val="21"/>
                <w:szCs w:val="21"/>
                <w:color w:val="auto"/>
              </w:rPr>
            </w:pPr>
          </w:p>
        </w:tc>
        <w:tc>
          <w:tcPr>
            <w:tcW w:w="220" w:type="dxa"/>
            <w:vAlign w:val="bottom"/>
            <w:shd w:val="clear" w:color="auto" w:fill="F4F4F4"/>
          </w:tcPr>
          <w:p>
            <w:pPr>
              <w:spacing w:after="0"/>
              <w:rPr>
                <w:sz w:val="21"/>
                <w:szCs w:val="21"/>
                <w:color w:val="auto"/>
              </w:rPr>
            </w:pPr>
          </w:p>
        </w:tc>
        <w:tc>
          <w:tcPr>
            <w:tcW w:w="100" w:type="dxa"/>
            <w:vAlign w:val="bottom"/>
            <w:shd w:val="clear" w:color="auto" w:fill="F4F4F4"/>
          </w:tcPr>
          <w:p>
            <w:pPr>
              <w:spacing w:after="0"/>
              <w:rPr>
                <w:sz w:val="21"/>
                <w:szCs w:val="21"/>
                <w:color w:val="auto"/>
              </w:rPr>
            </w:pPr>
          </w:p>
        </w:tc>
        <w:tc>
          <w:tcPr>
            <w:tcW w:w="1220" w:type="dxa"/>
            <w:vAlign w:val="bottom"/>
            <w:shd w:val="clear" w:color="auto" w:fill="F4F4F4"/>
          </w:tcPr>
          <w:p>
            <w:pPr>
              <w:spacing w:after="0"/>
              <w:rPr>
                <w:sz w:val="21"/>
                <w:szCs w:val="21"/>
                <w:color w:val="auto"/>
              </w:rPr>
            </w:pPr>
          </w:p>
        </w:tc>
        <w:tc>
          <w:tcPr>
            <w:tcW w:w="106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term portion</w:t>
            </w:r>
          </w:p>
        </w:tc>
        <w:tc>
          <w:tcPr>
            <w:tcW w:w="90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820" w:type="dxa"/>
            <w:vAlign w:val="bottom"/>
            <w:tcBorders>
              <w:bottom w:val="single" w:sz="8" w:color="F4F4F4"/>
            </w:tcBorders>
            <w:gridSpan w:val="2"/>
            <w:shd w:val="clear" w:color="auto" w:fill="F4F4F4"/>
          </w:tcPr>
          <w:p>
            <w:pPr>
              <w:jc w:val="right"/>
              <w:ind w:right="528"/>
              <w:spacing w:after="0"/>
              <w:rPr>
                <w:sz w:val="20"/>
                <w:szCs w:val="20"/>
                <w:color w:val="auto"/>
              </w:rPr>
            </w:pPr>
            <w:r>
              <w:rPr>
                <w:rFonts w:ascii="Arial" w:cs="Arial" w:eastAsia="Arial" w:hAnsi="Arial"/>
                <w:sz w:val="18"/>
                <w:szCs w:val="18"/>
                <w:color w:val="auto"/>
              </w:rPr>
              <w:t>Other assets</w:t>
            </w:r>
          </w:p>
        </w:tc>
        <w:tc>
          <w:tcPr>
            <w:tcW w:w="7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2,283</w:t>
            </w:r>
          </w:p>
        </w:tc>
        <w:tc>
          <w:tcPr>
            <w:tcW w:w="820" w:type="dxa"/>
            <w:vAlign w:val="bottom"/>
            <w:tcBorders>
              <w:bottom w:val="single" w:sz="8" w:color="F4F4F4"/>
            </w:tcBorders>
            <w:shd w:val="clear" w:color="auto" w:fill="F4F4F4"/>
          </w:tcPr>
          <w:p>
            <w:pPr>
              <w:spacing w:after="0"/>
              <w:rPr>
                <w:sz w:val="21"/>
                <w:szCs w:val="21"/>
                <w:color w:val="auto"/>
              </w:rPr>
            </w:pPr>
          </w:p>
        </w:tc>
        <w:tc>
          <w:tcPr>
            <w:tcW w:w="680" w:type="dxa"/>
            <w:vAlign w:val="bottom"/>
            <w:tcBorders>
              <w:bottom w:val="single" w:sz="8" w:color="F4F4F4"/>
            </w:tcBorders>
            <w:gridSpan w:val="4"/>
            <w:shd w:val="clear" w:color="auto" w:fill="F4F4F4"/>
          </w:tcPr>
          <w:p>
            <w:pPr>
              <w:jc w:val="right"/>
              <w:ind w:right="3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ind w:left="7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50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designated as hedging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instruments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2,283</w:t>
            </w:r>
          </w:p>
        </w:tc>
        <w:tc>
          <w:tcPr>
            <w:tcW w:w="820" w:type="dxa"/>
            <w:vAlign w:val="bottom"/>
          </w:tcPr>
          <w:p>
            <w:pPr>
              <w:jc w:val="right"/>
              <w:ind w:right="624"/>
              <w:spacing w:after="0"/>
              <w:rPr>
                <w:sz w:val="20"/>
                <w:szCs w:val="20"/>
                <w:color w:val="auto"/>
              </w:rPr>
            </w:pPr>
            <w:r>
              <w:rPr>
                <w:rFonts w:ascii="Arial" w:cs="Arial" w:eastAsia="Arial" w:hAnsi="Arial"/>
                <w:sz w:val="18"/>
                <w:szCs w:val="18"/>
                <w:color w:val="auto"/>
                <w:w w:val="99"/>
              </w:rPr>
              <w:t>$</w:t>
            </w:r>
          </w:p>
        </w:tc>
        <w:tc>
          <w:tcPr>
            <w:tcW w:w="6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ind w:left="76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Borders>
              <w:bottom w:val="single" w:sz="8" w:color="71BF43"/>
            </w:tcBorders>
            <w:gridSpan w:val="2"/>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c>
          <w:tcPr>
            <w:tcW w:w="1460" w:type="dxa"/>
            <w:vAlign w:val="bottom"/>
            <w:tcBorders>
              <w:bottom w:val="single" w:sz="8" w:color="71BF43"/>
            </w:tcBorders>
            <w:gridSpan w:val="2"/>
          </w:tcPr>
          <w:p>
            <w:pPr>
              <w:spacing w:after="0"/>
              <w:rPr>
                <w:sz w:val="2"/>
                <w:szCs w:val="2"/>
                <w:color w:val="auto"/>
              </w:rPr>
            </w:pPr>
          </w:p>
        </w:tc>
        <w:tc>
          <w:tcPr>
            <w:tcW w:w="580" w:type="dxa"/>
            <w:vAlign w:val="bottom"/>
            <w:tcBorders>
              <w:bottom w:val="single" w:sz="8" w:color="71BF43"/>
            </w:tcBorders>
          </w:tcPr>
          <w:p>
            <w:pPr>
              <w:spacing w:after="0"/>
              <w:rPr>
                <w:sz w:val="2"/>
                <w:szCs w:val="2"/>
                <w:color w:val="auto"/>
              </w:rPr>
            </w:pPr>
          </w:p>
        </w:tc>
        <w:tc>
          <w:tcPr>
            <w:tcW w:w="740" w:type="dxa"/>
            <w:vAlign w:val="bottom"/>
            <w:tcBorders>
              <w:bottom w:val="single" w:sz="8" w:color="71BF43"/>
            </w:tcBorders>
          </w:tcPr>
          <w:p>
            <w:pPr>
              <w:spacing w:after="0"/>
              <w:rPr>
                <w:sz w:val="2"/>
                <w:szCs w:val="2"/>
                <w:color w:val="auto"/>
              </w:rPr>
            </w:pPr>
          </w:p>
        </w:tc>
        <w:tc>
          <w:tcPr>
            <w:tcW w:w="1040" w:type="dxa"/>
            <w:vAlign w:val="bottom"/>
            <w:tcBorders>
              <w:bottom w:val="single" w:sz="8" w:color="71BF43"/>
            </w:tcBorders>
            <w:gridSpan w:val="2"/>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120" w:type="dxa"/>
            <w:vAlign w:val="bottom"/>
            <w:tcBorders>
              <w:bottom w:val="single" w:sz="8" w:color="71BF43"/>
            </w:tcBorders>
          </w:tcPr>
          <w:p>
            <w:pPr>
              <w:spacing w:after="0"/>
              <w:rPr>
                <w:sz w:val="2"/>
                <w:szCs w:val="2"/>
                <w:color w:val="auto"/>
              </w:rPr>
            </w:pPr>
          </w:p>
        </w:tc>
        <w:tc>
          <w:tcPr>
            <w:tcW w:w="162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122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7020" w:type="dxa"/>
            <w:vAlign w:val="bottom"/>
            <w:gridSpan w:val="12"/>
          </w:tcPr>
          <w:p>
            <w:pPr>
              <w:spacing w:after="0"/>
              <w:rPr>
                <w:sz w:val="20"/>
                <w:szCs w:val="20"/>
                <w:color w:val="auto"/>
              </w:rPr>
            </w:pPr>
            <w:r>
              <w:rPr>
                <w:rFonts w:ascii="Arial" w:cs="Arial" w:eastAsia="Arial" w:hAnsi="Arial"/>
                <w:sz w:val="18"/>
                <w:szCs w:val="18"/>
                <w:color w:val="auto"/>
              </w:rPr>
              <w:t>The effects of derivative instruments in cash flow hedging relationships were as follows: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20" w:type="dxa"/>
            <w:vAlign w:val="bottom"/>
            <w:gridSpan w:val="2"/>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ACACAC"/>
          </w:tcPr>
          <w:p>
            <w:pPr>
              <w:spacing w:after="0"/>
              <w:rPr>
                <w:sz w:val="18"/>
                <w:szCs w:val="18"/>
                <w:color w:val="auto"/>
              </w:rPr>
            </w:pPr>
          </w:p>
        </w:tc>
        <w:tc>
          <w:tcPr>
            <w:tcW w:w="90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8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recognized</w:t>
            </w:r>
          </w:p>
        </w:tc>
        <w:tc>
          <w:tcPr>
            <w:tcW w:w="740" w:type="dxa"/>
            <w:vAlign w:val="bottom"/>
            <w:shd w:val="clear" w:color="auto" w:fill="ACACAC"/>
          </w:tcPr>
          <w:p>
            <w:pPr>
              <w:spacing w:after="0"/>
              <w:rPr>
                <w:sz w:val="18"/>
                <w:szCs w:val="18"/>
                <w:color w:val="auto"/>
              </w:rPr>
            </w:pPr>
          </w:p>
        </w:tc>
        <w:tc>
          <w:tcPr>
            <w:tcW w:w="104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Location</w:t>
            </w:r>
          </w:p>
        </w:tc>
        <w:tc>
          <w:tcPr>
            <w:tcW w:w="240" w:type="dxa"/>
            <w:vAlign w:val="bottom"/>
            <w:tcBorders>
              <w:right w:val="single" w:sz="8" w:color="ACACAC"/>
            </w:tcBorders>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62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1220" w:type="dxa"/>
            <w:vAlign w:val="bottom"/>
            <w:shd w:val="clear" w:color="auto" w:fill="ACACAC"/>
          </w:tcPr>
          <w:p>
            <w:pPr>
              <w:spacing w:after="0"/>
              <w:rPr>
                <w:sz w:val="18"/>
                <w:szCs w:val="18"/>
                <w:color w:val="auto"/>
              </w:rPr>
            </w:pPr>
          </w:p>
        </w:tc>
        <w:tc>
          <w:tcPr>
            <w:tcW w:w="106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shd w:val="clear" w:color="auto" w:fill="ACACAC"/>
          </w:tcPr>
          <w:p>
            <w:pPr>
              <w:spacing w:after="0"/>
              <w:rPr>
                <w:sz w:val="5"/>
                <w:szCs w:val="5"/>
                <w:color w:val="auto"/>
              </w:rPr>
            </w:pPr>
          </w:p>
        </w:tc>
        <w:tc>
          <w:tcPr>
            <w:tcW w:w="900" w:type="dxa"/>
            <w:vAlign w:val="bottom"/>
            <w:shd w:val="clear" w:color="auto" w:fill="ACACAC"/>
          </w:tcPr>
          <w:p>
            <w:pPr>
              <w:spacing w:after="0"/>
              <w:rPr>
                <w:sz w:val="5"/>
                <w:szCs w:val="5"/>
                <w:color w:val="auto"/>
              </w:rPr>
            </w:pPr>
          </w:p>
        </w:tc>
        <w:tc>
          <w:tcPr>
            <w:tcW w:w="240" w:type="dxa"/>
            <w:vAlign w:val="bottom"/>
            <w:shd w:val="clear" w:color="auto" w:fill="ACACAC"/>
          </w:tcPr>
          <w:p>
            <w:pPr>
              <w:spacing w:after="0"/>
              <w:rPr>
                <w:sz w:val="5"/>
                <w:szCs w:val="5"/>
                <w:color w:val="auto"/>
              </w:rPr>
            </w:pPr>
          </w:p>
        </w:tc>
        <w:tc>
          <w:tcPr>
            <w:tcW w:w="220" w:type="dxa"/>
            <w:vAlign w:val="bottom"/>
            <w:shd w:val="clear" w:color="auto" w:fill="ACACAC"/>
          </w:tcPr>
          <w:p>
            <w:pPr>
              <w:spacing w:after="0"/>
              <w:rPr>
                <w:sz w:val="5"/>
                <w:szCs w:val="5"/>
                <w:color w:val="auto"/>
              </w:rPr>
            </w:pPr>
          </w:p>
        </w:tc>
        <w:tc>
          <w:tcPr>
            <w:tcW w:w="182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in accumulated other</w:t>
            </w:r>
          </w:p>
        </w:tc>
        <w:tc>
          <w:tcPr>
            <w:tcW w:w="740" w:type="dxa"/>
            <w:vAlign w:val="bottom"/>
            <w:shd w:val="clear" w:color="auto" w:fill="ACACAC"/>
          </w:tcPr>
          <w:p>
            <w:pPr>
              <w:spacing w:after="0"/>
              <w:rPr>
                <w:sz w:val="5"/>
                <w:szCs w:val="5"/>
                <w:color w:val="auto"/>
              </w:rPr>
            </w:pPr>
          </w:p>
        </w:tc>
        <w:tc>
          <w:tcPr>
            <w:tcW w:w="1040" w:type="dxa"/>
            <w:vAlign w:val="bottom"/>
            <w:gridSpan w:val="2"/>
            <w:vMerge w:val="continue"/>
            <w:shd w:val="clear" w:color="auto" w:fill="ACACAC"/>
          </w:tcPr>
          <w:p>
            <w:pPr>
              <w:spacing w:after="0"/>
              <w:rPr>
                <w:sz w:val="5"/>
                <w:szCs w:val="5"/>
                <w:color w:val="auto"/>
              </w:rPr>
            </w:pPr>
          </w:p>
        </w:tc>
        <w:tc>
          <w:tcPr>
            <w:tcW w:w="460" w:type="dxa"/>
            <w:vAlign w:val="bottom"/>
            <w:gridSpan w:val="3"/>
            <w:shd w:val="clear" w:color="auto" w:fill="ACACAC"/>
          </w:tcPr>
          <w:p>
            <w:pPr>
              <w:spacing w:after="0"/>
              <w:rPr>
                <w:sz w:val="5"/>
                <w:szCs w:val="5"/>
                <w:color w:val="auto"/>
              </w:rPr>
            </w:pPr>
          </w:p>
        </w:tc>
        <w:tc>
          <w:tcPr>
            <w:tcW w:w="1620" w:type="dxa"/>
            <w:vAlign w:val="bottom"/>
            <w:shd w:val="clear" w:color="auto" w:fill="ACACAC"/>
          </w:tcPr>
          <w:p>
            <w:pPr>
              <w:spacing w:after="0"/>
              <w:rPr>
                <w:sz w:val="5"/>
                <w:szCs w:val="5"/>
                <w:color w:val="auto"/>
              </w:rPr>
            </w:pPr>
          </w:p>
        </w:tc>
        <w:tc>
          <w:tcPr>
            <w:tcW w:w="220" w:type="dxa"/>
            <w:vAlign w:val="bottom"/>
            <w:shd w:val="clear" w:color="auto" w:fill="ACACAC"/>
          </w:tcPr>
          <w:p>
            <w:pPr>
              <w:spacing w:after="0"/>
              <w:rPr>
                <w:sz w:val="5"/>
                <w:szCs w:val="5"/>
                <w:color w:val="auto"/>
              </w:rPr>
            </w:pPr>
          </w:p>
        </w:tc>
        <w:tc>
          <w:tcPr>
            <w:tcW w:w="100" w:type="dxa"/>
            <w:vAlign w:val="bottom"/>
            <w:shd w:val="clear" w:color="auto" w:fill="ACACAC"/>
          </w:tcPr>
          <w:p>
            <w:pPr>
              <w:spacing w:after="0"/>
              <w:rPr>
                <w:sz w:val="5"/>
                <w:szCs w:val="5"/>
                <w:color w:val="auto"/>
              </w:rPr>
            </w:pPr>
          </w:p>
        </w:tc>
        <w:tc>
          <w:tcPr>
            <w:tcW w:w="1220" w:type="dxa"/>
            <w:vAlign w:val="bottom"/>
            <w:shd w:val="clear" w:color="auto" w:fill="ACACAC"/>
          </w:tcPr>
          <w:p>
            <w:pPr>
              <w:spacing w:after="0"/>
              <w:rPr>
                <w:sz w:val="5"/>
                <w:szCs w:val="5"/>
                <w:color w:val="auto"/>
              </w:rPr>
            </w:pPr>
          </w:p>
        </w:tc>
        <w:tc>
          <w:tcPr>
            <w:tcW w:w="1060" w:type="dxa"/>
            <w:vAlign w:val="bottom"/>
            <w:shd w:val="clear" w:color="auto" w:fill="ACACAC"/>
          </w:tcPr>
          <w:p>
            <w:pPr>
              <w:spacing w:after="0"/>
              <w:rPr>
                <w:sz w:val="5"/>
                <w:szCs w:val="5"/>
                <w:color w:val="auto"/>
              </w:rPr>
            </w:pP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00" w:type="dxa"/>
            <w:vAlign w:val="bottom"/>
            <w:shd w:val="clear" w:color="auto" w:fill="ACACAC"/>
          </w:tcPr>
          <w:p>
            <w:pPr>
              <w:spacing w:after="0"/>
              <w:rPr>
                <w:sz w:val="8"/>
                <w:szCs w:val="8"/>
                <w:color w:val="auto"/>
              </w:rPr>
            </w:pPr>
          </w:p>
        </w:tc>
        <w:tc>
          <w:tcPr>
            <w:tcW w:w="900" w:type="dxa"/>
            <w:vAlign w:val="bottom"/>
            <w:shd w:val="clear" w:color="auto" w:fill="ACACAC"/>
          </w:tcPr>
          <w:p>
            <w:pPr>
              <w:spacing w:after="0"/>
              <w:rPr>
                <w:sz w:val="8"/>
                <w:szCs w:val="8"/>
                <w:color w:val="auto"/>
              </w:rPr>
            </w:pPr>
          </w:p>
        </w:tc>
        <w:tc>
          <w:tcPr>
            <w:tcW w:w="240" w:type="dxa"/>
            <w:vAlign w:val="bottom"/>
            <w:shd w:val="clear" w:color="auto" w:fill="ACACAC"/>
          </w:tcPr>
          <w:p>
            <w:pPr>
              <w:spacing w:after="0"/>
              <w:rPr>
                <w:sz w:val="8"/>
                <w:szCs w:val="8"/>
                <w:color w:val="auto"/>
              </w:rPr>
            </w:pPr>
          </w:p>
        </w:tc>
        <w:tc>
          <w:tcPr>
            <w:tcW w:w="220" w:type="dxa"/>
            <w:vAlign w:val="bottom"/>
            <w:shd w:val="clear" w:color="auto" w:fill="ACACAC"/>
          </w:tcPr>
          <w:p>
            <w:pPr>
              <w:spacing w:after="0"/>
              <w:rPr>
                <w:sz w:val="8"/>
                <w:szCs w:val="8"/>
                <w:color w:val="auto"/>
              </w:rPr>
            </w:pPr>
          </w:p>
        </w:tc>
        <w:tc>
          <w:tcPr>
            <w:tcW w:w="1820" w:type="dxa"/>
            <w:vAlign w:val="bottom"/>
            <w:gridSpan w:val="2"/>
            <w:vMerge w:val="continue"/>
            <w:shd w:val="clear" w:color="auto" w:fill="ACACAC"/>
          </w:tcPr>
          <w:p>
            <w:pPr>
              <w:spacing w:after="0"/>
              <w:rPr>
                <w:sz w:val="8"/>
                <w:szCs w:val="8"/>
                <w:color w:val="auto"/>
              </w:rPr>
            </w:pPr>
          </w:p>
        </w:tc>
        <w:tc>
          <w:tcPr>
            <w:tcW w:w="740" w:type="dxa"/>
            <w:vAlign w:val="bottom"/>
            <w:shd w:val="clear" w:color="auto" w:fill="ACACAC"/>
          </w:tcPr>
          <w:p>
            <w:pPr>
              <w:spacing w:after="0"/>
              <w:rPr>
                <w:sz w:val="8"/>
                <w:szCs w:val="8"/>
                <w:color w:val="auto"/>
              </w:rPr>
            </w:pPr>
          </w:p>
        </w:tc>
        <w:tc>
          <w:tcPr>
            <w:tcW w:w="104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of gain (loss)</w:t>
            </w:r>
          </w:p>
        </w:tc>
        <w:tc>
          <w:tcPr>
            <w:tcW w:w="240" w:type="dxa"/>
            <w:vAlign w:val="bottom"/>
            <w:tcBorders>
              <w:right w:val="single" w:sz="8" w:color="ACACAC"/>
            </w:tcBorders>
            <w:shd w:val="clear" w:color="auto" w:fill="ACACAC"/>
          </w:tcPr>
          <w:p>
            <w:pPr>
              <w:spacing w:after="0"/>
              <w:rPr>
                <w:sz w:val="8"/>
                <w:szCs w:val="8"/>
                <w:color w:val="auto"/>
              </w:rPr>
            </w:pPr>
          </w:p>
        </w:tc>
        <w:tc>
          <w:tcPr>
            <w:tcW w:w="100" w:type="dxa"/>
            <w:vAlign w:val="bottom"/>
            <w:shd w:val="clear" w:color="auto" w:fill="ACACAC"/>
          </w:tcPr>
          <w:p>
            <w:pPr>
              <w:spacing w:after="0"/>
              <w:rPr>
                <w:sz w:val="8"/>
                <w:szCs w:val="8"/>
                <w:color w:val="auto"/>
              </w:rPr>
            </w:pPr>
          </w:p>
        </w:tc>
        <w:tc>
          <w:tcPr>
            <w:tcW w:w="120" w:type="dxa"/>
            <w:vAlign w:val="bottom"/>
            <w:shd w:val="clear" w:color="auto" w:fill="ACACAC"/>
          </w:tcPr>
          <w:p>
            <w:pPr>
              <w:spacing w:after="0"/>
              <w:rPr>
                <w:sz w:val="8"/>
                <w:szCs w:val="8"/>
                <w:color w:val="auto"/>
              </w:rPr>
            </w:pPr>
          </w:p>
        </w:tc>
        <w:tc>
          <w:tcPr>
            <w:tcW w:w="1620" w:type="dxa"/>
            <w:vAlign w:val="bottom"/>
            <w:shd w:val="clear" w:color="auto" w:fill="ACACAC"/>
          </w:tcPr>
          <w:p>
            <w:pPr>
              <w:spacing w:after="0"/>
              <w:rPr>
                <w:sz w:val="8"/>
                <w:szCs w:val="8"/>
                <w:color w:val="auto"/>
              </w:rPr>
            </w:pPr>
          </w:p>
        </w:tc>
        <w:tc>
          <w:tcPr>
            <w:tcW w:w="220" w:type="dxa"/>
            <w:vAlign w:val="bottom"/>
            <w:shd w:val="clear" w:color="auto" w:fill="ACACAC"/>
          </w:tcPr>
          <w:p>
            <w:pPr>
              <w:spacing w:after="0"/>
              <w:rPr>
                <w:sz w:val="8"/>
                <w:szCs w:val="8"/>
                <w:color w:val="auto"/>
              </w:rPr>
            </w:pPr>
          </w:p>
        </w:tc>
        <w:tc>
          <w:tcPr>
            <w:tcW w:w="100" w:type="dxa"/>
            <w:vAlign w:val="bottom"/>
            <w:shd w:val="clear" w:color="auto" w:fill="ACACAC"/>
          </w:tcPr>
          <w:p>
            <w:pPr>
              <w:spacing w:after="0"/>
              <w:rPr>
                <w:sz w:val="8"/>
                <w:szCs w:val="8"/>
                <w:color w:val="auto"/>
              </w:rPr>
            </w:pPr>
          </w:p>
        </w:tc>
        <w:tc>
          <w:tcPr>
            <w:tcW w:w="1220" w:type="dxa"/>
            <w:vAlign w:val="bottom"/>
            <w:shd w:val="clear" w:color="auto" w:fill="ACACAC"/>
          </w:tcPr>
          <w:p>
            <w:pPr>
              <w:spacing w:after="0"/>
              <w:rPr>
                <w:sz w:val="8"/>
                <w:szCs w:val="8"/>
                <w:color w:val="auto"/>
              </w:rPr>
            </w:pPr>
          </w:p>
        </w:tc>
        <w:tc>
          <w:tcPr>
            <w:tcW w:w="1060" w:type="dxa"/>
            <w:vAlign w:val="bottom"/>
            <w:shd w:val="clear" w:color="auto" w:fill="ACACAC"/>
          </w:tcPr>
          <w:p>
            <w:pPr>
              <w:spacing w:after="0"/>
              <w:rPr>
                <w:sz w:val="8"/>
                <w:szCs w:val="8"/>
                <w:color w:val="auto"/>
              </w:rPr>
            </w:pP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00" w:type="dxa"/>
            <w:vAlign w:val="bottom"/>
            <w:shd w:val="clear" w:color="auto" w:fill="ACACAC"/>
          </w:tcPr>
          <w:p>
            <w:pPr>
              <w:spacing w:after="0"/>
              <w:rPr>
                <w:sz w:val="5"/>
                <w:szCs w:val="5"/>
                <w:color w:val="auto"/>
              </w:rPr>
            </w:pPr>
          </w:p>
        </w:tc>
        <w:tc>
          <w:tcPr>
            <w:tcW w:w="900" w:type="dxa"/>
            <w:vAlign w:val="bottom"/>
            <w:shd w:val="clear" w:color="auto" w:fill="ACACAC"/>
          </w:tcPr>
          <w:p>
            <w:pPr>
              <w:spacing w:after="0"/>
              <w:rPr>
                <w:sz w:val="5"/>
                <w:szCs w:val="5"/>
                <w:color w:val="auto"/>
              </w:rPr>
            </w:pPr>
          </w:p>
        </w:tc>
        <w:tc>
          <w:tcPr>
            <w:tcW w:w="240" w:type="dxa"/>
            <w:vAlign w:val="bottom"/>
            <w:shd w:val="clear" w:color="auto" w:fill="ACACAC"/>
          </w:tcPr>
          <w:p>
            <w:pPr>
              <w:spacing w:after="0"/>
              <w:rPr>
                <w:sz w:val="5"/>
                <w:szCs w:val="5"/>
                <w:color w:val="auto"/>
              </w:rPr>
            </w:pPr>
          </w:p>
        </w:tc>
        <w:tc>
          <w:tcPr>
            <w:tcW w:w="220" w:type="dxa"/>
            <w:vAlign w:val="bottom"/>
            <w:shd w:val="clear" w:color="auto" w:fill="ACACAC"/>
          </w:tcPr>
          <w:p>
            <w:pPr>
              <w:spacing w:after="0"/>
              <w:rPr>
                <w:sz w:val="5"/>
                <w:szCs w:val="5"/>
                <w:color w:val="auto"/>
              </w:rPr>
            </w:pPr>
          </w:p>
        </w:tc>
        <w:tc>
          <w:tcPr>
            <w:tcW w:w="182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740" w:type="dxa"/>
            <w:vAlign w:val="bottom"/>
            <w:shd w:val="clear" w:color="auto" w:fill="ACACAC"/>
          </w:tcPr>
          <w:p>
            <w:pPr>
              <w:spacing w:after="0"/>
              <w:rPr>
                <w:sz w:val="5"/>
                <w:szCs w:val="5"/>
                <w:color w:val="auto"/>
              </w:rPr>
            </w:pPr>
          </w:p>
        </w:tc>
        <w:tc>
          <w:tcPr>
            <w:tcW w:w="1040" w:type="dxa"/>
            <w:vAlign w:val="bottom"/>
            <w:gridSpan w:val="2"/>
            <w:vMerge w:val="continue"/>
            <w:shd w:val="clear" w:color="auto" w:fill="ACACAC"/>
          </w:tcPr>
          <w:p>
            <w:pPr>
              <w:spacing w:after="0"/>
              <w:rPr>
                <w:sz w:val="5"/>
                <w:szCs w:val="5"/>
                <w:color w:val="auto"/>
              </w:rPr>
            </w:pPr>
          </w:p>
        </w:tc>
        <w:tc>
          <w:tcPr>
            <w:tcW w:w="460" w:type="dxa"/>
            <w:vAlign w:val="bottom"/>
            <w:gridSpan w:val="3"/>
            <w:shd w:val="clear" w:color="auto" w:fill="ACACAC"/>
          </w:tcPr>
          <w:p>
            <w:pPr>
              <w:spacing w:after="0"/>
              <w:rPr>
                <w:sz w:val="5"/>
                <w:szCs w:val="5"/>
                <w:color w:val="auto"/>
              </w:rPr>
            </w:pPr>
          </w:p>
        </w:tc>
        <w:tc>
          <w:tcPr>
            <w:tcW w:w="4220" w:type="dxa"/>
            <w:vAlign w:val="bottom"/>
            <w:gridSpan w:val="5"/>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reclassified from accumulated</w:t>
            </w: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00" w:type="dxa"/>
            <w:vAlign w:val="bottom"/>
            <w:shd w:val="clear" w:color="auto" w:fill="ACACAC"/>
          </w:tcPr>
          <w:p>
            <w:pPr>
              <w:spacing w:after="0"/>
              <w:rPr>
                <w:sz w:val="8"/>
                <w:szCs w:val="8"/>
                <w:color w:val="auto"/>
              </w:rPr>
            </w:pPr>
          </w:p>
        </w:tc>
        <w:tc>
          <w:tcPr>
            <w:tcW w:w="900" w:type="dxa"/>
            <w:vAlign w:val="bottom"/>
            <w:shd w:val="clear" w:color="auto" w:fill="ACACAC"/>
          </w:tcPr>
          <w:p>
            <w:pPr>
              <w:spacing w:after="0"/>
              <w:rPr>
                <w:sz w:val="8"/>
                <w:szCs w:val="8"/>
                <w:color w:val="auto"/>
              </w:rPr>
            </w:pPr>
          </w:p>
        </w:tc>
        <w:tc>
          <w:tcPr>
            <w:tcW w:w="240" w:type="dxa"/>
            <w:vAlign w:val="bottom"/>
            <w:shd w:val="clear" w:color="auto" w:fill="ACACAC"/>
          </w:tcPr>
          <w:p>
            <w:pPr>
              <w:spacing w:after="0"/>
              <w:rPr>
                <w:sz w:val="8"/>
                <w:szCs w:val="8"/>
                <w:color w:val="auto"/>
              </w:rPr>
            </w:pPr>
          </w:p>
        </w:tc>
        <w:tc>
          <w:tcPr>
            <w:tcW w:w="220" w:type="dxa"/>
            <w:vAlign w:val="bottom"/>
            <w:shd w:val="clear" w:color="auto" w:fill="ACACAC"/>
          </w:tcPr>
          <w:p>
            <w:pPr>
              <w:spacing w:after="0"/>
              <w:rPr>
                <w:sz w:val="8"/>
                <w:szCs w:val="8"/>
                <w:color w:val="auto"/>
              </w:rPr>
            </w:pPr>
          </w:p>
        </w:tc>
        <w:tc>
          <w:tcPr>
            <w:tcW w:w="1820" w:type="dxa"/>
            <w:vAlign w:val="bottom"/>
            <w:gridSpan w:val="2"/>
            <w:vMerge w:val="continue"/>
            <w:shd w:val="clear" w:color="auto" w:fill="ACACAC"/>
          </w:tcPr>
          <w:p>
            <w:pPr>
              <w:spacing w:after="0"/>
              <w:rPr>
                <w:sz w:val="8"/>
                <w:szCs w:val="8"/>
                <w:color w:val="auto"/>
              </w:rPr>
            </w:pPr>
          </w:p>
        </w:tc>
        <w:tc>
          <w:tcPr>
            <w:tcW w:w="17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reclassified from</w:t>
            </w:r>
          </w:p>
        </w:tc>
        <w:tc>
          <w:tcPr>
            <w:tcW w:w="240" w:type="dxa"/>
            <w:vAlign w:val="bottom"/>
            <w:tcBorders>
              <w:right w:val="single" w:sz="8" w:color="ACACAC"/>
            </w:tcBorders>
            <w:shd w:val="clear" w:color="auto" w:fill="ACACAC"/>
          </w:tcPr>
          <w:p>
            <w:pPr>
              <w:spacing w:after="0"/>
              <w:rPr>
                <w:sz w:val="8"/>
                <w:szCs w:val="8"/>
                <w:color w:val="auto"/>
              </w:rPr>
            </w:pPr>
          </w:p>
        </w:tc>
        <w:tc>
          <w:tcPr>
            <w:tcW w:w="100" w:type="dxa"/>
            <w:vAlign w:val="bottom"/>
            <w:shd w:val="clear" w:color="auto" w:fill="ACACAC"/>
          </w:tcPr>
          <w:p>
            <w:pPr>
              <w:spacing w:after="0"/>
              <w:rPr>
                <w:sz w:val="8"/>
                <w:szCs w:val="8"/>
                <w:color w:val="auto"/>
              </w:rPr>
            </w:pPr>
          </w:p>
        </w:tc>
        <w:tc>
          <w:tcPr>
            <w:tcW w:w="120" w:type="dxa"/>
            <w:vAlign w:val="bottom"/>
            <w:shd w:val="clear" w:color="auto" w:fill="ACACAC"/>
          </w:tcPr>
          <w:p>
            <w:pPr>
              <w:spacing w:after="0"/>
              <w:rPr>
                <w:sz w:val="8"/>
                <w:szCs w:val="8"/>
                <w:color w:val="auto"/>
              </w:rPr>
            </w:pPr>
          </w:p>
        </w:tc>
        <w:tc>
          <w:tcPr>
            <w:tcW w:w="4220" w:type="dxa"/>
            <w:vAlign w:val="bottom"/>
            <w:gridSpan w:val="5"/>
            <w:vMerge w:val="continue"/>
            <w:shd w:val="clear" w:color="auto" w:fill="ACACAC"/>
          </w:tcPr>
          <w:p>
            <w:pPr>
              <w:spacing w:after="0"/>
              <w:rPr>
                <w:sz w:val="8"/>
                <w:szCs w:val="8"/>
                <w:color w:val="auto"/>
              </w:rPr>
            </w:pP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00" w:type="dxa"/>
            <w:vAlign w:val="bottom"/>
            <w:shd w:val="clear" w:color="auto" w:fill="ACACAC"/>
          </w:tcPr>
          <w:p>
            <w:pPr>
              <w:spacing w:after="0"/>
              <w:rPr>
                <w:sz w:val="5"/>
                <w:szCs w:val="5"/>
                <w:color w:val="auto"/>
              </w:rPr>
            </w:pPr>
          </w:p>
        </w:tc>
        <w:tc>
          <w:tcPr>
            <w:tcW w:w="900" w:type="dxa"/>
            <w:vAlign w:val="bottom"/>
            <w:shd w:val="clear" w:color="auto" w:fill="ACACAC"/>
          </w:tcPr>
          <w:p>
            <w:pPr>
              <w:spacing w:after="0"/>
              <w:rPr>
                <w:sz w:val="5"/>
                <w:szCs w:val="5"/>
                <w:color w:val="auto"/>
              </w:rPr>
            </w:pPr>
          </w:p>
        </w:tc>
        <w:tc>
          <w:tcPr>
            <w:tcW w:w="240" w:type="dxa"/>
            <w:vAlign w:val="bottom"/>
            <w:shd w:val="clear" w:color="auto" w:fill="ACACAC"/>
          </w:tcPr>
          <w:p>
            <w:pPr>
              <w:spacing w:after="0"/>
              <w:rPr>
                <w:sz w:val="5"/>
                <w:szCs w:val="5"/>
                <w:color w:val="auto"/>
              </w:rPr>
            </w:pPr>
          </w:p>
        </w:tc>
        <w:tc>
          <w:tcPr>
            <w:tcW w:w="220" w:type="dxa"/>
            <w:vAlign w:val="bottom"/>
            <w:shd w:val="clear" w:color="auto" w:fill="ACACAC"/>
          </w:tcPr>
          <w:p>
            <w:pPr>
              <w:spacing w:after="0"/>
              <w:rPr>
                <w:sz w:val="5"/>
                <w:szCs w:val="5"/>
                <w:color w:val="auto"/>
              </w:rPr>
            </w:pPr>
          </w:p>
        </w:tc>
        <w:tc>
          <w:tcPr>
            <w:tcW w:w="182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loss as of</w:t>
            </w:r>
          </w:p>
        </w:tc>
        <w:tc>
          <w:tcPr>
            <w:tcW w:w="1780" w:type="dxa"/>
            <w:vAlign w:val="bottom"/>
            <w:gridSpan w:val="3"/>
            <w:vMerge w:val="continue"/>
            <w:shd w:val="clear" w:color="auto" w:fill="ACACAC"/>
          </w:tcPr>
          <w:p>
            <w:pPr>
              <w:spacing w:after="0"/>
              <w:rPr>
                <w:sz w:val="5"/>
                <w:szCs w:val="5"/>
                <w:color w:val="auto"/>
              </w:rPr>
            </w:pPr>
          </w:p>
        </w:tc>
        <w:tc>
          <w:tcPr>
            <w:tcW w:w="460" w:type="dxa"/>
            <w:vAlign w:val="bottom"/>
            <w:gridSpan w:val="3"/>
            <w:shd w:val="clear" w:color="auto" w:fill="ACACAC"/>
          </w:tcPr>
          <w:p>
            <w:pPr>
              <w:spacing w:after="0"/>
              <w:rPr>
                <w:sz w:val="5"/>
                <w:szCs w:val="5"/>
                <w:color w:val="auto"/>
              </w:rPr>
            </w:pPr>
          </w:p>
        </w:tc>
        <w:tc>
          <w:tcPr>
            <w:tcW w:w="4220" w:type="dxa"/>
            <w:vAlign w:val="bottom"/>
            <w:gridSpan w:val="5"/>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other comprehensive loss into income</w:t>
            </w: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ACACAC"/>
          </w:tcPr>
          <w:p>
            <w:pPr>
              <w:spacing w:after="0"/>
              <w:rPr>
                <w:sz w:val="11"/>
                <w:szCs w:val="11"/>
                <w:color w:val="auto"/>
              </w:rPr>
            </w:pPr>
          </w:p>
        </w:tc>
        <w:tc>
          <w:tcPr>
            <w:tcW w:w="9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220" w:type="dxa"/>
            <w:vAlign w:val="bottom"/>
            <w:shd w:val="clear" w:color="auto" w:fill="ACACAC"/>
          </w:tcPr>
          <w:p>
            <w:pPr>
              <w:spacing w:after="0"/>
              <w:rPr>
                <w:sz w:val="11"/>
                <w:szCs w:val="11"/>
                <w:color w:val="auto"/>
              </w:rPr>
            </w:pPr>
          </w:p>
        </w:tc>
        <w:tc>
          <w:tcPr>
            <w:tcW w:w="1820" w:type="dxa"/>
            <w:vAlign w:val="bottom"/>
            <w:gridSpan w:val="2"/>
            <w:vMerge w:val="continue"/>
            <w:shd w:val="clear" w:color="auto" w:fill="ACACAC"/>
          </w:tcPr>
          <w:p>
            <w:pPr>
              <w:spacing w:after="0"/>
              <w:rPr>
                <w:sz w:val="11"/>
                <w:szCs w:val="11"/>
                <w:color w:val="auto"/>
              </w:rPr>
            </w:pPr>
          </w:p>
        </w:tc>
        <w:tc>
          <w:tcPr>
            <w:tcW w:w="17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 other</w:t>
            </w:r>
          </w:p>
        </w:tc>
        <w:tc>
          <w:tcPr>
            <w:tcW w:w="240" w:type="dxa"/>
            <w:vAlign w:val="bottom"/>
            <w:tcBorders>
              <w:right w:val="single" w:sz="8" w:color="ACACAC"/>
            </w:tcBorders>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120" w:type="dxa"/>
            <w:vAlign w:val="bottom"/>
            <w:shd w:val="clear" w:color="auto" w:fill="ACACAC"/>
          </w:tcPr>
          <w:p>
            <w:pPr>
              <w:spacing w:after="0"/>
              <w:rPr>
                <w:sz w:val="11"/>
                <w:szCs w:val="11"/>
                <w:color w:val="auto"/>
              </w:rPr>
            </w:pPr>
          </w:p>
        </w:tc>
        <w:tc>
          <w:tcPr>
            <w:tcW w:w="4220" w:type="dxa"/>
            <w:vAlign w:val="bottom"/>
            <w:gridSpan w:val="5"/>
            <w:vMerge w:val="continue"/>
            <w:shd w:val="clear" w:color="auto" w:fill="ACACAC"/>
          </w:tcPr>
          <w:p>
            <w:pPr>
              <w:spacing w:after="0"/>
              <w:rPr>
                <w:sz w:val="11"/>
                <w:szCs w:val="11"/>
                <w:color w:val="auto"/>
              </w:rPr>
            </w:pP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600" w:type="dxa"/>
            <w:vAlign w:val="bottom"/>
            <w:shd w:val="clear" w:color="auto" w:fill="ACACAC"/>
          </w:tcPr>
          <w:p>
            <w:pPr>
              <w:spacing w:after="0"/>
              <w:rPr>
                <w:sz w:val="2"/>
                <w:szCs w:val="2"/>
                <w:color w:val="auto"/>
              </w:rPr>
            </w:pPr>
          </w:p>
        </w:tc>
        <w:tc>
          <w:tcPr>
            <w:tcW w:w="900" w:type="dxa"/>
            <w:vAlign w:val="bottom"/>
            <w:shd w:val="clear" w:color="auto" w:fill="ACACAC"/>
          </w:tcPr>
          <w:p>
            <w:pPr>
              <w:spacing w:after="0"/>
              <w:rPr>
                <w:sz w:val="2"/>
                <w:szCs w:val="2"/>
                <w:color w:val="auto"/>
              </w:rPr>
            </w:pPr>
          </w:p>
        </w:tc>
        <w:tc>
          <w:tcPr>
            <w:tcW w:w="240" w:type="dxa"/>
            <w:vAlign w:val="bottom"/>
            <w:shd w:val="clear" w:color="auto" w:fill="ACACAC"/>
          </w:tcPr>
          <w:p>
            <w:pPr>
              <w:spacing w:after="0"/>
              <w:rPr>
                <w:sz w:val="2"/>
                <w:szCs w:val="2"/>
                <w:color w:val="auto"/>
              </w:rPr>
            </w:pPr>
          </w:p>
        </w:tc>
        <w:tc>
          <w:tcPr>
            <w:tcW w:w="220" w:type="dxa"/>
            <w:vAlign w:val="bottom"/>
            <w:shd w:val="clear" w:color="auto" w:fill="ACACAC"/>
          </w:tcPr>
          <w:p>
            <w:pPr>
              <w:spacing w:after="0"/>
              <w:rPr>
                <w:sz w:val="2"/>
                <w:szCs w:val="2"/>
                <w:color w:val="auto"/>
              </w:rPr>
            </w:pPr>
          </w:p>
        </w:tc>
        <w:tc>
          <w:tcPr>
            <w:tcW w:w="1240" w:type="dxa"/>
            <w:vAlign w:val="bottom"/>
            <w:shd w:val="clear" w:color="auto" w:fill="ACACAC"/>
          </w:tcPr>
          <w:p>
            <w:pPr>
              <w:spacing w:after="0"/>
              <w:rPr>
                <w:sz w:val="2"/>
                <w:szCs w:val="2"/>
                <w:color w:val="auto"/>
              </w:rPr>
            </w:pPr>
          </w:p>
        </w:tc>
        <w:tc>
          <w:tcPr>
            <w:tcW w:w="580" w:type="dxa"/>
            <w:vAlign w:val="bottom"/>
            <w:shd w:val="clear" w:color="auto" w:fill="ACACAC"/>
          </w:tcPr>
          <w:p>
            <w:pPr>
              <w:spacing w:after="0"/>
              <w:rPr>
                <w:sz w:val="2"/>
                <w:szCs w:val="2"/>
                <w:color w:val="auto"/>
              </w:rPr>
            </w:pPr>
          </w:p>
        </w:tc>
        <w:tc>
          <w:tcPr>
            <w:tcW w:w="1780" w:type="dxa"/>
            <w:vAlign w:val="bottom"/>
            <w:gridSpan w:val="3"/>
            <w:vMerge w:val="continue"/>
            <w:shd w:val="clear" w:color="auto" w:fill="ACACAC"/>
          </w:tcPr>
          <w:p>
            <w:pPr>
              <w:spacing w:after="0"/>
              <w:rPr>
                <w:sz w:val="2"/>
                <w:szCs w:val="2"/>
                <w:color w:val="auto"/>
              </w:rPr>
            </w:pPr>
          </w:p>
        </w:tc>
        <w:tc>
          <w:tcPr>
            <w:tcW w:w="460" w:type="dxa"/>
            <w:vAlign w:val="bottom"/>
            <w:gridSpan w:val="3"/>
            <w:shd w:val="clear" w:color="auto" w:fill="ACACAC"/>
          </w:tcPr>
          <w:p>
            <w:pPr>
              <w:spacing w:after="0"/>
              <w:rPr>
                <w:sz w:val="2"/>
                <w:szCs w:val="2"/>
                <w:color w:val="auto"/>
              </w:rPr>
            </w:pPr>
          </w:p>
        </w:tc>
        <w:tc>
          <w:tcPr>
            <w:tcW w:w="1620" w:type="dxa"/>
            <w:vAlign w:val="bottom"/>
            <w:shd w:val="clear" w:color="auto" w:fill="ACACAC"/>
          </w:tcPr>
          <w:p>
            <w:pPr>
              <w:spacing w:after="0"/>
              <w:rPr>
                <w:sz w:val="2"/>
                <w:szCs w:val="2"/>
                <w:color w:val="auto"/>
              </w:rPr>
            </w:pPr>
          </w:p>
        </w:tc>
        <w:tc>
          <w:tcPr>
            <w:tcW w:w="220" w:type="dxa"/>
            <w:vAlign w:val="bottom"/>
            <w:shd w:val="clear" w:color="auto" w:fill="ACACAC"/>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CACAC"/>
          </w:tcPr>
          <w:p>
            <w:pPr>
              <w:spacing w:after="0"/>
              <w:rPr>
                <w:sz w:val="2"/>
                <w:szCs w:val="2"/>
                <w:color w:val="auto"/>
              </w:rPr>
            </w:pPr>
          </w:p>
        </w:tc>
        <w:tc>
          <w:tcPr>
            <w:tcW w:w="1060" w:type="dxa"/>
            <w:vAlign w:val="bottom"/>
            <w:shd w:val="clear" w:color="auto" w:fill="ACACAC"/>
          </w:tcPr>
          <w:p>
            <w:pPr>
              <w:spacing w:after="0"/>
              <w:rPr>
                <w:sz w:val="2"/>
                <w:szCs w:val="2"/>
                <w:color w:val="auto"/>
              </w:rPr>
            </w:pPr>
          </w:p>
        </w:tc>
        <w:tc>
          <w:tcPr>
            <w:tcW w:w="2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60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18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7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460" w:type="dxa"/>
            <w:vAlign w:val="bottom"/>
            <w:gridSpan w:val="3"/>
            <w:shd w:val="clear" w:color="auto" w:fill="ACACAC"/>
          </w:tcPr>
          <w:p>
            <w:pPr>
              <w:spacing w:after="0"/>
              <w:rPr>
                <w:sz w:val="14"/>
                <w:szCs w:val="14"/>
                <w:color w:val="auto"/>
              </w:rPr>
            </w:pPr>
          </w:p>
        </w:tc>
        <w:tc>
          <w:tcPr>
            <w:tcW w:w="184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22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00" w:type="dxa"/>
            <w:vAlign w:val="bottom"/>
            <w:tcBorders>
              <w:bottom w:val="single" w:sz="8" w:color="ACACAC"/>
            </w:tcBorders>
            <w:shd w:val="clear" w:color="auto" w:fill="ACACAC"/>
          </w:tcPr>
          <w:p>
            <w:pPr>
              <w:spacing w:after="0"/>
              <w:rPr>
                <w:sz w:val="17"/>
                <w:szCs w:val="17"/>
                <w:color w:val="auto"/>
              </w:rPr>
            </w:pPr>
          </w:p>
        </w:tc>
        <w:tc>
          <w:tcPr>
            <w:tcW w:w="240" w:type="dxa"/>
            <w:vAlign w:val="bottom"/>
            <w:tcBorders>
              <w:bottom w:val="single" w:sz="8" w:color="ACACAC"/>
            </w:tcBorders>
            <w:shd w:val="clear" w:color="auto" w:fill="ACACAC"/>
          </w:tcPr>
          <w:p>
            <w:pPr>
              <w:spacing w:after="0"/>
              <w:rPr>
                <w:sz w:val="17"/>
                <w:szCs w:val="17"/>
                <w:color w:val="auto"/>
              </w:rPr>
            </w:pPr>
          </w:p>
        </w:tc>
        <w:tc>
          <w:tcPr>
            <w:tcW w:w="220" w:type="dxa"/>
            <w:vAlign w:val="bottom"/>
            <w:tcBorders>
              <w:bottom w:val="single" w:sz="8" w:color="ACACAC"/>
            </w:tcBorders>
            <w:shd w:val="clear" w:color="auto" w:fill="ACACAC"/>
          </w:tcPr>
          <w:p>
            <w:pPr>
              <w:spacing w:after="0"/>
              <w:rPr>
                <w:sz w:val="17"/>
                <w:szCs w:val="17"/>
                <w:color w:val="auto"/>
              </w:rPr>
            </w:pPr>
          </w:p>
        </w:tc>
        <w:tc>
          <w:tcPr>
            <w:tcW w:w="182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780" w:type="dxa"/>
            <w:vAlign w:val="bottom"/>
            <w:tcBorders>
              <w:bottom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loss into income</w:t>
            </w:r>
          </w:p>
        </w:tc>
        <w:tc>
          <w:tcPr>
            <w:tcW w:w="460" w:type="dxa"/>
            <w:vAlign w:val="bottom"/>
            <w:tcBorders>
              <w:bottom w:val="single" w:sz="8" w:color="ACACAC"/>
            </w:tcBorders>
            <w:gridSpan w:val="3"/>
            <w:shd w:val="clear" w:color="auto" w:fill="ACACAC"/>
          </w:tcPr>
          <w:p>
            <w:pPr>
              <w:spacing w:after="0"/>
              <w:rPr>
                <w:sz w:val="17"/>
                <w:szCs w:val="17"/>
                <w:color w:val="auto"/>
              </w:rPr>
            </w:pPr>
          </w:p>
        </w:tc>
        <w:tc>
          <w:tcPr>
            <w:tcW w:w="1840" w:type="dxa"/>
            <w:vAlign w:val="bottom"/>
            <w:tcBorders>
              <w:bottom w:val="single" w:sz="8" w:color="ACACAC"/>
            </w:tcBorders>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September 30, 2021</w:t>
            </w:r>
          </w:p>
        </w:tc>
        <w:tc>
          <w:tcPr>
            <w:tcW w:w="100" w:type="dxa"/>
            <w:vAlign w:val="bottom"/>
            <w:tcBorders>
              <w:bottom w:val="single" w:sz="8" w:color="F4F4F4"/>
            </w:tcBorders>
          </w:tcPr>
          <w:p>
            <w:pPr>
              <w:spacing w:after="0"/>
              <w:rPr>
                <w:sz w:val="17"/>
                <w:szCs w:val="17"/>
                <w:color w:val="auto"/>
              </w:rPr>
            </w:pPr>
          </w:p>
        </w:tc>
        <w:tc>
          <w:tcPr>
            <w:tcW w:w="228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 2021</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9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gridSpan w:val="2"/>
            <w:shd w:val="clear" w:color="auto" w:fill="F4F4F4"/>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F4F4F4"/>
            </w:tcBorders>
            <w:gridSpan w:val="2"/>
            <w:shd w:val="clear" w:color="auto" w:fill="F4F4F4"/>
          </w:tcPr>
          <w:p>
            <w:pPr>
              <w:jc w:val="right"/>
              <w:ind w:right="8"/>
              <w:spacing w:after="0"/>
              <w:rPr>
                <w:sz w:val="20"/>
                <w:szCs w:val="20"/>
                <w:color w:val="auto"/>
              </w:rPr>
            </w:pPr>
            <w:r>
              <w:rPr>
                <w:rFonts w:ascii="Arial" w:cs="Arial" w:eastAsia="Arial" w:hAnsi="Arial"/>
                <w:sz w:val="18"/>
                <w:szCs w:val="18"/>
                <w:color w:val="auto"/>
              </w:rPr>
              <w:t>2,283</w:t>
            </w:r>
          </w:p>
        </w:tc>
        <w:tc>
          <w:tcPr>
            <w:tcW w:w="1560" w:type="dxa"/>
            <w:vAlign w:val="bottom"/>
            <w:tcBorders>
              <w:bottom w:val="single" w:sz="8" w:color="F4F4F4"/>
            </w:tcBorders>
            <w:gridSpan w:val="2"/>
            <w:shd w:val="clear" w:color="auto" w:fill="F4F4F4"/>
          </w:tcPr>
          <w:p>
            <w:pPr>
              <w:jc w:val="right"/>
              <w:ind w:right="44"/>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F4F4F4"/>
              <w:right w:val="single" w:sz="8" w:color="F4F4F4"/>
            </w:tcBorders>
            <w:gridSpan w:val="2"/>
            <w:shd w:val="clear" w:color="auto" w:fill="F4F4F4"/>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840" w:type="dxa"/>
            <w:vAlign w:val="bottom"/>
            <w:tcBorders>
              <w:bottom w:val="single" w:sz="8" w:color="F4F4F4"/>
            </w:tcBorders>
            <w:gridSpan w:val="2"/>
            <w:shd w:val="clear" w:color="auto" w:fill="F4F4F4"/>
          </w:tcPr>
          <w:p>
            <w:pPr>
              <w:jc w:val="right"/>
              <w:ind w:right="40"/>
              <w:spacing w:after="0"/>
              <w:rPr>
                <w:sz w:val="20"/>
                <w:szCs w:val="20"/>
                <w:color w:val="auto"/>
              </w:rPr>
            </w:pPr>
            <w:r>
              <w:rPr>
                <w:rFonts w:ascii="Arial" w:cs="Arial" w:eastAsia="Arial" w:hAnsi="Arial"/>
                <w:sz w:val="18"/>
                <w:szCs w:val="18"/>
                <w:color w:val="auto"/>
              </w:rPr>
              <w:t>(505)</w:t>
            </w:r>
          </w:p>
        </w:tc>
        <w:tc>
          <w:tcPr>
            <w:tcW w:w="1320" w:type="dxa"/>
            <w:vAlign w:val="bottom"/>
            <w:tcBorders>
              <w:bottom w:val="single" w:sz="8" w:color="F4F4F4"/>
            </w:tcBorders>
            <w:gridSpan w:val="2"/>
            <w:shd w:val="clear" w:color="auto" w:fill="F4F4F4"/>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2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8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right w:val="single" w:sz="8" w:color="ACACAC"/>
            </w:tcBorders>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184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22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F4F4F4"/>
            </w:tcBorders>
          </w:tcPr>
          <w:p>
            <w:pPr>
              <w:spacing w:after="0"/>
              <w:rPr>
                <w:sz w:val="17"/>
                <w:szCs w:val="17"/>
                <w:color w:val="auto"/>
              </w:rPr>
            </w:pPr>
          </w:p>
        </w:tc>
        <w:tc>
          <w:tcPr>
            <w:tcW w:w="900" w:type="dxa"/>
            <w:vAlign w:val="bottom"/>
            <w:tcBorders>
              <w:bottom w:val="single" w:sz="8" w:color="F4F4F4"/>
            </w:tcBorders>
          </w:tcPr>
          <w:p>
            <w:pPr>
              <w:spacing w:after="0"/>
              <w:rPr>
                <w:sz w:val="17"/>
                <w:szCs w:val="17"/>
                <w:color w:val="auto"/>
              </w:rPr>
            </w:pPr>
          </w:p>
        </w:tc>
        <w:tc>
          <w:tcPr>
            <w:tcW w:w="240" w:type="dxa"/>
            <w:vAlign w:val="bottom"/>
            <w:tcBorders>
              <w:bottom w:val="single" w:sz="8" w:color="F4F4F4"/>
            </w:tcBorders>
          </w:tcPr>
          <w:p>
            <w:pPr>
              <w:spacing w:after="0"/>
              <w:rPr>
                <w:sz w:val="17"/>
                <w:szCs w:val="17"/>
                <w:color w:val="auto"/>
              </w:rPr>
            </w:pPr>
          </w:p>
        </w:tc>
        <w:tc>
          <w:tcPr>
            <w:tcW w:w="220" w:type="dxa"/>
            <w:vAlign w:val="bottom"/>
            <w:tcBorders>
              <w:bottom w:val="single" w:sz="8" w:color="ACACAC"/>
            </w:tcBorders>
            <w:shd w:val="clear" w:color="auto" w:fill="ACACAC"/>
          </w:tcPr>
          <w:p>
            <w:pPr>
              <w:spacing w:after="0"/>
              <w:rPr>
                <w:sz w:val="17"/>
                <w:szCs w:val="17"/>
                <w:color w:val="auto"/>
              </w:rPr>
            </w:pPr>
          </w:p>
        </w:tc>
        <w:tc>
          <w:tcPr>
            <w:tcW w:w="182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740" w:type="dxa"/>
            <w:vAlign w:val="bottom"/>
            <w:tcBorders>
              <w:bottom w:val="single" w:sz="8" w:color="F4F4F4"/>
            </w:tcBorders>
          </w:tcPr>
          <w:p>
            <w:pPr>
              <w:spacing w:after="0"/>
              <w:rPr>
                <w:sz w:val="17"/>
                <w:szCs w:val="17"/>
                <w:color w:val="auto"/>
              </w:rPr>
            </w:pPr>
          </w:p>
        </w:tc>
        <w:tc>
          <w:tcPr>
            <w:tcW w:w="820" w:type="dxa"/>
            <w:vAlign w:val="bottom"/>
            <w:tcBorders>
              <w:bottom w:val="single" w:sz="8" w:color="F4F4F4"/>
            </w:tcBorders>
          </w:tcPr>
          <w:p>
            <w:pPr>
              <w:spacing w:after="0"/>
              <w:rPr>
                <w:sz w:val="17"/>
                <w:szCs w:val="17"/>
                <w:color w:val="auto"/>
              </w:rPr>
            </w:pPr>
          </w:p>
        </w:tc>
        <w:tc>
          <w:tcPr>
            <w:tcW w:w="220" w:type="dxa"/>
            <w:vAlign w:val="bottom"/>
            <w:tcBorders>
              <w:bottom w:val="single" w:sz="8" w:color="F4F4F4"/>
            </w:tcBorders>
          </w:tcPr>
          <w:p>
            <w:pPr>
              <w:spacing w:after="0"/>
              <w:rPr>
                <w:sz w:val="17"/>
                <w:szCs w:val="17"/>
                <w:color w:val="auto"/>
              </w:rPr>
            </w:pPr>
          </w:p>
        </w:tc>
        <w:tc>
          <w:tcPr>
            <w:tcW w:w="240" w:type="dxa"/>
            <w:vAlign w:val="bottom"/>
            <w:tcBorders>
              <w:bottom w:val="single" w:sz="8" w:color="ACACAC"/>
              <w:right w:val="single" w:sz="8" w:color="ACACAC"/>
            </w:tcBorders>
            <w:shd w:val="clear" w:color="auto" w:fill="ACACAC"/>
          </w:tcPr>
          <w:p>
            <w:pPr>
              <w:spacing w:after="0"/>
              <w:rPr>
                <w:sz w:val="17"/>
                <w:szCs w:val="17"/>
                <w:color w:val="auto"/>
              </w:rPr>
            </w:pPr>
          </w:p>
        </w:tc>
        <w:tc>
          <w:tcPr>
            <w:tcW w:w="100" w:type="dxa"/>
            <w:vAlign w:val="bottom"/>
            <w:tcBorders>
              <w:bottom w:val="single" w:sz="8" w:color="ACACAC"/>
            </w:tcBorders>
            <w:shd w:val="clear" w:color="auto" w:fill="ACACAC"/>
          </w:tcPr>
          <w:p>
            <w:pPr>
              <w:spacing w:after="0"/>
              <w:rPr>
                <w:sz w:val="17"/>
                <w:szCs w:val="17"/>
                <w:color w:val="auto"/>
              </w:rPr>
            </w:pPr>
          </w:p>
        </w:tc>
        <w:tc>
          <w:tcPr>
            <w:tcW w:w="120" w:type="dxa"/>
            <w:vAlign w:val="bottom"/>
            <w:tcBorders>
              <w:bottom w:val="single" w:sz="8" w:color="ACACAC"/>
            </w:tcBorders>
            <w:shd w:val="clear" w:color="auto" w:fill="ACACAC"/>
          </w:tcPr>
          <w:p>
            <w:pPr>
              <w:spacing w:after="0"/>
              <w:rPr>
                <w:sz w:val="17"/>
                <w:szCs w:val="17"/>
                <w:color w:val="auto"/>
              </w:rPr>
            </w:pPr>
          </w:p>
        </w:tc>
        <w:tc>
          <w:tcPr>
            <w:tcW w:w="1840" w:type="dxa"/>
            <w:vAlign w:val="bottom"/>
            <w:tcBorders>
              <w:bottom w:val="single" w:sz="8" w:color="ACACAC"/>
            </w:tcBorders>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September 30, 2020</w:t>
            </w:r>
          </w:p>
        </w:tc>
        <w:tc>
          <w:tcPr>
            <w:tcW w:w="100" w:type="dxa"/>
            <w:vAlign w:val="bottom"/>
            <w:tcBorders>
              <w:bottom w:val="single" w:sz="8" w:color="F4F4F4"/>
            </w:tcBorders>
          </w:tcPr>
          <w:p>
            <w:pPr>
              <w:spacing w:after="0"/>
              <w:rPr>
                <w:sz w:val="17"/>
                <w:szCs w:val="17"/>
                <w:color w:val="auto"/>
              </w:rPr>
            </w:pPr>
          </w:p>
        </w:tc>
        <w:tc>
          <w:tcPr>
            <w:tcW w:w="228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 2020</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6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900" w:type="dxa"/>
            <w:vAlign w:val="bottom"/>
            <w:tcBorders>
              <w:bottom w:val="single" w:sz="8" w:color="F4F4F4"/>
            </w:tcBorders>
            <w:shd w:val="clear" w:color="auto" w:fill="F4F4F4"/>
          </w:tcPr>
          <w:p>
            <w:pPr>
              <w:spacing w:after="0"/>
              <w:rPr>
                <w:sz w:val="23"/>
                <w:szCs w:val="23"/>
                <w:color w:val="auto"/>
              </w:rPr>
            </w:pPr>
          </w:p>
        </w:tc>
        <w:tc>
          <w:tcPr>
            <w:tcW w:w="460" w:type="dxa"/>
            <w:vAlign w:val="bottom"/>
            <w:tcBorders>
              <w:bottom w:val="single" w:sz="8" w:color="F4F4F4"/>
            </w:tcBorders>
            <w:gridSpan w:val="2"/>
            <w:shd w:val="clear" w:color="auto" w:fill="F4F4F4"/>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(3,957)</w:t>
            </w:r>
          </w:p>
        </w:tc>
        <w:tc>
          <w:tcPr>
            <w:tcW w:w="1560" w:type="dxa"/>
            <w:vAlign w:val="bottom"/>
            <w:tcBorders>
              <w:bottom w:val="single" w:sz="8" w:color="F4F4F4"/>
            </w:tcBorders>
            <w:gridSpan w:val="2"/>
            <w:shd w:val="clear" w:color="auto" w:fill="F4F4F4"/>
          </w:tcPr>
          <w:p>
            <w:pPr>
              <w:jc w:val="right"/>
              <w:ind w:right="44"/>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F4F4F4"/>
              <w:right w:val="single" w:sz="8" w:color="F4F4F4"/>
            </w:tcBorders>
            <w:gridSpan w:val="2"/>
            <w:shd w:val="clear" w:color="auto" w:fill="F4F4F4"/>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4F4F4"/>
            </w:tcBorders>
            <w:shd w:val="clear" w:color="auto" w:fill="F4F4F4"/>
          </w:tcPr>
          <w:p>
            <w:pPr>
              <w:spacing w:after="0"/>
              <w:rPr>
                <w:sz w:val="23"/>
                <w:szCs w:val="23"/>
                <w:color w:val="auto"/>
              </w:rPr>
            </w:pPr>
          </w:p>
        </w:tc>
        <w:tc>
          <w:tcPr>
            <w:tcW w:w="120" w:type="dxa"/>
            <w:vAlign w:val="bottom"/>
            <w:tcBorders>
              <w:bottom w:val="single" w:sz="8" w:color="F4F4F4"/>
            </w:tcBorders>
            <w:shd w:val="clear" w:color="auto" w:fill="F4F4F4"/>
          </w:tcPr>
          <w:p>
            <w:pPr>
              <w:spacing w:after="0"/>
              <w:rPr>
                <w:sz w:val="23"/>
                <w:szCs w:val="23"/>
                <w:color w:val="auto"/>
              </w:rPr>
            </w:pPr>
          </w:p>
        </w:tc>
        <w:tc>
          <w:tcPr>
            <w:tcW w:w="1840" w:type="dxa"/>
            <w:vAlign w:val="bottom"/>
            <w:tcBorders>
              <w:bottom w:val="single" w:sz="8" w:color="F4F4F4"/>
            </w:tcBorders>
            <w:gridSpan w:val="2"/>
            <w:shd w:val="clear" w:color="auto" w:fill="F4F4F4"/>
          </w:tcPr>
          <w:p>
            <w:pPr>
              <w:jc w:val="right"/>
              <w:ind w:right="40"/>
              <w:spacing w:after="0"/>
              <w:rPr>
                <w:sz w:val="20"/>
                <w:szCs w:val="20"/>
                <w:color w:val="auto"/>
              </w:rPr>
            </w:pPr>
            <w:r>
              <w:rPr>
                <w:rFonts w:ascii="Arial" w:cs="Arial" w:eastAsia="Arial" w:hAnsi="Arial"/>
                <w:sz w:val="18"/>
                <w:szCs w:val="18"/>
                <w:color w:val="auto"/>
              </w:rPr>
              <w:t>(1,276)</w:t>
            </w:r>
          </w:p>
        </w:tc>
        <w:tc>
          <w:tcPr>
            <w:tcW w:w="1320" w:type="dxa"/>
            <w:vAlign w:val="bottom"/>
            <w:tcBorders>
              <w:bottom w:val="single" w:sz="8" w:color="F4F4F4"/>
            </w:tcBorders>
            <w:gridSpan w:val="2"/>
            <w:shd w:val="clear" w:color="auto" w:fill="F4F4F4"/>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4"/>
        </w:trPr>
        <w:tc>
          <w:tcPr>
            <w:tcW w:w="1600" w:type="dxa"/>
            <w:vAlign w:val="bottom"/>
            <w:tcBorders>
              <w:top w:val="single" w:sz="8" w:color="71BF43"/>
            </w:tcBorders>
          </w:tcPr>
          <w:p>
            <w:pPr>
              <w:ind w:left="20"/>
              <w:spacing w:after="0"/>
              <w:rPr>
                <w:sz w:val="20"/>
                <w:szCs w:val="20"/>
                <w:color w:val="auto"/>
              </w:rPr>
            </w:pPr>
            <w:r>
              <w:rPr>
                <w:rFonts w:ascii="Arial" w:cs="Arial" w:eastAsia="Arial" w:hAnsi="Arial"/>
                <w:sz w:val="14"/>
                <w:szCs w:val="14"/>
                <w:color w:val="auto"/>
              </w:rPr>
              <w:t>14</w:t>
            </w:r>
          </w:p>
        </w:tc>
        <w:tc>
          <w:tcPr>
            <w:tcW w:w="3180" w:type="dxa"/>
            <w:vAlign w:val="bottom"/>
            <w:tcBorders>
              <w:top w:val="single" w:sz="8" w:color="71BF43"/>
            </w:tcBorders>
            <w:gridSpan w:val="5"/>
          </w:tcPr>
          <w:p>
            <w:pPr>
              <w:jc w:val="right"/>
              <w:ind w:right="1108"/>
              <w:spacing w:after="0"/>
              <w:rPr>
                <w:sz w:val="20"/>
                <w:szCs w:val="20"/>
                <w:color w:val="auto"/>
              </w:rPr>
            </w:pPr>
            <w:r>
              <w:rPr>
                <w:rFonts w:ascii="Arial" w:cs="Arial" w:eastAsia="Arial" w:hAnsi="Arial"/>
                <w:sz w:val="14"/>
                <w:szCs w:val="14"/>
                <w:color w:val="auto"/>
              </w:rPr>
              <w:t>Third Quarter 2021 Form 10-Q</w:t>
            </w:r>
          </w:p>
        </w:tc>
        <w:tc>
          <w:tcPr>
            <w:tcW w:w="740" w:type="dxa"/>
            <w:vAlign w:val="bottom"/>
            <w:tcBorders>
              <w:top w:val="single" w:sz="8" w:color="71BF43"/>
            </w:tcBorders>
          </w:tcPr>
          <w:p>
            <w:pPr>
              <w:spacing w:after="0"/>
              <w:rPr>
                <w:sz w:val="24"/>
                <w:szCs w:val="24"/>
                <w:color w:val="auto"/>
              </w:rPr>
            </w:pPr>
          </w:p>
        </w:tc>
        <w:tc>
          <w:tcPr>
            <w:tcW w:w="820" w:type="dxa"/>
            <w:vAlign w:val="bottom"/>
            <w:tcBorders>
              <w:top w:val="single" w:sz="8" w:color="71BF43"/>
            </w:tcBorders>
          </w:tcPr>
          <w:p>
            <w:pPr>
              <w:spacing w:after="0"/>
              <w:rPr>
                <w:sz w:val="24"/>
                <w:szCs w:val="24"/>
                <w:color w:val="auto"/>
              </w:rPr>
            </w:pPr>
          </w:p>
        </w:tc>
        <w:tc>
          <w:tcPr>
            <w:tcW w:w="220" w:type="dxa"/>
            <w:vAlign w:val="bottom"/>
            <w:tcBorders>
              <w:top w:val="single" w:sz="8" w:color="71BF43"/>
            </w:tcBorders>
          </w:tcPr>
          <w:p>
            <w:pPr>
              <w:spacing w:after="0"/>
              <w:rPr>
                <w:sz w:val="24"/>
                <w:szCs w:val="24"/>
                <w:color w:val="auto"/>
              </w:rPr>
            </w:pPr>
          </w:p>
        </w:tc>
        <w:tc>
          <w:tcPr>
            <w:tcW w:w="24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120" w:type="dxa"/>
            <w:vAlign w:val="bottom"/>
            <w:tcBorders>
              <w:top w:val="single" w:sz="8" w:color="71BF43"/>
            </w:tcBorders>
          </w:tcPr>
          <w:p>
            <w:pPr>
              <w:spacing w:after="0"/>
              <w:rPr>
                <w:sz w:val="24"/>
                <w:szCs w:val="24"/>
                <w:color w:val="auto"/>
              </w:rPr>
            </w:pPr>
          </w:p>
        </w:tc>
        <w:tc>
          <w:tcPr>
            <w:tcW w:w="1620" w:type="dxa"/>
            <w:vAlign w:val="bottom"/>
            <w:tcBorders>
              <w:top w:val="single" w:sz="8" w:color="71BF43"/>
            </w:tcBorders>
          </w:tcPr>
          <w:p>
            <w:pPr>
              <w:spacing w:after="0"/>
              <w:rPr>
                <w:sz w:val="24"/>
                <w:szCs w:val="24"/>
                <w:color w:val="auto"/>
              </w:rPr>
            </w:pPr>
          </w:p>
        </w:tc>
        <w:tc>
          <w:tcPr>
            <w:tcW w:w="22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1220" w:type="dxa"/>
            <w:vAlign w:val="bottom"/>
            <w:tcBorders>
              <w:top w:val="single" w:sz="8" w:color="71BF43"/>
            </w:tcBorders>
          </w:tcPr>
          <w:p>
            <w:pPr>
              <w:spacing w:after="0"/>
              <w:rPr>
                <w:sz w:val="24"/>
                <w:szCs w:val="24"/>
                <w:color w:val="auto"/>
              </w:rPr>
            </w:pPr>
          </w:p>
        </w:tc>
        <w:tc>
          <w:tcPr>
            <w:tcW w:w="1060" w:type="dxa"/>
            <w:vAlign w:val="bottom"/>
            <w:tcBorders>
              <w:top w:val="single" w:sz="8" w:color="71BF4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-4285615</wp:posOffset>
            </wp:positionV>
            <wp:extent cx="16630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-4285615</wp:posOffset>
            </wp:positionV>
            <wp:extent cx="16459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-1096645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-1559560</wp:posOffset>
            </wp:positionV>
            <wp:extent cx="54006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067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The estimated accumulated other comprehensive loss as of September 30, 2021 that is expected to be reclassified into earnings within the next twelve months is $ 1.4 million. There were no ineffective portions of our interest rate swap derivatives during the nine months ended September 30, 2021 and 2020. See Note 12 for a summary of the changes in accumulated other comprehensive income (loss) by component.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operating leases for corporate offices, subleased offices and certain equipment and furniture. As of September 30, 2021, we did not have any operating leases that had not yet commenced.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5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700" w:type="dxa"/>
            <w:vAlign w:val="bottom"/>
            <w:shd w:val="clear" w:color="auto" w:fill="ACACAC"/>
          </w:tcPr>
          <w:p>
            <w:pPr>
              <w:spacing w:after="0"/>
              <w:rPr>
                <w:sz w:val="16"/>
                <w:szCs w:val="16"/>
                <w:color w:val="auto"/>
              </w:rPr>
            </w:pPr>
          </w:p>
        </w:tc>
        <w:tc>
          <w:tcPr>
            <w:tcW w:w="118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5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r>
      <w:tr>
        <w:trPr>
          <w:trHeight w:val="190"/>
        </w:trPr>
        <w:tc>
          <w:tcPr>
            <w:tcW w:w="388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5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6"/>
                <w:szCs w:val="16"/>
                <w:color w:val="auto"/>
              </w:rPr>
            </w:pPr>
          </w:p>
        </w:tc>
        <w:tc>
          <w:tcPr>
            <w:tcW w:w="700" w:type="dxa"/>
            <w:vAlign w:val="bottom"/>
            <w:shd w:val="clear" w:color="auto" w:fill="ACACAC"/>
          </w:tcPr>
          <w:p>
            <w:pPr>
              <w:spacing w:after="0"/>
              <w:rPr>
                <w:sz w:val="16"/>
                <w:szCs w:val="16"/>
                <w:color w:val="auto"/>
              </w:rPr>
            </w:pPr>
          </w:p>
        </w:tc>
        <w:tc>
          <w:tcPr>
            <w:tcW w:w="118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5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6"/>
                <w:szCs w:val="16"/>
                <w:color w:val="auto"/>
              </w:rPr>
            </w:pPr>
          </w:p>
        </w:tc>
      </w:tr>
      <w:tr>
        <w:trPr>
          <w:trHeight w:val="235"/>
        </w:trPr>
        <w:tc>
          <w:tcPr>
            <w:tcW w:w="38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20" w:type="dxa"/>
            <w:vAlign w:val="bottom"/>
            <w:tcBorders>
              <w:bottom w:val="single" w:sz="8" w:color="ACACAC"/>
            </w:tcBorders>
            <w:shd w:val="clear" w:color="auto" w:fill="ACACAC"/>
          </w:tcPr>
          <w:p>
            <w:pPr>
              <w:spacing w:after="0"/>
              <w:rPr>
                <w:sz w:val="20"/>
                <w:szCs w:val="20"/>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tcBorders>
              <w:bottom w:val="single" w:sz="8" w:color="ACACAC"/>
            </w:tcBorders>
            <w:shd w:val="clear" w:color="auto" w:fill="ACACAC"/>
          </w:tcPr>
          <w:p>
            <w:pPr>
              <w:spacing w:after="0"/>
              <w:rPr>
                <w:sz w:val="20"/>
                <w:szCs w:val="20"/>
                <w:color w:val="auto"/>
              </w:rPr>
            </w:pPr>
          </w:p>
        </w:tc>
        <w:tc>
          <w:tcPr>
            <w:tcW w:w="15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80" w:type="dxa"/>
            <w:vAlign w:val="bottom"/>
          </w:tcPr>
          <w:p>
            <w:pPr>
              <w:spacing w:after="0"/>
              <w:rPr>
                <w:sz w:val="20"/>
                <w:szCs w:val="20"/>
                <w:color w:val="auto"/>
              </w:rPr>
            </w:pPr>
          </w:p>
        </w:tc>
        <w:tc>
          <w:tcPr>
            <w:tcW w:w="700" w:type="dxa"/>
            <w:vAlign w:val="bottom"/>
            <w:tcBorders>
              <w:bottom w:val="single" w:sz="8" w:color="ACACAC"/>
            </w:tcBorders>
            <w:shd w:val="clear" w:color="auto" w:fill="ACACAC"/>
          </w:tcPr>
          <w:p>
            <w:pPr>
              <w:spacing w:after="0"/>
              <w:rPr>
                <w:sz w:val="20"/>
                <w:szCs w:val="20"/>
                <w:color w:val="auto"/>
              </w:rPr>
            </w:pPr>
          </w:p>
        </w:tc>
        <w:tc>
          <w:tcPr>
            <w:tcW w:w="11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tcBorders>
              <w:bottom w:val="single" w:sz="8" w:color="ACACAC"/>
            </w:tcBorders>
            <w:shd w:val="clear" w:color="auto" w:fill="ACACAC"/>
          </w:tcPr>
          <w:p>
            <w:pPr>
              <w:spacing w:after="0"/>
              <w:rPr>
                <w:sz w:val="20"/>
                <w:szCs w:val="20"/>
                <w:color w:val="auto"/>
              </w:rPr>
            </w:pPr>
          </w:p>
        </w:tc>
        <w:tc>
          <w:tcPr>
            <w:tcW w:w="15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324"/>
        </w:trPr>
        <w:tc>
          <w:tcPr>
            <w:tcW w:w="3880" w:type="dxa"/>
            <w:vAlign w:val="bottom"/>
          </w:tcPr>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8"/>
              <w:spacing w:after="0"/>
              <w:rPr>
                <w:sz w:val="20"/>
                <w:szCs w:val="20"/>
                <w:color w:val="auto"/>
              </w:rPr>
            </w:pPr>
            <w:r>
              <w:rPr>
                <w:rFonts w:ascii="Arial" w:cs="Arial" w:eastAsia="Arial" w:hAnsi="Arial"/>
                <w:sz w:val="18"/>
                <w:szCs w:val="18"/>
                <w:color w:val="auto"/>
              </w:rPr>
              <w:t>12,128</w:t>
            </w:r>
          </w:p>
        </w:tc>
        <w:tc>
          <w:tcPr>
            <w:tcW w:w="7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474"/>
              <w:spacing w:after="0"/>
              <w:rPr>
                <w:sz w:val="20"/>
                <w:szCs w:val="20"/>
                <w:color w:val="auto"/>
              </w:rPr>
            </w:pPr>
            <w:r>
              <w:rPr>
                <w:rFonts w:ascii="Arial" w:cs="Arial" w:eastAsia="Arial" w:hAnsi="Arial"/>
                <w:sz w:val="18"/>
                <w:szCs w:val="18"/>
                <w:color w:val="auto"/>
              </w:rPr>
              <w:t>7,557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24,720</w:t>
            </w:r>
          </w:p>
        </w:tc>
        <w:tc>
          <w:tcPr>
            <w:tcW w:w="20" w:type="dxa"/>
            <w:vAlign w:val="bottom"/>
          </w:tcPr>
          <w:p>
            <w:pPr>
              <w:spacing w:after="0"/>
              <w:rPr>
                <w:sz w:val="24"/>
                <w:szCs w:val="24"/>
                <w:color w:val="auto"/>
              </w:rPr>
            </w:pPr>
          </w:p>
        </w:tc>
      </w:tr>
      <w:tr>
        <w:trPr>
          <w:trHeight w:val="250"/>
        </w:trPr>
        <w:tc>
          <w:tcPr>
            <w:tcW w:w="38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Variable lease cost</w:t>
            </w:r>
          </w:p>
        </w:tc>
        <w:tc>
          <w:tcPr>
            <w:tcW w:w="7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right w:val="single" w:sz="8" w:color="F4F4F4"/>
            </w:tcBorders>
            <w:shd w:val="clear" w:color="auto" w:fill="F4F4F4"/>
          </w:tcPr>
          <w:p>
            <w:pPr>
              <w:jc w:val="right"/>
              <w:ind w:right="18"/>
              <w:spacing w:after="0"/>
              <w:rPr>
                <w:sz w:val="20"/>
                <w:szCs w:val="20"/>
                <w:color w:val="auto"/>
              </w:rPr>
            </w:pPr>
            <w:r>
              <w:rPr>
                <w:rFonts w:ascii="Arial" w:cs="Arial" w:eastAsia="Arial" w:hAnsi="Arial"/>
                <w:sz w:val="18"/>
                <w:szCs w:val="18"/>
                <w:color w:val="auto"/>
              </w:rPr>
              <w:t>1,120</w:t>
            </w:r>
          </w:p>
        </w:tc>
        <w:tc>
          <w:tcPr>
            <w:tcW w:w="80" w:type="dxa"/>
            <w:vAlign w:val="bottom"/>
            <w:tcBorders>
              <w:bottom w:val="single" w:sz="8" w:color="F4F4F4"/>
            </w:tcBorders>
            <w:shd w:val="clear" w:color="auto" w:fill="F4F4F4"/>
          </w:tcPr>
          <w:p>
            <w:pPr>
              <w:spacing w:after="0"/>
              <w:rPr>
                <w:sz w:val="21"/>
                <w:szCs w:val="21"/>
                <w:color w:val="auto"/>
              </w:rPr>
            </w:pPr>
          </w:p>
        </w:tc>
        <w:tc>
          <w:tcPr>
            <w:tcW w:w="70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center"/>
              <w:ind w:left="474"/>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F4F4F4"/>
            </w:tcBorders>
            <w:shd w:val="clear" w:color="auto" w:fill="F4F4F4"/>
          </w:tcPr>
          <w:p>
            <w:pPr>
              <w:spacing w:after="0"/>
              <w:rPr>
                <w:sz w:val="21"/>
                <w:szCs w:val="21"/>
                <w:color w:val="auto"/>
              </w:rPr>
            </w:pPr>
          </w:p>
        </w:tc>
        <w:tc>
          <w:tcPr>
            <w:tcW w:w="15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3,491</w:t>
            </w:r>
          </w:p>
        </w:tc>
        <w:tc>
          <w:tcPr>
            <w:tcW w:w="20" w:type="dxa"/>
            <w:vAlign w:val="bottom"/>
          </w:tcPr>
          <w:p>
            <w:pPr>
              <w:spacing w:after="0"/>
              <w:rPr>
                <w:sz w:val="21"/>
                <w:szCs w:val="2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Pr>
          <w:p>
            <w:pPr>
              <w:jc w:val="center"/>
              <w:ind w:left="454"/>
              <w:spacing w:after="0"/>
              <w:rPr>
                <w:sz w:val="20"/>
                <w:szCs w:val="20"/>
                <w:color w:val="auto"/>
              </w:rPr>
            </w:pPr>
            <w:r>
              <w:rPr>
                <w:rFonts w:ascii="Arial" w:cs="Arial" w:eastAsia="Arial" w:hAnsi="Arial"/>
                <w:sz w:val="18"/>
                <w:szCs w:val="18"/>
                <w:color w:val="auto"/>
                <w:w w:val="98"/>
              </w:rPr>
              <w:t>(1,139)</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(2,585)</w:t>
            </w:r>
          </w:p>
        </w:tc>
        <w:tc>
          <w:tcPr>
            <w:tcW w:w="20" w:type="dxa"/>
            <w:vAlign w:val="bottom"/>
          </w:tcPr>
          <w:p>
            <w:pPr>
              <w:spacing w:after="0"/>
              <w:rPr>
                <w:sz w:val="21"/>
                <w:szCs w:val="21"/>
                <w:color w:val="auto"/>
              </w:rPr>
            </w:pPr>
          </w:p>
        </w:tc>
      </w:tr>
      <w:tr>
        <w:trPr>
          <w:trHeight w:val="27"/>
        </w:trPr>
        <w:tc>
          <w:tcPr>
            <w:tcW w:w="3880" w:type="dxa"/>
            <w:vAlign w:val="bottom"/>
            <w:tcBorders>
              <w:bottom w:val="single" w:sz="8" w:color="F4F4F4"/>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38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Net lease cost</w:t>
            </w:r>
          </w:p>
        </w:tc>
        <w:tc>
          <w:tcPr>
            <w:tcW w:w="720" w:type="dxa"/>
            <w:vAlign w:val="bottom"/>
            <w:tcBorders>
              <w:bottom w:val="single" w:sz="8" w:color="F4F4F4"/>
            </w:tcBorders>
            <w:shd w:val="clear" w:color="auto" w:fill="F4F4F4"/>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2,656</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F4F4F4"/>
              <w:right w:val="single" w:sz="8" w:color="F4F4F4"/>
            </w:tcBorders>
            <w:shd w:val="clear" w:color="auto" w:fill="F4F4F4"/>
          </w:tcPr>
          <w:p>
            <w:pPr>
              <w:jc w:val="right"/>
              <w:ind w:right="18"/>
              <w:spacing w:after="0"/>
              <w:rPr>
                <w:sz w:val="20"/>
                <w:szCs w:val="20"/>
                <w:color w:val="auto"/>
              </w:rPr>
            </w:pPr>
            <w:r>
              <w:rPr>
                <w:rFonts w:ascii="Arial" w:cs="Arial" w:eastAsia="Arial" w:hAnsi="Arial"/>
                <w:sz w:val="18"/>
                <w:szCs w:val="18"/>
                <w:color w:val="auto"/>
              </w:rPr>
              <w:t>12,516</w:t>
            </w:r>
          </w:p>
        </w:tc>
        <w:tc>
          <w:tcPr>
            <w:tcW w:w="780" w:type="dxa"/>
            <w:vAlign w:val="bottom"/>
            <w:tcBorders>
              <w:bottom w:val="single" w:sz="8" w:color="F4F4F4"/>
            </w:tcBorders>
            <w:gridSpan w:val="2"/>
            <w:shd w:val="clear" w:color="auto" w:fill="F4F4F4"/>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F4F4F4"/>
            </w:tcBorders>
            <w:shd w:val="clear" w:color="auto" w:fill="F4F4F4"/>
          </w:tcPr>
          <w:p>
            <w:pPr>
              <w:jc w:val="center"/>
              <w:ind w:left="474"/>
              <w:spacing w:after="0"/>
              <w:rPr>
                <w:sz w:val="20"/>
                <w:szCs w:val="20"/>
                <w:color w:val="auto"/>
              </w:rPr>
            </w:pPr>
            <w:r>
              <w:rPr>
                <w:rFonts w:ascii="Arial" w:cs="Arial" w:eastAsia="Arial" w:hAnsi="Arial"/>
                <w:sz w:val="18"/>
                <w:szCs w:val="18"/>
                <w:color w:val="auto"/>
              </w:rPr>
              <w:t>8,441</w:t>
            </w:r>
          </w:p>
        </w:tc>
        <w:tc>
          <w:tcPr>
            <w:tcW w:w="26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25,626</w:t>
            </w:r>
          </w:p>
        </w:tc>
        <w:tc>
          <w:tcPr>
            <w:tcW w:w="20" w:type="dxa"/>
            <w:vAlign w:val="bottom"/>
          </w:tcPr>
          <w:p>
            <w:pPr>
              <w:spacing w:after="0"/>
              <w:rPr>
                <w:sz w:val="21"/>
                <w:szCs w:val="21"/>
                <w:color w:val="auto"/>
              </w:rPr>
            </w:pPr>
          </w:p>
        </w:tc>
      </w:tr>
      <w:tr>
        <w:trPr>
          <w:trHeight w:val="20"/>
        </w:trPr>
        <w:tc>
          <w:tcPr>
            <w:tcW w:w="3880" w:type="dxa"/>
            <w:vAlign w:val="bottom"/>
            <w:shd w:val="clear" w:color="auto" w:fill="71BF43"/>
          </w:tcPr>
          <w:p>
            <w:pPr>
              <w:spacing w:after="0" w:line="20" w:lineRule="exact"/>
              <w:rPr>
                <w:sz w:val="1"/>
                <w:szCs w:val="1"/>
                <w:color w:val="auto"/>
              </w:rPr>
            </w:pPr>
          </w:p>
        </w:tc>
        <w:tc>
          <w:tcPr>
            <w:tcW w:w="72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220" w:type="dxa"/>
            <w:vAlign w:val="bottom"/>
            <w:shd w:val="clear" w:color="auto" w:fill="71BF43"/>
          </w:tcPr>
          <w:p>
            <w:pPr>
              <w:spacing w:after="0" w:line="20" w:lineRule="exact"/>
              <w:rPr>
                <w:sz w:val="1"/>
                <w:szCs w:val="1"/>
                <w:color w:val="auto"/>
              </w:rPr>
            </w:pPr>
          </w:p>
        </w:tc>
        <w:tc>
          <w:tcPr>
            <w:tcW w:w="1560" w:type="dxa"/>
            <w:vAlign w:val="bottom"/>
            <w:tcBorders>
              <w:right w:val="single" w:sz="8" w:color="71BF43"/>
            </w:tcBorders>
            <w:shd w:val="clear" w:color="auto" w:fill="71BF43"/>
          </w:tcPr>
          <w:p>
            <w:pPr>
              <w:spacing w:after="0" w:line="20" w:lineRule="exact"/>
              <w:rPr>
                <w:sz w:val="1"/>
                <w:szCs w:val="1"/>
                <w:color w:val="auto"/>
              </w:rPr>
            </w:pPr>
          </w:p>
        </w:tc>
        <w:tc>
          <w:tcPr>
            <w:tcW w:w="80" w:type="dxa"/>
            <w:vAlign w:val="bottom"/>
            <w:shd w:val="clear" w:color="auto" w:fill="71BF43"/>
          </w:tcPr>
          <w:p>
            <w:pPr>
              <w:spacing w:after="0" w:line="20" w:lineRule="exact"/>
              <w:rPr>
                <w:sz w:val="1"/>
                <w:szCs w:val="1"/>
                <w:color w:val="auto"/>
              </w:rPr>
            </w:pPr>
          </w:p>
        </w:tc>
        <w:tc>
          <w:tcPr>
            <w:tcW w:w="700" w:type="dxa"/>
            <w:vAlign w:val="bottom"/>
            <w:shd w:val="clear" w:color="auto" w:fill="71BF43"/>
          </w:tcPr>
          <w:p>
            <w:pPr>
              <w:spacing w:after="0" w:line="20" w:lineRule="exact"/>
              <w:rPr>
                <w:sz w:val="1"/>
                <w:szCs w:val="1"/>
                <w:color w:val="auto"/>
              </w:rPr>
            </w:pPr>
          </w:p>
        </w:tc>
        <w:tc>
          <w:tcPr>
            <w:tcW w:w="1180" w:type="dxa"/>
            <w:vAlign w:val="bottom"/>
            <w:shd w:val="clear" w:color="auto" w:fill="71BF43"/>
          </w:tcPr>
          <w:p>
            <w:pPr>
              <w:spacing w:after="0" w:line="20" w:lineRule="exact"/>
              <w:rPr>
                <w:sz w:val="1"/>
                <w:szCs w:val="1"/>
                <w:color w:val="auto"/>
              </w:rPr>
            </w:pPr>
          </w:p>
        </w:tc>
        <w:tc>
          <w:tcPr>
            <w:tcW w:w="260" w:type="dxa"/>
            <w:vAlign w:val="bottom"/>
            <w:shd w:val="clear" w:color="auto" w:fill="71BF43"/>
          </w:tcPr>
          <w:p>
            <w:pPr>
              <w:spacing w:after="0" w:line="20" w:lineRule="exact"/>
              <w:rPr>
                <w:sz w:val="1"/>
                <w:szCs w:val="1"/>
                <w:color w:val="auto"/>
              </w:rPr>
            </w:pPr>
          </w:p>
        </w:tc>
        <w:tc>
          <w:tcPr>
            <w:tcW w:w="150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-890905</wp:posOffset>
            </wp:positionV>
            <wp:extent cx="46805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short-term lease costs, which were immaterial.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a discussion of the workforce strategy actions we took during October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have contractual obligations for third-party technology used in our solutions and for other services we purchase as part of our normal operations. In certain cases, these arrangements require a minimum annual purchase commitment by us. As of September 30, 2021, the remaining aggregate minimum purchase commitment under these arrangements was approximately $39.7 million through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 and service indemnifications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the ordinary course of business, we provide certain indemnifications of varying scope to customers against claims of intellectual property infringement made by third parties arising from the use of our solutions or services. If we determine that it is probable that a loss has been incurred related to solution or service indemnifications, any such loss that could be reasonably estimated would be recognized. We have not identified any losses and, accordingly, we have not recorded a liability related to these indemnifications.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224155</wp:posOffset>
            </wp:positionV>
            <wp:extent cx="65976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legal proceedings and claims that arise in the ordinary course of business, as well as certain other non-ordinary course proceedings, claims and inquiries,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have no reason to believe that any data went beyond the cybercriminal, was or will be misused, or will be disseminated or otherwise made available publicly. Our investigation into the Security Incident by our cybersecurity team and third-party forensic advisors remains ongoing.</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Security Incident, we are currently subject to certain legal proceedings, claims, inquiries and investigations, as discussed below, and could be the subject of additional legal proceedings, claims, inquires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has reduced our financial exposure related to the Security Incident, and we will continue to seek recoveries under these insurance policies. Based on our review of expenses incurred to date, and upon consideration of the number of matters outstanding (as described below), we believe that total costs related to the Security Incident will exceed the limits of our insurance coverage during the fourth quarter of 2021. However, we are currently unable to estimate the approximate amount or range of any such excess.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three and nine months ended September 30, 2021, we recorded $11.4 million and $35.9 million, respectively, of expenses related to the Security Incident and offsetting probable insurance recoveries of $10.6 million and $34.5 million, respectively. As of September 30, 2021, we have recorded cumulative expenses related to the Security Incident of $ 45.7 million and cumulative probable insurance recoveries of $43.9 million. Due to the time required to submit and process such insurance claims, we have not yet received all of the accrued insurance recoveries. Of the insurance recoveries recorded, $18.0 million had been paid as of September 30, 2021. Recorded expenses consisted primarily of payments for legal fees related to governmental inquiries and investigations and customer constituent class actions. We present expenses and insurance recoveries related to the Security Incident in general and administrative expense on our condensed consolidated statements of comprehensive income and as operating activities on our condensed consolidated statements of cash flows. We expect to continue to experience significant expenses related to our response to the Security Incident, resolution of legal proceedings, claims, inquiries and investigations discussed below, and our efforts to further enhance our security measures, and those expenses may be material.</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our analysis of the factors described above, we have not recorded a liability related to the Security Incident as of September 30, 2021 because we are unable at this time to reasonably estimate the possible loss or range of loss.</w:t>
      </w:r>
    </w:p>
    <w:p>
      <w:pPr>
        <w:spacing w:after="0" w:line="30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16</w:t>
      </w:r>
      <w:r>
        <w:rPr>
          <w:sz w:val="20"/>
          <w:szCs w:val="20"/>
          <w:color w:val="auto"/>
        </w:rPr>
        <w:tab/>
      </w:r>
      <w:r>
        <w:rPr>
          <w:sz w:val="1"/>
          <w:szCs w:val="1"/>
          <w:color w:val="auto"/>
        </w:rPr>
        <w:drawing>
          <wp:inline distT="0" distB="0" distL="0" distR="0">
            <wp:extent cx="651510" cy="1714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Customer claims. </w:t>
      </w:r>
      <w:r>
        <w:rPr>
          <w:rFonts w:ascii="Arial" w:cs="Arial" w:eastAsia="Arial" w:hAnsi="Arial"/>
          <w:sz w:val="18"/>
          <w:szCs w:val="18"/>
          <w:color w:val="auto"/>
        </w:rPr>
        <w:t>To date, we have received approximately 260 specific requests for reimbursement of expenses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Requests") and approximately 400 reservations of the right to seek expense recovery in the future from customers or their attorneys in the U.S., U.K. and Canada related to the Security Incident (none of which have as yet been filed in court). Of the Customer Reimbursement Requests received to date, approximately 170 have been fully resolved and closed. In addition, insurance companies representing various customers’ interests through subrogation claims have contacted us.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Our review of customer and subrogation claims includes analyzing individual customer contracts into which we have entered, the specific claims made and applicable law.</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Customer constituent class actions. </w:t>
      </w:r>
      <w:r>
        <w:rPr>
          <w:rFonts w:ascii="Arial" w:cs="Arial" w:eastAsia="Arial" w:hAnsi="Arial"/>
          <w:sz w:val="18"/>
          <w:szCs w:val="18"/>
          <w:color w:val="auto"/>
        </w:rPr>
        <w:t>Presently, we are a defendant in 19 putative consumer class action cases [17 in U.S. federal courts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been consolidated under multi district litigation to a single federal court) and 2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for putative class actions, it is often not possible to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Governmental inquiries and investigations. </w:t>
      </w:r>
      <w:r>
        <w:rPr>
          <w:rFonts w:ascii="Arial" w:cs="Arial" w:eastAsia="Arial" w:hAnsi="Arial"/>
          <w:sz w:val="18"/>
          <w:szCs w:val="18"/>
          <w:color w:val="auto"/>
        </w:rPr>
        <w:t>To date, we have received a consolidated, multi-state Civil Investigative Demand issued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48 state Attorneys General and the District of Columbia and separate Civil Investigative Demands from the offices of the Illinois Attorney General and the California Attorney General relating to the Security Incident. In addition, we have received communications, inquires and requests from the U.S. Federal Trade Commission, the SEC, the U.S. Department of Health and Human Services, the Information Commissioner’s Office in the United Kingdom under the U.K. Data Protection Act 2018 (the "ICO", the Office of the Australian Information Commissioner, the Office of the Privacy Commissioner of Canada, the Spanish Data Protection Authority, and the Data Protection Commission of Ireland).</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28, 2021, the ICO notified us that it has closed its investigation of the Security Incident. Based on its investigation and having considered our actions before, during and after the Security Incident, the ICO issued our European subsidiary a reprimand in accordance with Article 58(2)(b) of the U.K. General Data Protection Regulation ("U.K. GDPR") due to our non -compliance, in the ICO's view, with the requirements set out in Article 32 of the U.K. GDPR regarding the processing of personal data. The ICO did not impose a penalty related to the Security Incident, nor did it impose any requirements for further action by us.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24, 2021, we received notice from the Spanish Data Protection Authority that it has concluded its investigation of the Security Incident, pursuant to which our European subsidiary paid a penalty of €60,000 in relation to the alleged late notification of two Spanish data controllers regarding the Security Incident.</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15, 2021, we were notified by the Data Protection Commission of Ireland that it has concluded its investigation of the Security Incident without taking any action against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212090</wp:posOffset>
            </wp:positionV>
            <wp:extent cx="65976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continue to cooperate with all ongoing inquiries and investigations, which include various requests for documents, policies, narratives and communications, as well as requests to interview or depose various Company-related personnel. As noted above, each of these separate governmental inquiries and investigations could result in adverse judgements, settlements, fines, penalties, or other resolution, the amount, scope and timing of which we are currently unable to predict, but could have a material adverse impact on our results of operations, cash flows, or financial condition.</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10.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and effective income tax rates, including the effects of period-specific events, were: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152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r>
      <w:tr>
        <w:trPr>
          <w:trHeight w:val="190"/>
        </w:trPr>
        <w:tc>
          <w:tcPr>
            <w:tcW w:w="508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120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6"/>
                <w:szCs w:val="16"/>
                <w:color w:val="auto"/>
              </w:rPr>
            </w:pPr>
          </w:p>
        </w:tc>
      </w:tr>
      <w:tr>
        <w:trPr>
          <w:trHeight w:val="236"/>
        </w:trPr>
        <w:tc>
          <w:tcPr>
            <w:tcW w:w="50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20" w:type="dxa"/>
            <w:vAlign w:val="bottom"/>
            <w:tcBorders>
              <w:bottom w:val="single" w:sz="8" w:color="ACACAC"/>
            </w:tcBorders>
            <w:shd w:val="clear" w:color="auto" w:fill="ACACAC"/>
          </w:tcPr>
          <w:p>
            <w:pPr>
              <w:spacing w:after="0"/>
              <w:rPr>
                <w:sz w:val="20"/>
                <w:szCs w:val="20"/>
                <w:color w:val="auto"/>
              </w:rPr>
            </w:pPr>
          </w:p>
        </w:tc>
        <w:tc>
          <w:tcPr>
            <w:tcW w:w="120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Borders>
              <w:bottom w:val="single" w:sz="8" w:color="F4F4F4"/>
            </w:tcBorders>
          </w:tcPr>
          <w:p>
            <w:pPr>
              <w:spacing w:after="0"/>
              <w:rPr>
                <w:sz w:val="20"/>
                <w:szCs w:val="20"/>
                <w:color w:val="auto"/>
              </w:rPr>
            </w:pPr>
          </w:p>
        </w:tc>
        <w:tc>
          <w:tcPr>
            <w:tcW w:w="46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0" w:type="dxa"/>
            <w:vAlign w:val="bottom"/>
            <w:tcBorders>
              <w:bottom w:val="single" w:sz="8" w:color="ACACAC"/>
            </w:tcBorders>
            <w:shd w:val="clear" w:color="auto" w:fill="ACACAC"/>
          </w:tcPr>
          <w:p>
            <w:pPr>
              <w:spacing w:after="0"/>
              <w:rPr>
                <w:sz w:val="20"/>
                <w:szCs w:val="20"/>
                <w:color w:val="auto"/>
              </w:rPr>
            </w:pPr>
          </w:p>
        </w:tc>
        <w:tc>
          <w:tcPr>
            <w:tcW w:w="13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50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Income tax provision</w:t>
            </w:r>
          </w:p>
        </w:tc>
        <w:tc>
          <w:tcPr>
            <w:tcW w:w="480" w:type="dxa"/>
            <w:vAlign w:val="bottom"/>
            <w:tcBorders>
              <w:bottom w:val="single" w:sz="8" w:color="F4F4F4"/>
            </w:tcBorders>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rPr>
              <w:t>2,517</w:t>
            </w:r>
          </w:p>
        </w:tc>
        <w:tc>
          <w:tcPr>
            <w:tcW w:w="320" w:type="dxa"/>
            <w:vAlign w:val="bottom"/>
            <w:tcBorders>
              <w:bottom w:val="single" w:sz="8" w:color="F4F4F4"/>
            </w:tcBorders>
            <w:shd w:val="clear" w:color="auto" w:fill="F4F4F4"/>
          </w:tcPr>
          <w:p>
            <w:pPr>
              <w:jc w:val="right"/>
              <w:ind w:right="119"/>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F4F4F4"/>
              <w:right w:val="single" w:sz="8" w:color="F4F4F4"/>
            </w:tcBorders>
            <w:shd w:val="clear" w:color="auto" w:fill="F4F4F4"/>
          </w:tcPr>
          <w:p>
            <w:pPr>
              <w:jc w:val="right"/>
              <w:ind w:right="179"/>
              <w:spacing w:after="0"/>
              <w:rPr>
                <w:sz w:val="20"/>
                <w:szCs w:val="20"/>
                <w:color w:val="auto"/>
              </w:rPr>
            </w:pPr>
            <w:r>
              <w:rPr>
                <w:rFonts w:ascii="Arial" w:cs="Arial" w:eastAsia="Arial" w:hAnsi="Arial"/>
                <w:sz w:val="18"/>
                <w:szCs w:val="18"/>
                <w:color w:val="auto"/>
              </w:rPr>
              <w:t>1,756</w:t>
            </w:r>
          </w:p>
        </w:tc>
        <w:tc>
          <w:tcPr>
            <w:tcW w:w="560" w:type="dxa"/>
            <w:vAlign w:val="bottom"/>
            <w:tcBorders>
              <w:bottom w:val="single" w:sz="8" w:color="F4F4F4"/>
            </w:tcBorders>
            <w:gridSpan w:val="2"/>
            <w:shd w:val="clear" w:color="auto" w:fill="F4F4F4"/>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rPr>
              <w:t>4,946</w:t>
            </w:r>
          </w:p>
        </w:tc>
        <w:tc>
          <w:tcPr>
            <w:tcW w:w="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F4F4F4"/>
            </w:tcBorders>
            <w:shd w:val="clear" w:color="auto" w:fill="F4F4F4"/>
          </w:tcPr>
          <w:p>
            <w:pPr>
              <w:jc w:val="right"/>
              <w:ind w:right="161"/>
              <w:spacing w:after="0"/>
              <w:rPr>
                <w:sz w:val="20"/>
                <w:szCs w:val="20"/>
                <w:color w:val="auto"/>
              </w:rPr>
            </w:pPr>
            <w:r>
              <w:rPr>
                <w:rFonts w:ascii="Arial" w:cs="Arial" w:eastAsia="Arial" w:hAnsi="Arial"/>
                <w:sz w:val="18"/>
                <w:szCs w:val="18"/>
                <w:color w:val="auto"/>
              </w:rPr>
              <w:t>6,948</w:t>
            </w:r>
          </w:p>
        </w:tc>
        <w:tc>
          <w:tcPr>
            <w:tcW w:w="20" w:type="dxa"/>
            <w:vAlign w:val="bottom"/>
          </w:tcPr>
          <w:p>
            <w:pPr>
              <w:spacing w:after="0"/>
              <w:rPr>
                <w:sz w:val="21"/>
                <w:szCs w:val="2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28.9 %</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27.9 %</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24.6 %</w:t>
            </w:r>
          </w:p>
        </w:tc>
        <w:tc>
          <w:tcPr>
            <w:tcW w:w="20" w:type="dxa"/>
            <w:vAlign w:val="bottom"/>
          </w:tcPr>
          <w:p>
            <w:pPr>
              <w:spacing w:after="0"/>
              <w:rPr>
                <w:sz w:val="21"/>
                <w:szCs w:val="21"/>
                <w:color w:val="auto"/>
              </w:rPr>
            </w:pPr>
          </w:p>
        </w:tc>
      </w:tr>
      <w:tr>
        <w:trPr>
          <w:trHeight w:val="27"/>
        </w:trPr>
        <w:tc>
          <w:tcPr>
            <w:tcW w:w="5080" w:type="dxa"/>
            <w:vAlign w:val="bottom"/>
            <w:tcBorders>
              <w:bottom w:val="single" w:sz="8" w:color="71BF43"/>
            </w:tcBorders>
          </w:tcPr>
          <w:p>
            <w:pPr>
              <w:spacing w:after="0"/>
              <w:rPr>
                <w:sz w:val="2"/>
                <w:szCs w:val="2"/>
                <w:color w:val="auto"/>
              </w:rPr>
            </w:pPr>
          </w:p>
        </w:tc>
        <w:tc>
          <w:tcPr>
            <w:tcW w:w="480" w:type="dxa"/>
            <w:vAlign w:val="bottom"/>
            <w:tcBorders>
              <w:bottom w:val="single" w:sz="8" w:color="71BF43"/>
            </w:tcBorders>
          </w:tcPr>
          <w:p>
            <w:pPr>
              <w:spacing w:after="0"/>
              <w:rPr>
                <w:sz w:val="2"/>
                <w:szCs w:val="2"/>
                <w:color w:val="auto"/>
              </w:rPr>
            </w:pPr>
          </w:p>
        </w:tc>
        <w:tc>
          <w:tcPr>
            <w:tcW w:w="1040" w:type="dxa"/>
            <w:vAlign w:val="bottom"/>
            <w:tcBorders>
              <w:bottom w:val="single" w:sz="8" w:color="71BF43"/>
            </w:tcBorders>
          </w:tcPr>
          <w:p>
            <w:pPr>
              <w:spacing w:after="0"/>
              <w:rPr>
                <w:sz w:val="2"/>
                <w:szCs w:val="2"/>
                <w:color w:val="auto"/>
              </w:rPr>
            </w:pPr>
          </w:p>
        </w:tc>
        <w:tc>
          <w:tcPr>
            <w:tcW w:w="320" w:type="dxa"/>
            <w:vAlign w:val="bottom"/>
            <w:tcBorders>
              <w:bottom w:val="single" w:sz="8" w:color="71BF43"/>
            </w:tcBorders>
          </w:tcPr>
          <w:p>
            <w:pPr>
              <w:spacing w:after="0"/>
              <w:rPr>
                <w:sz w:val="2"/>
                <w:szCs w:val="2"/>
                <w:color w:val="auto"/>
              </w:rPr>
            </w:pPr>
          </w:p>
        </w:tc>
        <w:tc>
          <w:tcPr>
            <w:tcW w:w="120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460" w:type="dxa"/>
            <w:vAlign w:val="bottom"/>
            <w:tcBorders>
              <w:bottom w:val="single" w:sz="8" w:color="71BF43"/>
            </w:tcBorders>
          </w:tcPr>
          <w:p>
            <w:pPr>
              <w:spacing w:after="0"/>
              <w:rPr>
                <w:sz w:val="2"/>
                <w:szCs w:val="2"/>
                <w:color w:val="auto"/>
              </w:rPr>
            </w:pPr>
          </w:p>
        </w:tc>
        <w:tc>
          <w:tcPr>
            <w:tcW w:w="1040" w:type="dxa"/>
            <w:vAlign w:val="bottom"/>
            <w:tcBorders>
              <w:bottom w:val="single" w:sz="8" w:color="71BF43"/>
            </w:tcBorders>
          </w:tcPr>
          <w:p>
            <w:pPr>
              <w:spacing w:after="0"/>
              <w:rPr>
                <w:sz w:val="2"/>
                <w:szCs w:val="2"/>
                <w:color w:val="auto"/>
              </w:rPr>
            </w:pPr>
          </w:p>
        </w:tc>
        <w:tc>
          <w:tcPr>
            <w:tcW w:w="140" w:type="dxa"/>
            <w:vAlign w:val="bottom"/>
            <w:tcBorders>
              <w:bottom w:val="single" w:sz="8" w:color="71BF43"/>
            </w:tcBorders>
          </w:tcPr>
          <w:p>
            <w:pPr>
              <w:spacing w:after="0"/>
              <w:rPr>
                <w:sz w:val="2"/>
                <w:szCs w:val="2"/>
                <w:color w:val="auto"/>
              </w:rPr>
            </w:pPr>
          </w:p>
        </w:tc>
        <w:tc>
          <w:tcPr>
            <w:tcW w:w="138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-505460</wp:posOffset>
            </wp:positionV>
            <wp:extent cx="39173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2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increase in our effective income tax rate for the three months ended September 30, 2021, when compared to the same period in 2020, was primarily attributable to higher 2021 non-deductible stock-based compensation and reduced state tax credits. Furthermore, the 2020 effective tax rate was positively impacted by a favorable return to provision adjustment offset against tax expense attributable to a corporate income tax rate increase enacted during the period.</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increase in our effective income tax rate for the nine months ended September 30, 2021 when compared to the same period in 2020, was primarily attributable to the impact of non-deductible expenses against lower pre-tax income.</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11.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Stock-based compensation expense is allocated to cost of revenue and operating expenses on the condensed consolidated statements of comprehensive income based on where the associated employee’s compensation is recorded. The following table summarizes stock-based compensation expense: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10" w:type="dxa"/>
            <w:vAlign w:val="bottom"/>
            <w:shd w:val="clear" w:color="auto" w:fill="ACACAC"/>
          </w:tcPr>
          <w:p>
            <w:pPr>
              <w:spacing w:after="0"/>
              <w:rPr>
                <w:sz w:val="16"/>
                <w:szCs w:val="16"/>
                <w:color w:val="auto"/>
              </w:rPr>
            </w:pPr>
          </w:p>
        </w:tc>
        <w:tc>
          <w:tcPr>
            <w:tcW w:w="281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1410" w:type="dxa"/>
            <w:vAlign w:val="bottom"/>
            <w:shd w:val="clear" w:color="auto" w:fill="ACACAC"/>
          </w:tcPr>
          <w:p>
            <w:pPr>
              <w:spacing w:after="0"/>
              <w:rPr>
                <w:sz w:val="16"/>
                <w:szCs w:val="16"/>
                <w:color w:val="auto"/>
              </w:rPr>
            </w:pPr>
          </w:p>
        </w:tc>
        <w:tc>
          <w:tcPr>
            <w:tcW w:w="143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90"/>
        </w:trPr>
        <w:tc>
          <w:tcPr>
            <w:tcW w:w="5510" w:type="dxa"/>
            <w:vAlign w:val="bottom"/>
            <w:shd w:val="clear" w:color="auto" w:fill="ACACAC"/>
          </w:tcPr>
          <w:p>
            <w:pPr>
              <w:spacing w:after="0"/>
              <w:rPr>
                <w:sz w:val="16"/>
                <w:szCs w:val="16"/>
                <w:color w:val="auto"/>
              </w:rPr>
            </w:pPr>
          </w:p>
        </w:tc>
        <w:tc>
          <w:tcPr>
            <w:tcW w:w="1400" w:type="dxa"/>
            <w:vAlign w:val="bottom"/>
            <w:shd w:val="clear" w:color="auto" w:fill="ACACAC"/>
          </w:tcPr>
          <w:p>
            <w:pPr>
              <w:spacing w:after="0"/>
              <w:rPr>
                <w:sz w:val="16"/>
                <w:szCs w:val="16"/>
                <w:color w:val="auto"/>
              </w:rPr>
            </w:pPr>
          </w:p>
        </w:tc>
        <w:tc>
          <w:tcPr>
            <w:tcW w:w="14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1410" w:type="dxa"/>
            <w:vAlign w:val="bottom"/>
            <w:shd w:val="clear" w:color="auto" w:fill="ACACAC"/>
          </w:tcPr>
          <w:p>
            <w:pPr>
              <w:spacing w:after="0"/>
              <w:rPr>
                <w:sz w:val="16"/>
                <w:szCs w:val="16"/>
                <w:color w:val="auto"/>
              </w:rPr>
            </w:pPr>
          </w:p>
        </w:tc>
        <w:tc>
          <w:tcPr>
            <w:tcW w:w="143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30"/>
        </w:trPr>
        <w:tc>
          <w:tcPr>
            <w:tcW w:w="551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Pr>
          <w:p>
            <w:pPr>
              <w:spacing w:after="0"/>
              <w:rPr>
                <w:sz w:val="19"/>
                <w:szCs w:val="19"/>
                <w:color w:val="auto"/>
              </w:rPr>
            </w:pPr>
          </w:p>
        </w:tc>
        <w:tc>
          <w:tcPr>
            <w:tcW w:w="14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3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
        </w:trPr>
        <w:tc>
          <w:tcPr>
            <w:tcW w:w="5510" w:type="dxa"/>
            <w:vAlign w:val="bottom"/>
            <w:shd w:val="clear" w:color="auto" w:fill="ACACAC"/>
          </w:tcPr>
          <w:p>
            <w:pPr>
              <w:spacing w:after="0"/>
              <w:rPr>
                <w:sz w:val="2"/>
                <w:szCs w:val="2"/>
                <w:color w:val="auto"/>
              </w:rPr>
            </w:pPr>
          </w:p>
        </w:tc>
        <w:tc>
          <w:tcPr>
            <w:tcW w:w="1400" w:type="dxa"/>
            <w:vAlign w:val="bottom"/>
            <w:shd w:val="clear" w:color="auto" w:fill="ACACAC"/>
          </w:tcPr>
          <w:p>
            <w:pPr>
              <w:spacing w:after="0"/>
              <w:rPr>
                <w:sz w:val="2"/>
                <w:szCs w:val="2"/>
                <w:color w:val="auto"/>
              </w:rPr>
            </w:pPr>
          </w:p>
        </w:tc>
        <w:tc>
          <w:tcPr>
            <w:tcW w:w="1410" w:type="dxa"/>
            <w:vAlign w:val="bottom"/>
            <w:shd w:val="clear" w:color="auto" w:fill="ACACAC"/>
          </w:tcPr>
          <w:p>
            <w:pPr>
              <w:spacing w:after="0"/>
              <w:rPr>
                <w:sz w:val="2"/>
                <w:szCs w:val="2"/>
                <w:color w:val="auto"/>
              </w:rPr>
            </w:pPr>
          </w:p>
        </w:tc>
        <w:tc>
          <w:tcPr>
            <w:tcW w:w="100" w:type="dxa"/>
            <w:vAlign w:val="bottom"/>
          </w:tcPr>
          <w:p>
            <w:pPr>
              <w:spacing w:after="0"/>
              <w:rPr>
                <w:sz w:val="2"/>
                <w:szCs w:val="2"/>
                <w:color w:val="auto"/>
              </w:rPr>
            </w:pPr>
          </w:p>
        </w:tc>
        <w:tc>
          <w:tcPr>
            <w:tcW w:w="1410" w:type="dxa"/>
            <w:vAlign w:val="bottom"/>
            <w:shd w:val="clear" w:color="auto" w:fill="ACACAC"/>
          </w:tcPr>
          <w:p>
            <w:pPr>
              <w:spacing w:after="0"/>
              <w:rPr>
                <w:sz w:val="2"/>
                <w:szCs w:val="2"/>
                <w:color w:val="auto"/>
              </w:rPr>
            </w:pPr>
          </w:p>
        </w:tc>
        <w:tc>
          <w:tcPr>
            <w:tcW w:w="1430" w:type="dxa"/>
            <w:vAlign w:val="bottom"/>
            <w:shd w:val="clear" w:color="auto" w:fill="ACACA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-153670</wp:posOffset>
            </wp:positionV>
            <wp:extent cx="36518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Included in cost of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Cost of recurring</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2,997</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8,900</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3,229</w:t>
            </w:r>
          </w:p>
        </w:tc>
      </w:tr>
      <w:tr>
        <w:trPr>
          <w:trHeight w:val="27"/>
        </w:trPr>
        <w:tc>
          <w:tcPr>
            <w:tcW w:w="2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20" w:type="dxa"/>
            <w:vAlign w:val="bottom"/>
            <w:tcBorders>
              <w:bottom w:val="single" w:sz="8" w:color="F4F4F4"/>
            </w:tcBorders>
            <w:shd w:val="clear" w:color="auto" w:fill="F4F4F4"/>
          </w:tcPr>
          <w:p>
            <w:pPr>
              <w:spacing w:after="0"/>
              <w:rPr>
                <w:sz w:val="23"/>
                <w:szCs w:val="23"/>
                <w:color w:val="auto"/>
              </w:rPr>
            </w:pPr>
          </w:p>
        </w:tc>
        <w:tc>
          <w:tcPr>
            <w:tcW w:w="52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Cost of one-time services and other</w:t>
            </w:r>
          </w:p>
        </w:tc>
        <w:tc>
          <w:tcPr>
            <w:tcW w:w="440" w:type="dxa"/>
            <w:vAlign w:val="bottom"/>
            <w:tcBorders>
              <w:bottom w:val="single" w:sz="8" w:color="F4F4F4"/>
            </w:tcBorders>
            <w:shd w:val="clear" w:color="auto" w:fill="F4F4F4"/>
          </w:tcPr>
          <w:p>
            <w:pPr>
              <w:spacing w:after="0"/>
              <w:rPr>
                <w:sz w:val="23"/>
                <w:szCs w:val="23"/>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1,266</w:t>
            </w:r>
          </w:p>
        </w:tc>
        <w:tc>
          <w:tcPr>
            <w:tcW w:w="48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F4F4F4"/>
            </w:tcBorders>
            <w:shd w:val="clear" w:color="auto" w:fill="F4F4F4"/>
          </w:tcPr>
          <w:p>
            <w:pPr>
              <w:spacing w:after="0"/>
              <w:rPr>
                <w:sz w:val="23"/>
                <w:szCs w:val="23"/>
                <w:color w:val="auto"/>
              </w:rPr>
            </w:pPr>
          </w:p>
        </w:tc>
        <w:tc>
          <w:tcPr>
            <w:tcW w:w="440" w:type="dxa"/>
            <w:vAlign w:val="bottom"/>
            <w:tcBorders>
              <w:bottom w:val="single" w:sz="8" w:color="F4F4F4"/>
            </w:tcBorders>
            <w:shd w:val="clear" w:color="auto" w:fill="F4F4F4"/>
          </w:tcPr>
          <w:p>
            <w:pPr>
              <w:spacing w:after="0"/>
              <w:rPr>
                <w:sz w:val="23"/>
                <w:szCs w:val="23"/>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5,958</w:t>
            </w:r>
          </w:p>
        </w:tc>
        <w:tc>
          <w:tcPr>
            <w:tcW w:w="48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3,894</w:t>
            </w:r>
          </w:p>
        </w:tc>
      </w:tr>
      <w:tr>
        <w:trPr>
          <w:trHeight w:val="237"/>
        </w:trPr>
        <w:tc>
          <w:tcPr>
            <w:tcW w:w="220" w:type="dxa"/>
            <w:vAlign w:val="bottom"/>
          </w:tcPr>
          <w:p>
            <w:pPr>
              <w:spacing w:after="0"/>
              <w:rPr>
                <w:sz w:val="20"/>
                <w:szCs w:val="20"/>
                <w:color w:val="auto"/>
              </w:rPr>
            </w:pPr>
          </w:p>
        </w:tc>
        <w:tc>
          <w:tcPr>
            <w:tcW w:w="5280" w:type="dxa"/>
            <w:vAlign w:val="bottom"/>
          </w:tcPr>
          <w:p>
            <w:pPr>
              <w:ind w:left="140"/>
              <w:spacing w:after="0"/>
              <w:rPr>
                <w:sz w:val="20"/>
                <w:szCs w:val="20"/>
                <w:color w:val="auto"/>
              </w:rPr>
            </w:pPr>
            <w:r>
              <w:rPr>
                <w:rFonts w:ascii="Arial" w:cs="Arial" w:eastAsia="Arial" w:hAnsi="Arial"/>
                <w:sz w:val="18"/>
                <w:szCs w:val="18"/>
                <w:b w:val="1"/>
                <w:bCs w:val="1"/>
                <w:color w:val="auto"/>
              </w:rPr>
              <w:t>Total included in cost of revenue</w:t>
            </w: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14,858</w:t>
            </w: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7,123</w:t>
            </w:r>
          </w:p>
        </w:tc>
      </w:tr>
      <w:tr>
        <w:trPr>
          <w:trHeight w:val="27"/>
        </w:trPr>
        <w:tc>
          <w:tcPr>
            <w:tcW w:w="5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b w:val="1"/>
                <w:bCs w:val="1"/>
                <w:color w:val="auto"/>
              </w:rPr>
              <w:t>Included in operating expenses:</w:t>
            </w:r>
          </w:p>
        </w:tc>
        <w:tc>
          <w:tcPr>
            <w:tcW w:w="44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Sales, marketing and customer success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4,942</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15,048</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10,085</w:t>
            </w:r>
          </w:p>
        </w:tc>
      </w:tr>
      <w:tr>
        <w:trPr>
          <w:trHeight w:val="27"/>
        </w:trPr>
        <w:tc>
          <w:tcPr>
            <w:tcW w:w="2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20" w:type="dxa"/>
            <w:vAlign w:val="bottom"/>
            <w:tcBorders>
              <w:bottom w:val="single" w:sz="8" w:color="F4F4F4"/>
            </w:tcBorders>
            <w:shd w:val="clear" w:color="auto" w:fill="F4F4F4"/>
          </w:tcPr>
          <w:p>
            <w:pPr>
              <w:spacing w:after="0"/>
              <w:rPr>
                <w:sz w:val="21"/>
                <w:szCs w:val="21"/>
                <w:color w:val="auto"/>
              </w:rPr>
            </w:pPr>
          </w:p>
        </w:tc>
        <w:tc>
          <w:tcPr>
            <w:tcW w:w="52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Research and development</w:t>
            </w:r>
          </w:p>
        </w:tc>
        <w:tc>
          <w:tcPr>
            <w:tcW w:w="44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6,110</w:t>
            </w:r>
          </w:p>
        </w:tc>
        <w:tc>
          <w:tcPr>
            <w:tcW w:w="4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19,725</w:t>
            </w:r>
          </w:p>
        </w:tc>
        <w:tc>
          <w:tcPr>
            <w:tcW w:w="4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11,245</w:t>
            </w:r>
          </w:p>
        </w:tc>
      </w:tr>
      <w:tr>
        <w:trPr>
          <w:trHeight w:val="243"/>
        </w:trPr>
        <w:tc>
          <w:tcPr>
            <w:tcW w:w="22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13,611</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39,849</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26,103</w:t>
            </w:r>
          </w:p>
        </w:tc>
      </w:tr>
      <w:tr>
        <w:trPr>
          <w:trHeight w:val="27"/>
        </w:trPr>
        <w:tc>
          <w:tcPr>
            <w:tcW w:w="220" w:type="dxa"/>
            <w:vAlign w:val="bottom"/>
            <w:tcBorders>
              <w:bottom w:val="single" w:sz="8" w:color="F4F4F4"/>
            </w:tcBorders>
          </w:tcPr>
          <w:p>
            <w:pPr>
              <w:spacing w:after="0"/>
              <w:rPr>
                <w:sz w:val="2"/>
                <w:szCs w:val="2"/>
                <w:color w:val="auto"/>
              </w:rPr>
            </w:pPr>
          </w:p>
        </w:tc>
        <w:tc>
          <w:tcPr>
            <w:tcW w:w="528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220" w:type="dxa"/>
            <w:vAlign w:val="bottom"/>
            <w:tcBorders>
              <w:bottom w:val="single" w:sz="8" w:color="F4F4F4"/>
            </w:tcBorders>
            <w:shd w:val="clear" w:color="auto" w:fill="F4F4F4"/>
          </w:tcPr>
          <w:p>
            <w:pPr>
              <w:spacing w:after="0"/>
              <w:rPr>
                <w:sz w:val="22"/>
                <w:szCs w:val="22"/>
                <w:color w:val="auto"/>
              </w:rPr>
            </w:pPr>
          </w:p>
        </w:tc>
        <w:tc>
          <w:tcPr>
            <w:tcW w:w="52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Total included in operating expenses</w:t>
            </w:r>
          </w:p>
        </w:tc>
        <w:tc>
          <w:tcPr>
            <w:tcW w:w="440" w:type="dxa"/>
            <w:vAlign w:val="bottom"/>
            <w:tcBorders>
              <w:bottom w:val="single" w:sz="8" w:color="F4F4F4"/>
            </w:tcBorders>
            <w:shd w:val="clear" w:color="auto" w:fill="F4F4F4"/>
          </w:tcPr>
          <w:p>
            <w:pPr>
              <w:spacing w:after="0"/>
              <w:rPr>
                <w:sz w:val="22"/>
                <w:szCs w:val="22"/>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24,663</w:t>
            </w:r>
          </w:p>
        </w:tc>
        <w:tc>
          <w:tcPr>
            <w:tcW w:w="480" w:type="dxa"/>
            <w:vAlign w:val="bottom"/>
            <w:tcBorders>
              <w:bottom w:val="single" w:sz="8" w:color="F4F4F4"/>
            </w:tcBorders>
            <w:shd w:val="clear" w:color="auto" w:fill="F4F4F4"/>
          </w:tcPr>
          <w:p>
            <w:pPr>
              <w:spacing w:after="0"/>
              <w:rPr>
                <w:sz w:val="22"/>
                <w:szCs w:val="22"/>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17,155</w:t>
            </w:r>
          </w:p>
        </w:tc>
        <w:tc>
          <w:tcPr>
            <w:tcW w:w="100" w:type="dxa"/>
            <w:vAlign w:val="bottom"/>
            <w:tcBorders>
              <w:bottom w:val="single" w:sz="8" w:color="F4F4F4"/>
            </w:tcBorders>
            <w:shd w:val="clear" w:color="auto" w:fill="F4F4F4"/>
          </w:tcPr>
          <w:p>
            <w:pPr>
              <w:spacing w:after="0"/>
              <w:rPr>
                <w:sz w:val="22"/>
                <w:szCs w:val="22"/>
                <w:color w:val="auto"/>
              </w:rPr>
            </w:pPr>
          </w:p>
        </w:tc>
        <w:tc>
          <w:tcPr>
            <w:tcW w:w="440" w:type="dxa"/>
            <w:vAlign w:val="bottom"/>
            <w:tcBorders>
              <w:bottom w:val="single" w:sz="8" w:color="F4F4F4"/>
            </w:tcBorders>
            <w:shd w:val="clear" w:color="auto" w:fill="F4F4F4"/>
          </w:tcPr>
          <w:p>
            <w:pPr>
              <w:spacing w:after="0"/>
              <w:rPr>
                <w:sz w:val="22"/>
                <w:szCs w:val="22"/>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74,622</w:t>
            </w:r>
          </w:p>
        </w:tc>
        <w:tc>
          <w:tcPr>
            <w:tcW w:w="480" w:type="dxa"/>
            <w:vAlign w:val="bottom"/>
            <w:tcBorders>
              <w:bottom w:val="single" w:sz="8" w:color="F4F4F4"/>
            </w:tcBorders>
            <w:shd w:val="clear" w:color="auto" w:fill="F4F4F4"/>
          </w:tcPr>
          <w:p>
            <w:pPr>
              <w:spacing w:after="0"/>
              <w:rPr>
                <w:sz w:val="22"/>
                <w:szCs w:val="22"/>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47,433</w:t>
            </w:r>
          </w:p>
        </w:tc>
      </w:tr>
      <w:tr>
        <w:trPr>
          <w:trHeight w:val="237"/>
        </w:trPr>
        <w:tc>
          <w:tcPr>
            <w:tcW w:w="220" w:type="dxa"/>
            <w:vAlign w:val="bottom"/>
          </w:tcPr>
          <w:p>
            <w:pPr>
              <w:spacing w:after="0"/>
              <w:rPr>
                <w:sz w:val="20"/>
                <w:szCs w:val="20"/>
                <w:color w:val="auto"/>
              </w:rPr>
            </w:pPr>
          </w:p>
        </w:tc>
        <w:tc>
          <w:tcPr>
            <w:tcW w:w="5280" w:type="dxa"/>
            <w:vAlign w:val="bottom"/>
          </w:tcPr>
          <w:p>
            <w:pPr>
              <w:ind w:left="220"/>
              <w:spacing w:after="0"/>
              <w:rPr>
                <w:sz w:val="20"/>
                <w:szCs w:val="20"/>
                <w:color w:val="auto"/>
              </w:rPr>
            </w:pPr>
            <w:r>
              <w:rPr>
                <w:rFonts w:ascii="Arial" w:cs="Arial" w:eastAsia="Arial" w:hAnsi="Arial"/>
                <w:sz w:val="18"/>
                <w:szCs w:val="18"/>
                <w:b w:val="1"/>
                <w:bCs w:val="1"/>
                <w:color w:val="auto"/>
              </w:rPr>
              <w:t>Total stock-based compensation expense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28,926</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20,843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89,480</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54,556</w:t>
            </w:r>
          </w:p>
        </w:tc>
      </w:tr>
      <w:tr>
        <w:trPr>
          <w:trHeight w:val="27"/>
        </w:trPr>
        <w:tc>
          <w:tcPr>
            <w:tcW w:w="220" w:type="dxa"/>
            <w:vAlign w:val="bottom"/>
            <w:tcBorders>
              <w:bottom w:val="single" w:sz="8" w:color="71BF43"/>
            </w:tcBorders>
          </w:tcPr>
          <w:p>
            <w:pPr>
              <w:spacing w:after="0"/>
              <w:rPr>
                <w:sz w:val="2"/>
                <w:szCs w:val="2"/>
                <w:color w:val="auto"/>
              </w:rPr>
            </w:pPr>
          </w:p>
        </w:tc>
        <w:tc>
          <w:tcPr>
            <w:tcW w:w="528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940" w:type="dxa"/>
            <w:vAlign w:val="bottom"/>
            <w:tcBorders>
              <w:bottom w:val="single" w:sz="8" w:color="71BF43"/>
            </w:tcBorders>
          </w:tcPr>
          <w:p>
            <w:pPr>
              <w:spacing w:after="0"/>
              <w:rPr>
                <w:sz w:val="2"/>
                <w:szCs w:val="2"/>
                <w:color w:val="auto"/>
              </w:rPr>
            </w:pPr>
          </w:p>
        </w:tc>
        <w:tc>
          <w:tcPr>
            <w:tcW w:w="48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940" w:type="dxa"/>
            <w:vAlign w:val="bottom"/>
            <w:tcBorders>
              <w:bottom w:val="single" w:sz="8" w:color="71BF43"/>
            </w:tcBorders>
          </w:tcPr>
          <w:p>
            <w:pPr>
              <w:spacing w:after="0"/>
              <w:rPr>
                <w:sz w:val="2"/>
                <w:szCs w:val="2"/>
                <w:color w:val="auto"/>
              </w:rPr>
            </w:pPr>
          </w:p>
        </w:tc>
        <w:tc>
          <w:tcPr>
            <w:tcW w:w="48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r>
      <w:tr>
        <w:trPr>
          <w:trHeight w:val="684"/>
        </w:trPr>
        <w:tc>
          <w:tcPr>
            <w:tcW w:w="220" w:type="dxa"/>
            <w:vAlign w:val="bottom"/>
          </w:tcPr>
          <w:p>
            <w:pPr>
              <w:ind w:left="20"/>
              <w:spacing w:after="0"/>
              <w:rPr>
                <w:sz w:val="20"/>
                <w:szCs w:val="20"/>
                <w:color w:val="auto"/>
              </w:rPr>
            </w:pPr>
            <w:r>
              <w:rPr>
                <w:rFonts w:ascii="Arial" w:cs="Arial" w:eastAsia="Arial" w:hAnsi="Arial"/>
                <w:sz w:val="14"/>
                <w:szCs w:val="14"/>
                <w:color w:val="auto"/>
              </w:rPr>
              <w:t>18</w:t>
            </w:r>
          </w:p>
        </w:tc>
        <w:tc>
          <w:tcPr>
            <w:tcW w:w="5280" w:type="dxa"/>
            <w:vAlign w:val="bottom"/>
          </w:tcPr>
          <w:p>
            <w:pPr>
              <w:ind w:left="1420"/>
              <w:spacing w:after="0"/>
              <w:rPr>
                <w:sz w:val="20"/>
                <w:szCs w:val="20"/>
                <w:color w:val="auto"/>
              </w:rPr>
            </w:pPr>
            <w:r>
              <w:rPr>
                <w:rFonts w:ascii="Arial" w:cs="Arial" w:eastAsia="Arial" w:hAnsi="Arial"/>
                <w:sz w:val="14"/>
                <w:szCs w:val="14"/>
                <w:color w:val="auto"/>
              </w:rPr>
              <w:t>Third Quarter 2021 Form 10-Q</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9"/>
        </w:trPr>
        <w:tc>
          <w:tcPr>
            <w:tcW w:w="2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12.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November 2020, our Board of Directors reauthorized and expanded a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Under the 2020 Credit Facility, we have restrictions on our ability to repurchase shares of our common stock, which are summarized on page 42 below.</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account for purchases of treasury stock under the cost method. During the three and nine months ended September 30, 2021, we purchased 583,280 and 1,454,148 shares for $40.3 million and $98.4 million, respectively. The remaining amount available to purchase stock under the stock repurchase program was $110.6 million as of September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(loss) by component,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1980" w:type="dxa"/>
            <w:vAlign w:val="bottom"/>
            <w:tcBorders>
              <w:right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19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r>
      <w:tr>
        <w:trPr>
          <w:trHeight w:val="190"/>
        </w:trPr>
        <w:tc>
          <w:tcPr>
            <w:tcW w:w="654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80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104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82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6"/>
                <w:szCs w:val="16"/>
                <w:color w:val="auto"/>
              </w:rPr>
            </w:pPr>
          </w:p>
        </w:tc>
      </w:tr>
      <w:tr>
        <w:trPr>
          <w:trHeight w:val="235"/>
        </w:trPr>
        <w:tc>
          <w:tcPr>
            <w:tcW w:w="65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0"/>
                <w:szCs w:val="20"/>
                <w:color w:val="auto"/>
              </w:rPr>
            </w:pPr>
          </w:p>
        </w:tc>
        <w:tc>
          <w:tcPr>
            <w:tcW w:w="8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80" w:type="dxa"/>
            <w:vAlign w:val="bottom"/>
            <w:tcBorders>
              <w:bottom w:val="single" w:sz="8" w:color="F4F4F4"/>
            </w:tcBorders>
          </w:tcPr>
          <w:p>
            <w:pPr>
              <w:spacing w:after="0"/>
              <w:rPr>
                <w:sz w:val="20"/>
                <w:szCs w:val="20"/>
                <w:color w:val="auto"/>
              </w:rPr>
            </w:pPr>
          </w:p>
        </w:tc>
        <w:tc>
          <w:tcPr>
            <w:tcW w:w="340" w:type="dxa"/>
            <w:vAlign w:val="bottom"/>
            <w:tcBorders>
              <w:bottom w:val="single" w:sz="8" w:color="ACACAC"/>
            </w:tcBorders>
            <w:shd w:val="clear" w:color="auto" w:fill="ACACAC"/>
          </w:tcPr>
          <w:p>
            <w:pPr>
              <w:spacing w:after="0"/>
              <w:rPr>
                <w:sz w:val="20"/>
                <w:szCs w:val="20"/>
                <w:color w:val="auto"/>
              </w:rPr>
            </w:pPr>
          </w:p>
        </w:tc>
        <w:tc>
          <w:tcPr>
            <w:tcW w:w="8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20" w:type="dxa"/>
            <w:vAlign w:val="bottom"/>
            <w:tcBorders>
              <w:bottom w:val="single" w:sz="8" w:color="ACACAC"/>
            </w:tcBorders>
            <w:shd w:val="clear" w:color="auto" w:fill="ACACAC"/>
          </w:tcPr>
          <w:p>
            <w:pPr>
              <w:spacing w:after="0"/>
              <w:rPr>
                <w:sz w:val="20"/>
                <w:szCs w:val="20"/>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49"/>
        </w:trPr>
        <w:tc>
          <w:tcPr>
            <w:tcW w:w="65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income (loss), beginning of period</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6,291</w:t>
            </w:r>
          </w:p>
        </w:tc>
        <w:tc>
          <w:tcPr>
            <w:tcW w:w="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(14,476)</w:t>
            </w:r>
          </w:p>
        </w:tc>
        <w:tc>
          <w:tcPr>
            <w:tcW w:w="420" w:type="dxa"/>
            <w:vAlign w:val="bottom"/>
            <w:tcBorders>
              <w:bottom w:val="single" w:sz="8" w:color="F4F4F4"/>
            </w:tcBorders>
            <w:gridSpan w:val="2"/>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(5,290)</w:t>
            </w:r>
          </w:p>
        </w:tc>
        <w:tc>
          <w:tcPr>
            <w:tcW w:w="20" w:type="dxa"/>
            <w:vAlign w:val="bottom"/>
          </w:tcPr>
          <w:p>
            <w:pPr>
              <w:spacing w:after="0"/>
              <w:rPr>
                <w:sz w:val="21"/>
                <w:szCs w:val="2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By component:</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Gains and losses on cash flow hedges:</w:t>
            </w:r>
          </w:p>
        </w:tc>
        <w:tc>
          <w:tcPr>
            <w:tcW w:w="340" w:type="dxa"/>
            <w:vAlign w:val="bottom"/>
            <w:tcBorders>
              <w:bottom w:val="single" w:sz="8" w:color="F4F4F4"/>
            </w:tcBorders>
            <w:shd w:val="clear" w:color="auto" w:fill="F4F4F4"/>
          </w:tcPr>
          <w:p>
            <w:pPr>
              <w:spacing w:after="0"/>
              <w:rPr>
                <w:sz w:val="21"/>
                <w:szCs w:val="21"/>
                <w:color w:val="auto"/>
              </w:rPr>
            </w:pPr>
          </w:p>
        </w:tc>
        <w:tc>
          <w:tcPr>
            <w:tcW w:w="800" w:type="dxa"/>
            <w:vAlign w:val="bottom"/>
            <w:tcBorders>
              <w:bottom w:val="single" w:sz="8" w:color="F4F4F4"/>
            </w:tcBorders>
            <w:shd w:val="clear" w:color="auto" w:fill="F4F4F4"/>
          </w:tcPr>
          <w:p>
            <w:pPr>
              <w:spacing w:after="0"/>
              <w:rPr>
                <w:sz w:val="21"/>
                <w:szCs w:val="21"/>
                <w:color w:val="auto"/>
              </w:rPr>
            </w:pPr>
          </w:p>
        </w:tc>
        <w:tc>
          <w:tcPr>
            <w:tcW w:w="14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right w:val="single" w:sz="8" w:color="F4F4F4"/>
            </w:tcBorders>
            <w:shd w:val="clear" w:color="auto" w:fill="F4F4F4"/>
          </w:tcPr>
          <w:p>
            <w:pPr>
              <w:spacing w:after="0"/>
              <w:rPr>
                <w:sz w:val="21"/>
                <w:szCs w:val="21"/>
                <w:color w:val="auto"/>
              </w:rPr>
            </w:pPr>
          </w:p>
        </w:tc>
        <w:tc>
          <w:tcPr>
            <w:tcW w:w="8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(3,894)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6"/>
        </w:trPr>
        <w:tc>
          <w:tcPr>
            <w:tcW w:w="6540" w:type="dxa"/>
            <w:vAlign w:val="bottom"/>
            <w:shd w:val="clear" w:color="auto" w:fill="F4F4F4"/>
          </w:tcPr>
          <w:p>
            <w:pPr>
              <w:ind w:left="360"/>
              <w:spacing w:after="0"/>
              <w:rPr>
                <w:sz w:val="20"/>
                <w:szCs w:val="20"/>
                <w:color w:val="auto"/>
              </w:rPr>
            </w:pPr>
            <w:r>
              <w:rPr>
                <w:rFonts w:ascii="Arial" w:cs="Arial" w:eastAsia="Arial" w:hAnsi="Arial"/>
                <w:sz w:val="18"/>
                <w:szCs w:val="18"/>
                <w:color w:val="auto"/>
              </w:rPr>
              <w:t>Other comprehensive income (loss) before reclassifications, net of tax effects</w:t>
            </w:r>
          </w:p>
        </w:tc>
        <w:tc>
          <w:tcPr>
            <w:tcW w:w="340" w:type="dxa"/>
            <w:vAlign w:val="bottom"/>
            <w:shd w:val="clear" w:color="auto" w:fill="F4F4F4"/>
          </w:tcPr>
          <w:p>
            <w:pPr>
              <w:spacing w:after="0"/>
              <w:rPr>
                <w:sz w:val="24"/>
                <w:szCs w:val="24"/>
                <w:color w:val="auto"/>
              </w:rPr>
            </w:pPr>
          </w:p>
        </w:tc>
        <w:tc>
          <w:tcPr>
            <w:tcW w:w="800" w:type="dxa"/>
            <w:vAlign w:val="bottom"/>
            <w:shd w:val="clear" w:color="auto" w:fill="F4F4F4"/>
          </w:tcPr>
          <w:p>
            <w:pPr>
              <w:spacing w:after="0"/>
              <w:rPr>
                <w:sz w:val="24"/>
                <w:szCs w:val="24"/>
                <w:color w:val="auto"/>
              </w:rPr>
            </w:pPr>
          </w:p>
        </w:tc>
        <w:tc>
          <w:tcPr>
            <w:tcW w:w="140" w:type="dxa"/>
            <w:vAlign w:val="bottom"/>
            <w:shd w:val="clear" w:color="auto" w:fill="F4F4F4"/>
          </w:tcPr>
          <w:p>
            <w:pPr>
              <w:spacing w:after="0"/>
              <w:rPr>
                <w:sz w:val="24"/>
                <w:szCs w:val="24"/>
                <w:color w:val="auto"/>
              </w:rPr>
            </w:pPr>
          </w:p>
        </w:tc>
        <w:tc>
          <w:tcPr>
            <w:tcW w:w="1040" w:type="dxa"/>
            <w:vAlign w:val="bottom"/>
            <w:tcBorders>
              <w:right w:val="single" w:sz="8" w:color="F4F4F4"/>
            </w:tcBorders>
            <w:shd w:val="clear" w:color="auto" w:fill="F4F4F4"/>
          </w:tcPr>
          <w:p>
            <w:pPr>
              <w:spacing w:after="0"/>
              <w:rPr>
                <w:sz w:val="24"/>
                <w:szCs w:val="24"/>
                <w:color w:val="auto"/>
              </w:rPr>
            </w:pPr>
          </w:p>
        </w:tc>
        <w:tc>
          <w:tcPr>
            <w:tcW w:w="80" w:type="dxa"/>
            <w:vAlign w:val="bottom"/>
            <w:shd w:val="clear" w:color="auto" w:fill="F4F4F4"/>
          </w:tcPr>
          <w:p>
            <w:pPr>
              <w:spacing w:after="0"/>
              <w:rPr>
                <w:sz w:val="24"/>
                <w:szCs w:val="24"/>
                <w:color w:val="auto"/>
              </w:rPr>
            </w:pPr>
          </w:p>
        </w:tc>
        <w:tc>
          <w:tcPr>
            <w:tcW w:w="340" w:type="dxa"/>
            <w:vAlign w:val="bottom"/>
            <w:shd w:val="clear" w:color="auto" w:fill="F4F4F4"/>
          </w:tcPr>
          <w:p>
            <w:pPr>
              <w:spacing w:after="0"/>
              <w:rPr>
                <w:sz w:val="24"/>
                <w:szCs w:val="24"/>
                <w:color w:val="auto"/>
              </w:rPr>
            </w:pPr>
          </w:p>
        </w:tc>
        <w:tc>
          <w:tcPr>
            <w:tcW w:w="820" w:type="dxa"/>
            <w:vAlign w:val="bottom"/>
            <w:shd w:val="clear" w:color="auto" w:fill="F4F4F4"/>
          </w:tcPr>
          <w:p>
            <w:pPr>
              <w:spacing w:after="0"/>
              <w:rPr>
                <w:sz w:val="24"/>
                <w:szCs w:val="24"/>
                <w:color w:val="auto"/>
              </w:rPr>
            </w:pPr>
          </w:p>
        </w:tc>
        <w:tc>
          <w:tcPr>
            <w:tcW w:w="120" w:type="dxa"/>
            <w:vAlign w:val="bottom"/>
            <w:shd w:val="clear" w:color="auto" w:fill="F4F4F4"/>
          </w:tcPr>
          <w:p>
            <w:pPr>
              <w:spacing w:after="0"/>
              <w:rPr>
                <w:sz w:val="24"/>
                <w:szCs w:val="24"/>
                <w:color w:val="auto"/>
              </w:rPr>
            </w:pPr>
          </w:p>
        </w:tc>
        <w:tc>
          <w:tcPr>
            <w:tcW w:w="1020" w:type="dxa"/>
            <w:vAlign w:val="bottom"/>
            <w:shd w:val="clear" w:color="auto" w:fill="F4F4F4"/>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54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of $38, $0, $(818) and $1,225</w:t>
            </w:r>
          </w:p>
        </w:tc>
        <w:tc>
          <w:tcPr>
            <w:tcW w:w="340" w:type="dxa"/>
            <w:vAlign w:val="bottom"/>
            <w:tcBorders>
              <w:bottom w:val="single" w:sz="8" w:color="F4F4F4"/>
            </w:tcBorders>
            <w:shd w:val="clear" w:color="auto" w:fill="F4F4F4"/>
          </w:tcPr>
          <w:p>
            <w:pPr>
              <w:spacing w:after="0"/>
              <w:rPr>
                <w:sz w:val="19"/>
                <w:szCs w:val="19"/>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F4F4F4"/>
            </w:tcBorders>
            <w:shd w:val="clear" w:color="auto" w:fill="F4F4F4"/>
          </w:tcPr>
          <w:p>
            <w:pPr>
              <w:spacing w:after="0"/>
              <w:rPr>
                <w:sz w:val="19"/>
                <w:szCs w:val="19"/>
                <w:color w:val="auto"/>
              </w:rPr>
            </w:pPr>
          </w:p>
        </w:tc>
        <w:tc>
          <w:tcPr>
            <w:tcW w:w="1040" w:type="dxa"/>
            <w:vAlign w:val="bottom"/>
            <w:tcBorders>
              <w:bottom w:val="single" w:sz="8" w:color="F4F4F4"/>
              <w:right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F4F4F4"/>
            </w:tcBorders>
            <w:shd w:val="clear" w:color="auto" w:fill="F4F4F4"/>
          </w:tcPr>
          <w:p>
            <w:pPr>
              <w:spacing w:after="0"/>
              <w:rPr>
                <w:sz w:val="19"/>
                <w:szCs w:val="19"/>
                <w:color w:val="auto"/>
              </w:rPr>
            </w:pPr>
          </w:p>
        </w:tc>
        <w:tc>
          <w:tcPr>
            <w:tcW w:w="340" w:type="dxa"/>
            <w:vAlign w:val="bottom"/>
            <w:tcBorders>
              <w:bottom w:val="single" w:sz="8" w:color="F4F4F4"/>
            </w:tcBorders>
            <w:shd w:val="clear" w:color="auto" w:fill="F4F4F4"/>
          </w:tcPr>
          <w:p>
            <w:pPr>
              <w:spacing w:after="0"/>
              <w:rPr>
                <w:sz w:val="19"/>
                <w:szCs w:val="19"/>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F4F4F4"/>
            </w:tcBorders>
            <w:shd w:val="clear" w:color="auto" w:fill="F4F4F4"/>
          </w:tcPr>
          <w:p>
            <w:pPr>
              <w:spacing w:after="0"/>
              <w:rPr>
                <w:sz w:val="19"/>
                <w:szCs w:val="19"/>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(3,472)</w:t>
            </w:r>
          </w:p>
        </w:tc>
        <w:tc>
          <w:tcPr>
            <w:tcW w:w="20" w:type="dxa"/>
            <w:vAlign w:val="bottom"/>
          </w:tcPr>
          <w:p>
            <w:pPr>
              <w:spacing w:after="0"/>
              <w:rPr>
                <w:sz w:val="19"/>
                <w:szCs w:val="19"/>
                <w:color w:val="auto"/>
              </w:rPr>
            </w:pPr>
          </w:p>
        </w:tc>
      </w:tr>
      <w:tr>
        <w:trPr>
          <w:trHeight w:val="242"/>
        </w:trPr>
        <w:tc>
          <w:tcPr>
            <w:tcW w:w="6540" w:type="dxa"/>
            <w:vAlign w:val="bottom"/>
          </w:tcPr>
          <w:p>
            <w:pPr>
              <w:ind w:left="460"/>
              <w:spacing w:after="0"/>
              <w:rPr>
                <w:sz w:val="20"/>
                <w:szCs w:val="20"/>
                <w:color w:val="auto"/>
              </w:rPr>
            </w:pPr>
            <w:r>
              <w:rPr>
                <w:rFonts w:ascii="Arial" w:cs="Arial" w:eastAsia="Arial" w:hAnsi="Arial"/>
                <w:sz w:val="18"/>
                <w:szCs w:val="18"/>
                <w:color w:val="auto"/>
              </w:rPr>
              <w:t>Amounts reclassified from accumulated other comprehensive (loss) income</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8"/>
                <w:szCs w:val="18"/>
                <w:color w:val="auto"/>
              </w:rPr>
              <w:t>to interest expense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8"/>
                <w:szCs w:val="18"/>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540" w:type="dxa"/>
            <w:vAlign w:val="bottom"/>
            <w:tcBorders>
              <w:bottom w:val="single" w:sz="8" w:color="F4F4F4"/>
            </w:tcBorders>
            <w:shd w:val="clear" w:color="auto" w:fill="F4F4F4"/>
          </w:tcPr>
          <w:p>
            <w:pPr>
              <w:ind w:left="460"/>
              <w:spacing w:after="0"/>
              <w:rPr>
                <w:sz w:val="20"/>
                <w:szCs w:val="20"/>
                <w:color w:val="auto"/>
              </w:rPr>
            </w:pPr>
            <w:r>
              <w:rPr>
                <w:rFonts w:ascii="Arial" w:cs="Arial" w:eastAsia="Arial" w:hAnsi="Arial"/>
                <w:sz w:val="18"/>
                <w:szCs w:val="18"/>
                <w:color w:val="auto"/>
              </w:rPr>
              <w:t>Tax benefit included in provision for income taxes</w:t>
            </w:r>
          </w:p>
        </w:tc>
        <w:tc>
          <w:tcPr>
            <w:tcW w:w="340" w:type="dxa"/>
            <w:vAlign w:val="bottom"/>
            <w:tcBorders>
              <w:bottom w:val="single" w:sz="8" w:color="F4F4F4"/>
            </w:tcBorders>
            <w:shd w:val="clear" w:color="auto" w:fill="F4F4F4"/>
          </w:tcPr>
          <w:p>
            <w:pPr>
              <w:spacing w:after="0"/>
              <w:rPr>
                <w:sz w:val="23"/>
                <w:szCs w:val="23"/>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F4F4F4"/>
            </w:tcBorders>
            <w:shd w:val="clear" w:color="auto" w:fill="F4F4F4"/>
          </w:tcPr>
          <w:p>
            <w:pPr>
              <w:spacing w:after="0"/>
              <w:rPr>
                <w:sz w:val="23"/>
                <w:szCs w:val="23"/>
                <w:color w:val="auto"/>
              </w:rPr>
            </w:pPr>
          </w:p>
        </w:tc>
        <w:tc>
          <w:tcPr>
            <w:tcW w:w="34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F4F4F4"/>
            </w:tcBorders>
            <w:shd w:val="clear" w:color="auto" w:fill="F4F4F4"/>
          </w:tcPr>
          <w:p>
            <w:pPr>
              <w:spacing w:after="0"/>
              <w:rPr>
                <w:sz w:val="23"/>
                <w:szCs w:val="23"/>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23"/>
                <w:szCs w:val="23"/>
                <w:color w:val="auto"/>
              </w:rPr>
            </w:pPr>
          </w:p>
        </w:tc>
      </w:tr>
      <w:tr>
        <w:trPr>
          <w:trHeight w:val="222"/>
        </w:trPr>
        <w:tc>
          <w:tcPr>
            <w:tcW w:w="6540" w:type="dxa"/>
            <w:vAlign w:val="bottom"/>
          </w:tcPr>
          <w:p>
            <w:pPr>
              <w:ind w:left="360"/>
              <w:spacing w:after="0"/>
              <w:rPr>
                <w:sz w:val="20"/>
                <w:szCs w:val="20"/>
                <w:color w:val="auto"/>
              </w:rPr>
            </w:pPr>
            <w:r>
              <w:rPr>
                <w:rFonts w:ascii="Arial" w:cs="Arial" w:eastAsia="Arial" w:hAnsi="Arial"/>
                <w:sz w:val="18"/>
                <w:szCs w:val="18"/>
                <w:color w:val="auto"/>
              </w:rPr>
              <w:t>Total amounts reclassified from accumulated other comprehensive (loss)</w:t>
            </w: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6540" w:type="dxa"/>
            <w:vAlign w:val="bottom"/>
          </w:tcPr>
          <w:p>
            <w:pPr>
              <w:ind w:left="360"/>
              <w:spacing w:after="0"/>
              <w:rPr>
                <w:sz w:val="20"/>
                <w:szCs w:val="20"/>
                <w:color w:val="auto"/>
              </w:rPr>
            </w:pPr>
            <w:r>
              <w:rPr>
                <w:rFonts w:ascii="Arial" w:cs="Arial" w:eastAsia="Arial" w:hAnsi="Arial"/>
                <w:sz w:val="18"/>
                <w:szCs w:val="18"/>
                <w:color w:val="auto"/>
              </w:rPr>
              <w:t>income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r>
      <w:tr>
        <w:trPr>
          <w:trHeight w:val="27"/>
        </w:trPr>
        <w:tc>
          <w:tcPr>
            <w:tcW w:w="654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654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color w:val="auto"/>
              </w:rPr>
              <w:t>Net current-period other comprehensive income (loss)</w:t>
            </w:r>
          </w:p>
        </w:tc>
        <w:tc>
          <w:tcPr>
            <w:tcW w:w="340" w:type="dxa"/>
            <w:vAlign w:val="bottom"/>
            <w:tcBorders>
              <w:bottom w:val="single" w:sz="8" w:color="F4F4F4"/>
            </w:tcBorders>
            <w:shd w:val="clear" w:color="auto" w:fill="F4F4F4"/>
          </w:tcPr>
          <w:p>
            <w:pPr>
              <w:spacing w:after="0"/>
              <w:rPr>
                <w:sz w:val="22"/>
                <w:szCs w:val="22"/>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F4F4F4"/>
            </w:tcBorders>
            <w:shd w:val="clear" w:color="auto" w:fill="F4F4F4"/>
          </w:tcPr>
          <w:p>
            <w:pPr>
              <w:spacing w:after="0"/>
              <w:rPr>
                <w:sz w:val="22"/>
                <w:szCs w:val="22"/>
                <w:color w:val="auto"/>
              </w:rPr>
            </w:pPr>
          </w:p>
        </w:tc>
        <w:tc>
          <w:tcPr>
            <w:tcW w:w="1040" w:type="dxa"/>
            <w:vAlign w:val="bottom"/>
            <w:tcBorders>
              <w:bottom w:val="single" w:sz="8" w:color="F4F4F4"/>
              <w:right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943</w:t>
            </w:r>
          </w:p>
        </w:tc>
        <w:tc>
          <w:tcPr>
            <w:tcW w:w="80" w:type="dxa"/>
            <w:vAlign w:val="bottom"/>
            <w:tcBorders>
              <w:bottom w:val="single" w:sz="8" w:color="F4F4F4"/>
            </w:tcBorders>
            <w:shd w:val="clear" w:color="auto" w:fill="F4F4F4"/>
          </w:tcPr>
          <w:p>
            <w:pPr>
              <w:spacing w:after="0"/>
              <w:rPr>
                <w:sz w:val="22"/>
                <w:szCs w:val="22"/>
                <w:color w:val="auto"/>
              </w:rPr>
            </w:pPr>
          </w:p>
        </w:tc>
        <w:tc>
          <w:tcPr>
            <w:tcW w:w="340" w:type="dxa"/>
            <w:vAlign w:val="bottom"/>
            <w:tcBorders>
              <w:bottom w:val="single" w:sz="8" w:color="F4F4F4"/>
            </w:tcBorders>
            <w:shd w:val="clear" w:color="auto" w:fill="F4F4F4"/>
          </w:tcPr>
          <w:p>
            <w:pPr>
              <w:spacing w:after="0"/>
              <w:rPr>
                <w:sz w:val="22"/>
                <w:szCs w:val="22"/>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4,756</w:t>
            </w:r>
          </w:p>
        </w:tc>
        <w:tc>
          <w:tcPr>
            <w:tcW w:w="120" w:type="dxa"/>
            <w:vAlign w:val="bottom"/>
            <w:tcBorders>
              <w:bottom w:val="single" w:sz="8" w:color="F4F4F4"/>
            </w:tcBorders>
            <w:shd w:val="clear" w:color="auto" w:fill="F4F4F4"/>
          </w:tcPr>
          <w:p>
            <w:pPr>
              <w:spacing w:after="0"/>
              <w:rPr>
                <w:sz w:val="22"/>
                <w:szCs w:val="22"/>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Pr>
          <w:p>
            <w:pPr>
              <w:spacing w:after="0"/>
              <w:rPr>
                <w:sz w:val="22"/>
                <w:szCs w:val="22"/>
                <w:color w:val="auto"/>
              </w:rPr>
            </w:pPr>
          </w:p>
        </w:tc>
      </w:tr>
      <w:tr>
        <w:trPr>
          <w:trHeight w:val="237"/>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balance,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20" w:type="dxa"/>
            <w:vAlign w:val="bottom"/>
          </w:tcPr>
          <w:p>
            <w:pPr>
              <w:spacing w:after="0"/>
              <w:rPr>
                <w:sz w:val="20"/>
                <w:szCs w:val="20"/>
                <w:color w:val="auto"/>
              </w:rPr>
            </w:pPr>
          </w:p>
        </w:tc>
      </w:tr>
      <w:tr>
        <w:trPr>
          <w:trHeight w:val="27"/>
        </w:trPr>
        <w:tc>
          <w:tcPr>
            <w:tcW w:w="654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65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Foreign currency translation adjustment:</w:t>
            </w:r>
          </w:p>
        </w:tc>
        <w:tc>
          <w:tcPr>
            <w:tcW w:w="3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spacing w:after="0"/>
              <w:rPr>
                <w:sz w:val="20"/>
                <w:szCs w:val="20"/>
                <w:color w:val="auto"/>
              </w:rPr>
            </w:pPr>
          </w:p>
        </w:tc>
        <w:tc>
          <w:tcPr>
            <w:tcW w:w="140" w:type="dxa"/>
            <w:vAlign w:val="bottom"/>
            <w:tcBorders>
              <w:bottom w:val="single" w:sz="8" w:color="F4F4F4"/>
            </w:tcBorders>
            <w:shd w:val="clear" w:color="auto" w:fill="F4F4F4"/>
          </w:tcPr>
          <w:p>
            <w:pPr>
              <w:spacing w:after="0"/>
              <w:rPr>
                <w:sz w:val="20"/>
                <w:szCs w:val="20"/>
                <w:color w:val="auto"/>
              </w:rPr>
            </w:pPr>
          </w:p>
        </w:tc>
        <w:tc>
          <w:tcPr>
            <w:tcW w:w="1040" w:type="dxa"/>
            <w:vAlign w:val="bottom"/>
            <w:tcBorders>
              <w:bottom w:val="single" w:sz="8" w:color="F4F4F4"/>
              <w:right w:val="single" w:sz="8" w:color="F4F4F4"/>
            </w:tcBorders>
            <w:shd w:val="clear" w:color="auto" w:fill="F4F4F4"/>
          </w:tcPr>
          <w:p>
            <w:pPr>
              <w:spacing w:after="0"/>
              <w:rPr>
                <w:sz w:val="20"/>
                <w:szCs w:val="20"/>
                <w:color w:val="auto"/>
              </w:rPr>
            </w:pPr>
          </w:p>
        </w:tc>
        <w:tc>
          <w:tcPr>
            <w:tcW w:w="80" w:type="dxa"/>
            <w:vAlign w:val="bottom"/>
            <w:tcBorders>
              <w:bottom w:val="single" w:sz="8" w:color="F4F4F4"/>
            </w:tcBorders>
            <w:shd w:val="clear" w:color="auto" w:fill="F4F4F4"/>
          </w:tcPr>
          <w:p>
            <w:pPr>
              <w:spacing w:after="0"/>
              <w:rPr>
                <w:sz w:val="20"/>
                <w:szCs w:val="20"/>
                <w:color w:val="auto"/>
              </w:rPr>
            </w:pPr>
          </w:p>
        </w:tc>
        <w:tc>
          <w:tcPr>
            <w:tcW w:w="340" w:type="dxa"/>
            <w:vAlign w:val="bottom"/>
            <w:tcBorders>
              <w:bottom w:val="single" w:sz="8" w:color="F4F4F4"/>
            </w:tcBorders>
            <w:shd w:val="clear" w:color="auto" w:fill="F4F4F4"/>
          </w:tcPr>
          <w:p>
            <w:pPr>
              <w:spacing w:after="0"/>
              <w:rPr>
                <w:sz w:val="20"/>
                <w:szCs w:val="20"/>
                <w:color w:val="auto"/>
              </w:rPr>
            </w:pPr>
          </w:p>
        </w:tc>
        <w:tc>
          <w:tcPr>
            <w:tcW w:w="820" w:type="dxa"/>
            <w:vAlign w:val="bottom"/>
            <w:tcBorders>
              <w:bottom w:val="single" w:sz="8" w:color="F4F4F4"/>
            </w:tcBorders>
            <w:shd w:val="clear" w:color="auto" w:fill="F4F4F4"/>
          </w:tcPr>
          <w:p>
            <w:pPr>
              <w:spacing w:after="0"/>
              <w:rPr>
                <w:sz w:val="20"/>
                <w:szCs w:val="20"/>
                <w:color w:val="auto"/>
              </w:rPr>
            </w:pPr>
          </w:p>
        </w:tc>
        <w:tc>
          <w:tcPr>
            <w:tcW w:w="120" w:type="dxa"/>
            <w:vAlign w:val="bottom"/>
            <w:tcBorders>
              <w:bottom w:val="single" w:sz="8" w:color="F4F4F4"/>
            </w:tcBorders>
            <w:shd w:val="clear" w:color="auto" w:fill="F4F4F4"/>
          </w:tcPr>
          <w:p>
            <w:pPr>
              <w:spacing w:after="0"/>
              <w:rPr>
                <w:sz w:val="20"/>
                <w:szCs w:val="20"/>
                <w:color w:val="auto"/>
              </w:rPr>
            </w:pPr>
          </w:p>
        </w:tc>
        <w:tc>
          <w:tcPr>
            <w:tcW w:w="1020" w:type="dxa"/>
            <w:vAlign w:val="bottom"/>
            <w:tcBorders>
              <w:bottom w:val="single" w:sz="8" w:color="F4F4F4"/>
            </w:tcBorders>
            <w:shd w:val="clear" w:color="auto" w:fill="F4F4F4"/>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4,898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(10,582)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(3,967)</w:t>
            </w: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540" w:type="dxa"/>
            <w:vAlign w:val="bottom"/>
            <w:tcBorders>
              <w:bottom w:val="single" w:sz="8" w:color="F4F4F4"/>
            </w:tcBorders>
            <w:shd w:val="clear" w:color="auto" w:fill="F4F4F4"/>
          </w:tcPr>
          <w:p>
            <w:pPr>
              <w:ind w:left="220"/>
              <w:spacing w:after="0"/>
              <w:rPr>
                <w:sz w:val="20"/>
                <w:szCs w:val="20"/>
                <w:color w:val="auto"/>
              </w:rPr>
            </w:pPr>
            <w:r>
              <w:rPr>
                <w:rFonts w:ascii="Arial" w:cs="Arial" w:eastAsia="Arial" w:hAnsi="Arial"/>
                <w:sz w:val="18"/>
                <w:szCs w:val="18"/>
                <w:color w:val="auto"/>
              </w:rPr>
              <w:t>Translation adjustments</w:t>
            </w:r>
          </w:p>
        </w:tc>
        <w:tc>
          <w:tcPr>
            <w:tcW w:w="340" w:type="dxa"/>
            <w:vAlign w:val="bottom"/>
            <w:tcBorders>
              <w:bottom w:val="single" w:sz="8" w:color="F4F4F4"/>
            </w:tcBorders>
            <w:shd w:val="clear" w:color="auto" w:fill="F4F4F4"/>
          </w:tcPr>
          <w:p>
            <w:pPr>
              <w:spacing w:after="0"/>
              <w:rPr>
                <w:sz w:val="23"/>
                <w:szCs w:val="23"/>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(3,234)</w:t>
            </w:r>
          </w:p>
        </w:tc>
        <w:tc>
          <w:tcPr>
            <w:tcW w:w="14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right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4,661</w:t>
            </w:r>
          </w:p>
        </w:tc>
        <w:tc>
          <w:tcPr>
            <w:tcW w:w="80" w:type="dxa"/>
            <w:vAlign w:val="bottom"/>
            <w:tcBorders>
              <w:bottom w:val="single" w:sz="8" w:color="F4F4F4"/>
            </w:tcBorders>
            <w:shd w:val="clear" w:color="auto" w:fill="F4F4F4"/>
          </w:tcPr>
          <w:p>
            <w:pPr>
              <w:spacing w:after="0"/>
              <w:rPr>
                <w:sz w:val="23"/>
                <w:szCs w:val="23"/>
                <w:color w:val="auto"/>
              </w:rPr>
            </w:pPr>
          </w:p>
        </w:tc>
        <w:tc>
          <w:tcPr>
            <w:tcW w:w="34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F4F4F4"/>
            </w:tcBorders>
            <w:shd w:val="clear" w:color="auto" w:fill="F4F4F4"/>
          </w:tcPr>
          <w:p>
            <w:pPr>
              <w:spacing w:after="0"/>
              <w:rPr>
                <w:sz w:val="23"/>
                <w:szCs w:val="23"/>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(1,954)</w:t>
            </w:r>
          </w:p>
        </w:tc>
        <w:tc>
          <w:tcPr>
            <w:tcW w:w="20" w:type="dxa"/>
            <w:vAlign w:val="bottom"/>
          </w:tcPr>
          <w:p>
            <w:pPr>
              <w:spacing w:after="0"/>
              <w:rPr>
                <w:sz w:val="23"/>
                <w:szCs w:val="23"/>
                <w:color w:val="auto"/>
              </w:rPr>
            </w:pPr>
          </w:p>
        </w:tc>
      </w:tr>
      <w:tr>
        <w:trPr>
          <w:trHeight w:val="237"/>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balance, end of period</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20"/>
                <w:szCs w:val="20"/>
                <w:color w:val="auto"/>
              </w:rPr>
            </w:pPr>
          </w:p>
        </w:tc>
      </w:tr>
      <w:tr>
        <w:trPr>
          <w:trHeight w:val="27"/>
        </w:trPr>
        <w:tc>
          <w:tcPr>
            <w:tcW w:w="654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65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income (loss), end of period</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3,319</w:t>
            </w:r>
          </w:p>
        </w:tc>
        <w:tc>
          <w:tcPr>
            <w:tcW w:w="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(8,872)</w:t>
            </w:r>
          </w:p>
        </w:tc>
        <w:tc>
          <w:tcPr>
            <w:tcW w:w="420" w:type="dxa"/>
            <w:vAlign w:val="bottom"/>
            <w:tcBorders>
              <w:bottom w:val="single" w:sz="8" w:color="F4F4F4"/>
            </w:tcBorders>
            <w:gridSpan w:val="2"/>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3,319</w:t>
            </w:r>
          </w:p>
        </w:tc>
        <w:tc>
          <w:tcPr>
            <w:tcW w:w="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(8,872)</w:t>
            </w:r>
          </w:p>
        </w:tc>
        <w:tc>
          <w:tcPr>
            <w:tcW w:w="20" w:type="dxa"/>
            <w:vAlign w:val="bottom"/>
          </w:tcPr>
          <w:p>
            <w:pPr>
              <w:spacing w:after="0"/>
              <w:rPr>
                <w:sz w:val="22"/>
                <w:szCs w:val="22"/>
                <w:color w:val="auto"/>
              </w:rPr>
            </w:pPr>
          </w:p>
        </w:tc>
      </w:tr>
      <w:tr>
        <w:trPr>
          <w:trHeight w:val="684"/>
        </w:trPr>
        <w:tc>
          <w:tcPr>
            <w:tcW w:w="6540" w:type="dxa"/>
            <w:vAlign w:val="bottom"/>
            <w:tcBorders>
              <w:top w:val="single" w:sz="8" w:color="71BF43"/>
            </w:tcBorders>
          </w:tcPr>
          <w:p>
            <w:pPr>
              <w:spacing w:after="0"/>
              <w:rPr>
                <w:sz w:val="24"/>
                <w:szCs w:val="24"/>
                <w:color w:val="auto"/>
              </w:rPr>
            </w:pPr>
          </w:p>
        </w:tc>
        <w:tc>
          <w:tcPr>
            <w:tcW w:w="340" w:type="dxa"/>
            <w:vAlign w:val="bottom"/>
            <w:tcBorders>
              <w:top w:val="single" w:sz="8" w:color="71BF43"/>
            </w:tcBorders>
          </w:tcPr>
          <w:p>
            <w:pPr>
              <w:spacing w:after="0"/>
              <w:rPr>
                <w:sz w:val="24"/>
                <w:szCs w:val="24"/>
                <w:color w:val="auto"/>
              </w:rPr>
            </w:pPr>
          </w:p>
        </w:tc>
        <w:tc>
          <w:tcPr>
            <w:tcW w:w="3220" w:type="dxa"/>
            <w:vAlign w:val="bottom"/>
            <w:tcBorders>
              <w:top w:val="single" w:sz="8" w:color="71BF43"/>
            </w:tcBorders>
            <w:gridSpan w:val="6"/>
          </w:tcPr>
          <w:p>
            <w:pPr>
              <w:jc w:val="right"/>
              <w:ind w:right="433"/>
              <w:spacing w:after="0"/>
              <w:rPr>
                <w:sz w:val="20"/>
                <w:szCs w:val="20"/>
                <w:color w:val="auto"/>
              </w:rPr>
            </w:pPr>
            <w:r>
              <w:rPr>
                <w:rFonts w:ascii="Arial" w:cs="Arial" w:eastAsia="Arial" w:hAnsi="Arial"/>
                <w:sz w:val="14"/>
                <w:szCs w:val="14"/>
                <w:color w:val="auto"/>
              </w:rPr>
              <w:t>Third Quarter 2021 Form 10-Q</w:t>
            </w:r>
          </w:p>
        </w:tc>
        <w:tc>
          <w:tcPr>
            <w:tcW w:w="120" w:type="dxa"/>
            <w:vAlign w:val="bottom"/>
            <w:tcBorders>
              <w:top w:val="single" w:sz="8" w:color="71BF43"/>
            </w:tcBorders>
          </w:tcPr>
          <w:p>
            <w:pPr>
              <w:spacing w:after="0"/>
              <w:rPr>
                <w:sz w:val="24"/>
                <w:szCs w:val="24"/>
                <w:color w:val="auto"/>
              </w:rPr>
            </w:pPr>
          </w:p>
        </w:tc>
        <w:tc>
          <w:tcPr>
            <w:tcW w:w="1020" w:type="dxa"/>
            <w:vAlign w:val="bottom"/>
            <w:tcBorders>
              <w:top w:val="single" w:sz="8" w:color="71BF43"/>
            </w:tcBorders>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24"/>
                <w:szCs w:val="24"/>
                <w:color w:val="auto"/>
              </w:rPr>
            </w:pPr>
          </w:p>
        </w:tc>
      </w:tr>
      <w:tr>
        <w:trPr>
          <w:trHeight w:val="316"/>
        </w:trPr>
        <w:tc>
          <w:tcPr>
            <w:tcW w:w="6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-3865245</wp:posOffset>
            </wp:positionV>
            <wp:extent cx="29914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-368300</wp:posOffset>
            </wp:positionV>
            <wp:extent cx="65976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13.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September 30, 2021, approximately $821 million of revenue is expected to be recognized from remaining performance obligations. We expect to recognize revenue on approximately 55% of these remaining performance obligations over the next 12 months, with the remainder recognized thereafter.</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(transactional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contract assets as of September 30, 2021 and December 31, 2020 were insignificant. Our opening and closing balances of deferred revenue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380" w:type="dxa"/>
            <w:vAlign w:val="bottom"/>
            <w:tcBorders>
              <w:bottom w:val="single" w:sz="8" w:color="ACACAC"/>
            </w:tcBorders>
            <w:shd w:val="clear" w:color="auto" w:fill="ACACAC"/>
          </w:tcPr>
          <w:p>
            <w:pPr>
              <w:spacing w:after="0"/>
              <w:rPr>
                <w:sz w:val="17"/>
                <w:szCs w:val="17"/>
                <w:color w:val="auto"/>
              </w:rPr>
            </w:pPr>
          </w:p>
        </w:tc>
        <w:tc>
          <w:tcPr>
            <w:tcW w:w="12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Total deferred revenue</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333,954</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316,914</w:t>
            </w:r>
          </w:p>
        </w:tc>
        <w:tc>
          <w:tcPr>
            <w:tcW w:w="20" w:type="dxa"/>
            <w:vAlign w:val="bottom"/>
          </w:tcPr>
          <w:p>
            <w:pPr>
              <w:spacing w:after="0"/>
              <w:rPr>
                <w:sz w:val="21"/>
                <w:szCs w:val="21"/>
                <w:color w:val="auto"/>
              </w:rPr>
            </w:pPr>
          </w:p>
        </w:tc>
      </w:tr>
      <w:tr>
        <w:trPr>
          <w:trHeight w:val="20"/>
        </w:trPr>
        <w:tc>
          <w:tcPr>
            <w:tcW w:w="794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28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increase in deferred revenue during the nine months ended September 30, 2021 was primarily due to a seasonal increase in customer contract renewals and, to a lesser extent, early progress in initiatives to bring our pricing in line with the market. Historically, due to the timing of customer budget cycles, we have an increase in customer contract renewals at or near the beginning of our third quarter. The amount of revenue recognized during the nine months ended September 30, 2021 that was included in the deferred revenue balance at the beginning of the period was approximately $270 million. The amount of revenue recognized during the nine months ended September 30, 2021 from performance obligations satisfied in prior periods was insignificant.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13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r>
      <w:tr>
        <w:trPr>
          <w:trHeight w:val="190"/>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6"/>
                <w:szCs w:val="16"/>
                <w:color w:val="auto"/>
              </w:rPr>
            </w:pPr>
          </w:p>
        </w:tc>
      </w:tr>
      <w:tr>
        <w:trPr>
          <w:trHeight w:val="236"/>
        </w:trPr>
        <w:tc>
          <w:tcPr>
            <w:tcW w:w="59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tcBorders>
              <w:bottom w:val="single" w:sz="8" w:color="ACACAC"/>
            </w:tcBorders>
            <w:shd w:val="clear" w:color="auto" w:fill="ACACAC"/>
          </w:tcPr>
          <w:p>
            <w:pPr>
              <w:spacing w:after="0"/>
              <w:rPr>
                <w:sz w:val="20"/>
                <w:szCs w:val="20"/>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Borders>
              <w:bottom w:val="single" w:sz="8" w:color="F4F4F4"/>
            </w:tcBorders>
          </w:tcPr>
          <w:p>
            <w:pPr>
              <w:spacing w:after="0"/>
              <w:rPr>
                <w:sz w:val="20"/>
                <w:szCs w:val="20"/>
                <w:color w:val="auto"/>
              </w:rPr>
            </w:pPr>
          </w:p>
        </w:tc>
        <w:tc>
          <w:tcPr>
            <w:tcW w:w="360" w:type="dxa"/>
            <w:vAlign w:val="bottom"/>
            <w:tcBorders>
              <w:bottom w:val="single" w:sz="8" w:color="ACACAC"/>
            </w:tcBorders>
            <w:shd w:val="clear" w:color="auto" w:fill="ACACAC"/>
          </w:tcPr>
          <w:p>
            <w:pPr>
              <w:spacing w:after="0"/>
              <w:rPr>
                <w:sz w:val="20"/>
                <w:szCs w:val="20"/>
                <w:color w:val="auto"/>
              </w:rPr>
            </w:pPr>
          </w:p>
        </w:tc>
        <w:tc>
          <w:tcPr>
            <w:tcW w:w="1160" w:type="dxa"/>
            <w:vAlign w:val="bottom"/>
            <w:tcBorders>
              <w:bottom w:val="single" w:sz="8" w:color="ACACAC"/>
            </w:tcBorders>
            <w:gridSpan w:val="2"/>
            <w:shd w:val="clear" w:color="auto" w:fill="ACACAC"/>
          </w:tcPr>
          <w:p>
            <w:pPr>
              <w:jc w:val="right"/>
              <w:ind w:right="136"/>
              <w:spacing w:after="0"/>
              <w:rPr>
                <w:sz w:val="20"/>
                <w:szCs w:val="20"/>
                <w:color w:val="auto"/>
              </w:rPr>
            </w:pPr>
            <w:r>
              <w:rPr>
                <w:rFonts w:ascii="Arial" w:cs="Arial" w:eastAsia="Arial" w:hAnsi="Arial"/>
                <w:sz w:val="14"/>
                <w:szCs w:val="14"/>
                <w:b w:val="1"/>
                <w:bCs w:val="1"/>
                <w:color w:val="FFFFFF"/>
              </w:rPr>
              <w:t>2021</w:t>
            </w: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49"/>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191,580</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182,649</w:t>
            </w:r>
          </w:p>
        </w:tc>
        <w:tc>
          <w:tcPr>
            <w:tcW w:w="460" w:type="dxa"/>
            <w:vAlign w:val="bottom"/>
            <w:tcBorders>
              <w:bottom w:val="single" w:sz="8" w:color="F4F4F4"/>
            </w:tcBorders>
            <w:gridSpan w:val="2"/>
            <w:shd w:val="clear" w:color="auto" w:fill="F4F4F4"/>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563,916</w:t>
            </w:r>
          </w:p>
        </w:tc>
        <w:tc>
          <w:tcPr>
            <w:tcW w:w="260" w:type="dxa"/>
            <w:vAlign w:val="bottom"/>
            <w:tcBorders>
              <w:bottom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565,912</w:t>
            </w:r>
          </w:p>
        </w:tc>
        <w:tc>
          <w:tcPr>
            <w:tcW w:w="20" w:type="dxa"/>
            <w:vAlign w:val="bottom"/>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25,351</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72,142</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63,668</w:t>
            </w:r>
          </w:p>
        </w:tc>
        <w:tc>
          <w:tcPr>
            <w:tcW w:w="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countries</w:t>
            </w:r>
          </w:p>
        </w:tc>
        <w:tc>
          <w:tcPr>
            <w:tcW w:w="34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14,287</w:t>
            </w:r>
          </w:p>
        </w:tc>
        <w:tc>
          <w:tcPr>
            <w:tcW w:w="22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14,043</w:t>
            </w:r>
          </w:p>
        </w:tc>
        <w:tc>
          <w:tcPr>
            <w:tcW w:w="100" w:type="dxa"/>
            <w:vAlign w:val="bottom"/>
            <w:tcBorders>
              <w:bottom w:val="single" w:sz="8" w:color="F4F4F4"/>
            </w:tcBorders>
            <w:shd w:val="clear" w:color="auto" w:fill="F4F4F4"/>
          </w:tcPr>
          <w:p>
            <w:pPr>
              <w:spacing w:after="0"/>
              <w:rPr>
                <w:sz w:val="23"/>
                <w:szCs w:val="23"/>
                <w:color w:val="auto"/>
              </w:rPr>
            </w:pPr>
          </w:p>
        </w:tc>
        <w:tc>
          <w:tcPr>
            <w:tcW w:w="360" w:type="dxa"/>
            <w:vAlign w:val="bottom"/>
            <w:tcBorders>
              <w:bottom w:val="single" w:sz="8" w:color="F4F4F4"/>
            </w:tcBorders>
            <w:shd w:val="clear" w:color="auto" w:fill="F4F4F4"/>
          </w:tcPr>
          <w:p>
            <w:pPr>
              <w:spacing w:after="0"/>
              <w:rPr>
                <w:sz w:val="23"/>
                <w:szCs w:val="23"/>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43,791</w:t>
            </w:r>
          </w:p>
        </w:tc>
        <w:tc>
          <w:tcPr>
            <w:tcW w:w="26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41,033</w:t>
            </w:r>
          </w:p>
        </w:tc>
        <w:tc>
          <w:tcPr>
            <w:tcW w:w="20" w:type="dxa"/>
            <w:vAlign w:val="bottom"/>
          </w:tcPr>
          <w:p>
            <w:pPr>
              <w:spacing w:after="0"/>
              <w:rPr>
                <w:sz w:val="23"/>
                <w:szCs w:val="23"/>
                <w:color w:val="auto"/>
              </w:rPr>
            </w:pPr>
          </w:p>
        </w:tc>
      </w:tr>
      <w:tr>
        <w:trPr>
          <w:trHeight w:val="237"/>
        </w:trPr>
        <w:tc>
          <w:tcPr>
            <w:tcW w:w="59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679,849</w:t>
            </w:r>
          </w:p>
        </w:tc>
        <w:tc>
          <w:tcPr>
            <w:tcW w:w="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670,613</w:t>
            </w:r>
          </w:p>
        </w:tc>
        <w:tc>
          <w:tcPr>
            <w:tcW w:w="20" w:type="dxa"/>
            <w:vAlign w:val="bottom"/>
          </w:tcPr>
          <w:p>
            <w:pPr>
              <w:spacing w:after="0"/>
              <w:rPr>
                <w:sz w:val="20"/>
                <w:szCs w:val="20"/>
                <w:color w:val="auto"/>
              </w:rPr>
            </w:pPr>
          </w:p>
        </w:tc>
      </w:tr>
      <w:tr>
        <w:trPr>
          <w:trHeight w:val="27"/>
        </w:trPr>
        <w:tc>
          <w:tcPr>
            <w:tcW w:w="590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900" w:type="dxa"/>
            <w:vAlign w:val="bottom"/>
            <w:tcBorders>
              <w:bottom w:val="single" w:sz="8" w:color="71BF43"/>
            </w:tcBorders>
          </w:tcPr>
          <w:p>
            <w:pPr>
              <w:spacing w:after="0"/>
              <w:rPr>
                <w:sz w:val="2"/>
                <w:szCs w:val="2"/>
                <w:color w:val="auto"/>
              </w:rPr>
            </w:pPr>
          </w:p>
        </w:tc>
        <w:tc>
          <w:tcPr>
            <w:tcW w:w="26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-856615</wp:posOffset>
            </wp:positionV>
            <wp:extent cx="34029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Beginning in the second quarter of 2021, we combined our General Markets Group ("GMG") and Enterprise Markets Group ("EMG") into a single U.S. Markets Group ("UMG") and moved our Corporations vertical under our International Markets Group ("IMG"). This change was made to better align our resources toward customer retention and growth, which are key objectives as we progress toward our long-term aspirational goals.</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UMG and the IMG comprised our go-to-market organizations as of September 30, 2021. The following is a description of each market group as of that date:</w:t>
      </w:r>
    </w:p>
    <w:p>
      <w:pPr>
        <w:spacing w:after="0" w:line="144"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UMG focuses on sales primarily to all prospects and customers inside of the U.S.;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IMG focuses on sales primarily to all prospects and customers outside of the U.S, as well as corporations.</w:t>
      </w:r>
    </w:p>
    <w:p>
      <w:pPr>
        <w:spacing w:after="0" w:line="33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20</w:t>
      </w:r>
      <w:r>
        <w:rPr>
          <w:sz w:val="20"/>
          <w:szCs w:val="20"/>
          <w:color w:val="auto"/>
        </w:rPr>
        <w:tab/>
      </w:r>
      <w:r>
        <w:rPr>
          <w:sz w:val="1"/>
          <w:szCs w:val="1"/>
          <w:color w:val="auto"/>
        </w:rPr>
        <w:drawing>
          <wp:inline distT="0" distB="0" distL="0" distR="0">
            <wp:extent cx="651510" cy="1714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by market group:</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13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r>
      <w:tr>
        <w:trPr>
          <w:trHeight w:val="190"/>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6"/>
                <w:szCs w:val="16"/>
                <w:color w:val="auto"/>
              </w:rPr>
            </w:pPr>
          </w:p>
        </w:tc>
      </w:tr>
      <w:tr>
        <w:trPr>
          <w:trHeight w:val="242"/>
        </w:trPr>
        <w:tc>
          <w:tcPr>
            <w:tcW w:w="59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tcBorders>
              <w:bottom w:val="single" w:sz="8" w:color="ACACAC"/>
            </w:tcBorders>
            <w:shd w:val="clear" w:color="auto" w:fill="ACACAC"/>
          </w:tcPr>
          <w:p>
            <w:pPr>
              <w:spacing w:after="0"/>
              <w:rPr>
                <w:sz w:val="21"/>
                <w:szCs w:val="21"/>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r>
              <w:rPr>
                <w:rFonts w:ascii="Arial" w:cs="Arial" w:eastAsia="Arial" w:hAnsi="Arial"/>
                <w:sz w:val="18"/>
                <w:szCs w:val="18"/>
                <w:b w:val="1"/>
                <w:bCs w:val="1"/>
                <w:color w:val="FFFFFF"/>
                <w:vertAlign w:val="superscript"/>
              </w:rPr>
              <w:t>(1)</w:t>
            </w:r>
          </w:p>
        </w:tc>
        <w:tc>
          <w:tcPr>
            <w:tcW w:w="100" w:type="dxa"/>
            <w:vAlign w:val="bottom"/>
            <w:tcBorders>
              <w:bottom w:val="single" w:sz="8" w:color="F4F4F4"/>
            </w:tcBorders>
          </w:tcPr>
          <w:p>
            <w:pPr>
              <w:spacing w:after="0"/>
              <w:rPr>
                <w:sz w:val="21"/>
                <w:szCs w:val="21"/>
                <w:color w:val="auto"/>
              </w:rPr>
            </w:pPr>
          </w:p>
        </w:tc>
        <w:tc>
          <w:tcPr>
            <w:tcW w:w="360" w:type="dxa"/>
            <w:vAlign w:val="bottom"/>
            <w:tcBorders>
              <w:bottom w:val="single" w:sz="8" w:color="ACACAC"/>
            </w:tcBorders>
            <w:shd w:val="clear" w:color="auto" w:fill="ACACAC"/>
          </w:tcPr>
          <w:p>
            <w:pPr>
              <w:spacing w:after="0"/>
              <w:rPr>
                <w:sz w:val="21"/>
                <w:szCs w:val="21"/>
                <w:color w:val="auto"/>
              </w:rPr>
            </w:pPr>
          </w:p>
        </w:tc>
        <w:tc>
          <w:tcPr>
            <w:tcW w:w="1160" w:type="dxa"/>
            <w:vAlign w:val="bottom"/>
            <w:tcBorders>
              <w:bottom w:val="single" w:sz="8" w:color="ACACAC"/>
            </w:tcBorders>
            <w:gridSpan w:val="2"/>
            <w:shd w:val="clear" w:color="auto" w:fill="ACACAC"/>
          </w:tcPr>
          <w:p>
            <w:pPr>
              <w:jc w:val="right"/>
              <w:ind w:right="136"/>
              <w:spacing w:after="0"/>
              <w:rPr>
                <w:sz w:val="20"/>
                <w:szCs w:val="20"/>
                <w:color w:val="auto"/>
              </w:rPr>
            </w:pPr>
            <w:r>
              <w:rPr>
                <w:rFonts w:ascii="Arial" w:cs="Arial" w:eastAsia="Arial" w:hAnsi="Arial"/>
                <w:sz w:val="14"/>
                <w:szCs w:val="14"/>
                <w:b w:val="1"/>
                <w:bCs w:val="1"/>
                <w:color w:val="FFFFFF"/>
              </w:rPr>
              <w:t>2021</w:t>
            </w: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r>
              <w:rPr>
                <w:rFonts w:ascii="Arial" w:cs="Arial" w:eastAsia="Arial" w:hAnsi="Arial"/>
                <w:sz w:val="18"/>
                <w:szCs w:val="18"/>
                <w:b w:val="1"/>
                <w:bCs w:val="1"/>
                <w:color w:val="FFFFFF"/>
                <w:vertAlign w:val="superscript"/>
              </w:rPr>
              <w:t>(1)</w:t>
            </w:r>
          </w:p>
        </w:tc>
        <w:tc>
          <w:tcPr>
            <w:tcW w:w="20" w:type="dxa"/>
            <w:vAlign w:val="bottom"/>
            <w:tcBorders>
              <w:bottom w:val="single" w:sz="8" w:color="ACACAC"/>
            </w:tcBorders>
            <w:shd w:val="clear" w:color="auto" w:fill="ACACAC"/>
          </w:tcPr>
          <w:p>
            <w:pPr>
              <w:spacing w:after="0"/>
              <w:rPr>
                <w:sz w:val="21"/>
                <w:szCs w:val="21"/>
                <w:color w:val="auto"/>
              </w:rPr>
            </w:pPr>
          </w:p>
        </w:tc>
      </w:tr>
      <w:tr>
        <w:trPr>
          <w:trHeight w:val="244"/>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UMG</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180,570</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164,796</w:t>
            </w:r>
          </w:p>
        </w:tc>
        <w:tc>
          <w:tcPr>
            <w:tcW w:w="460" w:type="dxa"/>
            <w:vAlign w:val="bottom"/>
            <w:tcBorders>
              <w:bottom w:val="single" w:sz="8" w:color="F4F4F4"/>
            </w:tcBorders>
            <w:gridSpan w:val="2"/>
            <w:shd w:val="clear" w:color="auto" w:fill="F4F4F4"/>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533,473</w:t>
            </w:r>
          </w:p>
        </w:tc>
        <w:tc>
          <w:tcPr>
            <w:tcW w:w="260" w:type="dxa"/>
            <w:vAlign w:val="bottom"/>
            <w:tcBorders>
              <w:bottom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535,340</w:t>
            </w:r>
          </w:p>
        </w:tc>
        <w:tc>
          <w:tcPr>
            <w:tcW w:w="20" w:type="dxa"/>
            <w:vAlign w:val="bottom"/>
          </w:tcPr>
          <w:p>
            <w:pPr>
              <w:spacing w:after="0"/>
              <w:rPr>
                <w:sz w:val="21"/>
                <w:szCs w:val="21"/>
                <w:color w:val="auto"/>
              </w:rPr>
            </w:pPr>
          </w:p>
        </w:tc>
      </w:tr>
      <w:tr>
        <w:trPr>
          <w:trHeight w:val="297"/>
        </w:trPr>
        <w:tc>
          <w:tcPr>
            <w:tcW w:w="5900" w:type="dxa"/>
            <w:vAlign w:val="bottom"/>
          </w:tcPr>
          <w:p>
            <w:pPr>
              <w:ind w:left="20"/>
              <w:spacing w:after="0"/>
              <w:rPr>
                <w:sz w:val="20"/>
                <w:szCs w:val="20"/>
                <w:color w:val="auto"/>
              </w:rPr>
            </w:pPr>
            <w:r>
              <w:rPr>
                <w:rFonts w:ascii="Arial" w:cs="Arial" w:eastAsia="Arial" w:hAnsi="Arial"/>
                <w:sz w:val="18"/>
                <w:szCs w:val="18"/>
                <w:color w:val="auto"/>
              </w:rPr>
              <w:t>IMG</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49,220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49,168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145,017</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134,996</w:t>
            </w:r>
          </w:p>
        </w:tc>
        <w:tc>
          <w:tcPr>
            <w:tcW w:w="20" w:type="dxa"/>
            <w:vAlign w:val="bottom"/>
          </w:tcPr>
          <w:p>
            <w:pPr>
              <w:spacing w:after="0"/>
              <w:rPr>
                <w:sz w:val="24"/>
                <w:szCs w:val="24"/>
                <w:color w:val="auto"/>
              </w:rPr>
            </w:pPr>
          </w:p>
        </w:tc>
      </w:tr>
      <w:tr>
        <w:trPr>
          <w:trHeight w:val="27"/>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F4F4F4"/>
            </w:tcBorders>
            <w:shd w:val="clear" w:color="auto" w:fill="F4F4F4"/>
          </w:tcPr>
          <w:p>
            <w:pPr>
              <w:spacing w:after="0"/>
              <w:rPr>
                <w:sz w:val="23"/>
                <w:szCs w:val="23"/>
                <w:color w:val="auto"/>
              </w:rPr>
            </w:pPr>
          </w:p>
        </w:tc>
        <w:tc>
          <w:tcPr>
            <w:tcW w:w="360" w:type="dxa"/>
            <w:vAlign w:val="bottom"/>
            <w:tcBorders>
              <w:bottom w:val="single" w:sz="8" w:color="F4F4F4"/>
            </w:tcBorders>
            <w:shd w:val="clear" w:color="auto" w:fill="F4F4F4"/>
          </w:tcPr>
          <w:p>
            <w:pPr>
              <w:spacing w:after="0"/>
              <w:rPr>
                <w:sz w:val="23"/>
                <w:szCs w:val="23"/>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1,359</w:t>
            </w:r>
          </w:p>
        </w:tc>
        <w:tc>
          <w:tcPr>
            <w:tcW w:w="26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23"/>
                <w:szCs w:val="23"/>
                <w:color w:val="auto"/>
              </w:rPr>
            </w:pPr>
          </w:p>
        </w:tc>
      </w:tr>
      <w:tr>
        <w:trPr>
          <w:trHeight w:val="237"/>
        </w:trPr>
        <w:tc>
          <w:tcPr>
            <w:tcW w:w="59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679,849</w:t>
            </w:r>
          </w:p>
        </w:tc>
        <w:tc>
          <w:tcPr>
            <w:tcW w:w="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670,613</w:t>
            </w:r>
          </w:p>
        </w:tc>
        <w:tc>
          <w:tcPr>
            <w:tcW w:w="20" w:type="dxa"/>
            <w:vAlign w:val="bottom"/>
          </w:tcPr>
          <w:p>
            <w:pPr>
              <w:spacing w:after="0"/>
              <w:rPr>
                <w:sz w:val="20"/>
                <w:szCs w:val="20"/>
                <w:color w:val="auto"/>
              </w:rPr>
            </w:pPr>
          </w:p>
        </w:tc>
      </w:tr>
      <w:tr>
        <w:trPr>
          <w:trHeight w:val="27"/>
        </w:trPr>
        <w:tc>
          <w:tcPr>
            <w:tcW w:w="590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900" w:type="dxa"/>
            <w:vAlign w:val="bottom"/>
            <w:tcBorders>
              <w:bottom w:val="single" w:sz="8" w:color="71BF43"/>
            </w:tcBorders>
          </w:tcPr>
          <w:p>
            <w:pPr>
              <w:spacing w:after="0"/>
              <w:rPr>
                <w:sz w:val="2"/>
                <w:szCs w:val="2"/>
                <w:color w:val="auto"/>
              </w:rPr>
            </w:pPr>
          </w:p>
        </w:tc>
        <w:tc>
          <w:tcPr>
            <w:tcW w:w="26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-890905</wp:posOffset>
            </wp:positionV>
            <wp:extent cx="34029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79" w:lineRule="exact"/>
        <w:rPr>
          <w:sz w:val="20"/>
          <w:szCs w:val="20"/>
          <w:color w:val="auto"/>
        </w:rPr>
      </w:pPr>
    </w:p>
    <w:p>
      <w:pPr>
        <w:ind w:left="340" w:right="20" w:hanging="332"/>
        <w:spacing w:after="0" w:line="258" w:lineRule="auto"/>
        <w:tabs>
          <w:tab w:leader="none" w:pos="354"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Due to the market group change discussed above, we have recast our revenue by market group for the three and nine months ended September 30, 2020 to present them on a consistent basis with the current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recurring revenue by type: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13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r>
      <w:tr>
        <w:trPr>
          <w:trHeight w:val="190"/>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6"/>
                <w:szCs w:val="16"/>
                <w:color w:val="auto"/>
              </w:rPr>
            </w:pPr>
          </w:p>
        </w:tc>
      </w:tr>
      <w:tr>
        <w:trPr>
          <w:trHeight w:val="242"/>
        </w:trPr>
        <w:tc>
          <w:tcPr>
            <w:tcW w:w="5900" w:type="dxa"/>
            <w:vAlign w:val="bottom"/>
            <w:tcBorders>
              <w:bottom w:val="single" w:sz="8" w:color="F4F4F4"/>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tcBorders>
              <w:bottom w:val="single" w:sz="8" w:color="ACACAC"/>
            </w:tcBorders>
            <w:shd w:val="clear" w:color="auto" w:fill="ACACAC"/>
          </w:tcPr>
          <w:p>
            <w:pPr>
              <w:spacing w:after="0"/>
              <w:rPr>
                <w:sz w:val="21"/>
                <w:szCs w:val="21"/>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Borders>
              <w:bottom w:val="single" w:sz="8" w:color="F4F4F4"/>
            </w:tcBorders>
          </w:tcPr>
          <w:p>
            <w:pPr>
              <w:spacing w:after="0"/>
              <w:rPr>
                <w:sz w:val="21"/>
                <w:szCs w:val="21"/>
                <w:color w:val="auto"/>
              </w:rPr>
            </w:pPr>
          </w:p>
        </w:tc>
        <w:tc>
          <w:tcPr>
            <w:tcW w:w="360" w:type="dxa"/>
            <w:vAlign w:val="bottom"/>
            <w:tcBorders>
              <w:bottom w:val="single" w:sz="8" w:color="ACACAC"/>
            </w:tcBorders>
            <w:shd w:val="clear" w:color="auto" w:fill="ACACAC"/>
          </w:tcPr>
          <w:p>
            <w:pPr>
              <w:spacing w:after="0"/>
              <w:rPr>
                <w:sz w:val="21"/>
                <w:szCs w:val="21"/>
                <w:color w:val="auto"/>
              </w:rPr>
            </w:pPr>
          </w:p>
        </w:tc>
        <w:tc>
          <w:tcPr>
            <w:tcW w:w="1160" w:type="dxa"/>
            <w:vAlign w:val="bottom"/>
            <w:tcBorders>
              <w:bottom w:val="single" w:sz="8" w:color="ACACAC"/>
            </w:tcBorders>
            <w:gridSpan w:val="2"/>
            <w:shd w:val="clear" w:color="auto" w:fill="ACACAC"/>
          </w:tcPr>
          <w:p>
            <w:pPr>
              <w:jc w:val="right"/>
              <w:ind w:right="136"/>
              <w:spacing w:after="0"/>
              <w:rPr>
                <w:sz w:val="20"/>
                <w:szCs w:val="20"/>
                <w:color w:val="auto"/>
              </w:rPr>
            </w:pPr>
            <w:r>
              <w:rPr>
                <w:rFonts w:ascii="Arial" w:cs="Arial" w:eastAsia="Arial" w:hAnsi="Arial"/>
                <w:sz w:val="14"/>
                <w:szCs w:val="14"/>
                <w:b w:val="1"/>
                <w:bCs w:val="1"/>
                <w:color w:val="FFFFFF"/>
              </w:rPr>
              <w:t>2021</w:t>
            </w: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1"/>
                <w:szCs w:val="21"/>
                <w:color w:val="auto"/>
              </w:rPr>
            </w:pPr>
          </w:p>
        </w:tc>
      </w:tr>
      <w:tr>
        <w:trPr>
          <w:trHeight w:val="243"/>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Contractual recurring</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150,581</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147,492</w:t>
            </w:r>
          </w:p>
        </w:tc>
        <w:tc>
          <w:tcPr>
            <w:tcW w:w="46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448,552</w:t>
            </w:r>
          </w:p>
        </w:tc>
        <w:tc>
          <w:tcPr>
            <w:tcW w:w="260" w:type="dxa"/>
            <w:vAlign w:val="bottom"/>
            <w:tcBorders>
              <w:bottom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443,450</w:t>
            </w:r>
          </w:p>
        </w:tc>
        <w:tc>
          <w:tcPr>
            <w:tcW w:w="20" w:type="dxa"/>
            <w:vAlign w:val="bottom"/>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Transactional recurring</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67,949</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193,714</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177,779</w:t>
            </w:r>
          </w:p>
        </w:tc>
        <w:tc>
          <w:tcPr>
            <w:tcW w:w="20" w:type="dxa"/>
            <w:vAlign w:val="bottom"/>
          </w:tcPr>
          <w:p>
            <w:pPr>
              <w:spacing w:after="0"/>
              <w:rPr>
                <w:sz w:val="21"/>
                <w:szCs w:val="21"/>
                <w:color w:val="auto"/>
              </w:rPr>
            </w:pPr>
          </w:p>
        </w:tc>
      </w:tr>
      <w:tr>
        <w:trPr>
          <w:trHeight w:val="27"/>
        </w:trPr>
        <w:tc>
          <w:tcPr>
            <w:tcW w:w="590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recurring revenue</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218,530</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200,102</w:t>
            </w:r>
          </w:p>
        </w:tc>
        <w:tc>
          <w:tcPr>
            <w:tcW w:w="46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642,266</w:t>
            </w:r>
          </w:p>
        </w:tc>
        <w:tc>
          <w:tcPr>
            <w:tcW w:w="260" w:type="dxa"/>
            <w:vAlign w:val="bottom"/>
            <w:tcBorders>
              <w:bottom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621,229</w:t>
            </w:r>
          </w:p>
        </w:tc>
        <w:tc>
          <w:tcPr>
            <w:tcW w:w="20" w:type="dxa"/>
            <w:vAlign w:val="bottom"/>
          </w:tcPr>
          <w:p>
            <w:pPr>
              <w:spacing w:after="0"/>
              <w:rPr>
                <w:sz w:val="21"/>
                <w:szCs w:val="21"/>
                <w:color w:val="auto"/>
              </w:rPr>
            </w:pPr>
          </w:p>
        </w:tc>
      </w:tr>
      <w:tr>
        <w:trPr>
          <w:trHeight w:val="20"/>
        </w:trPr>
        <w:tc>
          <w:tcPr>
            <w:tcW w:w="5900" w:type="dxa"/>
            <w:vAlign w:val="bottom"/>
            <w:shd w:val="clear" w:color="auto" w:fill="8CBE4F"/>
          </w:tcPr>
          <w:p>
            <w:pPr>
              <w:spacing w:after="0" w:line="20" w:lineRule="exact"/>
              <w:rPr>
                <w:sz w:val="1"/>
                <w:szCs w:val="1"/>
                <w:color w:val="auto"/>
              </w:rPr>
            </w:pPr>
          </w:p>
        </w:tc>
        <w:tc>
          <w:tcPr>
            <w:tcW w:w="340" w:type="dxa"/>
            <w:vAlign w:val="bottom"/>
            <w:shd w:val="clear" w:color="auto" w:fill="8CBE4F"/>
          </w:tcPr>
          <w:p>
            <w:pPr>
              <w:spacing w:after="0" w:line="20" w:lineRule="exact"/>
              <w:rPr>
                <w:sz w:val="1"/>
                <w:szCs w:val="1"/>
                <w:color w:val="auto"/>
              </w:rPr>
            </w:pPr>
          </w:p>
        </w:tc>
        <w:tc>
          <w:tcPr>
            <w:tcW w:w="960" w:type="dxa"/>
            <w:vAlign w:val="bottom"/>
            <w:shd w:val="clear" w:color="auto" w:fill="8CBE4F"/>
          </w:tcPr>
          <w:p>
            <w:pPr>
              <w:spacing w:after="0" w:line="20" w:lineRule="exact"/>
              <w:rPr>
                <w:sz w:val="1"/>
                <w:szCs w:val="1"/>
                <w:color w:val="auto"/>
              </w:rPr>
            </w:pPr>
          </w:p>
        </w:tc>
        <w:tc>
          <w:tcPr>
            <w:tcW w:w="220" w:type="dxa"/>
            <w:vAlign w:val="bottom"/>
            <w:shd w:val="clear" w:color="auto" w:fill="8CBE4F"/>
          </w:tcPr>
          <w:p>
            <w:pPr>
              <w:spacing w:after="0" w:line="20" w:lineRule="exact"/>
              <w:rPr>
                <w:sz w:val="1"/>
                <w:szCs w:val="1"/>
                <w:color w:val="auto"/>
              </w:rPr>
            </w:pPr>
          </w:p>
        </w:tc>
        <w:tc>
          <w:tcPr>
            <w:tcW w:w="1100" w:type="dxa"/>
            <w:vAlign w:val="bottom"/>
            <w:shd w:val="clear" w:color="auto" w:fill="8CBE4F"/>
          </w:tcPr>
          <w:p>
            <w:pPr>
              <w:spacing w:after="0" w:line="20" w:lineRule="exact"/>
              <w:rPr>
                <w:sz w:val="1"/>
                <w:szCs w:val="1"/>
                <w:color w:val="auto"/>
              </w:rPr>
            </w:pPr>
          </w:p>
        </w:tc>
        <w:tc>
          <w:tcPr>
            <w:tcW w:w="100" w:type="dxa"/>
            <w:vAlign w:val="bottom"/>
            <w:shd w:val="clear" w:color="auto" w:fill="8CBE4F"/>
          </w:tcPr>
          <w:p>
            <w:pPr>
              <w:spacing w:after="0" w:line="20" w:lineRule="exact"/>
              <w:rPr>
                <w:sz w:val="1"/>
                <w:szCs w:val="1"/>
                <w:color w:val="auto"/>
              </w:rPr>
            </w:pPr>
          </w:p>
        </w:tc>
        <w:tc>
          <w:tcPr>
            <w:tcW w:w="360" w:type="dxa"/>
            <w:vAlign w:val="bottom"/>
            <w:shd w:val="clear" w:color="auto" w:fill="8CBE4F"/>
          </w:tcPr>
          <w:p>
            <w:pPr>
              <w:spacing w:after="0" w:line="20" w:lineRule="exact"/>
              <w:rPr>
                <w:sz w:val="1"/>
                <w:szCs w:val="1"/>
                <w:color w:val="auto"/>
              </w:rPr>
            </w:pPr>
          </w:p>
        </w:tc>
        <w:tc>
          <w:tcPr>
            <w:tcW w:w="900" w:type="dxa"/>
            <w:vAlign w:val="bottom"/>
            <w:shd w:val="clear" w:color="auto" w:fill="8CBE4F"/>
          </w:tcPr>
          <w:p>
            <w:pPr>
              <w:spacing w:after="0" w:line="20" w:lineRule="exact"/>
              <w:rPr>
                <w:sz w:val="1"/>
                <w:szCs w:val="1"/>
                <w:color w:val="auto"/>
              </w:rPr>
            </w:pPr>
          </w:p>
        </w:tc>
        <w:tc>
          <w:tcPr>
            <w:tcW w:w="260" w:type="dxa"/>
            <w:vAlign w:val="bottom"/>
            <w:shd w:val="clear" w:color="auto" w:fill="8CBE4F"/>
          </w:tcPr>
          <w:p>
            <w:pPr>
              <w:spacing w:after="0" w:line="20" w:lineRule="exact"/>
              <w:rPr>
                <w:sz w:val="1"/>
                <w:szCs w:val="1"/>
                <w:color w:val="auto"/>
              </w:rPr>
            </w:pPr>
          </w:p>
        </w:tc>
        <w:tc>
          <w:tcPr>
            <w:tcW w:w="1100" w:type="dxa"/>
            <w:vAlign w:val="bottom"/>
            <w:shd w:val="clear" w:color="auto" w:fill="8CBE4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-685165</wp:posOffset>
            </wp:positionV>
            <wp:extent cx="34029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14.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strategy actions</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October 2021, we made the decision to permanently close our fixed office locations (with the exception of our global headquarters facility in Charleston, South Carolina), effective December 1, 2021. This change was intended to align our real estate footprint with our transition to a remote-first workforce. We may enter into arrangements for smaller more flexible workspaces where necessary. We currently expect to incur between $13.0 million and $14.0 million of pre-tax costs related to these actions during the fourth quarter of 2021. We expect that the costs associated with these actions will be largely noncash impairment charges, primarily for operating lease ROU assets in the office locations we have determined to 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218440</wp:posOffset>
            </wp:positionV>
            <wp:extent cx="65976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0"/>
        <w:spacing w:after="0" w:line="278" w:lineRule="auto"/>
        <w:rPr>
          <w:sz w:val="20"/>
          <w:szCs w:val="20"/>
          <w:color w:val="auto"/>
        </w:rPr>
      </w:pPr>
      <w:r>
        <w:rPr>
          <w:rFonts w:ascii="Arial" w:cs="Arial" w:eastAsia="Arial" w:hAnsi="Arial"/>
          <w:sz w:val="29"/>
          <w:szCs w:val="29"/>
          <w:b w:val="1"/>
          <w:bCs w:val="1"/>
          <w:color w:val="71BF43"/>
        </w:rPr>
        <w:t>ITEM 2. MANAGEMENT'S DISCUSSION AND ANALYSIS OF FINANCIAL CONDITION AND RESULTS OF OPERATIONS</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condensed consolidated financial statements and related notes which are primarily denominated in thousands of dollars.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four decades, we are headquartered in Charleston, South Carolina, and have operations in the United States, Australia, Canada, Costa Rica and the United Kingdom.</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revenue is primarily generated from the following sources: (i) charging for the use of our software solutions in cloud and hosted environments; (ii) providing payment and other transactional-type services; (iii) providing software maintenance and support services; and (iv) providing professional services, including implementation, consulting, training, analytic and other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economic impact of COVID-19 on the social good industry remains somewhat uncertain, although we are seeing signs of recovery in the industry. We believe the COVID-19 pandemic has accelerated the shift to a digital -first world. The percentage of giving done online grew by approximately 40% in 2020 with roughly a quarter of that giving taking place on mobile device. If our existing and prospective customers remain cautious in their purchase decisions, our operating environment may continue to be challenging for the remainder of 2021 and potentially beyond. Notwithstanding these conditions, we remain focused on continuing to execute our four-point strategy and strengthening our leadership position.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Four-Point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140335</wp:posOffset>
            </wp:positionV>
            <wp:extent cx="265430" cy="1974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5430" cy="197485"/>
                    </a:xfrm>
                    <a:prstGeom prst="rect">
                      <a:avLst/>
                    </a:prstGeom>
                    <a:noFill/>
                  </pic:spPr>
                </pic:pic>
              </a:graphicData>
            </a:graphic>
          </wp:anchor>
        </w:drawing>
      </w:r>
    </w:p>
    <w:p>
      <w:pPr>
        <w:spacing w:after="0" w:line="219" w:lineRule="exact"/>
        <w:rPr>
          <w:sz w:val="20"/>
          <w:szCs w:val="20"/>
          <w:color w:val="auto"/>
        </w:rPr>
      </w:pPr>
    </w:p>
    <w:p>
      <w:pPr>
        <w:ind w:left="1300" w:hanging="471"/>
        <w:spacing w:after="0"/>
        <w:tabs>
          <w:tab w:leader="none" w:pos="1300" w:val="left"/>
        </w:tabs>
        <w:numPr>
          <w:ilvl w:val="0"/>
          <w:numId w:val="14"/>
        </w:numPr>
        <w:rPr>
          <w:rFonts w:ascii="Arial" w:cs="Arial" w:eastAsia="Arial" w:hAnsi="Arial"/>
          <w:sz w:val="18"/>
          <w:szCs w:val="18"/>
          <w:b w:val="1"/>
          <w:bCs w:val="1"/>
          <w:color w:val="FFFFFF"/>
        </w:rPr>
      </w:pPr>
      <w:r>
        <w:rPr>
          <w:rFonts w:ascii="Arial" w:cs="Arial" w:eastAsia="Arial" w:hAnsi="Arial"/>
          <w:sz w:val="18"/>
          <w:szCs w:val="18"/>
          <w:b w:val="1"/>
          <w:bCs w:val="1"/>
          <w:color w:val="auto"/>
        </w:rPr>
        <w:t>Expand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0"/>
          <w:numId w:val="15"/>
        </w:numPr>
        <w:rPr>
          <w:rFonts w:ascii="Arial" w:cs="Arial" w:eastAsia="Arial" w:hAnsi="Arial"/>
          <w:sz w:val="18"/>
          <w:szCs w:val="18"/>
          <w:b w:val="1"/>
          <w:bCs w:val="1"/>
          <w:color w:val="FFFFFF"/>
        </w:rPr>
      </w:pPr>
      <w:r>
        <w:rPr>
          <w:rFonts w:ascii="Arial" w:cs="Arial" w:eastAsia="Arial" w:hAnsi="Arial"/>
          <w:sz w:val="18"/>
          <w:szCs w:val="18"/>
          <w:b w:val="1"/>
          <w:bCs w:val="1"/>
          <w:color w:val="auto"/>
        </w:rPr>
        <w:t>Lead with World Class Teams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1"/>
          <w:numId w:val="16"/>
        </w:numPr>
        <w:rPr>
          <w:rFonts w:ascii="Arial" w:cs="Arial" w:eastAsia="Arial" w:hAnsi="Arial"/>
          <w:sz w:val="18"/>
          <w:szCs w:val="18"/>
          <w:b w:val="1"/>
          <w:bCs w:val="1"/>
          <w:color w:val="FFFFFF"/>
        </w:rPr>
      </w:pPr>
      <w:r>
        <w:rPr>
          <w:rFonts w:ascii="Arial" w:cs="Arial" w:eastAsia="Arial" w:hAnsi="Arial"/>
          <w:sz w:val="18"/>
          <w:szCs w:val="18"/>
          <w:b w:val="1"/>
          <w:bCs w:val="1"/>
          <w:color w:val="auto"/>
        </w:rPr>
        <w:t>Delight Customers with Innovative Cloud Solutions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7"/>
          <w:szCs w:val="17"/>
          <w:b w:val="1"/>
          <w:bCs w:val="1"/>
          <w:color w:val="auto"/>
        </w:rPr>
        <w:t>Focus on Employees, Culture and ESG Initiatives</w:t>
      </w:r>
    </w:p>
    <w:p>
      <w:pPr>
        <w:spacing w:after="0" w:line="310" w:lineRule="exact"/>
        <w:rPr>
          <w:rFonts w:ascii="Arial" w:cs="Arial" w:eastAsia="Arial" w:hAnsi="Arial"/>
          <w:sz w:val="18"/>
          <w:szCs w:val="18"/>
          <w:b w:val="1"/>
          <w:bCs w:val="1"/>
          <w:color w:val="FFFFFF"/>
        </w:rPr>
      </w:pPr>
    </w:p>
    <w:p>
      <w:pPr>
        <w:ind w:left="320" w:hanging="312"/>
        <w:spacing w:after="0"/>
        <w:tabs>
          <w:tab w:leader="none" w:pos="3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Expand Total Addressable Market ("TAM")</w:t>
      </w:r>
    </w:p>
    <w:p>
      <w:pPr>
        <w:spacing w:after="0" w:line="189" w:lineRule="exact"/>
        <w:rPr>
          <w:rFonts w:ascii="Arial" w:cs="Arial" w:eastAsia="Arial" w:hAnsi="Arial"/>
          <w:sz w:val="18"/>
          <w:szCs w:val="18"/>
          <w:i w:val="1"/>
          <w:iCs w:val="1"/>
          <w:color w:val="auto"/>
        </w:rPr>
      </w:pPr>
    </w:p>
    <w:p>
      <w:pPr>
        <w:jc w:val="both"/>
        <w:ind w:left="34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We are now once again actively evaluating opportunities to further expand our addressable market through acquisitions and internal product development. We have significant opportunities in front of us as we are less than 10% penetrated into a TAM of over $10 billion. Acquisitions are an important element of our strategy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-1010920</wp:posOffset>
            </wp:positionV>
            <wp:extent cx="265430" cy="197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430" cy="197485"/>
                    </a:xfrm>
                    <a:prstGeom prst="rect">
                      <a:avLst/>
                    </a:prstGeom>
                    <a:noFill/>
                  </pic:spPr>
                </pic:pic>
              </a:graphicData>
            </a:graphic>
          </wp:anchor>
        </w:drawing>
      </w:r>
    </w:p>
    <w:p>
      <w:pPr>
        <w:spacing w:after="0" w:line="30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22</w:t>
      </w:r>
      <w:r>
        <w:rPr>
          <w:sz w:val="20"/>
          <w:szCs w:val="20"/>
          <w:color w:val="auto"/>
        </w:rPr>
        <w:tab/>
      </w:r>
      <w:r>
        <w:rPr>
          <w:sz w:val="1"/>
          <w:szCs w:val="1"/>
          <w:color w:val="auto"/>
        </w:rPr>
        <w:drawing>
          <wp:inline distT="0" distB="0" distL="0" distR="0">
            <wp:extent cx="651510" cy="1714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Lead with World Class Teams and Operations</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This strategy expands upon our previous strategies to drive sales effectiveness and improve operating efficiency to include improving overall company performance as measured by the Rule of 40 (see discussion of Non-GAAP Financial Measures below). We have a strong executive team that is delivering on our mission and executing on our strategy. We have talent across our company, at every level, who are aligned with these goals as well. In support of this strategy, during the second quarter of 2021, we merged our EMG and GMG to create one U.S. Market Group to better align our resources toward customer retention and growth. For more information, see Note 13 to our condensed consolidated financial statements in this report.</w:t>
      </w:r>
    </w:p>
    <w:p>
      <w:pPr>
        <w:spacing w:after="0" w:line="135" w:lineRule="exact"/>
        <w:rPr>
          <w:rFonts w:ascii="Arial" w:cs="Arial" w:eastAsia="Arial" w:hAnsi="Arial"/>
          <w:sz w:val="18"/>
          <w:szCs w:val="18"/>
          <w:i w:val="1"/>
          <w:iCs w:val="1"/>
          <w:color w:val="auto"/>
        </w:rPr>
      </w:pPr>
    </w:p>
    <w:p>
      <w:pPr>
        <w:ind w:left="320" w:hanging="312"/>
        <w:spacing w:after="0"/>
        <w:tabs>
          <w:tab w:leader="none" w:pos="3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2020 required unprecedented speed and scale to support our customers, and we were quick to reprioritize and expedite product enhancements to support our customers' changing needs as they needed to operate more digitally. We have carried that momentum into 2021. For example, we recently released an entirely new experience for Blackbaud Grantmaking which provides the relevant capabilities to users from their Blackbaud fundraising, fund management, and grant making solutions all in one interface. It also delivers purpose-built automation capabilities and maximizes the value of relationships by giving our customers a holistic view of the relationships driving their grant making - highlighting connections between grantees, and the relationships between individuals and the organizations they are funding. Another example is a recent release within Financial Edge NXT where we're transforming the entire accounts receivable experience. This provides a modern experience and new streamlined workflows and controls in areas such as invoice creation, billing and receiving payments, as well as holistic relationship management across vendors, customers, and sponsors.</w:t>
      </w:r>
    </w:p>
    <w:p>
      <w:pPr>
        <w:spacing w:after="0" w:line="139" w:lineRule="exact"/>
        <w:rPr>
          <w:rFonts w:ascii="Arial" w:cs="Arial" w:eastAsia="Arial" w:hAnsi="Arial"/>
          <w:sz w:val="18"/>
          <w:szCs w:val="18"/>
          <w:i w:val="1"/>
          <w:iCs w:val="1"/>
          <w:color w:val="auto"/>
        </w:rPr>
      </w:pPr>
    </w:p>
    <w:p>
      <w:pPr>
        <w:ind w:left="320" w:hanging="312"/>
        <w:spacing w:after="0"/>
        <w:tabs>
          <w:tab w:leader="none" w:pos="3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Focus on Employees, Culture and ESG Initiatives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During the first quarter of 2021, we elevated a specific strategy focused on employees, culture and ESG initiatives. This is not new for us. It is something that is in our DNA and is a big advantage as we look to attract and retain top talent. This is evident in our 2020 social responsibility report, which was released in April 2021. We are fully committed to continuing to create a diverse and inclusive environment at all levels of the organization. Early in 2021, we established an ESG Steering Committee with our CEO as the executive sponsor, and our Board of Directors are also involved in this initiative. Building on our culture of innovation, we launched a new ideation initiative called "Imagine Week," inviting employees across the globe to pitch their ideas directly to the executive leadership team. Employees at every level and length of tenure in the company made proposals ranging from fundraising to customer service improvements. These ideas are making their way into our go-forward plans. In addition, we recently decided, effective December 1, 2021, to permanently close our fixed office locations (with the exception of our global headquarters facility in Charleston, South Carolina) to align our real estate footprint with our transition to a remote-first workforce. We may enter into arrangements for smaller more flexible workspaces where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4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auto"/>
                <w:w w:val="98"/>
              </w:rPr>
              <w:t>Total revenue ($M)</w:t>
            </w:r>
          </w:p>
        </w:tc>
        <w:tc>
          <w:tcPr>
            <w:tcW w:w="4300" w:type="dxa"/>
            <w:vAlign w:val="bottom"/>
          </w:tcPr>
          <w:p>
            <w:pPr>
              <w:jc w:val="center"/>
              <w:spacing w:after="0"/>
              <w:rPr>
                <w:sz w:val="20"/>
                <w:szCs w:val="20"/>
                <w:color w:val="auto"/>
              </w:rPr>
            </w:pPr>
            <w:r>
              <w:rPr>
                <w:rFonts w:ascii="Arial" w:cs="Arial" w:eastAsia="Arial" w:hAnsi="Arial"/>
                <w:sz w:val="18"/>
                <w:szCs w:val="18"/>
                <w:i w:val="1"/>
                <w:iCs w:val="1"/>
                <w:color w:val="auto"/>
                <w:w w:val="99"/>
              </w:rPr>
              <w:t>Income from operations ($M)</w:t>
            </w:r>
          </w:p>
        </w:tc>
      </w:tr>
      <w:tr>
        <w:trPr>
          <w:trHeight w:val="27"/>
        </w:trPr>
        <w:tc>
          <w:tcPr>
            <w:tcW w:w="42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1"/>
        </w:trPr>
        <w:tc>
          <w:tcPr>
            <w:tcW w:w="4940" w:type="dxa"/>
            <w:vAlign w:val="bottom"/>
            <w:gridSpan w:val="2"/>
          </w:tcPr>
          <w:p>
            <w:pPr>
              <w:jc w:val="center"/>
              <w:ind w:right="640"/>
              <w:spacing w:after="0"/>
              <w:rPr>
                <w:sz w:val="20"/>
                <w:szCs w:val="20"/>
                <w:color w:val="auto"/>
              </w:rPr>
            </w:pPr>
            <w:r>
              <w:rPr>
                <w:rFonts w:ascii="Arial" w:cs="Arial" w:eastAsia="Arial" w:hAnsi="Arial"/>
                <w:sz w:val="13"/>
                <w:szCs w:val="13"/>
                <w:i w:val="1"/>
                <w:iCs w:val="1"/>
                <w:color w:val="auto"/>
                <w:w w:val="95"/>
              </w:rPr>
              <w:t>YoY Growth (%)</w:t>
            </w:r>
          </w:p>
        </w:tc>
        <w:tc>
          <w:tcPr>
            <w:tcW w:w="4300" w:type="dxa"/>
            <w:vAlign w:val="bottom"/>
          </w:tcPr>
          <w:p>
            <w:pPr>
              <w:jc w:val="center"/>
              <w:spacing w:after="0"/>
              <w:rPr>
                <w:sz w:val="20"/>
                <w:szCs w:val="20"/>
                <w:color w:val="auto"/>
              </w:rPr>
            </w:pPr>
            <w:r>
              <w:rPr>
                <w:rFonts w:ascii="Arial" w:cs="Arial" w:eastAsia="Arial" w:hAnsi="Arial"/>
                <w:sz w:val="13"/>
                <w:szCs w:val="13"/>
                <w:i w:val="1"/>
                <w:iCs w:val="1"/>
                <w:color w:val="auto"/>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181610</wp:posOffset>
            </wp:positionV>
            <wp:extent cx="5417820" cy="3008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1782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increased by $16.2 million and $9.2 million during the three and nine months ended September 30, 2021, respectively, when compared to the same periods in 2020, driven largely by the following:</w:t>
      </w:r>
    </w:p>
    <w:p>
      <w:pPr>
        <w:spacing w:after="0" w:line="144" w:lineRule="exact"/>
        <w:rPr>
          <w:sz w:val="20"/>
          <w:szCs w:val="20"/>
          <w:color w:val="auto"/>
        </w:rPr>
      </w:pPr>
    </w:p>
    <w:p>
      <w:pPr>
        <w:jc w:val="both"/>
        <w:ind w:left="700" w:right="20" w:hanging="373"/>
        <w:spacing w:after="0" w:line="200" w:lineRule="auto"/>
        <w:tabs>
          <w:tab w:leader="none" w:pos="70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Growth in recurring revenue related to increases in transactional revenue from the continued shift toward virtual fundraising and online charitable giving and, to a lesser extent, early progress in initiatives to bring our pricing in line with the market; also included in the increases in total revenue are increases related to fluctuations in foreign currency exchange rates of $1.9 million and $7.8 million, respectively</w:t>
      </w:r>
    </w:p>
    <w:p>
      <w:pPr>
        <w:spacing w:after="0" w:line="56" w:lineRule="exact"/>
        <w:rPr>
          <w:sz w:val="20"/>
          <w:szCs w:val="20"/>
          <w:color w:val="auto"/>
        </w:rPr>
      </w:pPr>
    </w:p>
    <w:p>
      <w:pPr>
        <w:jc w:val="both"/>
        <w:ind w:left="700" w:right="20" w:hanging="359"/>
        <w:spacing w:after="0" w:line="256" w:lineRule="auto"/>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Decreases in one-time consulting revenue due primarily to less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spacing w:after="0" w:line="40" w:lineRule="exact"/>
        <w:rPr>
          <w:sz w:val="20"/>
          <w:szCs w:val="20"/>
          <w:color w:val="auto"/>
        </w:rPr>
      </w:pPr>
    </w:p>
    <w:p>
      <w:pPr>
        <w:ind w:left="700" w:hanging="351"/>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one-time analytics revenue as analytics are generally integrated in our cloud solutions</w:t>
      </w:r>
    </w:p>
    <w:p>
      <w:pPr>
        <w:spacing w:after="0" w:line="2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additional information on the impact of foreign currency fluctuations on our financial results, see Foreign Currency Exchange Rates below on page 44.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24</w:t>
      </w:r>
      <w:r>
        <w:rPr>
          <w:sz w:val="20"/>
          <w:szCs w:val="20"/>
          <w:color w:val="auto"/>
        </w:rPr>
        <w:tab/>
      </w:r>
      <w:r>
        <w:rPr>
          <w:sz w:val="1"/>
          <w:szCs w:val="1"/>
          <w:color w:val="auto"/>
        </w:rPr>
        <w:drawing>
          <wp:inline distT="0" distB="0" distL="0" distR="0">
            <wp:extent cx="651510" cy="1714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from operations increased by $1.8 million during the three months ended September 30, 2021, when compared to the same period in 2020, driven largely by the following:</w:t>
      </w:r>
    </w:p>
    <w:p>
      <w:pPr>
        <w:spacing w:after="0" w:line="90" w:lineRule="exact"/>
        <w:rPr>
          <w:sz w:val="20"/>
          <w:szCs w:val="20"/>
          <w:color w:val="auto"/>
        </w:rPr>
      </w:pPr>
    </w:p>
    <w:p>
      <w:pPr>
        <w:ind w:left="700" w:hanging="373"/>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total revenue, as described above</w:t>
      </w:r>
    </w:p>
    <w:p>
      <w:pPr>
        <w:spacing w:after="0" w:line="117" w:lineRule="exact"/>
        <w:rPr>
          <w:rFonts w:ascii="Arial" w:cs="Arial" w:eastAsia="Arial" w:hAnsi="Arial"/>
          <w:sz w:val="18"/>
          <w:szCs w:val="18"/>
          <w:color w:val="auto"/>
        </w:rPr>
      </w:pPr>
    </w:p>
    <w:p>
      <w:pPr>
        <w:ind w:left="700" w:right="20" w:hanging="373"/>
        <w:spacing w:after="0"/>
        <w:tabs>
          <w:tab w:leader="none" w:pos="700" w:val="left"/>
        </w:tabs>
        <w:numPr>
          <w:ilvl w:val="0"/>
          <w:numId w:val="20"/>
        </w:numPr>
        <w:rPr>
          <w:rFonts w:ascii="Arial" w:cs="Arial" w:eastAsia="Arial" w:hAnsi="Arial"/>
          <w:sz w:val="34"/>
          <w:szCs w:val="34"/>
          <w:color w:val="auto"/>
          <w:vertAlign w:val="superscript"/>
        </w:rPr>
      </w:pPr>
      <w:r>
        <w:rPr>
          <w:rFonts w:ascii="Arial" w:cs="Arial" w:eastAsia="Arial" w:hAnsi="Arial"/>
          <w:sz w:val="17"/>
          <w:szCs w:val="17"/>
          <w:color w:val="auto"/>
        </w:rPr>
        <w:t>Decrease in restructuring and other real estate costs of $7.4 million due to our workforce strategy changes made in the third quarter of 2020</w:t>
      </w:r>
    </w:p>
    <w:p>
      <w:pPr>
        <w:spacing w:after="0" w:line="149" w:lineRule="exact"/>
        <w:rPr>
          <w:rFonts w:ascii="Arial" w:cs="Arial" w:eastAsia="Arial" w:hAnsi="Arial"/>
          <w:sz w:val="34"/>
          <w:szCs w:val="34"/>
          <w:color w:val="auto"/>
          <w:vertAlign w:val="superscript"/>
        </w:rPr>
      </w:pPr>
    </w:p>
    <w:p>
      <w:pPr>
        <w:jc w:val="both"/>
        <w:ind w:left="700" w:right="20" w:hanging="373"/>
        <w:spacing w:after="0" w:line="188" w:lineRule="auto"/>
        <w:tabs>
          <w:tab w:leader="none" w:pos="70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Decrease in rent expense of $2.3 million related to the purchase of our global headquarters facility during the third quarter of 2020 and our exit of certain other office leases globally during the second half of 2020 in-line with the changes to our workforce strategy at that time</w:t>
      </w:r>
    </w:p>
    <w:p>
      <w:pPr>
        <w:ind w:left="700" w:hanging="351"/>
        <w:spacing w:after="0" w:line="188" w:lineRule="auto"/>
        <w:tabs>
          <w:tab w:leader="none" w:pos="700" w:val="left"/>
        </w:tabs>
        <w:numPr>
          <w:ilvl w:val="0"/>
          <w:numId w:val="21"/>
        </w:numPr>
        <w:rPr>
          <w:rFonts w:ascii="Arial" w:cs="Arial" w:eastAsia="Arial" w:hAnsi="Arial"/>
          <w:sz w:val="36"/>
          <w:szCs w:val="36"/>
          <w:color w:val="auto"/>
          <w:vertAlign w:val="superscript"/>
        </w:rPr>
      </w:pPr>
      <w:r>
        <w:rPr>
          <w:rFonts w:ascii="Arial" w:cs="Arial" w:eastAsia="Arial" w:hAnsi="Arial"/>
          <w:sz w:val="18"/>
          <w:szCs w:val="18"/>
          <w:color w:val="auto"/>
        </w:rPr>
        <w:t>Increase in stock-based compensation expense of $8.1 million primarily due to:</w:t>
      </w:r>
    </w:p>
    <w:p>
      <w:pPr>
        <w:spacing w:after="0" w:line="53" w:lineRule="exact"/>
        <w:rPr>
          <w:rFonts w:ascii="Arial" w:cs="Arial" w:eastAsia="Arial" w:hAnsi="Arial"/>
          <w:sz w:val="36"/>
          <w:szCs w:val="36"/>
          <w:color w:val="auto"/>
          <w:vertAlign w:val="superscript"/>
        </w:rPr>
      </w:pPr>
    </w:p>
    <w:p>
      <w:pPr>
        <w:ind w:left="1340" w:right="320" w:hanging="315"/>
        <w:spacing w:after="0" w:line="261" w:lineRule="auto"/>
        <w:tabs>
          <w:tab w:leader="none" w:pos="13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Certain changes to our compensation program that are expected to cause stock-based compensation expense to remain higher than historical levels, including</w:t>
      </w:r>
    </w:p>
    <w:p>
      <w:pPr>
        <w:spacing w:after="0" w:line="35" w:lineRule="exact"/>
        <w:rPr>
          <w:rFonts w:ascii="Arial" w:cs="Arial" w:eastAsia="Arial" w:hAnsi="Arial"/>
          <w:sz w:val="18"/>
          <w:szCs w:val="18"/>
          <w:color w:val="auto"/>
        </w:rPr>
      </w:pPr>
    </w:p>
    <w:p>
      <w:pPr>
        <w:ind w:left="2000" w:right="300" w:hanging="327"/>
        <w:spacing w:after="0" w:line="261" w:lineRule="auto"/>
        <w:tabs>
          <w:tab w:leader="none" w:pos="1996" w:val="left"/>
        </w:tabs>
        <w:numPr>
          <w:ilvl w:val="2"/>
          <w:numId w:val="21"/>
        </w:numPr>
        <w:rPr>
          <w:rFonts w:ascii="Arial" w:cs="Arial" w:eastAsia="Arial" w:hAnsi="Arial"/>
          <w:sz w:val="18"/>
          <w:szCs w:val="18"/>
          <w:color w:val="auto"/>
        </w:rPr>
      </w:pPr>
      <w:r>
        <w:rPr>
          <w:rFonts w:ascii="Arial" w:cs="Arial" w:eastAsia="Arial" w:hAnsi="Arial"/>
          <w:sz w:val="18"/>
          <w:szCs w:val="18"/>
          <w:color w:val="auto"/>
        </w:rPr>
        <w:t>decrease in the vesting period for our annual long-term incentive time-based equity awards from 4 years (1/4 per year) to 3 years (1/3 per year), beginning in February 2021; and</w:t>
      </w:r>
    </w:p>
    <w:p>
      <w:pPr>
        <w:spacing w:after="0" w:line="35" w:lineRule="exact"/>
        <w:rPr>
          <w:rFonts w:ascii="Arial" w:cs="Arial" w:eastAsia="Arial" w:hAnsi="Arial"/>
          <w:sz w:val="18"/>
          <w:szCs w:val="18"/>
          <w:color w:val="auto"/>
        </w:rPr>
      </w:pPr>
    </w:p>
    <w:p>
      <w:pPr>
        <w:ind w:left="2000" w:hanging="327"/>
        <w:spacing w:after="0"/>
        <w:tabs>
          <w:tab w:leader="none" w:pos="20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replacement of cash sign-on and retention bonuses with time-based equity awards.</w:t>
      </w:r>
    </w:p>
    <w:p>
      <w:pPr>
        <w:spacing w:after="0" w:line="63" w:lineRule="exact"/>
        <w:rPr>
          <w:rFonts w:ascii="Arial" w:cs="Arial" w:eastAsia="Arial" w:hAnsi="Arial"/>
          <w:sz w:val="18"/>
          <w:szCs w:val="18"/>
          <w:color w:val="auto"/>
        </w:rPr>
      </w:pPr>
    </w:p>
    <w:p>
      <w:pPr>
        <w:ind w:left="1320" w:hanging="295"/>
        <w:spacing w:after="0"/>
        <w:tabs>
          <w:tab w:leader="none" w:pos="13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Increases in the grant date fair values of our annual equity awards granted to employees; and</w:t>
      </w:r>
    </w:p>
    <w:p>
      <w:pPr>
        <w:spacing w:after="0" w:line="63" w:lineRule="exact"/>
        <w:rPr>
          <w:rFonts w:ascii="Arial" w:cs="Arial" w:eastAsia="Arial" w:hAnsi="Arial"/>
          <w:sz w:val="18"/>
          <w:szCs w:val="18"/>
          <w:color w:val="auto"/>
        </w:rPr>
      </w:pPr>
    </w:p>
    <w:p>
      <w:pPr>
        <w:ind w:left="1320" w:hanging="295"/>
        <w:spacing w:after="0"/>
        <w:tabs>
          <w:tab w:leader="none" w:pos="13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Overall year-to-date Company performance against 2021 goals.</w:t>
      </w:r>
    </w:p>
    <w:p>
      <w:pPr>
        <w:spacing w:after="0" w:line="9" w:lineRule="exact"/>
        <w:rPr>
          <w:rFonts w:ascii="Arial" w:cs="Arial" w:eastAsia="Arial" w:hAnsi="Arial"/>
          <w:sz w:val="18"/>
          <w:szCs w:val="18"/>
          <w:color w:val="auto"/>
        </w:rPr>
      </w:pPr>
    </w:p>
    <w:p>
      <w:pPr>
        <w:ind w:left="700" w:hanging="351"/>
        <w:spacing w:after="0" w:line="187" w:lineRule="auto"/>
        <w:tabs>
          <w:tab w:leader="none" w:pos="700" w:val="left"/>
        </w:tabs>
        <w:numPr>
          <w:ilvl w:val="0"/>
          <w:numId w:val="21"/>
        </w:numPr>
        <w:rPr>
          <w:rFonts w:ascii="Arial" w:cs="Arial" w:eastAsia="Arial" w:hAnsi="Arial"/>
          <w:sz w:val="36"/>
          <w:szCs w:val="36"/>
          <w:color w:val="auto"/>
          <w:vertAlign w:val="superscript"/>
        </w:rPr>
      </w:pPr>
      <w:r>
        <w:rPr>
          <w:rFonts w:ascii="Arial" w:cs="Arial" w:eastAsia="Arial" w:hAnsi="Arial"/>
          <w:sz w:val="18"/>
          <w:szCs w:val="18"/>
          <w:color w:val="auto"/>
        </w:rPr>
        <w:t>Increase in transaction-based costs of $5.5 million related to payment services integrated in our cloud solutions</w:t>
      </w:r>
    </w:p>
    <w:p>
      <w:pPr>
        <w:spacing w:after="0" w:line="108" w:lineRule="exact"/>
        <w:rPr>
          <w:rFonts w:ascii="Arial" w:cs="Arial" w:eastAsia="Arial" w:hAnsi="Arial"/>
          <w:sz w:val="36"/>
          <w:szCs w:val="36"/>
          <w:color w:val="auto"/>
          <w:vertAlign w:val="superscript"/>
        </w:rPr>
      </w:pPr>
    </w:p>
    <w:p>
      <w:pPr>
        <w:ind w:left="700" w:right="20" w:hanging="351"/>
        <w:spacing w:after="0" w:line="180" w:lineRule="auto"/>
        <w:tabs>
          <w:tab w:leader="none" w:pos="700" w:val="left"/>
        </w:tabs>
        <w:numPr>
          <w:ilvl w:val="0"/>
          <w:numId w:val="21"/>
        </w:numPr>
        <w:rPr>
          <w:rFonts w:ascii="Arial" w:cs="Arial" w:eastAsia="Arial" w:hAnsi="Arial"/>
          <w:sz w:val="33"/>
          <w:szCs w:val="33"/>
          <w:color w:val="auto"/>
          <w:vertAlign w:val="superscript"/>
        </w:rPr>
      </w:pPr>
      <w:r>
        <w:rPr>
          <w:rFonts w:ascii="Arial" w:cs="Arial" w:eastAsia="Arial" w:hAnsi="Arial"/>
          <w:sz w:val="17"/>
          <w:szCs w:val="17"/>
          <w:color w:val="auto"/>
        </w:rPr>
        <w:t>Increase in third-party contractor costs of $4.1 million as we continue to migrate our cloud infrastructure to leading public cloud service providers and invest in security</w:t>
      </w:r>
    </w:p>
    <w:p>
      <w:pPr>
        <w:spacing w:after="0" w:line="108" w:lineRule="exact"/>
        <w:rPr>
          <w:rFonts w:ascii="Arial" w:cs="Arial" w:eastAsia="Arial" w:hAnsi="Arial"/>
          <w:sz w:val="33"/>
          <w:szCs w:val="33"/>
          <w:color w:val="auto"/>
          <w:vertAlign w:val="superscript"/>
        </w:rPr>
      </w:pPr>
    </w:p>
    <w:p>
      <w:pPr>
        <w:ind w:left="700" w:right="40" w:hanging="351"/>
        <w:spacing w:after="0" w:line="180" w:lineRule="auto"/>
        <w:tabs>
          <w:tab w:leader="none" w:pos="700" w:val="left"/>
        </w:tabs>
        <w:numPr>
          <w:ilvl w:val="0"/>
          <w:numId w:val="21"/>
        </w:numPr>
        <w:rPr>
          <w:rFonts w:ascii="Arial" w:cs="Arial" w:eastAsia="Arial" w:hAnsi="Arial"/>
          <w:sz w:val="33"/>
          <w:szCs w:val="33"/>
          <w:color w:val="auto"/>
          <w:vertAlign w:val="superscript"/>
        </w:rPr>
      </w:pPr>
      <w:r>
        <w:rPr>
          <w:rFonts w:ascii="Arial" w:cs="Arial" w:eastAsia="Arial" w:hAnsi="Arial"/>
          <w:sz w:val="17"/>
          <w:szCs w:val="17"/>
          <w:color w:val="auto"/>
        </w:rPr>
        <w:t>Increase in compensation costs other than stock-based compensation of $3.9 million primarily due to base salary merit increases in July 2021 and the return of our 401(k)-match program effective January 1, 2021</w:t>
      </w:r>
    </w:p>
    <w:p>
      <w:pPr>
        <w:spacing w:after="0" w:line="108" w:lineRule="exact"/>
        <w:rPr>
          <w:rFonts w:ascii="Arial" w:cs="Arial" w:eastAsia="Arial" w:hAnsi="Arial"/>
          <w:sz w:val="33"/>
          <w:szCs w:val="33"/>
          <w:color w:val="auto"/>
          <w:vertAlign w:val="superscript"/>
        </w:rPr>
      </w:pPr>
    </w:p>
    <w:p>
      <w:pPr>
        <w:ind w:left="700" w:right="20" w:hanging="351"/>
        <w:spacing w:after="0" w:line="180" w:lineRule="auto"/>
        <w:tabs>
          <w:tab w:leader="none" w:pos="700" w:val="left"/>
        </w:tabs>
        <w:numPr>
          <w:ilvl w:val="0"/>
          <w:numId w:val="21"/>
        </w:numPr>
        <w:rPr>
          <w:rFonts w:ascii="Arial" w:cs="Arial" w:eastAsia="Arial" w:hAnsi="Arial"/>
          <w:sz w:val="33"/>
          <w:szCs w:val="33"/>
          <w:color w:val="auto"/>
          <w:vertAlign w:val="superscript"/>
        </w:rPr>
      </w:pPr>
      <w:r>
        <w:rPr>
          <w:rFonts w:ascii="Arial" w:cs="Arial" w:eastAsia="Arial" w:hAnsi="Arial"/>
          <w:sz w:val="17"/>
          <w:szCs w:val="17"/>
          <w:color w:val="auto"/>
        </w:rPr>
        <w:t>Increase in marketing costs of $1.3 million primarily due to incremental spending on advertising campaigns and, to a lesser extent, investments in digital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300990</wp:posOffset>
            </wp:positionV>
            <wp:extent cx="65976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from operations decreased by $6.6 million during the nine months ended September 30, 2021, when compared to the same period in 2020, driven largely by the following:</w:t>
      </w:r>
    </w:p>
    <w:p>
      <w:pPr>
        <w:spacing w:after="0" w:line="55" w:lineRule="exact"/>
        <w:rPr>
          <w:sz w:val="20"/>
          <w:szCs w:val="20"/>
          <w:color w:val="auto"/>
        </w:rPr>
      </w:pPr>
    </w:p>
    <w:p>
      <w:pPr>
        <w:ind w:left="700" w:hanging="445"/>
        <w:spacing w:after="0"/>
        <w:tabs>
          <w:tab w:leader="none" w:pos="7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Increase in stock-based compensation expense of $34.9 million, respectively, due to:</w:t>
      </w:r>
    </w:p>
    <w:p>
      <w:pPr>
        <w:spacing w:after="0" w:line="53" w:lineRule="exact"/>
        <w:rPr>
          <w:rFonts w:ascii="Arial" w:cs="Arial" w:eastAsia="Arial" w:hAnsi="Arial"/>
          <w:sz w:val="36"/>
          <w:szCs w:val="36"/>
          <w:color w:val="auto"/>
          <w:vertAlign w:val="superscript"/>
        </w:rPr>
      </w:pPr>
    </w:p>
    <w:p>
      <w:pPr>
        <w:ind w:left="1340" w:right="320" w:hanging="315"/>
        <w:spacing w:after="0" w:line="261" w:lineRule="auto"/>
        <w:tabs>
          <w:tab w:leader="none" w:pos="13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Certain changes to our compensation program that are expected to cause stock-based compensation expense to remain higher than historical levels, including</w:t>
      </w:r>
    </w:p>
    <w:p>
      <w:pPr>
        <w:spacing w:after="0" w:line="35" w:lineRule="exact"/>
        <w:rPr>
          <w:rFonts w:ascii="Arial" w:cs="Arial" w:eastAsia="Arial" w:hAnsi="Arial"/>
          <w:sz w:val="18"/>
          <w:szCs w:val="18"/>
          <w:color w:val="auto"/>
        </w:rPr>
      </w:pPr>
    </w:p>
    <w:p>
      <w:pPr>
        <w:ind w:left="2000" w:hanging="327"/>
        <w:spacing w:after="0"/>
        <w:tabs>
          <w:tab w:leader="none" w:pos="20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replacement of our annual cash bonus plans with a short-term performance-based equity award plan</w:t>
      </w:r>
    </w:p>
    <w:p>
      <w:pPr>
        <w:spacing w:after="0" w:line="63" w:lineRule="exact"/>
        <w:rPr>
          <w:rFonts w:ascii="Arial" w:cs="Arial" w:eastAsia="Arial" w:hAnsi="Arial"/>
          <w:sz w:val="18"/>
          <w:szCs w:val="18"/>
          <w:color w:val="auto"/>
        </w:rPr>
      </w:pPr>
    </w:p>
    <w:p>
      <w:pPr>
        <w:ind w:left="2000" w:right="300" w:hanging="327"/>
        <w:spacing w:after="0" w:line="261" w:lineRule="auto"/>
        <w:tabs>
          <w:tab w:leader="none" w:pos="1996"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decrease in the vesting period for our annual long-term incentive time-based equity awards from 4 years (1/4 per year) to 3 years (1/3 per year), beginning in February 2021; and</w:t>
      </w:r>
    </w:p>
    <w:p>
      <w:pPr>
        <w:spacing w:after="0" w:line="35" w:lineRule="exact"/>
        <w:rPr>
          <w:rFonts w:ascii="Arial" w:cs="Arial" w:eastAsia="Arial" w:hAnsi="Arial"/>
          <w:sz w:val="18"/>
          <w:szCs w:val="18"/>
          <w:color w:val="auto"/>
        </w:rPr>
      </w:pPr>
    </w:p>
    <w:p>
      <w:pPr>
        <w:ind w:left="2000" w:hanging="327"/>
        <w:spacing w:after="0"/>
        <w:tabs>
          <w:tab w:leader="none" w:pos="20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replacement of cash sign-on and retention bonuses with time-based equity awards.</w:t>
      </w:r>
    </w:p>
    <w:p>
      <w:pPr>
        <w:spacing w:after="0" w:line="63" w:lineRule="exact"/>
        <w:rPr>
          <w:rFonts w:ascii="Arial" w:cs="Arial" w:eastAsia="Arial" w:hAnsi="Arial"/>
          <w:sz w:val="18"/>
          <w:szCs w:val="18"/>
          <w:color w:val="auto"/>
        </w:rPr>
      </w:pPr>
    </w:p>
    <w:p>
      <w:pPr>
        <w:ind w:left="1320" w:hanging="295"/>
        <w:spacing w:after="0"/>
        <w:tabs>
          <w:tab w:leader="none" w:pos="13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Increases in the grant date fair values of our annual equity awards granted to employees; and</w:t>
      </w:r>
    </w:p>
    <w:p>
      <w:pPr>
        <w:spacing w:after="0" w:line="63" w:lineRule="exact"/>
        <w:rPr>
          <w:rFonts w:ascii="Arial" w:cs="Arial" w:eastAsia="Arial" w:hAnsi="Arial"/>
          <w:sz w:val="18"/>
          <w:szCs w:val="18"/>
          <w:color w:val="auto"/>
        </w:rPr>
      </w:pPr>
    </w:p>
    <w:p>
      <w:pPr>
        <w:ind w:left="1320" w:hanging="295"/>
        <w:spacing w:after="0"/>
        <w:tabs>
          <w:tab w:leader="none" w:pos="13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Overall Company performance against 2020 and year-to-date Company performance against 2021 goals.</w:t>
      </w:r>
    </w:p>
    <w:p>
      <w:pPr>
        <w:spacing w:after="0" w:line="9" w:lineRule="exact"/>
        <w:rPr>
          <w:rFonts w:ascii="Arial" w:cs="Arial" w:eastAsia="Arial" w:hAnsi="Arial"/>
          <w:sz w:val="18"/>
          <w:szCs w:val="18"/>
          <w:color w:val="auto"/>
        </w:rPr>
      </w:pPr>
    </w:p>
    <w:p>
      <w:pPr>
        <w:ind w:left="700" w:hanging="445"/>
        <w:spacing w:after="0" w:line="187" w:lineRule="auto"/>
        <w:tabs>
          <w:tab w:leader="none" w:pos="7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Increase in transaction-based costs of $7.1 million related to payment services integrated in our cloud solutions</w:t>
      </w:r>
    </w:p>
    <w:p>
      <w:pPr>
        <w:spacing w:after="0" w:line="108" w:lineRule="exact"/>
        <w:rPr>
          <w:rFonts w:ascii="Arial" w:cs="Arial" w:eastAsia="Arial" w:hAnsi="Arial"/>
          <w:sz w:val="36"/>
          <w:szCs w:val="36"/>
          <w:color w:val="auto"/>
          <w:vertAlign w:val="superscript"/>
        </w:rPr>
      </w:pPr>
    </w:p>
    <w:p>
      <w:pPr>
        <w:ind w:left="700" w:right="500" w:hanging="445"/>
        <w:spacing w:after="0" w:line="180" w:lineRule="auto"/>
        <w:tabs>
          <w:tab w:leader="none" w:pos="700" w:val="left"/>
        </w:tabs>
        <w:numPr>
          <w:ilvl w:val="0"/>
          <w:numId w:val="22"/>
        </w:numPr>
        <w:rPr>
          <w:rFonts w:ascii="Arial" w:cs="Arial" w:eastAsia="Arial" w:hAnsi="Arial"/>
          <w:sz w:val="33"/>
          <w:szCs w:val="33"/>
          <w:color w:val="auto"/>
          <w:vertAlign w:val="superscript"/>
        </w:rPr>
      </w:pPr>
      <w:r>
        <w:rPr>
          <w:rFonts w:ascii="Arial" w:cs="Arial" w:eastAsia="Arial" w:hAnsi="Arial"/>
          <w:sz w:val="17"/>
          <w:szCs w:val="17"/>
          <w:color w:val="auto"/>
        </w:rPr>
        <w:t>Increase in marketing costs of $2.7 million primarily due to investments in digital marketing and, to a lesser extent, incremental spending on advertising campaigns</w:t>
      </w:r>
    </w:p>
    <w:p>
      <w:pPr>
        <w:spacing w:after="0" w:line="108" w:lineRule="exact"/>
        <w:rPr>
          <w:rFonts w:ascii="Arial" w:cs="Arial" w:eastAsia="Arial" w:hAnsi="Arial"/>
          <w:sz w:val="33"/>
          <w:szCs w:val="33"/>
          <w:color w:val="auto"/>
          <w:vertAlign w:val="superscript"/>
        </w:rPr>
      </w:pPr>
    </w:p>
    <w:p>
      <w:pPr>
        <w:ind w:left="700" w:right="440" w:hanging="445"/>
        <w:spacing w:after="0" w:line="180" w:lineRule="auto"/>
        <w:tabs>
          <w:tab w:leader="none" w:pos="700" w:val="left"/>
        </w:tabs>
        <w:numPr>
          <w:ilvl w:val="0"/>
          <w:numId w:val="22"/>
        </w:numPr>
        <w:rPr>
          <w:rFonts w:ascii="Arial" w:cs="Arial" w:eastAsia="Arial" w:hAnsi="Arial"/>
          <w:sz w:val="33"/>
          <w:szCs w:val="33"/>
          <w:color w:val="auto"/>
          <w:vertAlign w:val="superscript"/>
        </w:rPr>
      </w:pPr>
      <w:r>
        <w:rPr>
          <w:rFonts w:ascii="Arial" w:cs="Arial" w:eastAsia="Arial" w:hAnsi="Arial"/>
          <w:sz w:val="17"/>
          <w:szCs w:val="17"/>
          <w:color w:val="auto"/>
        </w:rPr>
        <w:t>Increases in third-party contractor and hosting costs of $2.5 million and $2.1 million, respectively, as we continue to migrate our cloud infrastructure to leading public cloud service providers and invest in security</w:t>
      </w:r>
    </w:p>
    <w:p>
      <w:pPr>
        <w:spacing w:after="0" w:line="108" w:lineRule="exact"/>
        <w:rPr>
          <w:rFonts w:ascii="Arial" w:cs="Arial" w:eastAsia="Arial" w:hAnsi="Arial"/>
          <w:sz w:val="33"/>
          <w:szCs w:val="33"/>
          <w:color w:val="auto"/>
          <w:vertAlign w:val="superscript"/>
        </w:rPr>
      </w:pPr>
    </w:p>
    <w:p>
      <w:pPr>
        <w:ind w:left="700" w:right="200" w:hanging="445"/>
        <w:spacing w:after="0" w:line="180" w:lineRule="auto"/>
        <w:tabs>
          <w:tab w:leader="none" w:pos="700" w:val="left"/>
        </w:tabs>
        <w:numPr>
          <w:ilvl w:val="0"/>
          <w:numId w:val="22"/>
        </w:numPr>
        <w:rPr>
          <w:rFonts w:ascii="Arial" w:cs="Arial" w:eastAsia="Arial" w:hAnsi="Arial"/>
          <w:sz w:val="33"/>
          <w:szCs w:val="33"/>
          <w:color w:val="auto"/>
          <w:vertAlign w:val="superscript"/>
        </w:rPr>
      </w:pPr>
      <w:r>
        <w:rPr>
          <w:rFonts w:ascii="Arial" w:cs="Arial" w:eastAsia="Arial" w:hAnsi="Arial"/>
          <w:sz w:val="17"/>
          <w:szCs w:val="17"/>
          <w:color w:val="auto"/>
        </w:rPr>
        <w:t>Increase in corporate costs of $1.8 million primarily related to increases in third-party consulting fees and insurance costs, partially offset by a decrease in bad debt expense</w:t>
      </w:r>
    </w:p>
    <w:p>
      <w:pPr>
        <w:ind w:left="700" w:hanging="445"/>
        <w:spacing w:after="0" w:line="188"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Increase in total revenue, as described above</w:t>
      </w:r>
    </w:p>
    <w:p>
      <w:pPr>
        <w:spacing w:after="0" w:line="108" w:lineRule="exact"/>
        <w:rPr>
          <w:rFonts w:ascii="Arial" w:cs="Arial" w:eastAsia="Arial" w:hAnsi="Arial"/>
          <w:sz w:val="36"/>
          <w:szCs w:val="36"/>
          <w:color w:val="auto"/>
          <w:vertAlign w:val="superscript"/>
        </w:rPr>
      </w:pPr>
    </w:p>
    <w:p>
      <w:pPr>
        <w:jc w:val="both"/>
        <w:ind w:left="700" w:right="380" w:hanging="445"/>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Decrease in compensation costs other than stock-based compensation of $9.2 million primarily due to a decrease in headcount, partially offset by base salary merit increases in July 2021 and the return of our 401(k)-match program effective January 1, 2021</w:t>
      </w:r>
    </w:p>
    <w:p>
      <w:pPr>
        <w:spacing w:after="0" w:line="108" w:lineRule="exact"/>
        <w:rPr>
          <w:rFonts w:ascii="Arial" w:cs="Arial" w:eastAsia="Arial" w:hAnsi="Arial"/>
          <w:sz w:val="33"/>
          <w:szCs w:val="33"/>
          <w:color w:val="auto"/>
          <w:vertAlign w:val="superscript"/>
        </w:rPr>
      </w:pPr>
    </w:p>
    <w:p>
      <w:pPr>
        <w:jc w:val="both"/>
        <w:ind w:left="700" w:right="220" w:hanging="445"/>
        <w:spacing w:after="0" w:line="188"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Decrease in rent expense of $7.7 million related to the purchase of our global headquarters facility during the third quarter of 2020 and our exit of certain other office leases globally during the second half of 2020 in-line with the changes to our workforce strategy at that time</w:t>
      </w:r>
    </w:p>
    <w:p>
      <w:pPr>
        <w:ind w:left="700" w:hanging="445"/>
        <w:spacing w:after="0" w:line="187"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Decrease in real estate activity costs of $7.4 million due to our workforce strategy changes made in the third quarter of 2020</w:t>
      </w:r>
    </w:p>
    <w:p>
      <w:pPr>
        <w:spacing w:after="0" w:line="108" w:lineRule="exact"/>
        <w:rPr>
          <w:rFonts w:ascii="Arial" w:cs="Arial" w:eastAsia="Arial" w:hAnsi="Arial"/>
          <w:sz w:val="36"/>
          <w:szCs w:val="36"/>
          <w:color w:val="auto"/>
          <w:vertAlign w:val="superscript"/>
        </w:rPr>
      </w:pPr>
    </w:p>
    <w:p>
      <w:pPr>
        <w:ind w:left="700" w:hanging="445"/>
        <w:spacing w:after="0" w:line="181" w:lineRule="auto"/>
        <w:tabs>
          <w:tab w:leader="none" w:pos="700" w:val="left"/>
        </w:tabs>
        <w:numPr>
          <w:ilvl w:val="0"/>
          <w:numId w:val="23"/>
        </w:numPr>
        <w:rPr>
          <w:rFonts w:ascii="Arial" w:cs="Arial" w:eastAsia="Arial" w:hAnsi="Arial"/>
          <w:sz w:val="25"/>
          <w:szCs w:val="25"/>
          <w:color w:val="auto"/>
          <w:vertAlign w:val="superscript"/>
        </w:rPr>
      </w:pPr>
      <w:r>
        <w:rPr>
          <w:rFonts w:ascii="Arial" w:cs="Arial" w:eastAsia="Arial" w:hAnsi="Arial"/>
          <w:sz w:val="14"/>
          <w:szCs w:val="14"/>
          <w:color w:val="auto"/>
        </w:rPr>
        <w:t>Decrease in amortization of intangible assets from business combinations of $3.8 million</w:t>
      </w:r>
    </w:p>
    <w:p>
      <w:pPr>
        <w:spacing w:after="0" w:line="107" w:lineRule="exact"/>
        <w:rPr>
          <w:rFonts w:ascii="Arial" w:cs="Arial" w:eastAsia="Arial" w:hAnsi="Arial"/>
          <w:sz w:val="25"/>
          <w:szCs w:val="25"/>
          <w:color w:val="auto"/>
          <w:vertAlign w:val="superscript"/>
        </w:rPr>
      </w:pPr>
    </w:p>
    <w:p>
      <w:pPr>
        <w:ind w:left="700" w:right="720" w:hanging="445"/>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Decrease in travel costs of $3.5 million due to our restriction on non-essential employee travel in response to the COVID-19 pandemic</w:t>
      </w:r>
    </w:p>
    <w:p>
      <w:pPr>
        <w:spacing w:after="0" w:line="108" w:lineRule="exact"/>
        <w:rPr>
          <w:rFonts w:ascii="Arial" w:cs="Arial" w:eastAsia="Arial" w:hAnsi="Arial"/>
          <w:sz w:val="33"/>
          <w:szCs w:val="33"/>
          <w:color w:val="auto"/>
          <w:vertAlign w:val="superscript"/>
        </w:rPr>
      </w:pPr>
    </w:p>
    <w:p>
      <w:pPr>
        <w:ind w:left="700" w:right="380" w:hanging="445"/>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Decrease in employee severance of $3.1 million, related to a modest and targeted headcount reduction during the three months ended June 30, 2020, in response to the COVID-19 pandemic</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continuing to make critical investments in the business in areas such as digital marketing, engineering, security, customer success and our continued shift of cloud infrastructure to leading public cloud service providers. While we are making good progress, some of these investments are likely to push into early 2022, particularly in areas where we are increasing headcount.</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26</w:t>
      </w:r>
      <w:r>
        <w:rPr>
          <w:sz w:val="20"/>
          <w:szCs w:val="20"/>
          <w:color w:val="auto"/>
        </w:rPr>
        <w:tab/>
      </w:r>
      <w:r>
        <w:rPr>
          <w:sz w:val="1"/>
          <w:szCs w:val="1"/>
          <w:color w:val="auto"/>
        </w:rPr>
        <w:drawing>
          <wp:inline distT="0" distB="0" distL="0" distR="0">
            <wp:extent cx="651510" cy="17145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7260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206375</wp:posOffset>
            </wp:positionV>
            <wp:extent cx="2280285" cy="131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service customer contracts provides a better representation of our customers' overall behavior. For the twelve months ended September 30, 2021, approximately 93% of our customers with recurring revenue contracts were retained. This customer retention rate is materially unchanged from our rate for the full year ended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and cash flow</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2021, our cash and cash equivalents were $27.6 million and the carrying amount of our debt under the 2020 Credit Facility was $465.9 million. Our net leverage ratio was 1.70 to 1.00.</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nine months ended September 30, 2021, we generated $169.8 million in cash from operations, had a net decrease in borrowings of $3.0 million, returned $ 98.4 million to stockholders by way of share repurchases and had aggregate cash outlays of $38.0 million for purchases of property and equipment and capitalized software development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Incident update</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in Note 9 to our unaudited, condensed consolidated financial statements included in this report, we believe that total costs related to the Security Incident will exceed the limits of our insurance coverage during the fourth quarter of 2021. Accordingly, we expect that the Security Incident could negatively impact our GAAP profitability and cash flow during the fourth quarter of 2021 and will negatively impact our GAAP profitability and cash flow for the foreseeable future. As we are currently unable to estimate the approximate amount or range of any such excess, we are unable to determine the effect the Security Incident will have on our results of operations, cash flows, or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 - workforce strategy actions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October 2021, we made the decision to permanently close our fixed office locations (with the exception of our global headquarters facility in Charleston, South Carolina), effective December 1, 2021. This change was intended to align our real estate footprint with our transition to a remote-first workforce. We may enter into arrangements for smaller more flexible workspaces where necessary. We currently expect to incur between $13.0 million and $14.0 million of pre-tax costs related to these actions during the fourth quarter of 2021. We expect that the costs associated with these actions will be largely noncash impairment charges, primarily for operating lease ROU assets in the office locations we have determined to exit. These actions are expected to result in future annual before-tax expense savings of between approximately $3.0 million and $5.0 million beginning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226060</wp:posOffset>
            </wp:positionV>
            <wp:extent cx="65976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of Revenue</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Recurring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9"/>
              </w:rPr>
              <w:t>Gross profit ($M)</w:t>
            </w:r>
          </w:p>
        </w:tc>
      </w:tr>
      <w:tr>
        <w:trPr>
          <w:trHeight w:val="235"/>
        </w:trPr>
        <w:tc>
          <w:tcPr>
            <w:tcW w:w="320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9"/>
              </w:rPr>
              <w:t>Revenue ($M)</w:t>
            </w:r>
          </w:p>
        </w:tc>
        <w:tc>
          <w:tcPr>
            <w:tcW w:w="31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9"/>
              </w:rPr>
              <w:t>Cost of revenue ($M)</w:t>
            </w:r>
          </w:p>
        </w:tc>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9"/>
              </w:rPr>
              <w:t>and gross margin (%)</w:t>
            </w:r>
          </w:p>
        </w:tc>
      </w:tr>
      <w:tr>
        <w:trPr>
          <w:trHeight w:val="27"/>
        </w:trPr>
        <w:tc>
          <w:tcPr>
            <w:tcW w:w="27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1"/>
        </w:trPr>
        <w:tc>
          <w:tcPr>
            <w:tcW w:w="3200" w:type="dxa"/>
            <w:vAlign w:val="bottom"/>
            <w:gridSpan w:val="2"/>
          </w:tcPr>
          <w:p>
            <w:pPr>
              <w:jc w:val="center"/>
              <w:ind w:right="420"/>
              <w:spacing w:after="0"/>
              <w:rPr>
                <w:sz w:val="20"/>
                <w:szCs w:val="20"/>
                <w:color w:val="auto"/>
              </w:rPr>
            </w:pPr>
            <w:r>
              <w:rPr>
                <w:rFonts w:ascii="Arial" w:cs="Arial" w:eastAsia="Arial" w:hAnsi="Arial"/>
                <w:sz w:val="13"/>
                <w:szCs w:val="13"/>
                <w:i w:val="1"/>
                <w:iCs w:val="1"/>
                <w:color w:val="auto"/>
                <w:w w:val="95"/>
              </w:rPr>
              <w:t>YoY Growth (%)</w:t>
            </w:r>
          </w:p>
        </w:tc>
        <w:tc>
          <w:tcPr>
            <w:tcW w:w="3140" w:type="dxa"/>
            <w:vAlign w:val="bottom"/>
            <w:gridSpan w:val="2"/>
          </w:tcPr>
          <w:p>
            <w:pPr>
              <w:jc w:val="center"/>
              <w:ind w:right="400"/>
              <w:spacing w:after="0"/>
              <w:rPr>
                <w:sz w:val="20"/>
                <w:szCs w:val="20"/>
                <w:color w:val="auto"/>
              </w:rPr>
            </w:pPr>
            <w:r>
              <w:rPr>
                <w:rFonts w:ascii="Arial" w:cs="Arial" w:eastAsia="Arial" w:hAnsi="Arial"/>
                <w:sz w:val="13"/>
                <w:szCs w:val="13"/>
                <w:i w:val="1"/>
                <w:iCs w:val="1"/>
                <w:color w:val="auto"/>
                <w:w w:val="95"/>
              </w:rPr>
              <w:t>YoY Growth (%)</w:t>
            </w:r>
          </w:p>
        </w:tc>
        <w:tc>
          <w:tcPr>
            <w:tcW w:w="2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812155" cy="3008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121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online training programs, subscription-based analytic services, such as donor acquisitions and data enrichment, and payment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28</w:t>
      </w:r>
      <w:r>
        <w:rPr>
          <w:sz w:val="20"/>
          <w:szCs w:val="20"/>
          <w:color w:val="auto"/>
        </w:rPr>
        <w:tab/>
      </w:r>
      <w:r>
        <w:rPr>
          <w:sz w:val="1"/>
          <w:szCs w:val="1"/>
          <w:color w:val="auto"/>
        </w:rPr>
        <w:drawing>
          <wp:inline distT="0" distB="0" distL="0" distR="0">
            <wp:extent cx="651510" cy="17145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Recurring revenue increased by $18.4 million, or 9.2%, and $21.0 million, or 3.4%, during the three and nine months ended September 30, 2021, when compared to the same periods in 2020, driven primarily by the following:</w:t>
      </w:r>
    </w:p>
    <w:p>
      <w:pPr>
        <w:spacing w:after="0" w:line="144" w:lineRule="exact"/>
        <w:rPr>
          <w:sz w:val="20"/>
          <w:szCs w:val="20"/>
          <w:color w:val="auto"/>
        </w:rPr>
      </w:pPr>
    </w:p>
    <w:p>
      <w:pPr>
        <w:jc w:val="both"/>
        <w:ind w:left="700" w:right="20" w:hanging="373"/>
        <w:spacing w:after="0" w:line="188" w:lineRule="auto"/>
        <w:tabs>
          <w:tab w:leader="none" w:pos="70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Increases in transactional revenue of $15.3 million and $15.9 million, respectively, primarily due to the continued shift toward virtual fundraising and online charitable giving; also included in the increases in transactional revenue are increases related to fluctuations in foreign currency exchange rates of $1.2 million and $4.2 million, respectively</w:t>
      </w:r>
    </w:p>
    <w:p>
      <w:pPr>
        <w:spacing w:after="0" w:line="107" w:lineRule="exact"/>
        <w:rPr>
          <w:rFonts w:ascii="Arial" w:cs="Arial" w:eastAsia="Arial" w:hAnsi="Arial"/>
          <w:sz w:val="36"/>
          <w:szCs w:val="36"/>
          <w:color w:val="auto"/>
          <w:vertAlign w:val="superscript"/>
        </w:rPr>
      </w:pPr>
    </w:p>
    <w:p>
      <w:pPr>
        <w:jc w:val="both"/>
        <w:ind w:left="700" w:right="20" w:hanging="373"/>
        <w:spacing w:after="0" w:line="200" w:lineRule="auto"/>
        <w:tabs>
          <w:tab w:leader="none" w:pos="70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Increases in contractual recurring revenue of $3.1 million and $5.1 million, respectively, related to the performance of our cloud solutions, partially offset by a decrease in maintenance revenue as customers migrate to our cloud solutions; also included in the increases in contractual recurring revenue are increases related to fluctuations in foreign currency exchange rates of $0.7 million and $3.6 million, respectively</w:t>
      </w:r>
    </w:p>
    <w:p>
      <w:pPr>
        <w:spacing w:after="0" w:line="28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additional information on the impact of foreign currency fluctuations on our financial results, see Foreign Currency Exchange Rates below on page 44.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Cost of recurring revenue increased by $11.6 million, or 13.7%, and $14.0 million, or 5.3%, during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respectively, when compared to the same periods in 2020, driven primarily by the following:</w:t>
      </w:r>
    </w:p>
    <w:p>
      <w:pPr>
        <w:spacing w:after="0" w:line="171" w:lineRule="exact"/>
        <w:rPr>
          <w:sz w:val="20"/>
          <w:szCs w:val="20"/>
          <w:color w:val="auto"/>
        </w:rPr>
      </w:pPr>
    </w:p>
    <w:p>
      <w:pPr>
        <w:ind w:left="700" w:right="60" w:hanging="373"/>
        <w:spacing w:after="0" w:line="180" w:lineRule="auto"/>
        <w:tabs>
          <w:tab w:leader="none" w:pos="700" w:val="left"/>
        </w:tabs>
        <w:numPr>
          <w:ilvl w:val="0"/>
          <w:numId w:val="25"/>
        </w:numPr>
        <w:rPr>
          <w:rFonts w:ascii="Arial" w:cs="Arial" w:eastAsia="Arial" w:hAnsi="Arial"/>
          <w:sz w:val="33"/>
          <w:szCs w:val="33"/>
          <w:color w:val="auto"/>
          <w:vertAlign w:val="superscript"/>
        </w:rPr>
      </w:pPr>
      <w:r>
        <w:rPr>
          <w:rFonts w:ascii="Arial" w:cs="Arial" w:eastAsia="Arial" w:hAnsi="Arial"/>
          <w:sz w:val="17"/>
          <w:szCs w:val="17"/>
          <w:color w:val="auto"/>
        </w:rPr>
        <w:t>Increases in transaction-based costs of $5.5 million and $7.2 million, respectively, related to payment services integrated in our cloud solutions</w:t>
      </w:r>
    </w:p>
    <w:p>
      <w:pPr>
        <w:spacing w:after="0" w:line="108" w:lineRule="exact"/>
        <w:rPr>
          <w:rFonts w:ascii="Arial" w:cs="Arial" w:eastAsia="Arial" w:hAnsi="Arial"/>
          <w:sz w:val="33"/>
          <w:szCs w:val="33"/>
          <w:color w:val="auto"/>
          <w:vertAlign w:val="superscript"/>
        </w:rPr>
      </w:pPr>
    </w:p>
    <w:p>
      <w:pPr>
        <w:jc w:val="both"/>
        <w:ind w:left="700" w:right="60" w:hanging="373"/>
        <w:spacing w:after="0" w:line="188" w:lineRule="auto"/>
        <w:tabs>
          <w:tab w:leader="none" w:pos="700" w:val="left"/>
        </w:tabs>
        <w:numPr>
          <w:ilvl w:val="0"/>
          <w:numId w:val="25"/>
        </w:numPr>
        <w:rPr>
          <w:rFonts w:ascii="Arial" w:cs="Arial" w:eastAsia="Arial" w:hAnsi="Arial"/>
          <w:sz w:val="36"/>
          <w:szCs w:val="36"/>
          <w:color w:val="auto"/>
          <w:vertAlign w:val="superscript"/>
        </w:rPr>
      </w:pPr>
      <w:r>
        <w:rPr>
          <w:rFonts w:ascii="Arial" w:cs="Arial" w:eastAsia="Arial" w:hAnsi="Arial"/>
          <w:sz w:val="18"/>
          <w:szCs w:val="18"/>
          <w:color w:val="auto"/>
        </w:rPr>
        <w:t>Increases in compensation costs of $3.4 million and $7.6 million, respectively, primarily related to stock-based compensation due to the factors discussed above on page 26 and a shift in resources historically supporting one-time services and other towards recurring revenue</w:t>
      </w:r>
    </w:p>
    <w:p>
      <w:pPr>
        <w:spacing w:after="0" w:line="107" w:lineRule="exact"/>
        <w:rPr>
          <w:rFonts w:ascii="Arial" w:cs="Arial" w:eastAsia="Arial" w:hAnsi="Arial"/>
          <w:sz w:val="36"/>
          <w:szCs w:val="36"/>
          <w:color w:val="auto"/>
          <w:vertAlign w:val="superscript"/>
        </w:rPr>
      </w:pPr>
    </w:p>
    <w:p>
      <w:pPr>
        <w:ind w:left="700" w:right="60" w:hanging="373"/>
        <w:spacing w:after="0" w:line="180" w:lineRule="auto"/>
        <w:tabs>
          <w:tab w:leader="none" w:pos="700" w:val="left"/>
        </w:tabs>
        <w:numPr>
          <w:ilvl w:val="0"/>
          <w:numId w:val="25"/>
        </w:numPr>
        <w:rPr>
          <w:rFonts w:ascii="Arial" w:cs="Arial" w:eastAsia="Arial" w:hAnsi="Arial"/>
          <w:sz w:val="33"/>
          <w:szCs w:val="33"/>
          <w:color w:val="auto"/>
          <w:vertAlign w:val="superscript"/>
        </w:rPr>
      </w:pPr>
      <w:r>
        <w:rPr>
          <w:rFonts w:ascii="Arial" w:cs="Arial" w:eastAsia="Arial" w:hAnsi="Arial"/>
          <w:sz w:val="17"/>
          <w:szCs w:val="17"/>
          <w:color w:val="auto"/>
        </w:rPr>
        <w:t>Increases in third-party contractor and hosting costs of $3.2 million and $4.7 million, respectively, as we continue to migrate our cloud infrastructure to leading public cloud service providers and make investments in security</w:t>
      </w:r>
    </w:p>
    <w:p>
      <w:pPr>
        <w:spacing w:after="0" w:line="109" w:lineRule="exact"/>
        <w:rPr>
          <w:sz w:val="20"/>
          <w:szCs w:val="20"/>
          <w:color w:val="auto"/>
        </w:rPr>
      </w:pPr>
    </w:p>
    <w:p>
      <w:pPr>
        <w:ind w:left="700" w:right="60" w:hanging="351"/>
        <w:spacing w:after="0" w:line="180" w:lineRule="auto"/>
        <w:tabs>
          <w:tab w:leader="none" w:pos="700" w:val="left"/>
        </w:tabs>
        <w:numPr>
          <w:ilvl w:val="0"/>
          <w:numId w:val="26"/>
        </w:numPr>
        <w:rPr>
          <w:rFonts w:ascii="Arial" w:cs="Arial" w:eastAsia="Arial" w:hAnsi="Arial"/>
          <w:sz w:val="33"/>
          <w:szCs w:val="33"/>
          <w:color w:val="auto"/>
          <w:vertAlign w:val="superscript"/>
        </w:rPr>
      </w:pPr>
      <w:r>
        <w:rPr>
          <w:rFonts w:ascii="Arial" w:cs="Arial" w:eastAsia="Arial" w:hAnsi="Arial"/>
          <w:sz w:val="17"/>
          <w:szCs w:val="17"/>
          <w:color w:val="auto"/>
        </w:rPr>
        <w:t>Decrease in amortization of intangible assets from business combinations of $2.0 million during the nine months ended September 30, 2021</w:t>
      </w:r>
    </w:p>
    <w:p>
      <w:pPr>
        <w:spacing w:after="0" w:line="108" w:lineRule="exact"/>
        <w:rPr>
          <w:rFonts w:ascii="Arial" w:cs="Arial" w:eastAsia="Arial" w:hAnsi="Arial"/>
          <w:sz w:val="33"/>
          <w:szCs w:val="33"/>
          <w:color w:val="auto"/>
          <w:vertAlign w:val="superscript"/>
        </w:rPr>
      </w:pPr>
    </w:p>
    <w:p>
      <w:pPr>
        <w:ind w:left="700" w:right="60" w:hanging="351"/>
        <w:spacing w:after="0" w:line="180" w:lineRule="auto"/>
        <w:tabs>
          <w:tab w:leader="none" w:pos="700" w:val="left"/>
        </w:tabs>
        <w:numPr>
          <w:ilvl w:val="0"/>
          <w:numId w:val="26"/>
        </w:numPr>
        <w:rPr>
          <w:rFonts w:ascii="Arial" w:cs="Arial" w:eastAsia="Arial" w:hAnsi="Arial"/>
          <w:sz w:val="33"/>
          <w:szCs w:val="33"/>
          <w:color w:val="auto"/>
          <w:vertAlign w:val="superscript"/>
        </w:rPr>
      </w:pPr>
      <w:r>
        <w:rPr>
          <w:rFonts w:ascii="Arial" w:cs="Arial" w:eastAsia="Arial" w:hAnsi="Arial"/>
          <w:sz w:val="17"/>
          <w:szCs w:val="17"/>
          <w:color w:val="auto"/>
        </w:rPr>
        <w:t>Decrease in amortization of software development costs of $1.7 million, during the nine months ended September 30, 2021 due to an impairment charge in Q2 2020 which did not recur in 2021</w:t>
      </w:r>
    </w:p>
    <w:p>
      <w:pPr>
        <w:spacing w:after="0" w:line="108" w:lineRule="exact"/>
        <w:rPr>
          <w:rFonts w:ascii="Arial" w:cs="Arial" w:eastAsia="Arial" w:hAnsi="Arial"/>
          <w:sz w:val="33"/>
          <w:szCs w:val="33"/>
          <w:color w:val="auto"/>
          <w:vertAlign w:val="superscript"/>
        </w:rPr>
      </w:pPr>
    </w:p>
    <w:p>
      <w:pPr>
        <w:ind w:left="700" w:right="60" w:hanging="351"/>
        <w:spacing w:after="0" w:line="180" w:lineRule="auto"/>
        <w:tabs>
          <w:tab w:leader="none" w:pos="700" w:val="left"/>
        </w:tabs>
        <w:numPr>
          <w:ilvl w:val="0"/>
          <w:numId w:val="26"/>
        </w:numPr>
        <w:rPr>
          <w:rFonts w:ascii="Arial" w:cs="Arial" w:eastAsia="Arial" w:hAnsi="Arial"/>
          <w:sz w:val="33"/>
          <w:szCs w:val="33"/>
          <w:color w:val="auto"/>
          <w:vertAlign w:val="superscript"/>
        </w:rPr>
      </w:pPr>
      <w:r>
        <w:rPr>
          <w:rFonts w:ascii="Arial" w:cs="Arial" w:eastAsia="Arial" w:hAnsi="Arial"/>
          <w:sz w:val="17"/>
          <w:szCs w:val="17"/>
          <w:color w:val="auto"/>
        </w:rPr>
        <w:t>Decrease in rent expense of $0.8 million, during the nine months ended September 30, 2021, largely due to a decrease in leased hardware, including servers, network gear and storage</w:t>
      </w:r>
    </w:p>
    <w:p>
      <w:pPr>
        <w:spacing w:after="0" w:line="2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Recurring gross margin decreased by 1.7% and 0.8% for the three and nine months ended September 30, 2021, respectively, when compared to the same periods in 2020, primarily due to the increases in cost of recurring revenue outpacing the increases in recurring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222885</wp:posOffset>
            </wp:positionV>
            <wp:extent cx="65976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One-time services and other</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32"/>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r>
      <w:tr>
        <w:trPr>
          <w:trHeight w:val="235"/>
        </w:trPr>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w w:val="99"/>
              </w:rPr>
              <w:t>Revenue ($M)</w:t>
            </w:r>
          </w:p>
        </w:tc>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rPr>
              <w:t>Cost of revenue ($M)</w:t>
            </w: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w w:val="99"/>
              </w:rPr>
              <w:t>and gross margin (%)</w:t>
            </w:r>
          </w:p>
        </w:tc>
      </w:tr>
      <w:tr>
        <w:trPr>
          <w:trHeight w:val="27"/>
        </w:trPr>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1"/>
        </w:trPr>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30003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fees from user conferences and third-party software referral fees.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costs of user conferences, allocated depreciation, facilities and IT support costs and amortization of intangible assets from business combinations.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One-time services and other revenue decreased by $2.2 million, or 14.8%, and $11.8 million, or 23.9%, during the three and nine months ended September 30, 2021, respectively, when compared to the same periods in 2020, driven primarily by the following:</w:t>
      </w:r>
    </w:p>
    <w:p>
      <w:pPr>
        <w:spacing w:after="0" w:line="144" w:lineRule="exact"/>
        <w:rPr>
          <w:sz w:val="20"/>
          <w:szCs w:val="20"/>
          <w:color w:val="auto"/>
        </w:rPr>
      </w:pPr>
    </w:p>
    <w:p>
      <w:pPr>
        <w:jc w:val="both"/>
        <w:ind w:left="700" w:right="60" w:hanging="351"/>
        <w:spacing w:after="0" w:line="200" w:lineRule="auto"/>
        <w:tabs>
          <w:tab w:leader="none" w:pos="70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Decreases in one-time consulting revenue of $1.4 million and $8.5 million, respectively, due primarily to less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spacing w:after="0" w:line="109" w:lineRule="exact"/>
        <w:rPr>
          <w:rFonts w:ascii="Arial" w:cs="Arial" w:eastAsia="Arial" w:hAnsi="Arial"/>
          <w:sz w:val="36"/>
          <w:szCs w:val="36"/>
          <w:color w:val="auto"/>
          <w:vertAlign w:val="superscript"/>
        </w:rPr>
      </w:pPr>
    </w:p>
    <w:p>
      <w:pPr>
        <w:ind w:left="700" w:right="80" w:hanging="351"/>
        <w:spacing w:after="0" w:line="180" w:lineRule="auto"/>
        <w:tabs>
          <w:tab w:leader="none" w:pos="700" w:val="left"/>
        </w:tabs>
        <w:numPr>
          <w:ilvl w:val="0"/>
          <w:numId w:val="27"/>
        </w:numPr>
        <w:rPr>
          <w:rFonts w:ascii="Arial" w:cs="Arial" w:eastAsia="Arial" w:hAnsi="Arial"/>
          <w:sz w:val="33"/>
          <w:szCs w:val="33"/>
          <w:color w:val="auto"/>
          <w:vertAlign w:val="superscript"/>
        </w:rPr>
      </w:pPr>
      <w:r>
        <w:rPr>
          <w:rFonts w:ascii="Arial" w:cs="Arial" w:eastAsia="Arial" w:hAnsi="Arial"/>
          <w:sz w:val="17"/>
          <w:szCs w:val="17"/>
          <w:color w:val="auto"/>
        </w:rPr>
        <w:t>Decreases in one-time analytics revenue of $1.2 million and $3.0 million, respectively, as analytics are generally integrated in our cloud solutions</w:t>
      </w:r>
    </w:p>
    <w:p>
      <w:pPr>
        <w:spacing w:after="0" w:line="2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one-time services and other decreased by $2.6 million, or 17.8%, during the three months ended September 30, 2021, when compared to the same period in 2020, driven primarily by the following:</w:t>
      </w:r>
    </w:p>
    <w:p>
      <w:pPr>
        <w:ind w:left="700" w:hanging="351"/>
        <w:spacing w:after="0" w:line="209" w:lineRule="auto"/>
        <w:tabs>
          <w:tab w:leader="none" w:pos="700" w:val="left"/>
        </w:tabs>
        <w:numPr>
          <w:ilvl w:val="0"/>
          <w:numId w:val="28"/>
        </w:numPr>
        <w:rPr>
          <w:rFonts w:ascii="Arial" w:cs="Arial" w:eastAsia="Arial" w:hAnsi="Arial"/>
          <w:sz w:val="36"/>
          <w:szCs w:val="36"/>
          <w:color w:val="auto"/>
          <w:vertAlign w:val="superscript"/>
        </w:rPr>
      </w:pPr>
      <w:r>
        <w:rPr>
          <w:rFonts w:ascii="Arial" w:cs="Arial" w:eastAsia="Arial" w:hAnsi="Arial"/>
          <w:sz w:val="18"/>
          <w:szCs w:val="18"/>
          <w:color w:val="auto"/>
        </w:rPr>
        <w:t>Decrease in amortization of intangible assets from business combinations of $1.1 million</w:t>
      </w:r>
    </w:p>
    <w:p>
      <w:pPr>
        <w:spacing w:after="0" w:line="107" w:lineRule="exact"/>
        <w:rPr>
          <w:rFonts w:ascii="Arial" w:cs="Arial" w:eastAsia="Arial" w:hAnsi="Arial"/>
          <w:sz w:val="36"/>
          <w:szCs w:val="36"/>
          <w:color w:val="auto"/>
          <w:vertAlign w:val="superscript"/>
        </w:rPr>
      </w:pPr>
    </w:p>
    <w:p>
      <w:pPr>
        <w:ind w:left="700" w:right="20" w:hanging="351"/>
        <w:spacing w:after="0" w:line="180" w:lineRule="auto"/>
        <w:tabs>
          <w:tab w:leader="none" w:pos="700" w:val="left"/>
        </w:tabs>
        <w:numPr>
          <w:ilvl w:val="0"/>
          <w:numId w:val="28"/>
        </w:numPr>
        <w:rPr>
          <w:rFonts w:ascii="Arial" w:cs="Arial" w:eastAsia="Arial" w:hAnsi="Arial"/>
          <w:sz w:val="33"/>
          <w:szCs w:val="33"/>
          <w:color w:val="auto"/>
          <w:vertAlign w:val="superscript"/>
        </w:rPr>
      </w:pPr>
      <w:r>
        <w:rPr>
          <w:rFonts w:ascii="Arial" w:cs="Arial" w:eastAsia="Arial" w:hAnsi="Arial"/>
          <w:sz w:val="17"/>
          <w:szCs w:val="17"/>
          <w:color w:val="auto"/>
        </w:rPr>
        <w:t>Decrease in compensation costs of $1.0 million largely due to a decrease in headcount, as well as a shift in resources historically supporting one-time services and other towards recurring revenue</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30</w:t>
      </w:r>
      <w:r>
        <w:rPr>
          <w:sz w:val="20"/>
          <w:szCs w:val="20"/>
          <w:color w:val="auto"/>
        </w:rPr>
        <w:tab/>
      </w:r>
      <w:r>
        <w:rPr>
          <w:sz w:val="1"/>
          <w:szCs w:val="1"/>
          <w:color w:val="auto"/>
        </w:rPr>
        <w:drawing>
          <wp:inline distT="0" distB="0" distL="0" distR="0">
            <wp:extent cx="651510" cy="17145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Cost of one-time services and other decreased by $3.3 million, or 7.6%, during the nine months ended September 30, 2021, when compared to the same period in 2020, driven primarily by the following:</w:t>
      </w:r>
    </w:p>
    <w:p>
      <w:pPr>
        <w:ind w:left="700" w:hanging="351"/>
        <w:spacing w:after="0" w:line="209" w:lineRule="auto"/>
        <w:tabs>
          <w:tab w:leader="none" w:pos="700" w:val="left"/>
        </w:tabs>
        <w:numPr>
          <w:ilvl w:val="0"/>
          <w:numId w:val="29"/>
        </w:numPr>
        <w:rPr>
          <w:rFonts w:ascii="Arial" w:cs="Arial" w:eastAsia="Arial" w:hAnsi="Arial"/>
          <w:sz w:val="36"/>
          <w:szCs w:val="36"/>
          <w:color w:val="auto"/>
          <w:vertAlign w:val="superscript"/>
        </w:rPr>
      </w:pPr>
      <w:r>
        <w:rPr>
          <w:rFonts w:ascii="Arial" w:cs="Arial" w:eastAsia="Arial" w:hAnsi="Arial"/>
          <w:sz w:val="18"/>
          <w:szCs w:val="18"/>
          <w:color w:val="auto"/>
        </w:rPr>
        <w:t>Decrease in amortization intangible assets from business combinations of $1.3 million</w:t>
      </w:r>
    </w:p>
    <w:p>
      <w:pPr>
        <w:spacing w:after="0" w:line="107" w:lineRule="exact"/>
        <w:rPr>
          <w:rFonts w:ascii="Arial" w:cs="Arial" w:eastAsia="Arial" w:hAnsi="Arial"/>
          <w:sz w:val="36"/>
          <w:szCs w:val="36"/>
          <w:color w:val="auto"/>
          <w:vertAlign w:val="superscript"/>
        </w:rPr>
      </w:pPr>
    </w:p>
    <w:p>
      <w:pPr>
        <w:ind w:left="700" w:hanging="351"/>
        <w:spacing w:after="0" w:line="181" w:lineRule="auto"/>
        <w:tabs>
          <w:tab w:leader="none" w:pos="700" w:val="left"/>
        </w:tabs>
        <w:numPr>
          <w:ilvl w:val="0"/>
          <w:numId w:val="29"/>
        </w:numPr>
        <w:rPr>
          <w:rFonts w:ascii="Arial" w:cs="Arial" w:eastAsia="Arial" w:hAnsi="Arial"/>
          <w:sz w:val="25"/>
          <w:szCs w:val="25"/>
          <w:color w:val="auto"/>
          <w:vertAlign w:val="superscript"/>
        </w:rPr>
      </w:pPr>
      <w:r>
        <w:rPr>
          <w:rFonts w:ascii="Arial" w:cs="Arial" w:eastAsia="Arial" w:hAnsi="Arial"/>
          <w:sz w:val="14"/>
          <w:szCs w:val="14"/>
          <w:color w:val="auto"/>
        </w:rPr>
        <w:t>Decrease in third-party contractor costs of $1.2 million, primarily due to a decrease in partners delivering services</w:t>
      </w:r>
    </w:p>
    <w:p>
      <w:pPr>
        <w:spacing w:after="0" w:line="107" w:lineRule="exact"/>
        <w:rPr>
          <w:rFonts w:ascii="Arial" w:cs="Arial" w:eastAsia="Arial" w:hAnsi="Arial"/>
          <w:sz w:val="25"/>
          <w:szCs w:val="25"/>
          <w:color w:val="auto"/>
          <w:vertAlign w:val="superscript"/>
        </w:rPr>
      </w:pPr>
    </w:p>
    <w:p>
      <w:pPr>
        <w:ind w:left="700" w:right="40" w:hanging="351"/>
        <w:spacing w:after="0" w:line="180" w:lineRule="auto"/>
        <w:tabs>
          <w:tab w:leader="none" w:pos="700" w:val="left"/>
        </w:tabs>
        <w:numPr>
          <w:ilvl w:val="0"/>
          <w:numId w:val="29"/>
        </w:numPr>
        <w:rPr>
          <w:rFonts w:ascii="Arial" w:cs="Arial" w:eastAsia="Arial" w:hAnsi="Arial"/>
          <w:sz w:val="33"/>
          <w:szCs w:val="33"/>
          <w:color w:val="auto"/>
          <w:vertAlign w:val="superscript"/>
        </w:rPr>
      </w:pPr>
      <w:r>
        <w:rPr>
          <w:rFonts w:ascii="Arial" w:cs="Arial" w:eastAsia="Arial" w:hAnsi="Arial"/>
          <w:sz w:val="17"/>
          <w:szCs w:val="17"/>
          <w:color w:val="auto"/>
        </w:rPr>
        <w:t>Decrease in compensation costs other than stock-based compensation of $0.7 million largely due to a decrease in headcount, as well as a shift in resources historically supporting one-time services and other towards recurring revenue</w:t>
      </w:r>
    </w:p>
    <w:p>
      <w:pPr>
        <w:spacing w:after="0" w:line="108" w:lineRule="exact"/>
        <w:rPr>
          <w:rFonts w:ascii="Arial" w:cs="Arial" w:eastAsia="Arial" w:hAnsi="Arial"/>
          <w:sz w:val="33"/>
          <w:szCs w:val="33"/>
          <w:color w:val="auto"/>
          <w:vertAlign w:val="superscript"/>
        </w:rPr>
      </w:pPr>
    </w:p>
    <w:p>
      <w:pPr>
        <w:ind w:left="700" w:right="20" w:hanging="351"/>
        <w:spacing w:after="0" w:line="180" w:lineRule="auto"/>
        <w:tabs>
          <w:tab w:leader="none" w:pos="700" w:val="left"/>
        </w:tabs>
        <w:numPr>
          <w:ilvl w:val="0"/>
          <w:numId w:val="29"/>
        </w:numPr>
        <w:rPr>
          <w:rFonts w:ascii="Arial" w:cs="Arial" w:eastAsia="Arial" w:hAnsi="Arial"/>
          <w:sz w:val="33"/>
          <w:szCs w:val="33"/>
          <w:color w:val="auto"/>
          <w:vertAlign w:val="superscript"/>
        </w:rPr>
      </w:pPr>
      <w:r>
        <w:rPr>
          <w:rFonts w:ascii="Arial" w:cs="Arial" w:eastAsia="Arial" w:hAnsi="Arial"/>
          <w:sz w:val="17"/>
          <w:szCs w:val="17"/>
          <w:color w:val="auto"/>
        </w:rPr>
        <w:t>Decrease in allocated costs of $1.4 million primarily related to a decrease in rent expense, as discussed below in General and Administrative</w:t>
      </w:r>
    </w:p>
    <w:p>
      <w:pPr>
        <w:ind w:left="700" w:hanging="373"/>
        <w:spacing w:after="0" w:line="188" w:lineRule="auto"/>
        <w:tabs>
          <w:tab w:leader="none" w:pos="70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Increase in stock-based compensation costs of $2.1 million due to the factors discussed above on page 23</w:t>
      </w: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gross margin increased by 3.4% during the three months ended September 30, 2021, when compared to the same period in 2020, primarily due to the decrease in cost of one-time services and other outpacing the decrease in one-time services and other revenue.</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One-time services and other gross margin decreased by 18.8% during the nine months ended September 30, 2021, when compared to the same period in 2020, primarily due to the significant reductions in one-time consulting and analytics revenue discussed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521"/>
        </w:trPr>
        <w:tc>
          <w:tcPr>
            <w:tcW w:w="2540" w:type="dxa"/>
            <w:vAlign w:val="bottom"/>
          </w:tcPr>
          <w:p>
            <w:pPr>
              <w:jc w:val="center"/>
              <w:ind w:left="50"/>
              <w:spacing w:after="0"/>
              <w:rPr>
                <w:sz w:val="20"/>
                <w:szCs w:val="20"/>
                <w:color w:val="auto"/>
              </w:rPr>
            </w:pPr>
            <w:r>
              <w:rPr>
                <w:rFonts w:ascii="Arial" w:cs="Arial" w:eastAsia="Arial" w:hAnsi="Arial"/>
                <w:sz w:val="18"/>
                <w:szCs w:val="18"/>
                <w:i w:val="1"/>
                <w:iCs w:val="1"/>
                <w:color w:val="auto"/>
                <w:w w:val="99"/>
              </w:rPr>
              <w:t>Sales, marketing and</w:t>
            </w:r>
          </w:p>
        </w:tc>
        <w:tc>
          <w:tcPr>
            <w:tcW w:w="4200" w:type="dxa"/>
            <w:vAlign w:val="bottom"/>
          </w:tcPr>
          <w:p>
            <w:pPr>
              <w:jc w:val="center"/>
              <w:ind w:right="119"/>
              <w:spacing w:after="0"/>
              <w:rPr>
                <w:sz w:val="20"/>
                <w:szCs w:val="20"/>
                <w:color w:val="auto"/>
              </w:rPr>
            </w:pPr>
            <w:r>
              <w:rPr>
                <w:rFonts w:ascii="Arial" w:cs="Arial" w:eastAsia="Arial" w:hAnsi="Arial"/>
                <w:sz w:val="18"/>
                <w:szCs w:val="18"/>
                <w:i w:val="1"/>
                <w:iCs w:val="1"/>
                <w:color w:val="auto"/>
                <w:w w:val="99"/>
              </w:rPr>
              <w:t>Research and</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auto"/>
                <w:w w:val="98"/>
              </w:rPr>
              <w:t>General and</w:t>
            </w:r>
          </w:p>
        </w:tc>
      </w:tr>
      <w:tr>
        <w:trPr>
          <w:trHeight w:val="235"/>
        </w:trPr>
        <w:tc>
          <w:tcPr>
            <w:tcW w:w="2540" w:type="dxa"/>
            <w:vAlign w:val="bottom"/>
          </w:tcPr>
          <w:p>
            <w:pPr>
              <w:jc w:val="center"/>
              <w:ind w:left="70"/>
              <w:spacing w:after="0"/>
              <w:rPr>
                <w:sz w:val="20"/>
                <w:szCs w:val="20"/>
                <w:color w:val="auto"/>
              </w:rPr>
            </w:pPr>
            <w:r>
              <w:rPr>
                <w:rFonts w:ascii="Arial" w:cs="Arial" w:eastAsia="Arial" w:hAnsi="Arial"/>
                <w:sz w:val="18"/>
                <w:szCs w:val="18"/>
                <w:i w:val="1"/>
                <w:iCs w:val="1"/>
                <w:color w:val="auto"/>
                <w:w w:val="99"/>
              </w:rPr>
              <w:t>customer success ($M)</w:t>
            </w:r>
          </w:p>
        </w:tc>
        <w:tc>
          <w:tcPr>
            <w:tcW w:w="4200" w:type="dxa"/>
            <w:vAlign w:val="bottom"/>
          </w:tcPr>
          <w:p>
            <w:pPr>
              <w:jc w:val="center"/>
              <w:ind w:right="119"/>
              <w:spacing w:after="0"/>
              <w:rPr>
                <w:sz w:val="20"/>
                <w:szCs w:val="20"/>
                <w:color w:val="auto"/>
              </w:rPr>
            </w:pPr>
            <w:r>
              <w:rPr>
                <w:rFonts w:ascii="Arial" w:cs="Arial" w:eastAsia="Arial" w:hAnsi="Arial"/>
                <w:sz w:val="18"/>
                <w:szCs w:val="18"/>
                <w:i w:val="1"/>
                <w:iCs w:val="1"/>
                <w:color w:val="auto"/>
                <w:w w:val="99"/>
              </w:rPr>
              <w:t>development ($M)</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auto"/>
              </w:rPr>
              <w:t>administrative ($M)</w:t>
            </w:r>
          </w:p>
        </w:tc>
      </w:tr>
      <w:tr>
        <w:trPr>
          <w:trHeight w:val="27"/>
        </w:trPr>
        <w:tc>
          <w:tcPr>
            <w:tcW w:w="25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20"/>
        </w:trPr>
        <w:tc>
          <w:tcPr>
            <w:tcW w:w="2540" w:type="dxa"/>
            <w:vAlign w:val="bottom"/>
          </w:tcPr>
          <w:p>
            <w:pPr>
              <w:spacing w:after="0"/>
              <w:rPr>
                <w:sz w:val="19"/>
                <w:szCs w:val="19"/>
                <w:color w:val="auto"/>
              </w:rPr>
            </w:pPr>
          </w:p>
        </w:tc>
        <w:tc>
          <w:tcPr>
            <w:tcW w:w="4200" w:type="dxa"/>
            <w:vAlign w:val="bottom"/>
          </w:tcPr>
          <w:p>
            <w:pPr>
              <w:ind w:left="280"/>
              <w:spacing w:after="0"/>
              <w:rPr>
                <w:sz w:val="20"/>
                <w:szCs w:val="20"/>
                <w:color w:val="auto"/>
              </w:rPr>
            </w:pPr>
            <w:r>
              <w:rPr>
                <w:rFonts w:ascii="Arial" w:cs="Arial" w:eastAsia="Arial" w:hAnsi="Arial"/>
                <w:sz w:val="13"/>
                <w:szCs w:val="13"/>
                <w:i w:val="1"/>
                <w:iCs w:val="1"/>
                <w:color w:val="auto"/>
              </w:rPr>
              <w:t>Percentages indicate expenses as a percentage of total revenue</w:t>
            </w:r>
          </w:p>
        </w:tc>
        <w:tc>
          <w:tcPr>
            <w:tcW w:w="2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812155" cy="3008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121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customer success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 a large market opportunity in the long-term and will continue to make investments to drive sales effectiveness. We have also implemented software tools to enhance our digital footprint and drive lead generation. In response to the COVID-19 pandemic, we implemented a modest and targeted headcount reduction during the second quarter of 2020, including a reduction in our sales headcount with a focus on retaining our most highly productive sales executives. The enhancements we are making in our go-to-market approach are expected to significantly reduce our average customer acquisition cost as well as the related payback period while increasing sales velocity. As a result, we do not expect our sales, marketing and customer success expense to return to pre-pandemic levels.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marketing and customer success expense decreased by $3.8 million, or 7.8%, and $20.2 million, or 12.7%, during the three and nine months ended September 30, 2021, respectively, when compared to the same periods in 2020, primarily driven by the following:</w:t>
      </w:r>
    </w:p>
    <w:p>
      <w:pPr>
        <w:spacing w:after="0" w:line="144" w:lineRule="exact"/>
        <w:rPr>
          <w:sz w:val="20"/>
          <w:szCs w:val="20"/>
          <w:color w:val="auto"/>
        </w:rPr>
      </w:pPr>
    </w:p>
    <w:p>
      <w:pPr>
        <w:ind w:left="700" w:right="60" w:hanging="351"/>
        <w:spacing w:after="0" w:line="180" w:lineRule="auto"/>
        <w:tabs>
          <w:tab w:leader="none" w:pos="700" w:val="left"/>
        </w:tabs>
        <w:numPr>
          <w:ilvl w:val="0"/>
          <w:numId w:val="31"/>
        </w:numPr>
        <w:rPr>
          <w:rFonts w:ascii="Arial" w:cs="Arial" w:eastAsia="Arial" w:hAnsi="Arial"/>
          <w:sz w:val="33"/>
          <w:szCs w:val="33"/>
          <w:color w:val="auto"/>
          <w:vertAlign w:val="superscript"/>
        </w:rPr>
      </w:pPr>
      <w:r>
        <w:rPr>
          <w:rFonts w:ascii="Arial" w:cs="Arial" w:eastAsia="Arial" w:hAnsi="Arial"/>
          <w:sz w:val="17"/>
          <w:szCs w:val="17"/>
          <w:color w:val="auto"/>
        </w:rPr>
        <w:t>Decreases in compensation costs other than stock-based compensation of $3.9 million and $17.9 million, respectively, primarily due to the targeted reduction in sales headcount during the second quarter of 2020, discussed above</w:t>
      </w:r>
    </w:p>
    <w:p>
      <w:pPr>
        <w:spacing w:after="0" w:line="108" w:lineRule="exact"/>
        <w:rPr>
          <w:rFonts w:ascii="Arial" w:cs="Arial" w:eastAsia="Arial" w:hAnsi="Arial"/>
          <w:sz w:val="33"/>
          <w:szCs w:val="33"/>
          <w:color w:val="auto"/>
          <w:vertAlign w:val="superscript"/>
        </w:rPr>
      </w:pPr>
    </w:p>
    <w:p>
      <w:pPr>
        <w:ind w:left="700" w:right="60" w:hanging="351"/>
        <w:spacing w:after="0" w:line="180" w:lineRule="auto"/>
        <w:tabs>
          <w:tab w:leader="none" w:pos="700" w:val="left"/>
        </w:tabs>
        <w:numPr>
          <w:ilvl w:val="0"/>
          <w:numId w:val="31"/>
        </w:numPr>
        <w:rPr>
          <w:rFonts w:ascii="Arial" w:cs="Arial" w:eastAsia="Arial" w:hAnsi="Arial"/>
          <w:sz w:val="33"/>
          <w:szCs w:val="33"/>
          <w:color w:val="auto"/>
          <w:vertAlign w:val="superscript"/>
        </w:rPr>
      </w:pPr>
      <w:r>
        <w:rPr>
          <w:rFonts w:ascii="Arial" w:cs="Arial" w:eastAsia="Arial" w:hAnsi="Arial"/>
          <w:sz w:val="17"/>
          <w:szCs w:val="17"/>
          <w:color w:val="auto"/>
        </w:rPr>
        <w:t>Decreases in allocated costs of $1.5 million and $5.8 million, respectively, primarily related to a decrease in rent expense and the impact of the targeted reduction in sales headcount during the second quarter of 2020, as discussed above</w:t>
      </w:r>
    </w:p>
    <w:p>
      <w:pPr>
        <w:spacing w:after="0" w:line="108" w:lineRule="exact"/>
        <w:rPr>
          <w:rFonts w:ascii="Arial" w:cs="Arial" w:eastAsia="Arial" w:hAnsi="Arial"/>
          <w:sz w:val="33"/>
          <w:szCs w:val="33"/>
          <w:color w:val="auto"/>
          <w:vertAlign w:val="superscript"/>
        </w:rPr>
      </w:pPr>
    </w:p>
    <w:p>
      <w:pPr>
        <w:ind w:left="700" w:right="60" w:hanging="351"/>
        <w:spacing w:after="0" w:line="180" w:lineRule="auto"/>
        <w:tabs>
          <w:tab w:leader="none" w:pos="700" w:val="left"/>
        </w:tabs>
        <w:numPr>
          <w:ilvl w:val="0"/>
          <w:numId w:val="31"/>
        </w:numPr>
        <w:rPr>
          <w:rFonts w:ascii="Arial" w:cs="Arial" w:eastAsia="Arial" w:hAnsi="Arial"/>
          <w:sz w:val="33"/>
          <w:szCs w:val="33"/>
          <w:color w:val="auto"/>
          <w:vertAlign w:val="superscript"/>
        </w:rPr>
      </w:pPr>
      <w:r>
        <w:rPr>
          <w:rFonts w:ascii="Arial" w:cs="Arial" w:eastAsia="Arial" w:hAnsi="Arial"/>
          <w:sz w:val="17"/>
          <w:szCs w:val="17"/>
          <w:color w:val="auto"/>
        </w:rPr>
        <w:t>Decrease in travel costs of $2.0 million, during the nine months ended September 30, 2021, due to our restriction on non-essential employee travel in response to the COVID-19 pandemic, which went into effect during March 2020</w:t>
      </w:r>
    </w:p>
    <w:p>
      <w:pPr>
        <w:spacing w:after="0" w:line="108" w:lineRule="exact"/>
        <w:rPr>
          <w:rFonts w:ascii="Arial" w:cs="Arial" w:eastAsia="Arial" w:hAnsi="Arial"/>
          <w:sz w:val="33"/>
          <w:szCs w:val="33"/>
          <w:color w:val="auto"/>
          <w:vertAlign w:val="superscript"/>
        </w:rPr>
      </w:pPr>
    </w:p>
    <w:p>
      <w:pPr>
        <w:jc w:val="both"/>
        <w:ind w:left="700" w:right="60" w:hanging="351"/>
        <w:spacing w:after="0" w:line="188" w:lineRule="auto"/>
        <w:tabs>
          <w:tab w:leader="none" w:pos="700" w:val="left"/>
        </w:tabs>
        <w:numPr>
          <w:ilvl w:val="0"/>
          <w:numId w:val="31"/>
        </w:numPr>
        <w:rPr>
          <w:rFonts w:ascii="Arial" w:cs="Arial" w:eastAsia="Arial" w:hAnsi="Arial"/>
          <w:sz w:val="36"/>
          <w:szCs w:val="36"/>
          <w:color w:val="auto"/>
          <w:vertAlign w:val="superscript"/>
        </w:rPr>
      </w:pPr>
      <w:r>
        <w:rPr>
          <w:rFonts w:ascii="Arial" w:cs="Arial" w:eastAsia="Arial" w:hAnsi="Arial"/>
          <w:sz w:val="18"/>
          <w:szCs w:val="18"/>
          <w:color w:val="auto"/>
        </w:rPr>
        <w:t>Decrease in commissions expense of $1.4 million, during the nine months ended September 30, 2021, related to a decrease in overall commissionable bookings during 2020 due to the COVID-19 pandemic and a decrease in commissionable one-time services and other bookings during 2021</w:t>
      </w:r>
    </w:p>
    <w:p>
      <w:pPr>
        <w:spacing w:after="0" w:line="107" w:lineRule="exact"/>
        <w:rPr>
          <w:sz w:val="20"/>
          <w:szCs w:val="20"/>
          <w:color w:val="auto"/>
        </w:rPr>
      </w:pPr>
    </w:p>
    <w:p>
      <w:pPr>
        <w:ind w:left="700" w:right="60" w:hanging="373"/>
        <w:spacing w:after="0" w:line="180" w:lineRule="auto"/>
        <w:tabs>
          <w:tab w:leader="none" w:pos="700" w:val="left"/>
        </w:tabs>
        <w:numPr>
          <w:ilvl w:val="0"/>
          <w:numId w:val="32"/>
        </w:numPr>
        <w:rPr>
          <w:rFonts w:ascii="Arial" w:cs="Arial" w:eastAsia="Arial" w:hAnsi="Arial"/>
          <w:sz w:val="33"/>
          <w:szCs w:val="33"/>
          <w:color w:val="auto"/>
          <w:vertAlign w:val="superscript"/>
        </w:rPr>
      </w:pPr>
      <w:r>
        <w:rPr>
          <w:rFonts w:ascii="Arial" w:cs="Arial" w:eastAsia="Arial" w:hAnsi="Arial"/>
          <w:sz w:val="17"/>
          <w:szCs w:val="17"/>
          <w:color w:val="auto"/>
        </w:rPr>
        <w:t>Increases in advertising costs of $1.3 million and $2.7 million, respectively, primarily due to incremental spending on advertising campaigns and investments in digital marketing</w:t>
      </w:r>
    </w:p>
    <w:p>
      <w:pPr>
        <w:spacing w:after="0" w:line="108" w:lineRule="exact"/>
        <w:rPr>
          <w:rFonts w:ascii="Arial" w:cs="Arial" w:eastAsia="Arial" w:hAnsi="Arial"/>
          <w:sz w:val="33"/>
          <w:szCs w:val="33"/>
          <w:color w:val="auto"/>
          <w:vertAlign w:val="superscript"/>
        </w:rPr>
      </w:pPr>
    </w:p>
    <w:p>
      <w:pPr>
        <w:ind w:left="700" w:right="60" w:hanging="373"/>
        <w:spacing w:after="0" w:line="180" w:lineRule="auto"/>
        <w:tabs>
          <w:tab w:leader="none" w:pos="700" w:val="left"/>
        </w:tabs>
        <w:numPr>
          <w:ilvl w:val="0"/>
          <w:numId w:val="32"/>
        </w:numPr>
        <w:rPr>
          <w:rFonts w:ascii="Arial" w:cs="Arial" w:eastAsia="Arial" w:hAnsi="Arial"/>
          <w:sz w:val="33"/>
          <w:szCs w:val="33"/>
          <w:color w:val="auto"/>
          <w:vertAlign w:val="superscript"/>
        </w:rPr>
      </w:pPr>
      <w:r>
        <w:rPr>
          <w:rFonts w:ascii="Arial" w:cs="Arial" w:eastAsia="Arial" w:hAnsi="Arial"/>
          <w:sz w:val="17"/>
          <w:szCs w:val="17"/>
          <w:color w:val="auto"/>
        </w:rPr>
        <w:t>Increases in stock-based compensation costs of $0.9 million and $5.0 million, respectively, due to the factors discussed beginning on page 25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make investments to delight our customers with innovative cloud solutions, which is a component of our four-point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increased engineering hiring beginning in the fourth quarter of 2020.</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expenses increased by $8.8 million or 38.6%, and $18.3 million or 25.2%, during the three and nine months ended September 30, 2021, respectively, when compared to the same periods in 2020, primarily driven by the following:</w:t>
      </w:r>
    </w:p>
    <w:p>
      <w:pPr>
        <w:spacing w:after="0" w:line="144" w:lineRule="exact"/>
        <w:rPr>
          <w:sz w:val="20"/>
          <w:szCs w:val="20"/>
          <w:color w:val="auto"/>
        </w:rPr>
      </w:pPr>
    </w:p>
    <w:p>
      <w:pPr>
        <w:ind w:left="720" w:right="40" w:hanging="373"/>
        <w:spacing w:after="0" w:line="180" w:lineRule="auto"/>
        <w:tabs>
          <w:tab w:leader="none" w:pos="720" w:val="left"/>
        </w:tabs>
        <w:numPr>
          <w:ilvl w:val="0"/>
          <w:numId w:val="33"/>
        </w:numPr>
        <w:rPr>
          <w:rFonts w:ascii="Arial" w:cs="Arial" w:eastAsia="Arial" w:hAnsi="Arial"/>
          <w:sz w:val="33"/>
          <w:szCs w:val="33"/>
          <w:color w:val="auto"/>
          <w:vertAlign w:val="superscript"/>
        </w:rPr>
      </w:pPr>
      <w:r>
        <w:rPr>
          <w:rFonts w:ascii="Arial" w:cs="Arial" w:eastAsia="Arial" w:hAnsi="Arial"/>
          <w:sz w:val="17"/>
          <w:szCs w:val="17"/>
          <w:color w:val="auto"/>
        </w:rPr>
        <w:t>Increases in compensation costs of $6.1 million and $14.2 million, respectively, primarily related to stock-based compensation due to the factors discussed above on page 26</w:t>
      </w:r>
    </w:p>
    <w:p>
      <w:pPr>
        <w:spacing w:after="0" w:line="108" w:lineRule="exact"/>
        <w:rPr>
          <w:rFonts w:ascii="Arial" w:cs="Arial" w:eastAsia="Arial" w:hAnsi="Arial"/>
          <w:sz w:val="33"/>
          <w:szCs w:val="33"/>
          <w:color w:val="auto"/>
          <w:vertAlign w:val="superscript"/>
        </w:rPr>
      </w:pPr>
    </w:p>
    <w:p>
      <w:pPr>
        <w:ind w:left="720" w:right="40" w:hanging="373"/>
        <w:spacing w:after="0" w:line="180" w:lineRule="auto"/>
        <w:tabs>
          <w:tab w:leader="none" w:pos="720" w:val="left"/>
        </w:tabs>
        <w:numPr>
          <w:ilvl w:val="0"/>
          <w:numId w:val="33"/>
        </w:numPr>
        <w:rPr>
          <w:rFonts w:ascii="Arial" w:cs="Arial" w:eastAsia="Arial" w:hAnsi="Arial"/>
          <w:sz w:val="33"/>
          <w:szCs w:val="33"/>
          <w:color w:val="auto"/>
          <w:vertAlign w:val="superscript"/>
        </w:rPr>
      </w:pPr>
      <w:r>
        <w:rPr>
          <w:rFonts w:ascii="Arial" w:cs="Arial" w:eastAsia="Arial" w:hAnsi="Arial"/>
          <w:sz w:val="17"/>
          <w:szCs w:val="17"/>
          <w:color w:val="auto"/>
        </w:rPr>
        <w:t>Increases in third-party contractor costs of $1.6 million and $2.1 million, respectively, as we continue to migrate our cloud infrastructure to leading public cloud service providers and make investments in security</w:t>
      </w:r>
    </w:p>
    <w:p>
      <w:pPr>
        <w:spacing w:after="0" w:line="108" w:lineRule="exact"/>
        <w:rPr>
          <w:rFonts w:ascii="Arial" w:cs="Arial" w:eastAsia="Arial" w:hAnsi="Arial"/>
          <w:sz w:val="33"/>
          <w:szCs w:val="33"/>
          <w:color w:val="auto"/>
          <w:vertAlign w:val="superscript"/>
        </w:rPr>
      </w:pPr>
    </w:p>
    <w:p>
      <w:pPr>
        <w:ind w:left="720" w:right="40" w:hanging="373"/>
        <w:spacing w:after="0" w:line="180" w:lineRule="auto"/>
        <w:tabs>
          <w:tab w:leader="none" w:pos="720" w:val="left"/>
        </w:tabs>
        <w:numPr>
          <w:ilvl w:val="0"/>
          <w:numId w:val="33"/>
        </w:numPr>
        <w:rPr>
          <w:rFonts w:ascii="Arial" w:cs="Arial" w:eastAsia="Arial" w:hAnsi="Arial"/>
          <w:sz w:val="33"/>
          <w:szCs w:val="33"/>
          <w:color w:val="auto"/>
          <w:vertAlign w:val="superscript"/>
        </w:rPr>
      </w:pPr>
      <w:r>
        <w:rPr>
          <w:rFonts w:ascii="Arial" w:cs="Arial" w:eastAsia="Arial" w:hAnsi="Arial"/>
          <w:sz w:val="17"/>
          <w:szCs w:val="17"/>
          <w:color w:val="auto"/>
        </w:rPr>
        <w:t>Decrease in software development costs of $2.5 million, during the nine months ended September 30, 2021, that were required to be capitalized under the internal-use software guidance</w:t>
      </w:r>
    </w:p>
    <w:p>
      <w:pPr>
        <w:spacing w:after="0" w:line="2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 included in research and development expense for the three months ended September 30, 2021 and 2020 were $9.7 million and $10.2 million, respectively, and for the nine months ended September 30, 2021 and 2020 were $29.2 million and $31.6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development costs associated with our cloud solutions are subsequently amortized to cost of subscriptions revenue over the related asset's estimated</w:t>
      </w:r>
    </w:p>
    <w:p>
      <w:pPr>
        <w:spacing w:after="0" w:line="32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32</w:t>
      </w:r>
      <w:r>
        <w:rPr>
          <w:sz w:val="20"/>
          <w:szCs w:val="20"/>
          <w:color w:val="auto"/>
        </w:rPr>
        <w:tab/>
      </w:r>
      <w:r>
        <w:rPr>
          <w:sz w:val="1"/>
          <w:szCs w:val="1"/>
          <w:color w:val="auto"/>
        </w:rPr>
        <w:drawing>
          <wp:inline distT="0" distB="0" distL="0" distR="0">
            <wp:extent cx="651510" cy="1714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useful life, which generally range from three to seven years. We expect that the amount of software development costs capitalized will be relatively consistent in the near-term as we continue making investments in innovation, quality and the integration of our solutions, which we believe will drive long-term revenue growth.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increased by $0.6 million, or 1.8%, and $7.5 million, or 8.3%, during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respectively, when compared to the same periods in 2020, primarily driven by the following:</w:t>
      </w:r>
    </w:p>
    <w:p>
      <w:pPr>
        <w:spacing w:after="0" w:line="171" w:lineRule="exact"/>
        <w:rPr>
          <w:sz w:val="20"/>
          <w:szCs w:val="20"/>
          <w:color w:val="auto"/>
        </w:rPr>
      </w:pPr>
    </w:p>
    <w:p>
      <w:pPr>
        <w:ind w:left="700" w:right="20" w:hanging="373"/>
        <w:spacing w:after="0"/>
        <w:tabs>
          <w:tab w:leader="none" w:pos="700" w:val="left"/>
        </w:tabs>
        <w:numPr>
          <w:ilvl w:val="0"/>
          <w:numId w:val="34"/>
        </w:numPr>
        <w:rPr>
          <w:rFonts w:ascii="Arial" w:cs="Arial" w:eastAsia="Arial" w:hAnsi="Arial"/>
          <w:sz w:val="34"/>
          <w:szCs w:val="34"/>
          <w:color w:val="auto"/>
          <w:vertAlign w:val="superscript"/>
        </w:rPr>
      </w:pPr>
      <w:r>
        <w:rPr>
          <w:rFonts w:ascii="Arial" w:cs="Arial" w:eastAsia="Arial" w:hAnsi="Arial"/>
          <w:sz w:val="17"/>
          <w:szCs w:val="17"/>
          <w:color w:val="auto"/>
        </w:rPr>
        <w:t>Increases in stock-based compensation costs of $4.6 million and $13.7 million, respectively, due to the factors discussed above on page 25</w:t>
      </w:r>
    </w:p>
    <w:p>
      <w:pPr>
        <w:spacing w:after="0" w:line="149" w:lineRule="exact"/>
        <w:rPr>
          <w:rFonts w:ascii="Arial" w:cs="Arial" w:eastAsia="Arial" w:hAnsi="Arial"/>
          <w:sz w:val="34"/>
          <w:szCs w:val="34"/>
          <w:color w:val="auto"/>
          <w:vertAlign w:val="superscript"/>
        </w:rPr>
      </w:pPr>
    </w:p>
    <w:p>
      <w:pPr>
        <w:ind w:left="700" w:right="20" w:hanging="373"/>
        <w:spacing w:after="0" w:line="180" w:lineRule="auto"/>
        <w:tabs>
          <w:tab w:leader="none" w:pos="700" w:val="left"/>
        </w:tabs>
        <w:numPr>
          <w:ilvl w:val="0"/>
          <w:numId w:val="34"/>
        </w:numPr>
        <w:rPr>
          <w:rFonts w:ascii="Arial" w:cs="Arial" w:eastAsia="Arial" w:hAnsi="Arial"/>
          <w:sz w:val="33"/>
          <w:szCs w:val="33"/>
          <w:color w:val="auto"/>
          <w:vertAlign w:val="superscript"/>
        </w:rPr>
      </w:pPr>
      <w:r>
        <w:rPr>
          <w:rFonts w:ascii="Arial" w:cs="Arial" w:eastAsia="Arial" w:hAnsi="Arial"/>
          <w:sz w:val="17"/>
          <w:szCs w:val="17"/>
          <w:color w:val="auto"/>
        </w:rPr>
        <w:t>Increases in compensation expense, excluding stock-based compensation costs, of $1.9 million and $1.8 million, respectively, due to base salary merit increases on July 2021, as well as an increase in headcount</w:t>
      </w:r>
    </w:p>
    <w:p>
      <w:pPr>
        <w:spacing w:after="0" w:line="108" w:lineRule="exact"/>
        <w:rPr>
          <w:rFonts w:ascii="Arial" w:cs="Arial" w:eastAsia="Arial" w:hAnsi="Arial"/>
          <w:sz w:val="33"/>
          <w:szCs w:val="33"/>
          <w:color w:val="auto"/>
          <w:vertAlign w:val="superscript"/>
        </w:rPr>
      </w:pPr>
    </w:p>
    <w:p>
      <w:pPr>
        <w:ind w:left="700" w:right="20" w:hanging="373"/>
        <w:spacing w:after="0" w:line="180" w:lineRule="auto"/>
        <w:tabs>
          <w:tab w:leader="none" w:pos="700" w:val="left"/>
        </w:tabs>
        <w:numPr>
          <w:ilvl w:val="0"/>
          <w:numId w:val="34"/>
        </w:numPr>
        <w:rPr>
          <w:rFonts w:ascii="Arial" w:cs="Arial" w:eastAsia="Arial" w:hAnsi="Arial"/>
          <w:sz w:val="33"/>
          <w:szCs w:val="33"/>
          <w:color w:val="auto"/>
          <w:vertAlign w:val="superscript"/>
        </w:rPr>
      </w:pPr>
      <w:r>
        <w:rPr>
          <w:rFonts w:ascii="Arial" w:cs="Arial" w:eastAsia="Arial" w:hAnsi="Arial"/>
          <w:sz w:val="17"/>
          <w:szCs w:val="17"/>
          <w:color w:val="auto"/>
        </w:rPr>
        <w:t>Increases in corporate costs of $1.6 million and $2.0 million, respectively, primarily related to increases in third-party consulting fees and insurance costs, partially offset by decreases in bad debt expense</w:t>
      </w:r>
    </w:p>
    <w:p>
      <w:pPr>
        <w:spacing w:after="0" w:line="109" w:lineRule="exact"/>
        <w:rPr>
          <w:sz w:val="20"/>
          <w:szCs w:val="20"/>
          <w:color w:val="auto"/>
        </w:rPr>
      </w:pPr>
    </w:p>
    <w:p>
      <w:pPr>
        <w:ind w:left="700" w:right="20" w:hanging="351"/>
        <w:spacing w:after="0" w:line="180" w:lineRule="auto"/>
        <w:tabs>
          <w:tab w:leader="none" w:pos="700" w:val="left"/>
        </w:tabs>
        <w:numPr>
          <w:ilvl w:val="0"/>
          <w:numId w:val="35"/>
        </w:numPr>
        <w:rPr>
          <w:rFonts w:ascii="Arial" w:cs="Arial" w:eastAsia="Arial" w:hAnsi="Arial"/>
          <w:sz w:val="33"/>
          <w:szCs w:val="33"/>
          <w:color w:val="auto"/>
          <w:vertAlign w:val="superscript"/>
        </w:rPr>
      </w:pPr>
      <w:r>
        <w:rPr>
          <w:rFonts w:ascii="Arial" w:cs="Arial" w:eastAsia="Arial" w:hAnsi="Arial"/>
          <w:sz w:val="17"/>
          <w:szCs w:val="17"/>
          <w:color w:val="auto"/>
        </w:rPr>
        <w:t>Decreases in real estate activity costs of $6.6 million and $7.4 million, respectively, due to our workforce strategy changes made in the third quarter of 2020</w:t>
      </w:r>
    </w:p>
    <w:p>
      <w:pPr>
        <w:spacing w:after="0" w:line="108" w:lineRule="exact"/>
        <w:rPr>
          <w:rFonts w:ascii="Arial" w:cs="Arial" w:eastAsia="Arial" w:hAnsi="Arial"/>
          <w:sz w:val="33"/>
          <w:szCs w:val="33"/>
          <w:color w:val="auto"/>
          <w:vertAlign w:val="superscript"/>
        </w:rPr>
      </w:pPr>
    </w:p>
    <w:p>
      <w:pPr>
        <w:jc w:val="both"/>
        <w:ind w:left="700" w:right="20" w:hanging="351"/>
        <w:spacing w:after="0" w:line="188" w:lineRule="auto"/>
        <w:tabs>
          <w:tab w:leader="none" w:pos="700" w:val="left"/>
        </w:tabs>
        <w:numPr>
          <w:ilvl w:val="0"/>
          <w:numId w:val="35"/>
        </w:numPr>
        <w:rPr>
          <w:rFonts w:ascii="Arial" w:cs="Arial" w:eastAsia="Arial" w:hAnsi="Arial"/>
          <w:sz w:val="36"/>
          <w:szCs w:val="36"/>
          <w:color w:val="auto"/>
          <w:vertAlign w:val="superscript"/>
        </w:rPr>
      </w:pPr>
      <w:r>
        <w:rPr>
          <w:rFonts w:ascii="Arial" w:cs="Arial" w:eastAsia="Arial" w:hAnsi="Arial"/>
          <w:sz w:val="18"/>
          <w:szCs w:val="18"/>
          <w:color w:val="auto"/>
        </w:rPr>
        <w:t>Decreases in rent expense, net of allocated costs, of $1.0 million and $1.9 million, respectively, primarily related to the purchase of our global headquarters facility during the third quarter of 2020 and our exit of certain other office leases globally during the second half of 2020 in-line with changes to our workforce strategy at that time</w:t>
      </w:r>
    </w:p>
    <w:p>
      <w:pPr>
        <w:ind w:left="700" w:hanging="351"/>
        <w:spacing w:after="0" w:line="187" w:lineRule="auto"/>
        <w:tabs>
          <w:tab w:leader="none" w:pos="700" w:val="left"/>
        </w:tabs>
        <w:numPr>
          <w:ilvl w:val="0"/>
          <w:numId w:val="35"/>
        </w:numPr>
        <w:rPr>
          <w:rFonts w:ascii="Arial" w:cs="Arial" w:eastAsia="Arial" w:hAnsi="Arial"/>
          <w:sz w:val="36"/>
          <w:szCs w:val="36"/>
          <w:color w:val="auto"/>
          <w:vertAlign w:val="superscript"/>
        </w:rPr>
      </w:pPr>
      <w:r>
        <w:rPr>
          <w:rFonts w:ascii="Arial" w:cs="Arial" w:eastAsia="Arial" w:hAnsi="Arial"/>
          <w:sz w:val="18"/>
          <w:szCs w:val="18"/>
          <w:color w:val="auto"/>
        </w:rPr>
        <w:t>Decrease in third-party contractor costs of $1.1 million during the nine months ended September 30, 2021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83" w:lineRule="exact"/>
        <w:rPr>
          <w:sz w:val="20"/>
          <w:szCs w:val="20"/>
          <w:color w:val="auto"/>
        </w:rPr>
      </w:pPr>
    </w:p>
    <w:p>
      <w:pPr>
        <w:jc w:val="center"/>
        <w:ind w:right="1980"/>
        <w:spacing w:after="0"/>
        <w:rPr>
          <w:sz w:val="20"/>
          <w:szCs w:val="20"/>
          <w:color w:val="auto"/>
        </w:rPr>
      </w:pPr>
      <w:r>
        <w:rPr>
          <w:rFonts w:ascii="Arial" w:cs="Arial" w:eastAsia="Arial" w:hAnsi="Arial"/>
          <w:sz w:val="18"/>
          <w:szCs w:val="18"/>
          <w:i w:val="1"/>
          <w:iCs w:val="1"/>
          <w:color w:val="auto"/>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635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left="2820"/>
        <w:spacing w:after="0"/>
        <w:rPr>
          <w:sz w:val="20"/>
          <w:szCs w:val="20"/>
          <w:color w:val="auto"/>
        </w:rPr>
      </w:pPr>
      <w:r>
        <w:rPr>
          <w:rFonts w:ascii="Arial" w:cs="Arial" w:eastAsia="Arial" w:hAnsi="Arial"/>
          <w:sz w:val="13"/>
          <w:szCs w:val="13"/>
          <w:i w:val="1"/>
          <w:iCs w:val="1"/>
          <w:color w:val="auto"/>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182245</wp:posOffset>
            </wp:positionV>
            <wp:extent cx="4766310" cy="1423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6631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in dollars and as a percentage of total revenue during the three months ended September 30, 2021 was relatively in line with the same period in 2020.</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interest expense in dollars and as a percentage of total revenue during the nine months ended September 30, 2021, when compared to the same periods in 2020, was primarily due to the Real Estate Loans assumed for the purchase of our global headquarters facility in August 2020 and the deferred financing costs and debt discount associated with the 2020 Credit Facility, which was entered into in October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215900</wp:posOffset>
            </wp:positionV>
            <wp:extent cx="65976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components of deferred revenue from our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shd w:val="clear" w:color="auto" w:fill="ACACAC"/>
          </w:tcPr>
          <w:p>
            <w:pPr>
              <w:spacing w:after="0"/>
              <w:rPr>
                <w:sz w:val="16"/>
                <w:szCs w:val="16"/>
                <w:color w:val="auto"/>
              </w:rPr>
            </w:pPr>
          </w:p>
        </w:tc>
        <w:tc>
          <w:tcPr>
            <w:tcW w:w="340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r>
      <w:tr>
        <w:trPr>
          <w:trHeight w:val="196"/>
        </w:trPr>
        <w:tc>
          <w:tcPr>
            <w:tcW w:w="39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4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Timing of recognition</w:t>
            </w:r>
          </w:p>
        </w:tc>
        <w:tc>
          <w:tcPr>
            <w:tcW w:w="240" w:type="dxa"/>
            <w:vAlign w:val="bottom"/>
            <w:tcBorders>
              <w:bottom w:val="single" w:sz="8" w:color="ACACAC"/>
            </w:tcBorders>
            <w:shd w:val="clear" w:color="auto" w:fill="ACACAC"/>
          </w:tcPr>
          <w:p>
            <w:pPr>
              <w:spacing w:after="0"/>
              <w:rPr>
                <w:sz w:val="17"/>
                <w:szCs w:val="17"/>
                <w:color w:val="auto"/>
              </w:rPr>
            </w:pPr>
          </w:p>
        </w:tc>
        <w:tc>
          <w:tcPr>
            <w:tcW w:w="11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tcBorders>
              <w:bottom w:val="single" w:sz="8" w:color="ACACAC"/>
            </w:tcBorders>
            <w:shd w:val="clear" w:color="auto" w:fill="ACACAC"/>
          </w:tcPr>
          <w:p>
            <w:pPr>
              <w:spacing w:after="0"/>
              <w:rPr>
                <w:sz w:val="17"/>
                <w:szCs w:val="17"/>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2"/>
        </w:trPr>
        <w:tc>
          <w:tcPr>
            <w:tcW w:w="398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Recurring</w:t>
            </w:r>
          </w:p>
        </w:tc>
        <w:tc>
          <w:tcPr>
            <w:tcW w:w="3640" w:type="dxa"/>
            <w:vAlign w:val="bottom"/>
            <w:gridSpan w:val="2"/>
            <w:shd w:val="clear" w:color="auto" w:fill="F4F4F4"/>
          </w:tcPr>
          <w:p>
            <w:pPr>
              <w:jc w:val="right"/>
              <w:ind w:right="260"/>
              <w:spacing w:after="0"/>
              <w:rPr>
                <w:sz w:val="20"/>
                <w:szCs w:val="20"/>
                <w:color w:val="auto"/>
              </w:rPr>
            </w:pPr>
            <w:r>
              <w:rPr>
                <w:rFonts w:ascii="Arial" w:cs="Arial" w:eastAsia="Arial" w:hAnsi="Arial"/>
                <w:sz w:val="18"/>
                <w:szCs w:val="18"/>
                <w:color w:val="auto"/>
              </w:rPr>
              <w:t>Over the period billed in advance,</w:t>
            </w:r>
          </w:p>
        </w:tc>
        <w:tc>
          <w:tcPr>
            <w:tcW w:w="112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100" w:type="dxa"/>
            <w:vAlign w:val="bottom"/>
            <w:shd w:val="clear" w:color="auto" w:fill="F4F4F4"/>
          </w:tcPr>
          <w:p>
            <w:pPr>
              <w:spacing w:after="0"/>
              <w:rPr>
                <w:sz w:val="21"/>
                <w:szCs w:val="21"/>
                <w:color w:val="auto"/>
              </w:rPr>
            </w:pPr>
          </w:p>
        </w:tc>
        <w:tc>
          <w:tcPr>
            <w:tcW w:w="11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24"/>
        </w:trPr>
        <w:tc>
          <w:tcPr>
            <w:tcW w:w="3980" w:type="dxa"/>
            <w:vAlign w:val="bottom"/>
            <w:tcBorders>
              <w:bottom w:val="single" w:sz="8" w:color="F4F4F4"/>
            </w:tcBorders>
            <w:shd w:val="clear" w:color="auto" w:fill="F4F4F4"/>
          </w:tcPr>
          <w:p>
            <w:pPr>
              <w:spacing w:after="0"/>
              <w:rPr>
                <w:sz w:val="19"/>
                <w:szCs w:val="19"/>
                <w:color w:val="auto"/>
              </w:rPr>
            </w:pPr>
          </w:p>
        </w:tc>
        <w:tc>
          <w:tcPr>
            <w:tcW w:w="3640" w:type="dxa"/>
            <w:vAlign w:val="bottom"/>
            <w:tcBorders>
              <w:bottom w:val="single" w:sz="8" w:color="F4F4F4"/>
            </w:tcBorders>
            <w:gridSpan w:val="2"/>
            <w:shd w:val="clear" w:color="auto" w:fill="F4F4F4"/>
          </w:tcPr>
          <w:p>
            <w:pPr>
              <w:jc w:val="right"/>
              <w:ind w:right="120"/>
              <w:spacing w:after="0"/>
              <w:rPr>
                <w:sz w:val="20"/>
                <w:szCs w:val="20"/>
                <w:color w:val="auto"/>
              </w:rPr>
            </w:pPr>
            <w:r>
              <w:rPr>
                <w:rFonts w:ascii="Arial" w:cs="Arial" w:eastAsia="Arial" w:hAnsi="Arial"/>
                <w:sz w:val="18"/>
                <w:szCs w:val="18"/>
                <w:color w:val="auto"/>
              </w:rPr>
              <w:t>generally one year $</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314.5</w:t>
            </w:r>
          </w:p>
        </w:tc>
        <w:tc>
          <w:tcPr>
            <w:tcW w:w="26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303.8</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3.5 %</w:t>
            </w:r>
          </w:p>
        </w:tc>
        <w:tc>
          <w:tcPr>
            <w:tcW w:w="20" w:type="dxa"/>
            <w:vAlign w:val="bottom"/>
          </w:tcPr>
          <w:p>
            <w:pPr>
              <w:spacing w:after="0"/>
              <w:rPr>
                <w:sz w:val="19"/>
                <w:szCs w:val="19"/>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One-time services and other</w:t>
            </w:r>
          </w:p>
        </w:tc>
        <w:tc>
          <w:tcPr>
            <w:tcW w:w="3640" w:type="dxa"/>
            <w:vAlign w:val="bottom"/>
            <w:gridSpan w:val="2"/>
          </w:tcPr>
          <w:p>
            <w:pPr>
              <w:jc w:val="right"/>
              <w:ind w:right="260"/>
              <w:spacing w:after="0"/>
              <w:rPr>
                <w:sz w:val="20"/>
                <w:szCs w:val="20"/>
                <w:color w:val="auto"/>
              </w:rPr>
            </w:pPr>
            <w:r>
              <w:rPr>
                <w:rFonts w:ascii="Arial" w:cs="Arial" w:eastAsia="Arial" w:hAnsi="Arial"/>
                <w:sz w:val="18"/>
                <w:szCs w:val="18"/>
                <w:color w:val="auto"/>
              </w:rPr>
              <w:t>As services are delivered</w:t>
            </w: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140" w:type="dxa"/>
            <w:vAlign w:val="bottom"/>
          </w:tcPr>
          <w:p>
            <w:pPr>
              <w:jc w:val="right"/>
              <w:spacing w:after="0"/>
              <w:rPr>
                <w:sz w:val="20"/>
                <w:szCs w:val="20"/>
                <w:color w:val="auto"/>
              </w:rPr>
            </w:pPr>
            <w:r>
              <w:rPr>
                <w:rFonts w:ascii="Arial" w:cs="Arial" w:eastAsia="Arial" w:hAnsi="Arial"/>
                <w:sz w:val="18"/>
                <w:szCs w:val="18"/>
                <w:color w:val="auto"/>
              </w:rPr>
              <w:t>49.0 %</w:t>
            </w:r>
          </w:p>
        </w:tc>
        <w:tc>
          <w:tcPr>
            <w:tcW w:w="20" w:type="dxa"/>
            <w:vAlign w:val="bottom"/>
          </w:tcPr>
          <w:p>
            <w:pPr>
              <w:spacing w:after="0"/>
              <w:rPr>
                <w:sz w:val="21"/>
                <w:szCs w:val="21"/>
                <w:color w:val="auto"/>
              </w:rPr>
            </w:pPr>
          </w:p>
        </w:tc>
      </w:tr>
      <w:tr>
        <w:trPr>
          <w:trHeight w:val="27"/>
        </w:trPr>
        <w:tc>
          <w:tcPr>
            <w:tcW w:w="3980" w:type="dxa"/>
            <w:vAlign w:val="bottom"/>
            <w:tcBorders>
              <w:bottom w:val="single" w:sz="8" w:color="F4F4F4"/>
            </w:tcBorders>
          </w:tcPr>
          <w:p>
            <w:pPr>
              <w:spacing w:after="0"/>
              <w:rPr>
                <w:sz w:val="2"/>
                <w:szCs w:val="2"/>
                <w:color w:val="auto"/>
              </w:rPr>
            </w:pPr>
          </w:p>
        </w:tc>
        <w:tc>
          <w:tcPr>
            <w:tcW w:w="3400" w:type="dxa"/>
            <w:vAlign w:val="bottom"/>
            <w:tcBorders>
              <w:bottom w:val="single" w:sz="8" w:color="F4F4F4"/>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F4F4F4"/>
            </w:tcBorders>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39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Total deferred revenue</w:t>
            </w:r>
            <w:r>
              <w:rPr>
                <w:rFonts w:ascii="Arial" w:cs="Arial" w:eastAsia="Arial" w:hAnsi="Arial"/>
                <w:sz w:val="23"/>
                <w:szCs w:val="23"/>
                <w:color w:val="auto"/>
                <w:vertAlign w:val="superscript"/>
              </w:rPr>
              <w:t>(1)</w:t>
            </w:r>
          </w:p>
        </w:tc>
        <w:tc>
          <w:tcPr>
            <w:tcW w:w="3400" w:type="dxa"/>
            <w:vAlign w:val="bottom"/>
            <w:shd w:val="clear" w:color="auto" w:fill="F4F4F4"/>
          </w:tcPr>
          <w:p>
            <w:pPr>
              <w:spacing w:after="0"/>
              <w:rPr>
                <w:sz w:val="24"/>
                <w:szCs w:val="24"/>
                <w:color w:val="auto"/>
              </w:rPr>
            </w:pPr>
          </w:p>
        </w:tc>
        <w:tc>
          <w:tcPr>
            <w:tcW w:w="240" w:type="dxa"/>
            <w:vAlign w:val="bottom"/>
            <w:shd w:val="clear" w:color="auto" w:fill="F4F4F4"/>
          </w:tcPr>
          <w:p>
            <w:pPr>
              <w:spacing w:after="0"/>
              <w:rPr>
                <w:sz w:val="24"/>
                <w:szCs w:val="24"/>
                <w:color w:val="auto"/>
              </w:rPr>
            </w:pP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334.0</w:t>
            </w:r>
          </w:p>
        </w:tc>
        <w:tc>
          <w:tcPr>
            <w:tcW w:w="260" w:type="dxa"/>
            <w:vAlign w:val="bottom"/>
            <w:shd w:val="clear" w:color="auto" w:fill="F4F4F4"/>
          </w:tcPr>
          <w:p>
            <w:pPr>
              <w:spacing w:after="0"/>
              <w:rPr>
                <w:sz w:val="24"/>
                <w:szCs w:val="24"/>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316.9</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5.4 %</w:t>
            </w:r>
          </w:p>
        </w:tc>
        <w:tc>
          <w:tcPr>
            <w:tcW w:w="20" w:type="dxa"/>
            <w:vAlign w:val="bottom"/>
          </w:tcPr>
          <w:p>
            <w:pPr>
              <w:spacing w:after="0"/>
              <w:rPr>
                <w:sz w:val="24"/>
                <w:szCs w:val="24"/>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3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r>
      <w:tr>
        <w:trPr>
          <w:trHeight w:val="27"/>
        </w:trPr>
        <w:tc>
          <w:tcPr>
            <w:tcW w:w="3980" w:type="dxa"/>
            <w:vAlign w:val="bottom"/>
            <w:tcBorders>
              <w:bottom w:val="single" w:sz="8" w:color="F4F4F4"/>
            </w:tcBorders>
          </w:tcPr>
          <w:p>
            <w:pPr>
              <w:spacing w:after="0"/>
              <w:rPr>
                <w:sz w:val="2"/>
                <w:szCs w:val="2"/>
                <w:color w:val="auto"/>
              </w:rPr>
            </w:pPr>
          </w:p>
        </w:tc>
        <w:tc>
          <w:tcPr>
            <w:tcW w:w="3400" w:type="dxa"/>
            <w:vAlign w:val="bottom"/>
            <w:tcBorders>
              <w:bottom w:val="single" w:sz="8" w:color="F4F4F4"/>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F4F4F4"/>
            </w:tcBorders>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39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Current portion</w:t>
            </w:r>
            <w:r>
              <w:rPr>
                <w:rFonts w:ascii="Arial" w:cs="Arial" w:eastAsia="Arial" w:hAnsi="Arial"/>
                <w:sz w:val="23"/>
                <w:szCs w:val="23"/>
                <w:color w:val="auto"/>
                <w:vertAlign w:val="superscript"/>
              </w:rPr>
              <w:t>(1)</w:t>
            </w:r>
          </w:p>
        </w:tc>
        <w:tc>
          <w:tcPr>
            <w:tcW w:w="3640" w:type="dxa"/>
            <w:vAlign w:val="bottom"/>
            <w:tcBorders>
              <w:bottom w:val="single" w:sz="8" w:color="71BF43"/>
            </w:tcBorders>
            <w:gridSpan w:val="2"/>
            <w:shd w:val="clear" w:color="auto" w:fill="F4F4F4"/>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329.4</w:t>
            </w:r>
          </w:p>
        </w:tc>
        <w:tc>
          <w:tcPr>
            <w:tcW w:w="26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312.2</w:t>
            </w:r>
          </w:p>
        </w:tc>
        <w:tc>
          <w:tcPr>
            <w:tcW w:w="1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5.5 %</w:t>
            </w:r>
          </w:p>
        </w:tc>
        <w:tc>
          <w:tcPr>
            <w:tcW w:w="20" w:type="dxa"/>
            <w:vAlign w:val="bottom"/>
          </w:tcPr>
          <w:p>
            <w:pPr>
              <w:spacing w:after="0"/>
              <w:rPr>
                <w:sz w:val="24"/>
                <w:szCs w:val="24"/>
                <w:color w:val="auto"/>
              </w:rPr>
            </w:pPr>
          </w:p>
        </w:tc>
      </w:tr>
    </w:tbl>
    <w:p>
      <w:pPr>
        <w:spacing w:after="0" w:line="9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total deferred revenue or current portion of deferred revenue due to rounding.</w:t>
      </w:r>
    </w:p>
    <w:p>
      <w:pPr>
        <w:spacing w:after="0" w:line="15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To the extent that our customers are billed for our solutions and services in advance of delivery, we record such amounts in deferred revenue. Our recurring revenue contracts are generally for a term of three years at contract inception, billed annually in advance, and non-cancelable. We have been for several years successfully shifting our legacy customer base away from annual renewals and moving them onto multi-year renewal contracts. We generally invoice our customers with recurring revenue contracts in annual cycles 30 days prior to the end each one-year period.</w:t>
      </w:r>
    </w:p>
    <w:p>
      <w:pPr>
        <w:spacing w:after="0" w:line="15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Deferred revenue from recurring revenue contracts increased during the nine months ended September 30, 2021, primarily due a seasonal increase in customer contract renewals and, to a lesser extent, early progress in initiatives to bring our pricing in line with the market. Historically, due to the timing of customer budget cycles, we have an increase in customer contract renewals at or near the beginning of our third quarter. Deferred revenue from one-time services and other increased during the nine months ended September 30, 2021, primarily due to a seasonal increase in one-time service billings during the second and third quarters.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99" w:lineRule="exact"/>
        <w:rPr>
          <w:sz w:val="20"/>
          <w:szCs w:val="20"/>
          <w:color w:val="auto"/>
        </w:rPr>
      </w:pPr>
    </w:p>
    <w:p>
      <w:pPr>
        <w:jc w:val="center"/>
        <w:ind w:right="2000"/>
        <w:spacing w:after="0"/>
        <w:rPr>
          <w:sz w:val="20"/>
          <w:szCs w:val="20"/>
          <w:color w:val="auto"/>
        </w:rPr>
      </w:pPr>
      <w:r>
        <w:rPr>
          <w:rFonts w:ascii="Arial" w:cs="Arial" w:eastAsia="Arial" w:hAnsi="Arial"/>
          <w:sz w:val="18"/>
          <w:szCs w:val="18"/>
          <w:i w:val="1"/>
          <w:iCs w:val="1"/>
          <w:color w:val="auto"/>
        </w:rPr>
        <w:t>Income tax provision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635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3"/>
          <w:szCs w:val="13"/>
          <w:i w:val="1"/>
          <w:iCs w:val="1"/>
          <w:color w:val="auto"/>
        </w:rPr>
        <w:t>Percentages indicate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182245</wp:posOffset>
            </wp:positionV>
            <wp:extent cx="4766310" cy="1423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631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increase in our effective income tax rate for the three months ended September 30, 2021, when compared to the same period in 2020, was primarily attributable to higher 2021 non-deductible stock-based compensation and reduced state tax credits. Furthermore, the 2020 effective tax rate was positively impacted by a favorable return to provision adjustment offset against tax expense attributable to a corporate income tax rate increase enacted during the period.</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increase in our effective income tax rate for the nine months ended September 30, 2021 when compared to the same period in 2020, was primarily attributable to the impact of non-deductible expenses against lower pre-tax income.</w:t>
      </w:r>
    </w:p>
    <w:p>
      <w:pPr>
        <w:spacing w:after="0" w:line="30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34</w:t>
      </w:r>
      <w:r>
        <w:rPr>
          <w:sz w:val="20"/>
          <w:szCs w:val="20"/>
          <w:color w:val="auto"/>
        </w:rPr>
        <w:tab/>
      </w:r>
      <w:r>
        <w:rPr>
          <w:sz w:val="1"/>
          <w:szCs w:val="1"/>
          <w:color w:val="auto"/>
        </w:rPr>
        <w:drawing>
          <wp:inline distT="0" distB="0" distL="0" distR="0">
            <wp:extent cx="651510" cy="1714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473075</wp:posOffset>
            </wp:positionV>
            <wp:extent cx="65976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210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20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90"/>
        </w:trPr>
        <w:tc>
          <w:tcPr>
            <w:tcW w:w="39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10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36"/>
        </w:trPr>
        <w:tc>
          <w:tcPr>
            <w:tcW w:w="3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4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100" w:type="dxa"/>
            <w:vAlign w:val="bottom"/>
            <w:tcBorders>
              <w:bottom w:val="single" w:sz="8" w:color="F4F4F4"/>
            </w:tcBorders>
          </w:tcPr>
          <w:p>
            <w:pPr>
              <w:spacing w:after="0"/>
              <w:rPr>
                <w:sz w:val="20"/>
                <w:szCs w:val="20"/>
                <w:color w:val="auto"/>
              </w:rPr>
            </w:pPr>
          </w:p>
        </w:tc>
        <w:tc>
          <w:tcPr>
            <w:tcW w:w="22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4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209"/>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Revenue</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231.2</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215.0</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7.5 %</w:t>
            </w:r>
          </w:p>
        </w:tc>
        <w:tc>
          <w:tcPr>
            <w:tcW w:w="32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679.8</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670.6</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1.4 %</w:t>
            </w:r>
          </w:p>
        </w:tc>
      </w:tr>
      <w:tr>
        <w:trPr>
          <w:trHeight w:val="134"/>
        </w:trPr>
        <w:tc>
          <w:tcPr>
            <w:tcW w:w="39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40" w:type="dxa"/>
            <w:vAlign w:val="bottom"/>
          </w:tcPr>
          <w:p>
            <w:pPr>
              <w:spacing w:after="0"/>
              <w:rPr>
                <w:sz w:val="11"/>
                <w:szCs w:val="11"/>
                <w:color w:val="auto"/>
              </w:rPr>
            </w:pPr>
          </w:p>
        </w:tc>
      </w:tr>
      <w:tr>
        <w:trPr>
          <w:trHeight w:val="216"/>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gross profit</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123.5</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116.3</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6.2 %</w:t>
            </w:r>
          </w:p>
        </w:tc>
        <w:tc>
          <w:tcPr>
            <w:tcW w:w="32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360.7</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362.1</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b w:val="1"/>
                <w:bCs w:val="1"/>
                <w:color w:val="auto"/>
              </w:rPr>
              <w:t>GAAP gross margin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53.4 %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54.1 %</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53.1 %</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54.0 %</w:t>
            </w:r>
          </w:p>
        </w:tc>
        <w:tc>
          <w:tcPr>
            <w:tcW w:w="1040" w:type="dxa"/>
            <w:vAlign w:val="bottom"/>
          </w:tcPr>
          <w:p>
            <w:pPr>
              <w:spacing w:after="0"/>
              <w:rPr>
                <w:sz w:val="18"/>
                <w:szCs w:val="18"/>
                <w:color w:val="auto"/>
              </w:rPr>
            </w:pPr>
          </w:p>
        </w:tc>
      </w:tr>
      <w:tr>
        <w:trPr>
          <w:trHeight w:val="222"/>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60" w:type="dxa"/>
            <w:vAlign w:val="bottom"/>
            <w:tcBorders>
              <w:right w:val="single" w:sz="8" w:color="F4F4F4"/>
            </w:tcBorders>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color w:val="auto"/>
              </w:rPr>
              <w:t>Add: Stock-based compensation expense</w:t>
            </w:r>
          </w:p>
        </w:tc>
        <w:tc>
          <w:tcPr>
            <w:tcW w:w="2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3.7</w:t>
            </w:r>
          </w:p>
        </w:tc>
        <w:tc>
          <w:tcPr>
            <w:tcW w:w="1060" w:type="dxa"/>
            <w:vAlign w:val="bottom"/>
          </w:tcPr>
          <w:p>
            <w:pPr>
              <w:jc w:val="right"/>
              <w:spacing w:after="0"/>
              <w:rPr>
                <w:sz w:val="20"/>
                <w:szCs w:val="20"/>
                <w:color w:val="auto"/>
              </w:rPr>
            </w:pPr>
            <w:r>
              <w:rPr>
                <w:rFonts w:ascii="Arial" w:cs="Arial" w:eastAsia="Arial" w:hAnsi="Arial"/>
                <w:sz w:val="14"/>
                <w:szCs w:val="14"/>
                <w:color w:val="auto"/>
              </w:rPr>
              <w:t>15.6 %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14.9</w:t>
            </w: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7.1</w:t>
            </w:r>
          </w:p>
        </w:tc>
        <w:tc>
          <w:tcPr>
            <w:tcW w:w="1040" w:type="dxa"/>
            <w:vAlign w:val="bottom"/>
          </w:tcPr>
          <w:p>
            <w:pPr>
              <w:jc w:val="right"/>
              <w:spacing w:after="0"/>
              <w:rPr>
                <w:sz w:val="20"/>
                <w:szCs w:val="20"/>
                <w:color w:val="auto"/>
              </w:rPr>
            </w:pPr>
            <w:r>
              <w:rPr>
                <w:rFonts w:ascii="Arial" w:cs="Arial" w:eastAsia="Arial" w:hAnsi="Arial"/>
                <w:sz w:val="14"/>
                <w:szCs w:val="14"/>
                <w:color w:val="auto"/>
              </w:rPr>
              <w:t>108.6 %</w:t>
            </w:r>
          </w:p>
        </w:tc>
      </w:tr>
      <w:tr>
        <w:trPr>
          <w:trHeight w:val="200"/>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intangibles from business</w:t>
            </w: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60" w:type="dxa"/>
            <w:vAlign w:val="bottom"/>
            <w:tcBorders>
              <w:right w:val="single" w:sz="8" w:color="F4F4F4"/>
            </w:tcBorders>
            <w:shd w:val="clear" w:color="auto" w:fill="F4F4F4"/>
          </w:tcPr>
          <w:p>
            <w:pPr>
              <w:spacing w:after="0"/>
              <w:rPr>
                <w:sz w:val="17"/>
                <w:szCs w:val="17"/>
                <w:color w:val="auto"/>
              </w:rPr>
            </w:pPr>
          </w:p>
        </w:tc>
        <w:tc>
          <w:tcPr>
            <w:tcW w:w="100" w:type="dxa"/>
            <w:vAlign w:val="bottom"/>
            <w:shd w:val="clear" w:color="auto" w:fill="F4F4F4"/>
          </w:tcPr>
          <w:p>
            <w:pPr>
              <w:spacing w:after="0"/>
              <w:rPr>
                <w:sz w:val="17"/>
                <w:szCs w:val="17"/>
                <w:color w:val="auto"/>
              </w:rPr>
            </w:pPr>
          </w:p>
        </w:tc>
        <w:tc>
          <w:tcPr>
            <w:tcW w:w="2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r>
      <w:tr>
        <w:trPr>
          <w:trHeight w:val="184"/>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combinations</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8.6</w:t>
            </w:r>
          </w:p>
        </w:tc>
        <w:tc>
          <w:tcPr>
            <w:tcW w:w="22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9.2</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26.6</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29.8</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(10.8)%</w:t>
            </w:r>
          </w:p>
        </w:tc>
      </w:tr>
      <w:tr>
        <w:trPr>
          <w:trHeight w:val="210"/>
        </w:trPr>
        <w:tc>
          <w:tcPr>
            <w:tcW w:w="394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Employee severance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F4F4F4"/>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0.8</w:t>
            </w:r>
          </w:p>
        </w:tc>
        <w:tc>
          <w:tcPr>
            <w:tcW w:w="10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(96.4)%</w:t>
            </w:r>
          </w:p>
        </w:tc>
      </w:tr>
      <w:tr>
        <w:trPr>
          <w:trHeight w:val="216"/>
        </w:trPr>
        <w:tc>
          <w:tcPr>
            <w:tcW w:w="394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12.9</w:t>
            </w:r>
          </w:p>
        </w:tc>
        <w:tc>
          <w:tcPr>
            <w:tcW w:w="22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12.9</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F4F4F4"/>
          </w:tcPr>
          <w:p>
            <w:pPr>
              <w:spacing w:after="0"/>
              <w:rPr>
                <w:sz w:val="18"/>
                <w:szCs w:val="18"/>
                <w:color w:val="auto"/>
              </w:rPr>
            </w:pPr>
          </w:p>
        </w:tc>
        <w:tc>
          <w:tcPr>
            <w:tcW w:w="22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41.5</w:t>
            </w:r>
          </w:p>
        </w:tc>
        <w:tc>
          <w:tcPr>
            <w:tcW w:w="24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37.8</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9.8 %</w:t>
            </w:r>
          </w:p>
        </w:tc>
      </w:tr>
      <w:tr>
        <w:trPr>
          <w:trHeight w:val="209"/>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Non-GAAP gross profit</w:t>
            </w:r>
            <w:r>
              <w:rPr>
                <w:rFonts w:ascii="Arial" w:cs="Arial" w:eastAsia="Arial" w:hAnsi="Arial"/>
                <w:sz w:val="18"/>
                <w:szCs w:val="18"/>
                <w:b w:val="1"/>
                <w:bCs w:val="1"/>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136.4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129.2</w:t>
            </w:r>
          </w:p>
        </w:tc>
        <w:tc>
          <w:tcPr>
            <w:tcW w:w="1060" w:type="dxa"/>
            <w:vAlign w:val="bottom"/>
          </w:tcPr>
          <w:p>
            <w:pPr>
              <w:jc w:val="right"/>
              <w:spacing w:after="0"/>
              <w:rPr>
                <w:sz w:val="20"/>
                <w:szCs w:val="20"/>
                <w:color w:val="auto"/>
              </w:rPr>
            </w:pPr>
            <w:r>
              <w:rPr>
                <w:rFonts w:ascii="Arial" w:cs="Arial" w:eastAsia="Arial" w:hAnsi="Arial"/>
                <w:sz w:val="14"/>
                <w:szCs w:val="14"/>
                <w:color w:val="auto"/>
              </w:rPr>
              <w:t>5.6 %</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402.2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399.9</w:t>
            </w:r>
          </w:p>
        </w:tc>
        <w:tc>
          <w:tcPr>
            <w:tcW w:w="104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210"/>
        </w:trPr>
        <w:tc>
          <w:tcPr>
            <w:tcW w:w="3940" w:type="dxa"/>
            <w:vAlign w:val="bottom"/>
            <w:tcBorders>
              <w:top w:val="single" w:sz="8" w:color="F4F4F4"/>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gross margin</w:t>
            </w:r>
          </w:p>
        </w:tc>
        <w:tc>
          <w:tcPr>
            <w:tcW w:w="24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59.0 %</w:t>
            </w:r>
          </w:p>
        </w:tc>
        <w:tc>
          <w:tcPr>
            <w:tcW w:w="22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60.1 %</w:t>
            </w:r>
          </w:p>
        </w:tc>
        <w:tc>
          <w:tcPr>
            <w:tcW w:w="1060" w:type="dxa"/>
            <w:vAlign w:val="bottom"/>
            <w:tcBorders>
              <w:top w:val="single" w:sz="8" w:color="F4F4F4"/>
              <w:right w:val="single" w:sz="8" w:color="F4F4F4"/>
            </w:tcBorders>
            <w:shd w:val="clear" w:color="auto" w:fill="F4F4F4"/>
          </w:tcPr>
          <w:p>
            <w:pPr>
              <w:spacing w:after="0"/>
              <w:rPr>
                <w:sz w:val="18"/>
                <w:szCs w:val="18"/>
                <w:color w:val="auto"/>
              </w:rPr>
            </w:pPr>
          </w:p>
        </w:tc>
        <w:tc>
          <w:tcPr>
            <w:tcW w:w="100" w:type="dxa"/>
            <w:vAlign w:val="bottom"/>
            <w:tcBorders>
              <w:top w:val="single" w:sz="8" w:color="F4F4F4"/>
            </w:tcBorders>
            <w:shd w:val="clear" w:color="auto" w:fill="F4F4F4"/>
          </w:tcPr>
          <w:p>
            <w:pPr>
              <w:spacing w:after="0"/>
              <w:rPr>
                <w:sz w:val="18"/>
                <w:szCs w:val="18"/>
                <w:color w:val="auto"/>
              </w:rPr>
            </w:pPr>
          </w:p>
        </w:tc>
        <w:tc>
          <w:tcPr>
            <w:tcW w:w="22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59.2 %</w:t>
            </w:r>
          </w:p>
        </w:tc>
        <w:tc>
          <w:tcPr>
            <w:tcW w:w="24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59.6 %</w:t>
            </w:r>
          </w:p>
        </w:tc>
        <w:tc>
          <w:tcPr>
            <w:tcW w:w="1040" w:type="dxa"/>
            <w:vAlign w:val="bottom"/>
            <w:tcBorders>
              <w:top w:val="single" w:sz="8" w:color="F4F4F4"/>
            </w:tcBorders>
            <w:shd w:val="clear" w:color="auto" w:fill="F4F4F4"/>
          </w:tcPr>
          <w:p>
            <w:pPr>
              <w:spacing w:after="0"/>
              <w:rPr>
                <w:sz w:val="18"/>
                <w:szCs w:val="18"/>
                <w:color w:val="auto"/>
              </w:rPr>
            </w:pPr>
          </w:p>
        </w:tc>
      </w:tr>
      <w:tr>
        <w:trPr>
          <w:trHeight w:val="148"/>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income from operations</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11.8</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10.1</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17.4 %</w:t>
            </w:r>
          </w:p>
        </w:tc>
        <w:tc>
          <w:tcPr>
            <w:tcW w:w="32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31.5</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38.1</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(17.2)%</w:t>
            </w: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b w:val="1"/>
                <w:bCs w:val="1"/>
                <w:color w:val="auto"/>
              </w:rPr>
              <w:t>GAAP operating margin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4.7 %</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4.6 %</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5.7 %</w:t>
            </w:r>
          </w:p>
        </w:tc>
        <w:tc>
          <w:tcPr>
            <w:tcW w:w="1040" w:type="dxa"/>
            <w:vAlign w:val="bottom"/>
          </w:tcPr>
          <w:p>
            <w:pPr>
              <w:spacing w:after="0"/>
              <w:rPr>
                <w:sz w:val="18"/>
                <w:szCs w:val="18"/>
                <w:color w:val="auto"/>
              </w:rPr>
            </w:pPr>
          </w:p>
        </w:tc>
      </w:tr>
      <w:tr>
        <w:trPr>
          <w:trHeight w:val="222"/>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60" w:type="dxa"/>
            <w:vAlign w:val="bottom"/>
            <w:tcBorders>
              <w:right w:val="single" w:sz="8" w:color="F4F4F4"/>
            </w:tcBorders>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color w:val="auto"/>
              </w:rPr>
              <w:t>Add: Stock-based compensation expense</w:t>
            </w:r>
          </w:p>
        </w:tc>
        <w:tc>
          <w:tcPr>
            <w:tcW w:w="2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28.9</w:t>
            </w: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20.8</w:t>
            </w:r>
          </w:p>
        </w:tc>
        <w:tc>
          <w:tcPr>
            <w:tcW w:w="1060" w:type="dxa"/>
            <w:vAlign w:val="bottom"/>
          </w:tcPr>
          <w:p>
            <w:pPr>
              <w:jc w:val="right"/>
              <w:spacing w:after="0"/>
              <w:rPr>
                <w:sz w:val="20"/>
                <w:szCs w:val="20"/>
                <w:color w:val="auto"/>
              </w:rPr>
            </w:pPr>
            <w:r>
              <w:rPr>
                <w:rFonts w:ascii="Arial" w:cs="Arial" w:eastAsia="Arial" w:hAnsi="Arial"/>
                <w:sz w:val="14"/>
                <w:szCs w:val="14"/>
                <w:color w:val="auto"/>
              </w:rPr>
              <w:t>38.8 %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89.5</w:t>
            </w: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54.6</w:t>
            </w:r>
          </w:p>
        </w:tc>
        <w:tc>
          <w:tcPr>
            <w:tcW w:w="1040" w:type="dxa"/>
            <w:vAlign w:val="bottom"/>
          </w:tcPr>
          <w:p>
            <w:pPr>
              <w:jc w:val="right"/>
              <w:spacing w:after="0"/>
              <w:rPr>
                <w:sz w:val="20"/>
                <w:szCs w:val="20"/>
                <w:color w:val="auto"/>
              </w:rPr>
            </w:pPr>
            <w:r>
              <w:rPr>
                <w:rFonts w:ascii="Arial" w:cs="Arial" w:eastAsia="Arial" w:hAnsi="Arial"/>
                <w:sz w:val="14"/>
                <w:szCs w:val="14"/>
                <w:color w:val="auto"/>
              </w:rPr>
              <w:t>64.0 %</w:t>
            </w:r>
          </w:p>
        </w:tc>
      </w:tr>
      <w:tr>
        <w:trPr>
          <w:trHeight w:val="200"/>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intangibles from business</w:t>
            </w: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60" w:type="dxa"/>
            <w:vAlign w:val="bottom"/>
            <w:tcBorders>
              <w:right w:val="single" w:sz="8" w:color="F4F4F4"/>
            </w:tcBorders>
            <w:shd w:val="clear" w:color="auto" w:fill="F4F4F4"/>
          </w:tcPr>
          <w:p>
            <w:pPr>
              <w:spacing w:after="0"/>
              <w:rPr>
                <w:sz w:val="17"/>
                <w:szCs w:val="17"/>
                <w:color w:val="auto"/>
              </w:rPr>
            </w:pPr>
          </w:p>
        </w:tc>
        <w:tc>
          <w:tcPr>
            <w:tcW w:w="100" w:type="dxa"/>
            <w:vAlign w:val="bottom"/>
            <w:shd w:val="clear" w:color="auto" w:fill="F4F4F4"/>
          </w:tcPr>
          <w:p>
            <w:pPr>
              <w:spacing w:after="0"/>
              <w:rPr>
                <w:sz w:val="17"/>
                <w:szCs w:val="17"/>
                <w:color w:val="auto"/>
              </w:rPr>
            </w:pPr>
          </w:p>
        </w:tc>
        <w:tc>
          <w:tcPr>
            <w:tcW w:w="2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r>
      <w:tr>
        <w:trPr>
          <w:trHeight w:val="184"/>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combinations</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9.2</w:t>
            </w:r>
          </w:p>
        </w:tc>
        <w:tc>
          <w:tcPr>
            <w:tcW w:w="22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10.0</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28.3</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32.1</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(11.8)%</w:t>
            </w: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color w:val="auto"/>
              </w:rPr>
              <w:t>Add: Employee severance</w:t>
            </w:r>
          </w:p>
        </w:tc>
        <w:tc>
          <w:tcPr>
            <w:tcW w:w="2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1060" w:type="dxa"/>
            <w:vAlign w:val="bottom"/>
          </w:tcPr>
          <w:p>
            <w:pPr>
              <w:jc w:val="right"/>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1040" w:type="dxa"/>
            <w:vAlign w:val="bottom"/>
          </w:tcPr>
          <w:p>
            <w:pPr>
              <w:jc w:val="right"/>
              <w:spacing w:after="0"/>
              <w:rPr>
                <w:sz w:val="20"/>
                <w:szCs w:val="20"/>
                <w:color w:val="auto"/>
              </w:rPr>
            </w:pPr>
            <w:r>
              <w:rPr>
                <w:rFonts w:ascii="Arial" w:cs="Arial" w:eastAsia="Arial" w:hAnsi="Arial"/>
                <w:sz w:val="14"/>
                <w:szCs w:val="14"/>
                <w:color w:val="auto"/>
              </w:rPr>
              <w:t>(67.1)%</w:t>
            </w:r>
          </w:p>
        </w:tc>
      </w:tr>
      <w:tr>
        <w:trPr>
          <w:trHeight w:val="222"/>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integration costs</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13.3 %</w:t>
            </w:r>
          </w:p>
        </w:tc>
        <w:tc>
          <w:tcPr>
            <w:tcW w:w="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(0.1)</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(0.1)</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(2.5)%</w:t>
            </w: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color w:val="auto"/>
              </w:rPr>
              <w:t>Add: Acquisition-related expenses</w:t>
            </w:r>
          </w:p>
        </w:tc>
        <w:tc>
          <w:tcPr>
            <w:tcW w:w="2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1060" w:type="dxa"/>
            <w:vAlign w:val="bottom"/>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0.3</w:t>
            </w:r>
          </w:p>
        </w:tc>
        <w:tc>
          <w:tcPr>
            <w:tcW w:w="104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22"/>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(0.4)</w:t>
            </w: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6.9</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(0.4)</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7.0</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(105.9)%</w:t>
            </w:r>
          </w:p>
        </w:tc>
      </w:tr>
      <w:tr>
        <w:trPr>
          <w:trHeight w:val="216"/>
        </w:trPr>
        <w:tc>
          <w:tcPr>
            <w:tcW w:w="394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Security Incident-related costs, net of insurance</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0.9</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F4F4F4"/>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r>
      <w:tr>
        <w:trPr>
          <w:trHeight w:val="210"/>
        </w:trPr>
        <w:tc>
          <w:tcPr>
            <w:tcW w:w="394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38.6</w:t>
            </w:r>
          </w:p>
        </w:tc>
        <w:tc>
          <w:tcPr>
            <w:tcW w:w="22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38.0</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F4F4F4"/>
          </w:tcPr>
          <w:p>
            <w:pPr>
              <w:spacing w:after="0"/>
              <w:rPr>
                <w:sz w:val="18"/>
                <w:szCs w:val="18"/>
                <w:color w:val="auto"/>
              </w:rPr>
            </w:pPr>
          </w:p>
        </w:tc>
        <w:tc>
          <w:tcPr>
            <w:tcW w:w="22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120.3</w:t>
            </w:r>
          </w:p>
        </w:tc>
        <w:tc>
          <w:tcPr>
            <w:tcW w:w="24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98.4</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22.2 %</w:t>
            </w:r>
          </w:p>
        </w:tc>
      </w:tr>
      <w:tr>
        <w:trPr>
          <w:trHeight w:val="21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Non-GAAP income from operations</w:t>
            </w:r>
            <w:r>
              <w:rPr>
                <w:rFonts w:ascii="Arial" w:cs="Arial" w:eastAsia="Arial" w:hAnsi="Arial"/>
                <w:sz w:val="18"/>
                <w:szCs w:val="18"/>
                <w:b w:val="1"/>
                <w:bCs w:val="1"/>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50.5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48.1</w:t>
            </w:r>
          </w:p>
        </w:tc>
        <w:tc>
          <w:tcPr>
            <w:tcW w:w="1060" w:type="dxa"/>
            <w:vAlign w:val="bottom"/>
          </w:tcPr>
          <w:p>
            <w:pPr>
              <w:jc w:val="right"/>
              <w:spacing w:after="0"/>
              <w:rPr>
                <w:sz w:val="20"/>
                <w:szCs w:val="20"/>
                <w:color w:val="auto"/>
              </w:rPr>
            </w:pPr>
            <w:r>
              <w:rPr>
                <w:rFonts w:ascii="Arial" w:cs="Arial" w:eastAsia="Arial" w:hAnsi="Arial"/>
                <w:sz w:val="14"/>
                <w:szCs w:val="14"/>
                <w:color w:val="auto"/>
              </w:rPr>
              <w:t>4.9 %</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151.8</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136.5</w:t>
            </w:r>
          </w:p>
        </w:tc>
        <w:tc>
          <w:tcPr>
            <w:tcW w:w="1040" w:type="dxa"/>
            <w:vAlign w:val="bottom"/>
          </w:tcPr>
          <w:p>
            <w:pPr>
              <w:jc w:val="right"/>
              <w:spacing w:after="0"/>
              <w:rPr>
                <w:sz w:val="20"/>
                <w:szCs w:val="20"/>
                <w:color w:val="auto"/>
              </w:rPr>
            </w:pPr>
            <w:r>
              <w:rPr>
                <w:rFonts w:ascii="Arial" w:cs="Arial" w:eastAsia="Arial" w:hAnsi="Arial"/>
                <w:sz w:val="14"/>
                <w:szCs w:val="14"/>
                <w:color w:val="auto"/>
              </w:rPr>
              <w:t>11.2 %</w:t>
            </w:r>
          </w:p>
        </w:tc>
      </w:tr>
      <w:tr>
        <w:trPr>
          <w:trHeight w:val="210"/>
        </w:trPr>
        <w:tc>
          <w:tcPr>
            <w:tcW w:w="3940" w:type="dxa"/>
            <w:vAlign w:val="bottom"/>
            <w:tcBorders>
              <w:top w:val="single" w:sz="8" w:color="F4F4F4"/>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operating margin</w:t>
            </w:r>
          </w:p>
        </w:tc>
        <w:tc>
          <w:tcPr>
            <w:tcW w:w="24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21.8 %</w:t>
            </w:r>
          </w:p>
        </w:tc>
        <w:tc>
          <w:tcPr>
            <w:tcW w:w="22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22.4 %</w:t>
            </w:r>
          </w:p>
        </w:tc>
        <w:tc>
          <w:tcPr>
            <w:tcW w:w="1060" w:type="dxa"/>
            <w:vAlign w:val="bottom"/>
            <w:tcBorders>
              <w:top w:val="single" w:sz="8" w:color="F4F4F4"/>
              <w:right w:val="single" w:sz="8" w:color="F4F4F4"/>
            </w:tcBorders>
            <w:shd w:val="clear" w:color="auto" w:fill="F4F4F4"/>
          </w:tcPr>
          <w:p>
            <w:pPr>
              <w:spacing w:after="0"/>
              <w:rPr>
                <w:sz w:val="18"/>
                <w:szCs w:val="18"/>
                <w:color w:val="auto"/>
              </w:rPr>
            </w:pPr>
          </w:p>
        </w:tc>
        <w:tc>
          <w:tcPr>
            <w:tcW w:w="100" w:type="dxa"/>
            <w:vAlign w:val="bottom"/>
            <w:tcBorders>
              <w:top w:val="single" w:sz="8" w:color="F4F4F4"/>
            </w:tcBorders>
            <w:shd w:val="clear" w:color="auto" w:fill="F4F4F4"/>
          </w:tcPr>
          <w:p>
            <w:pPr>
              <w:spacing w:after="0"/>
              <w:rPr>
                <w:sz w:val="18"/>
                <w:szCs w:val="18"/>
                <w:color w:val="auto"/>
              </w:rPr>
            </w:pPr>
          </w:p>
        </w:tc>
        <w:tc>
          <w:tcPr>
            <w:tcW w:w="22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22.3 %</w:t>
            </w:r>
          </w:p>
        </w:tc>
        <w:tc>
          <w:tcPr>
            <w:tcW w:w="24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20.4 %</w:t>
            </w:r>
          </w:p>
        </w:tc>
        <w:tc>
          <w:tcPr>
            <w:tcW w:w="1040" w:type="dxa"/>
            <w:vAlign w:val="bottom"/>
            <w:tcBorders>
              <w:top w:val="single" w:sz="8" w:color="F4F4F4"/>
            </w:tcBorders>
            <w:shd w:val="clear" w:color="auto" w:fill="F4F4F4"/>
          </w:tcPr>
          <w:p>
            <w:pPr>
              <w:spacing w:after="0"/>
              <w:rPr>
                <w:sz w:val="18"/>
                <w:szCs w:val="18"/>
                <w:color w:val="auto"/>
              </w:rPr>
            </w:pPr>
          </w:p>
        </w:tc>
      </w:tr>
      <w:tr>
        <w:trPr>
          <w:trHeight w:val="148"/>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income before provision for income taxes</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8.7</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6.6</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31.3 %</w:t>
            </w:r>
          </w:p>
        </w:tc>
        <w:tc>
          <w:tcPr>
            <w:tcW w:w="32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17.7</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28.3</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(37.4)%</w:t>
            </w:r>
          </w:p>
        </w:tc>
      </w:tr>
      <w:tr>
        <w:trPr>
          <w:trHeight w:val="21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GAAP 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4.9</w:t>
            </w:r>
          </w:p>
        </w:tc>
        <w:tc>
          <w:tcPr>
            <w:tcW w:w="1060" w:type="dxa"/>
            <w:vAlign w:val="bottom"/>
          </w:tcPr>
          <w:p>
            <w:pPr>
              <w:jc w:val="right"/>
              <w:spacing w:after="0"/>
              <w:rPr>
                <w:sz w:val="20"/>
                <w:szCs w:val="20"/>
                <w:color w:val="auto"/>
              </w:rPr>
            </w:pPr>
            <w:r>
              <w:rPr>
                <w:rFonts w:ascii="Arial" w:cs="Arial" w:eastAsia="Arial" w:hAnsi="Arial"/>
                <w:sz w:val="14"/>
                <w:szCs w:val="14"/>
                <w:color w:val="auto"/>
              </w:rPr>
              <w:t>26.9 %</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12.8</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21.3</w:t>
            </w:r>
          </w:p>
        </w:tc>
        <w:tc>
          <w:tcPr>
            <w:tcW w:w="104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222"/>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color w:val="auto"/>
              </w:rPr>
              <w:t>Shares used in computing GAAP diluted earnings per share</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48,274,072</w:t>
            </w: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48,859,707</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48,259,956</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48,582,068</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(0.7)%</w:t>
            </w: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b w:val="1"/>
                <w:bCs w:val="1"/>
                <w:color w:val="auto"/>
              </w:rPr>
              <w:t>GAAP diluted earnings per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0.13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0.10</w:t>
            </w:r>
          </w:p>
        </w:tc>
        <w:tc>
          <w:tcPr>
            <w:tcW w:w="1060" w:type="dxa"/>
            <w:vAlign w:val="bottom"/>
          </w:tcPr>
          <w:p>
            <w:pPr>
              <w:jc w:val="right"/>
              <w:spacing w:after="0"/>
              <w:rPr>
                <w:sz w:val="20"/>
                <w:szCs w:val="20"/>
                <w:color w:val="auto"/>
              </w:rPr>
            </w:pPr>
            <w:r>
              <w:rPr>
                <w:rFonts w:ascii="Arial" w:cs="Arial" w:eastAsia="Arial" w:hAnsi="Arial"/>
                <w:sz w:val="14"/>
                <w:szCs w:val="14"/>
                <w:color w:val="auto"/>
              </w:rPr>
              <w:t>30.0 %</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0.26</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0.44</w:t>
            </w:r>
          </w:p>
        </w:tc>
        <w:tc>
          <w:tcPr>
            <w:tcW w:w="1040" w:type="dxa"/>
            <w:vAlign w:val="bottom"/>
          </w:tcPr>
          <w:p>
            <w:pPr>
              <w:jc w:val="right"/>
              <w:spacing w:after="0"/>
              <w:rPr>
                <w:sz w:val="20"/>
                <w:szCs w:val="20"/>
                <w:color w:val="auto"/>
              </w:rPr>
            </w:pPr>
            <w:r>
              <w:rPr>
                <w:rFonts w:ascii="Arial" w:cs="Arial" w:eastAsia="Arial" w:hAnsi="Arial"/>
                <w:sz w:val="14"/>
                <w:szCs w:val="14"/>
                <w:color w:val="auto"/>
              </w:rPr>
              <w:t>(40.9)%</w:t>
            </w:r>
          </w:p>
        </w:tc>
      </w:tr>
      <w:tr>
        <w:trPr>
          <w:trHeight w:val="222"/>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60" w:type="dxa"/>
            <w:vAlign w:val="bottom"/>
            <w:tcBorders>
              <w:right w:val="single" w:sz="8" w:color="F4F4F4"/>
            </w:tcBorders>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color w:val="auto"/>
              </w:rPr>
              <w:t>Add: GAAP income tax provision</w:t>
            </w:r>
          </w:p>
        </w:tc>
        <w:tc>
          <w:tcPr>
            <w:tcW w:w="2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1060" w:type="dxa"/>
            <w:vAlign w:val="bottom"/>
          </w:tcPr>
          <w:p>
            <w:pPr>
              <w:jc w:val="right"/>
              <w:spacing w:after="0"/>
              <w:rPr>
                <w:sz w:val="20"/>
                <w:szCs w:val="20"/>
                <w:color w:val="auto"/>
              </w:rPr>
            </w:pPr>
            <w:r>
              <w:rPr>
                <w:rFonts w:ascii="Arial" w:cs="Arial" w:eastAsia="Arial" w:hAnsi="Arial"/>
                <w:sz w:val="14"/>
                <w:szCs w:val="14"/>
                <w:color w:val="auto"/>
              </w:rPr>
              <w:t>43.3 %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1040" w:type="dxa"/>
            <w:vAlign w:val="bottom"/>
          </w:tcPr>
          <w:p>
            <w:pPr>
              <w:jc w:val="right"/>
              <w:spacing w:after="0"/>
              <w:rPr>
                <w:sz w:val="20"/>
                <w:szCs w:val="20"/>
                <w:color w:val="auto"/>
              </w:rPr>
            </w:pPr>
            <w:r>
              <w:rPr>
                <w:rFonts w:ascii="Arial" w:cs="Arial" w:eastAsia="Arial" w:hAnsi="Arial"/>
                <w:sz w:val="14"/>
                <w:szCs w:val="14"/>
                <w:color w:val="auto"/>
              </w:rPr>
              <w:t>(28.8)%</w:t>
            </w:r>
          </w:p>
        </w:tc>
      </w:tr>
      <w:tr>
        <w:trPr>
          <w:trHeight w:val="200"/>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Total non-GAAP adjustments affecting income from</w:t>
            </w: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60" w:type="dxa"/>
            <w:vAlign w:val="bottom"/>
            <w:tcBorders>
              <w:right w:val="single" w:sz="8" w:color="F4F4F4"/>
            </w:tcBorders>
            <w:shd w:val="clear" w:color="auto" w:fill="F4F4F4"/>
          </w:tcPr>
          <w:p>
            <w:pPr>
              <w:spacing w:after="0"/>
              <w:rPr>
                <w:sz w:val="17"/>
                <w:szCs w:val="17"/>
                <w:color w:val="auto"/>
              </w:rPr>
            </w:pPr>
          </w:p>
        </w:tc>
        <w:tc>
          <w:tcPr>
            <w:tcW w:w="100" w:type="dxa"/>
            <w:vAlign w:val="bottom"/>
            <w:shd w:val="clear" w:color="auto" w:fill="F4F4F4"/>
          </w:tcPr>
          <w:p>
            <w:pPr>
              <w:spacing w:after="0"/>
              <w:rPr>
                <w:sz w:val="17"/>
                <w:szCs w:val="17"/>
                <w:color w:val="auto"/>
              </w:rPr>
            </w:pPr>
          </w:p>
        </w:tc>
        <w:tc>
          <w:tcPr>
            <w:tcW w:w="2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r>
      <w:tr>
        <w:trPr>
          <w:trHeight w:val="184"/>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operations</w:t>
            </w:r>
          </w:p>
        </w:tc>
        <w:tc>
          <w:tcPr>
            <w:tcW w:w="24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38.6</w:t>
            </w:r>
          </w:p>
        </w:tc>
        <w:tc>
          <w:tcPr>
            <w:tcW w:w="22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38.0</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F4F4F4"/>
          </w:tcPr>
          <w:p>
            <w:pPr>
              <w:spacing w:after="0"/>
              <w:rPr>
                <w:sz w:val="16"/>
                <w:szCs w:val="16"/>
                <w:color w:val="auto"/>
              </w:rPr>
            </w:pPr>
          </w:p>
        </w:tc>
        <w:tc>
          <w:tcPr>
            <w:tcW w:w="22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120.3</w:t>
            </w:r>
          </w:p>
        </w:tc>
        <w:tc>
          <w:tcPr>
            <w:tcW w:w="24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98.4</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22.2 %</w:t>
            </w:r>
          </w:p>
        </w:tc>
      </w:tr>
      <w:tr>
        <w:trPr>
          <w:trHeight w:val="204"/>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Non-GAAP income before provision for income taxes</w:t>
            </w:r>
          </w:p>
        </w:tc>
        <w:tc>
          <w:tcPr>
            <w:tcW w:w="24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47.3</w:t>
            </w:r>
          </w:p>
        </w:tc>
        <w:tc>
          <w:tcPr>
            <w:tcW w:w="22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44.7</w:t>
            </w:r>
          </w:p>
        </w:tc>
        <w:tc>
          <w:tcPr>
            <w:tcW w:w="1060" w:type="dxa"/>
            <w:vAlign w:val="bottom"/>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138.0</w:t>
            </w:r>
          </w:p>
        </w:tc>
        <w:tc>
          <w:tcPr>
            <w:tcW w:w="24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126.7</w:t>
            </w:r>
          </w:p>
        </w:tc>
        <w:tc>
          <w:tcPr>
            <w:tcW w:w="1040" w:type="dxa"/>
            <w:vAlign w:val="bottom"/>
          </w:tcPr>
          <w:p>
            <w:pPr>
              <w:jc w:val="right"/>
              <w:spacing w:after="0"/>
              <w:rPr>
                <w:sz w:val="20"/>
                <w:szCs w:val="20"/>
                <w:color w:val="auto"/>
              </w:rPr>
            </w:pPr>
            <w:r>
              <w:rPr>
                <w:rFonts w:ascii="Arial" w:cs="Arial" w:eastAsia="Arial" w:hAnsi="Arial"/>
                <w:sz w:val="14"/>
                <w:szCs w:val="14"/>
                <w:color w:val="auto"/>
              </w:rPr>
              <w:t>8.9 %</w:t>
            </w:r>
          </w:p>
        </w:tc>
      </w:tr>
      <w:tr>
        <w:trPr>
          <w:trHeight w:val="222"/>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color w:val="auto"/>
              </w:rPr>
              <w:t>Assumed non-GAAP income tax provision</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9.5</w:t>
            </w:r>
          </w:p>
        </w:tc>
        <w:tc>
          <w:tcPr>
            <w:tcW w:w="22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8.9</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6.0 %</w:t>
            </w:r>
          </w:p>
        </w:tc>
        <w:tc>
          <w:tcPr>
            <w:tcW w:w="100" w:type="dxa"/>
            <w:vAlign w:val="bottom"/>
            <w:shd w:val="clear" w:color="auto" w:fill="F4F4F4"/>
          </w:tcPr>
          <w:p>
            <w:pPr>
              <w:spacing w:after="0"/>
              <w:rPr>
                <w:sz w:val="19"/>
                <w:szCs w:val="19"/>
                <w:color w:val="auto"/>
              </w:rPr>
            </w:pPr>
          </w:p>
        </w:tc>
        <w:tc>
          <w:tcPr>
            <w:tcW w:w="22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27.6</w:t>
            </w:r>
          </w:p>
        </w:tc>
        <w:tc>
          <w:tcPr>
            <w:tcW w:w="24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25.3</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8.9 %</w:t>
            </w:r>
          </w:p>
        </w:tc>
      </w:tr>
      <w:tr>
        <w:trPr>
          <w:trHeight w:val="21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8"/>
                <w:szCs w:val="18"/>
                <w:b w:val="1"/>
                <w:bCs w:val="1"/>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37.9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35.7</w:t>
            </w:r>
          </w:p>
        </w:tc>
        <w:tc>
          <w:tcPr>
            <w:tcW w:w="1060" w:type="dxa"/>
            <w:vAlign w:val="bottom"/>
          </w:tcPr>
          <w:p>
            <w:pPr>
              <w:jc w:val="right"/>
              <w:spacing w:after="0"/>
              <w:rPr>
                <w:sz w:val="20"/>
                <w:szCs w:val="20"/>
                <w:color w:val="auto"/>
              </w:rPr>
            </w:pPr>
            <w:r>
              <w:rPr>
                <w:rFonts w:ascii="Arial" w:cs="Arial" w:eastAsia="Arial" w:hAnsi="Arial"/>
                <w:sz w:val="14"/>
                <w:szCs w:val="14"/>
                <w:color w:val="auto"/>
              </w:rPr>
              <w:t>6.0 %</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110.4</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101.3</w:t>
            </w:r>
          </w:p>
        </w:tc>
        <w:tc>
          <w:tcPr>
            <w:tcW w:w="1040" w:type="dxa"/>
            <w:vAlign w:val="bottom"/>
          </w:tcPr>
          <w:p>
            <w:pPr>
              <w:jc w:val="right"/>
              <w:spacing w:after="0"/>
              <w:rPr>
                <w:sz w:val="20"/>
                <w:szCs w:val="20"/>
                <w:color w:val="auto"/>
              </w:rPr>
            </w:pPr>
            <w:r>
              <w:rPr>
                <w:rFonts w:ascii="Arial" w:cs="Arial" w:eastAsia="Arial" w:hAnsi="Arial"/>
                <w:sz w:val="14"/>
                <w:szCs w:val="14"/>
                <w:color w:val="auto"/>
              </w:rPr>
              <w:t>8.9 %</w:t>
            </w:r>
          </w:p>
        </w:tc>
      </w:tr>
      <w:tr>
        <w:trPr>
          <w:trHeight w:val="129"/>
        </w:trPr>
        <w:tc>
          <w:tcPr>
            <w:tcW w:w="3940" w:type="dxa"/>
            <w:vAlign w:val="bottom"/>
            <w:tcBorders>
              <w:top w:val="single" w:sz="8" w:color="F4F4F4"/>
            </w:tcBorders>
            <w:shd w:val="clear" w:color="auto" w:fill="F4F4F4"/>
          </w:tcPr>
          <w:p>
            <w:pPr>
              <w:spacing w:after="0"/>
              <w:rPr>
                <w:sz w:val="11"/>
                <w:szCs w:val="11"/>
                <w:color w:val="auto"/>
              </w:rPr>
            </w:pPr>
          </w:p>
        </w:tc>
        <w:tc>
          <w:tcPr>
            <w:tcW w:w="24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auto"/>
            </w:tcBorders>
            <w:shd w:val="clear" w:color="auto" w:fill="F4F4F4"/>
          </w:tcPr>
          <w:p>
            <w:pPr>
              <w:spacing w:after="0"/>
              <w:rPr>
                <w:sz w:val="11"/>
                <w:szCs w:val="11"/>
                <w:color w:val="auto"/>
              </w:rPr>
            </w:pPr>
          </w:p>
        </w:tc>
        <w:tc>
          <w:tcPr>
            <w:tcW w:w="22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auto"/>
            </w:tcBorders>
            <w:shd w:val="clear" w:color="auto" w:fill="F4F4F4"/>
          </w:tcPr>
          <w:p>
            <w:pPr>
              <w:spacing w:after="0"/>
              <w:rPr>
                <w:sz w:val="11"/>
                <w:szCs w:val="11"/>
                <w:color w:val="auto"/>
              </w:rPr>
            </w:pPr>
          </w:p>
        </w:tc>
        <w:tc>
          <w:tcPr>
            <w:tcW w:w="1060" w:type="dxa"/>
            <w:vAlign w:val="bottom"/>
            <w:tcBorders>
              <w:top w:val="single" w:sz="8" w:color="F4F4F4"/>
              <w:right w:val="single" w:sz="8" w:color="F4F4F4"/>
            </w:tcBorders>
            <w:shd w:val="clear" w:color="auto" w:fill="F4F4F4"/>
          </w:tcPr>
          <w:p>
            <w:pPr>
              <w:spacing w:after="0"/>
              <w:rPr>
                <w:sz w:val="11"/>
                <w:szCs w:val="11"/>
                <w:color w:val="auto"/>
              </w:rPr>
            </w:pPr>
          </w:p>
        </w:tc>
        <w:tc>
          <w:tcPr>
            <w:tcW w:w="100" w:type="dxa"/>
            <w:vAlign w:val="bottom"/>
            <w:tcBorders>
              <w:top w:val="single" w:sz="8" w:color="F4F4F4"/>
            </w:tcBorders>
            <w:shd w:val="clear" w:color="auto" w:fill="F4F4F4"/>
          </w:tcPr>
          <w:p>
            <w:pPr>
              <w:spacing w:after="0"/>
              <w:rPr>
                <w:sz w:val="11"/>
                <w:szCs w:val="11"/>
                <w:color w:val="auto"/>
              </w:rPr>
            </w:pPr>
          </w:p>
        </w:tc>
        <w:tc>
          <w:tcPr>
            <w:tcW w:w="22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auto"/>
            </w:tcBorders>
            <w:shd w:val="clear" w:color="auto" w:fill="F4F4F4"/>
          </w:tcPr>
          <w:p>
            <w:pPr>
              <w:spacing w:after="0"/>
              <w:rPr>
                <w:sz w:val="11"/>
                <w:szCs w:val="11"/>
                <w:color w:val="auto"/>
              </w:rPr>
            </w:pPr>
          </w:p>
        </w:tc>
        <w:tc>
          <w:tcPr>
            <w:tcW w:w="24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F4F4F4"/>
            </w:tcBorders>
            <w:shd w:val="clear" w:color="auto" w:fill="F4F4F4"/>
          </w:tcPr>
          <w:p>
            <w:pPr>
              <w:spacing w:after="0"/>
              <w:rPr>
                <w:sz w:val="11"/>
                <w:szCs w:val="11"/>
                <w:color w:val="auto"/>
              </w:rPr>
            </w:pPr>
          </w:p>
        </w:tc>
      </w:tr>
      <w:tr>
        <w:trPr>
          <w:trHeight w:val="194"/>
        </w:trPr>
        <w:tc>
          <w:tcPr>
            <w:tcW w:w="3940" w:type="dxa"/>
            <w:vAlign w:val="bottom"/>
          </w:tcPr>
          <w:p>
            <w:pPr>
              <w:ind w:left="20"/>
              <w:spacing w:after="0"/>
              <w:rPr>
                <w:sz w:val="20"/>
                <w:szCs w:val="20"/>
                <w:color w:val="auto"/>
              </w:rPr>
            </w:pPr>
            <w:r>
              <w:rPr>
                <w:rFonts w:ascii="Arial" w:cs="Arial" w:eastAsia="Arial" w:hAnsi="Arial"/>
                <w:sz w:val="14"/>
                <w:szCs w:val="14"/>
                <w:color w:val="auto"/>
              </w:rPr>
              <w:t>Shares used in computing non-GAAP diluted earnings per</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8"/>
        </w:trPr>
        <w:tc>
          <w:tcPr>
            <w:tcW w:w="3940" w:type="dxa"/>
            <w:vAlign w:val="bottom"/>
          </w:tcPr>
          <w:p>
            <w:pPr>
              <w:ind w:left="20"/>
              <w:spacing w:after="0"/>
              <w:rPr>
                <w:sz w:val="20"/>
                <w:szCs w:val="20"/>
                <w:color w:val="auto"/>
              </w:rPr>
            </w:pPr>
            <w:r>
              <w:rPr>
                <w:rFonts w:ascii="Arial" w:cs="Arial" w:eastAsia="Arial" w:hAnsi="Arial"/>
                <w:sz w:val="14"/>
                <w:szCs w:val="14"/>
                <w:color w:val="auto"/>
              </w:rPr>
              <w:t>share</w:t>
            </w:r>
          </w:p>
        </w:tc>
        <w:tc>
          <w:tcPr>
            <w:tcW w:w="24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48,274,072</w:t>
            </w:r>
          </w:p>
        </w:tc>
        <w:tc>
          <w:tcPr>
            <w:tcW w:w="22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48,859,707</w:t>
            </w: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48,259,956</w:t>
            </w:r>
          </w:p>
        </w:tc>
        <w:tc>
          <w:tcPr>
            <w:tcW w:w="24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48,582,068</w:t>
            </w:r>
          </w:p>
        </w:tc>
        <w:tc>
          <w:tcPr>
            <w:tcW w:w="10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16"/>
        </w:trPr>
        <w:tc>
          <w:tcPr>
            <w:tcW w:w="394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diluted earnings per share</w:t>
            </w:r>
          </w:p>
        </w:tc>
        <w:tc>
          <w:tcPr>
            <w:tcW w:w="240" w:type="dxa"/>
            <w:vAlign w:val="bottom"/>
            <w:tcBorders>
              <w:bottom w:val="single" w:sz="8" w:color="71BF43"/>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1BF43"/>
            </w:tcBorders>
            <w:shd w:val="clear" w:color="auto" w:fill="F4F4F4"/>
          </w:tcPr>
          <w:p>
            <w:pPr>
              <w:jc w:val="right"/>
              <w:ind w:right="108"/>
              <w:spacing w:after="0"/>
              <w:rPr>
                <w:sz w:val="20"/>
                <w:szCs w:val="20"/>
                <w:color w:val="auto"/>
              </w:rPr>
            </w:pPr>
            <w:r>
              <w:rPr>
                <w:rFonts w:ascii="Arial" w:cs="Arial" w:eastAsia="Arial" w:hAnsi="Arial"/>
                <w:sz w:val="14"/>
                <w:szCs w:val="14"/>
                <w:color w:val="auto"/>
              </w:rPr>
              <w:t>0.78</w:t>
            </w:r>
          </w:p>
        </w:tc>
        <w:tc>
          <w:tcPr>
            <w:tcW w:w="220" w:type="dxa"/>
            <w:vAlign w:val="bottom"/>
            <w:tcBorders>
              <w:bottom w:val="single" w:sz="8" w:color="71BF43"/>
            </w:tcBorders>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1BF43"/>
            </w:tcBorders>
            <w:shd w:val="clear" w:color="auto" w:fill="F4F4F4"/>
          </w:tcPr>
          <w:p>
            <w:pPr>
              <w:jc w:val="right"/>
              <w:ind w:right="108"/>
              <w:spacing w:after="0"/>
              <w:rPr>
                <w:sz w:val="20"/>
                <w:szCs w:val="20"/>
                <w:color w:val="auto"/>
              </w:rPr>
            </w:pPr>
            <w:r>
              <w:rPr>
                <w:rFonts w:ascii="Arial" w:cs="Arial" w:eastAsia="Arial" w:hAnsi="Arial"/>
                <w:sz w:val="14"/>
                <w:szCs w:val="14"/>
                <w:color w:val="auto"/>
              </w:rPr>
              <w:t>0.73</w:t>
            </w:r>
          </w:p>
        </w:tc>
        <w:tc>
          <w:tcPr>
            <w:tcW w:w="1060" w:type="dxa"/>
            <w:vAlign w:val="bottom"/>
            <w:tcBorders>
              <w:bottom w:val="single" w:sz="8" w:color="71BF43"/>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6.8 %</w:t>
            </w:r>
          </w:p>
        </w:tc>
        <w:tc>
          <w:tcPr>
            <w:tcW w:w="320" w:type="dxa"/>
            <w:vAlign w:val="bottom"/>
            <w:tcBorders>
              <w:bottom w:val="single" w:sz="8" w:color="71BF43"/>
            </w:tcBorders>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1BF43"/>
            </w:tcBorders>
            <w:shd w:val="clear" w:color="auto" w:fill="F4F4F4"/>
          </w:tcPr>
          <w:p>
            <w:pPr>
              <w:jc w:val="right"/>
              <w:ind w:right="108"/>
              <w:spacing w:after="0"/>
              <w:rPr>
                <w:sz w:val="20"/>
                <w:szCs w:val="20"/>
                <w:color w:val="auto"/>
              </w:rPr>
            </w:pPr>
            <w:r>
              <w:rPr>
                <w:rFonts w:ascii="Arial" w:cs="Arial" w:eastAsia="Arial" w:hAnsi="Arial"/>
                <w:sz w:val="14"/>
                <w:szCs w:val="14"/>
                <w:color w:val="auto"/>
              </w:rPr>
              <w:t>2.29</w:t>
            </w:r>
          </w:p>
        </w:tc>
        <w:tc>
          <w:tcPr>
            <w:tcW w:w="240" w:type="dxa"/>
            <w:vAlign w:val="bottom"/>
            <w:tcBorders>
              <w:bottom w:val="single" w:sz="8" w:color="71BF43"/>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1BF43"/>
            </w:tcBorders>
            <w:shd w:val="clear" w:color="auto" w:fill="F4F4F4"/>
          </w:tcPr>
          <w:p>
            <w:pPr>
              <w:jc w:val="right"/>
              <w:ind w:right="128"/>
              <w:spacing w:after="0"/>
              <w:rPr>
                <w:sz w:val="20"/>
                <w:szCs w:val="20"/>
                <w:color w:val="auto"/>
              </w:rPr>
            </w:pPr>
            <w:r>
              <w:rPr>
                <w:rFonts w:ascii="Arial" w:cs="Arial" w:eastAsia="Arial" w:hAnsi="Arial"/>
                <w:sz w:val="14"/>
                <w:szCs w:val="14"/>
                <w:color w:val="auto"/>
              </w:rPr>
              <w:t>2.09</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4"/>
                <w:szCs w:val="14"/>
                <w:color w:val="auto"/>
              </w:rPr>
              <w:t>9.6 %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-5819775</wp:posOffset>
            </wp:positionV>
            <wp:extent cx="46202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gross profit, subtotal, non-GAAP income from operations or non-GAAP net income due to rounding.</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Security Incident-related costs incurred during the three and nine months ended September 30, 2021 of $11.4 million and $35.9 million, respectively, net of probable insurance recoveries during the same periods of $10.6 million and $34.5 million, respectively. Recorded expenses consisted primarily of payments to third-party service providers and consultants, including legal fees, as well as settlements of customer claims. Not included in this adjustment were costs associated with enhancements to our cybersecurity program.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apply a non-GAAP effective tax rate of 20.0% when calculating non-GAAP net income and non-GAAP diluted earnings per share.</w:t>
      </w:r>
    </w:p>
    <w:p>
      <w:pPr>
        <w:spacing w:after="0" w:line="31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36</w:t>
      </w:r>
      <w:r>
        <w:rPr>
          <w:sz w:val="20"/>
          <w:szCs w:val="20"/>
          <w:color w:val="auto"/>
        </w:rPr>
        <w:tab/>
      </w:r>
      <w:r>
        <w:rPr>
          <w:sz w:val="1"/>
          <w:szCs w:val="1"/>
          <w:color w:val="auto"/>
        </w:rPr>
        <w:drawing>
          <wp:inline distT="0" distB="0" distL="0" distR="0">
            <wp:extent cx="651510" cy="1714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organic revenue growth</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In addition, we discuss non-GAAP organic revenue growth, non-GAAP organic revenue growth on a constant currency basis and non-GAAP organic recurring revenue growth,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and they include the non-GAAP revenue attributable to those companies, as if there were no acquisition-related write-downs of acquired deferred revenue to fair value as required by GAAP.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2140" w:type="dxa"/>
            <w:vAlign w:val="bottom"/>
            <w:tcBorders>
              <w:right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214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r>
      <w:tr>
        <w:trPr>
          <w:trHeight w:val="190"/>
        </w:trPr>
        <w:tc>
          <w:tcPr>
            <w:tcW w:w="596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10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6"/>
                <w:szCs w:val="16"/>
                <w:color w:val="auto"/>
              </w:rPr>
            </w:pPr>
          </w:p>
        </w:tc>
      </w:tr>
      <w:tr>
        <w:trPr>
          <w:trHeight w:val="370"/>
        </w:trPr>
        <w:tc>
          <w:tcPr>
            <w:tcW w:w="59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ACACAC"/>
            </w:tcBorders>
            <w:shd w:val="clear" w:color="auto" w:fill="ACACAC"/>
          </w:tcPr>
          <w:p>
            <w:pPr>
              <w:spacing w:after="0"/>
              <w:rPr>
                <w:sz w:val="24"/>
                <w:szCs w:val="24"/>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60" w:type="dxa"/>
            <w:vAlign w:val="bottom"/>
            <w:tcBorders>
              <w:bottom w:val="single" w:sz="8" w:color="ACACAC"/>
            </w:tcBorders>
            <w:shd w:val="clear" w:color="auto" w:fill="ACACAC"/>
          </w:tcPr>
          <w:p>
            <w:pPr>
              <w:spacing w:after="0"/>
              <w:rPr>
                <w:sz w:val="24"/>
                <w:szCs w:val="24"/>
                <w:color w:val="auto"/>
              </w:rPr>
            </w:pPr>
          </w:p>
        </w:tc>
        <w:tc>
          <w:tcPr>
            <w:tcW w:w="108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80" w:type="dxa"/>
            <w:vAlign w:val="bottom"/>
            <w:tcBorders>
              <w:bottom w:val="single" w:sz="8" w:color="F4F4F4"/>
            </w:tcBorders>
          </w:tcPr>
          <w:p>
            <w:pPr>
              <w:spacing w:after="0"/>
              <w:rPr>
                <w:sz w:val="24"/>
                <w:szCs w:val="24"/>
                <w:color w:val="auto"/>
              </w:rPr>
            </w:pPr>
          </w:p>
        </w:tc>
        <w:tc>
          <w:tcPr>
            <w:tcW w:w="460" w:type="dxa"/>
            <w:vAlign w:val="bottom"/>
            <w:tcBorders>
              <w:bottom w:val="single" w:sz="8" w:color="ACACAC"/>
            </w:tcBorders>
            <w:shd w:val="clear" w:color="auto" w:fill="ACACAC"/>
          </w:tcPr>
          <w:p>
            <w:pPr>
              <w:spacing w:after="0"/>
              <w:rPr>
                <w:sz w:val="24"/>
                <w:szCs w:val="24"/>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60" w:type="dxa"/>
            <w:vAlign w:val="bottom"/>
            <w:tcBorders>
              <w:bottom w:val="single" w:sz="8" w:color="ACACAC"/>
            </w:tcBorders>
            <w:shd w:val="clear" w:color="auto" w:fill="ACACAC"/>
          </w:tcPr>
          <w:p>
            <w:pPr>
              <w:spacing w:after="0"/>
              <w:rPr>
                <w:sz w:val="24"/>
                <w:szCs w:val="24"/>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4"/>
                <w:szCs w:val="24"/>
                <w:color w:val="auto"/>
              </w:rPr>
            </w:pPr>
          </w:p>
        </w:tc>
      </w:tr>
      <w:tr>
        <w:trPr>
          <w:trHeight w:val="216"/>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revenue</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231.2</w:t>
            </w:r>
          </w:p>
        </w:tc>
        <w:tc>
          <w:tcPr>
            <w:tcW w:w="1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215.0</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679.8</w:t>
            </w:r>
          </w:p>
        </w:tc>
        <w:tc>
          <w:tcPr>
            <w:tcW w:w="1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670.6</w:t>
            </w:r>
          </w:p>
        </w:tc>
        <w:tc>
          <w:tcPr>
            <w:tcW w:w="20" w:type="dxa"/>
            <w:vAlign w:val="bottom"/>
          </w:tcPr>
          <w:p>
            <w:pPr>
              <w:spacing w:after="0"/>
              <w:rPr>
                <w:sz w:val="18"/>
                <w:szCs w:val="18"/>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GAAP revenue growth</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7.5 %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1.4 %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9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Non-GAAP acquisition-related revenue</w:t>
            </w:r>
            <w:r>
              <w:rPr>
                <w:rFonts w:ascii="Arial" w:cs="Arial" w:eastAsia="Arial" w:hAnsi="Arial"/>
                <w:sz w:val="18"/>
                <w:szCs w:val="18"/>
                <w:color w:val="auto"/>
                <w:vertAlign w:val="superscript"/>
              </w:rPr>
              <w:t>(1)</w:t>
            </w:r>
          </w:p>
        </w:tc>
        <w:tc>
          <w:tcPr>
            <w:tcW w:w="460" w:type="dxa"/>
            <w:vAlign w:val="bottom"/>
            <w:tcBorders>
              <w:bottom w:val="single" w:sz="8" w:color="4D5259"/>
            </w:tcBorders>
            <w:shd w:val="clear" w:color="auto" w:fill="F4F4F4"/>
          </w:tcPr>
          <w:p>
            <w:pPr>
              <w:spacing w:after="0"/>
              <w:rPr>
                <w:sz w:val="19"/>
                <w:szCs w:val="19"/>
                <w:color w:val="auto"/>
              </w:rPr>
            </w:pPr>
          </w:p>
        </w:tc>
        <w:tc>
          <w:tcPr>
            <w:tcW w:w="900" w:type="dxa"/>
            <w:vAlign w:val="bottom"/>
            <w:tcBorders>
              <w:bottom w:val="single" w:sz="8" w:color="4D5259"/>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D5259"/>
            </w:tcBorders>
            <w:shd w:val="clear" w:color="auto" w:fill="F4F4F4"/>
          </w:tcPr>
          <w:p>
            <w:pPr>
              <w:spacing w:after="0"/>
              <w:rPr>
                <w:sz w:val="19"/>
                <w:szCs w:val="19"/>
                <w:color w:val="auto"/>
              </w:rPr>
            </w:pPr>
          </w:p>
        </w:tc>
        <w:tc>
          <w:tcPr>
            <w:tcW w:w="1080" w:type="dxa"/>
            <w:vAlign w:val="bottom"/>
            <w:tcBorders>
              <w:bottom w:val="single" w:sz="8" w:color="4D5259"/>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F4F4F4"/>
          </w:tcPr>
          <w:p>
            <w:pPr>
              <w:spacing w:after="0"/>
              <w:rPr>
                <w:sz w:val="19"/>
                <w:szCs w:val="19"/>
                <w:color w:val="auto"/>
              </w:rPr>
            </w:pPr>
          </w:p>
        </w:tc>
        <w:tc>
          <w:tcPr>
            <w:tcW w:w="46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09"/>
        </w:trPr>
        <w:tc>
          <w:tcPr>
            <w:tcW w:w="5960" w:type="dxa"/>
            <w:vAlign w:val="bottom"/>
          </w:tcPr>
          <w:p>
            <w:pPr>
              <w:ind w:left="20"/>
              <w:spacing w:after="0"/>
              <w:rPr>
                <w:sz w:val="20"/>
                <w:szCs w:val="20"/>
                <w:color w:val="auto"/>
              </w:rPr>
            </w:pPr>
            <w:r>
              <w:rPr>
                <w:rFonts w:ascii="Arial" w:cs="Arial" w:eastAsia="Arial" w:hAnsi="Arial"/>
                <w:sz w:val="14"/>
                <w:szCs w:val="14"/>
                <w:color w:val="auto"/>
              </w:rPr>
              <w:t>Non-GAAP organic revenue</w:t>
            </w:r>
            <w:r>
              <w:rPr>
                <w:rFonts w:ascii="Arial" w:cs="Arial" w:eastAsia="Arial" w:hAnsi="Arial"/>
                <w:sz w:val="18"/>
                <w:szCs w:val="18"/>
                <w:color w:val="auto"/>
                <w:vertAlign w:val="superscript"/>
              </w:rPr>
              <w:t>(2)</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231.2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215.0</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679.8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670.6</w:t>
            </w:r>
          </w:p>
        </w:tc>
        <w:tc>
          <w:tcPr>
            <w:tcW w:w="20" w:type="dxa"/>
            <w:vAlign w:val="bottom"/>
          </w:tcPr>
          <w:p>
            <w:pPr>
              <w:spacing w:after="0"/>
              <w:rPr>
                <w:sz w:val="18"/>
                <w:szCs w:val="18"/>
                <w:color w:val="auto"/>
              </w:rPr>
            </w:pPr>
          </w:p>
        </w:tc>
      </w:tr>
      <w:tr>
        <w:trPr>
          <w:trHeight w:val="209"/>
        </w:trPr>
        <w:tc>
          <w:tcPr>
            <w:tcW w:w="5960" w:type="dxa"/>
            <w:vAlign w:val="bottom"/>
            <w:tcBorders>
              <w:top w:val="single" w:sz="8" w:color="F4F4F4"/>
            </w:tcBorders>
            <w:shd w:val="clear" w:color="auto" w:fill="F4F4F4"/>
          </w:tcPr>
          <w:p>
            <w:pPr>
              <w:ind w:left="20"/>
              <w:spacing w:after="0"/>
              <w:rPr>
                <w:sz w:val="20"/>
                <w:szCs w:val="20"/>
                <w:color w:val="auto"/>
              </w:rPr>
            </w:pPr>
            <w:r>
              <w:rPr>
                <w:rFonts w:ascii="Arial" w:cs="Arial" w:eastAsia="Arial" w:hAnsi="Arial"/>
                <w:sz w:val="14"/>
                <w:szCs w:val="14"/>
                <w:b w:val="1"/>
                <w:bCs w:val="1"/>
                <w:color w:val="auto"/>
              </w:rPr>
              <w:t>Non-GAAP organic revenue growth</w:t>
            </w:r>
          </w:p>
        </w:tc>
        <w:tc>
          <w:tcPr>
            <w:tcW w:w="460" w:type="dxa"/>
            <w:vAlign w:val="bottom"/>
            <w:tcBorders>
              <w:top w:val="single" w:sz="8" w:color="4D5259"/>
            </w:tcBorders>
            <w:shd w:val="clear" w:color="auto" w:fill="F4F4F4"/>
          </w:tcPr>
          <w:p>
            <w:pPr>
              <w:spacing w:after="0"/>
              <w:rPr>
                <w:sz w:val="18"/>
                <w:szCs w:val="18"/>
                <w:color w:val="auto"/>
              </w:rPr>
            </w:pPr>
          </w:p>
        </w:tc>
        <w:tc>
          <w:tcPr>
            <w:tcW w:w="900" w:type="dxa"/>
            <w:vAlign w:val="bottom"/>
            <w:tcBorders>
              <w:top w:val="single" w:sz="8" w:color="4D5259"/>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7.5 %</w:t>
            </w:r>
          </w:p>
        </w:tc>
        <w:tc>
          <w:tcPr>
            <w:tcW w:w="160" w:type="dxa"/>
            <w:vAlign w:val="bottom"/>
            <w:tcBorders>
              <w:top w:val="single" w:sz="8" w:color="4D5259"/>
            </w:tcBorders>
            <w:shd w:val="clear" w:color="auto" w:fill="F4F4F4"/>
          </w:tcPr>
          <w:p>
            <w:pPr>
              <w:spacing w:after="0"/>
              <w:rPr>
                <w:sz w:val="18"/>
                <w:szCs w:val="18"/>
                <w:color w:val="auto"/>
              </w:rPr>
            </w:pPr>
          </w:p>
        </w:tc>
        <w:tc>
          <w:tcPr>
            <w:tcW w:w="1080" w:type="dxa"/>
            <w:vAlign w:val="bottom"/>
            <w:tcBorders>
              <w:top w:val="single" w:sz="8" w:color="4D5259"/>
              <w:right w:val="single" w:sz="8" w:color="F4F4F4"/>
            </w:tcBorders>
            <w:shd w:val="clear" w:color="auto" w:fill="F4F4F4"/>
          </w:tcPr>
          <w:p>
            <w:pPr>
              <w:spacing w:after="0"/>
              <w:rPr>
                <w:sz w:val="18"/>
                <w:szCs w:val="18"/>
                <w:color w:val="auto"/>
              </w:rPr>
            </w:pPr>
          </w:p>
        </w:tc>
        <w:tc>
          <w:tcPr>
            <w:tcW w:w="80" w:type="dxa"/>
            <w:vAlign w:val="bottom"/>
            <w:tcBorders>
              <w:top w:val="single" w:sz="8" w:color="F4F4F4"/>
            </w:tcBorders>
            <w:shd w:val="clear" w:color="auto" w:fill="F4F4F4"/>
          </w:tcPr>
          <w:p>
            <w:pPr>
              <w:spacing w:after="0"/>
              <w:rPr>
                <w:sz w:val="18"/>
                <w:szCs w:val="18"/>
                <w:color w:val="auto"/>
              </w:rPr>
            </w:pPr>
          </w:p>
        </w:tc>
        <w:tc>
          <w:tcPr>
            <w:tcW w:w="460" w:type="dxa"/>
            <w:vAlign w:val="bottom"/>
            <w:tcBorders>
              <w:top w:val="single" w:sz="8" w:color="auto"/>
            </w:tcBorders>
            <w:shd w:val="clear" w:color="auto" w:fill="F4F4F4"/>
          </w:tcPr>
          <w:p>
            <w:pPr>
              <w:spacing w:after="0"/>
              <w:rPr>
                <w:sz w:val="18"/>
                <w:szCs w:val="18"/>
                <w:color w:val="auto"/>
              </w:rPr>
            </w:pPr>
          </w:p>
        </w:tc>
        <w:tc>
          <w:tcPr>
            <w:tcW w:w="9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1.4 %</w:t>
            </w:r>
          </w:p>
        </w:tc>
        <w:tc>
          <w:tcPr>
            <w:tcW w:w="160" w:type="dxa"/>
            <w:vAlign w:val="bottom"/>
            <w:tcBorders>
              <w:top w:val="single" w:sz="8" w:color="auto"/>
            </w:tcBorders>
            <w:shd w:val="clear" w:color="auto" w:fill="F4F4F4"/>
          </w:tcPr>
          <w:p>
            <w:pPr>
              <w:spacing w:after="0"/>
              <w:rPr>
                <w:sz w:val="18"/>
                <w:szCs w:val="18"/>
                <w:color w:val="auto"/>
              </w:rPr>
            </w:pPr>
          </w:p>
        </w:tc>
        <w:tc>
          <w:tcPr>
            <w:tcW w:w="1080" w:type="dxa"/>
            <w:vAlign w:val="bottom"/>
            <w:tcBorders>
              <w:top w:val="single" w:sz="8" w:color="auto"/>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5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revenue</w:t>
            </w:r>
            <w:r>
              <w:rPr>
                <w:rFonts w:ascii="Arial" w:cs="Arial" w:eastAsia="Arial" w:hAnsi="Arial"/>
                <w:sz w:val="18"/>
                <w:szCs w:val="18"/>
                <w:color w:val="auto"/>
                <w:vertAlign w:val="superscript"/>
              </w:rPr>
              <w:t>(2)</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231.2</w:t>
            </w:r>
          </w:p>
        </w:tc>
        <w:tc>
          <w:tcPr>
            <w:tcW w:w="1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215.0</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679.8</w:t>
            </w:r>
          </w:p>
        </w:tc>
        <w:tc>
          <w:tcPr>
            <w:tcW w:w="1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670.6</w:t>
            </w:r>
          </w:p>
        </w:tc>
        <w:tc>
          <w:tcPr>
            <w:tcW w:w="20" w:type="dxa"/>
            <w:vAlign w:val="bottom"/>
          </w:tcPr>
          <w:p>
            <w:pPr>
              <w:spacing w:after="0"/>
              <w:rPr>
                <w:sz w:val="18"/>
                <w:szCs w:val="18"/>
                <w:color w:val="auto"/>
              </w:rPr>
            </w:pPr>
          </w:p>
        </w:tc>
      </w:tr>
      <w:tr>
        <w:trPr>
          <w:trHeight w:val="216"/>
        </w:trPr>
        <w:tc>
          <w:tcPr>
            <w:tcW w:w="5960" w:type="dxa"/>
            <w:vAlign w:val="bottom"/>
            <w:tcBorders>
              <w:bottom w:val="single" w:sz="8" w:color="F4F4F4"/>
            </w:tcBorders>
          </w:tcPr>
          <w:p>
            <w:pPr>
              <w:ind w:left="20"/>
              <w:spacing w:after="0"/>
              <w:rPr>
                <w:sz w:val="20"/>
                <w:szCs w:val="20"/>
                <w:color w:val="auto"/>
              </w:rPr>
            </w:pPr>
            <w:r>
              <w:rPr>
                <w:rFonts w:ascii="Arial" w:cs="Arial" w:eastAsia="Arial" w:hAnsi="Arial"/>
                <w:sz w:val="14"/>
                <w:szCs w:val="14"/>
                <w:color w:val="auto"/>
              </w:rPr>
              <w:t>Foreign currency impact on Non-GAAP organic revenue</w:t>
            </w:r>
            <w:r>
              <w:rPr>
                <w:rFonts w:ascii="Arial" w:cs="Arial" w:eastAsia="Arial" w:hAnsi="Arial"/>
                <w:sz w:val="18"/>
                <w:szCs w:val="18"/>
                <w:color w:val="auto"/>
                <w:vertAlign w:val="superscript"/>
              </w:rPr>
              <w:t>(3)</w:t>
            </w:r>
          </w:p>
        </w:tc>
        <w:tc>
          <w:tcPr>
            <w:tcW w:w="460" w:type="dxa"/>
            <w:vAlign w:val="bottom"/>
            <w:tcBorders>
              <w:bottom w:val="single" w:sz="8" w:color="4D5259"/>
            </w:tcBorders>
          </w:tcPr>
          <w:p>
            <w:pPr>
              <w:spacing w:after="0"/>
              <w:rPr>
                <w:sz w:val="18"/>
                <w:szCs w:val="18"/>
                <w:color w:val="auto"/>
              </w:rPr>
            </w:pPr>
          </w:p>
        </w:tc>
        <w:tc>
          <w:tcPr>
            <w:tcW w:w="900" w:type="dxa"/>
            <w:vAlign w:val="bottom"/>
            <w:tcBorders>
              <w:bottom w:val="single" w:sz="8" w:color="4D5259"/>
            </w:tcBorders>
          </w:tcPr>
          <w:p>
            <w:pPr>
              <w:jc w:val="right"/>
              <w:ind w:right="88"/>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4D5259"/>
            </w:tcBorders>
          </w:tcPr>
          <w:p>
            <w:pPr>
              <w:spacing w:after="0"/>
              <w:rPr>
                <w:sz w:val="18"/>
                <w:szCs w:val="18"/>
                <w:color w:val="auto"/>
              </w:rPr>
            </w:pPr>
          </w:p>
        </w:tc>
        <w:tc>
          <w:tcPr>
            <w:tcW w:w="1080" w:type="dxa"/>
            <w:vAlign w:val="bottom"/>
            <w:tcBorders>
              <w:bottom w:val="single" w:sz="8" w:color="4D5259"/>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4F4F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09"/>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revenue on constant currency basis</w:t>
            </w:r>
            <w:r>
              <w:rPr>
                <w:rFonts w:ascii="Arial" w:cs="Arial" w:eastAsia="Arial" w:hAnsi="Arial"/>
                <w:sz w:val="18"/>
                <w:szCs w:val="18"/>
                <w:color w:val="auto"/>
                <w:vertAlign w:val="superscript"/>
              </w:rPr>
              <w:t>(3)</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229.2</w:t>
            </w:r>
          </w:p>
        </w:tc>
        <w:tc>
          <w:tcPr>
            <w:tcW w:w="1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215.0</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671.5</w:t>
            </w:r>
          </w:p>
        </w:tc>
        <w:tc>
          <w:tcPr>
            <w:tcW w:w="1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670.6</w:t>
            </w:r>
          </w:p>
        </w:tc>
        <w:tc>
          <w:tcPr>
            <w:tcW w:w="20" w:type="dxa"/>
            <w:vAlign w:val="bottom"/>
          </w:tcPr>
          <w:p>
            <w:pPr>
              <w:spacing w:after="0"/>
              <w:rPr>
                <w:sz w:val="18"/>
                <w:szCs w:val="18"/>
                <w:color w:val="auto"/>
              </w:rPr>
            </w:pPr>
          </w:p>
        </w:tc>
      </w:tr>
      <w:tr>
        <w:trPr>
          <w:trHeight w:val="204"/>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Non-GAAP organic revenue growth on constant currency basis</w:t>
            </w:r>
          </w:p>
        </w:tc>
        <w:tc>
          <w:tcPr>
            <w:tcW w:w="460" w:type="dxa"/>
            <w:vAlign w:val="bottom"/>
            <w:tcBorders>
              <w:top w:val="single" w:sz="8" w:color="4D5259"/>
            </w:tcBorders>
          </w:tcPr>
          <w:p>
            <w:pPr>
              <w:spacing w:after="0"/>
              <w:rPr>
                <w:sz w:val="17"/>
                <w:szCs w:val="17"/>
                <w:color w:val="auto"/>
              </w:rPr>
            </w:pPr>
          </w:p>
        </w:tc>
        <w:tc>
          <w:tcPr>
            <w:tcW w:w="900" w:type="dxa"/>
            <w:vAlign w:val="bottom"/>
            <w:tcBorders>
              <w:top w:val="single" w:sz="8" w:color="4D5259"/>
            </w:tcBorders>
          </w:tcPr>
          <w:p>
            <w:pPr>
              <w:jc w:val="right"/>
              <w:spacing w:after="0"/>
              <w:rPr>
                <w:sz w:val="20"/>
                <w:szCs w:val="20"/>
                <w:color w:val="auto"/>
              </w:rPr>
            </w:pPr>
            <w:r>
              <w:rPr>
                <w:rFonts w:ascii="Arial" w:cs="Arial" w:eastAsia="Arial" w:hAnsi="Arial"/>
                <w:sz w:val="14"/>
                <w:szCs w:val="14"/>
                <w:b w:val="1"/>
                <w:bCs w:val="1"/>
                <w:color w:val="auto"/>
              </w:rPr>
              <w:t>6.6 %</w:t>
            </w:r>
          </w:p>
        </w:tc>
        <w:tc>
          <w:tcPr>
            <w:tcW w:w="160" w:type="dxa"/>
            <w:vAlign w:val="bottom"/>
            <w:tcBorders>
              <w:top w:val="single" w:sz="8" w:color="4D5259"/>
            </w:tcBorders>
          </w:tcPr>
          <w:p>
            <w:pPr>
              <w:spacing w:after="0"/>
              <w:rPr>
                <w:sz w:val="17"/>
                <w:szCs w:val="17"/>
                <w:color w:val="auto"/>
              </w:rPr>
            </w:pPr>
          </w:p>
        </w:tc>
        <w:tc>
          <w:tcPr>
            <w:tcW w:w="1080" w:type="dxa"/>
            <w:vAlign w:val="bottom"/>
            <w:tcBorders>
              <w:top w:val="single" w:sz="8" w:color="4D5259"/>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0.1 %</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5960" w:type="dxa"/>
            <w:vAlign w:val="bottom"/>
            <w:shd w:val="clear" w:color="auto" w:fill="F4F4F4"/>
          </w:tcPr>
          <w:p>
            <w:pPr>
              <w:spacing w:after="0"/>
              <w:rPr>
                <w:sz w:val="13"/>
                <w:szCs w:val="13"/>
                <w:color w:val="auto"/>
              </w:rPr>
            </w:pPr>
          </w:p>
        </w:tc>
        <w:tc>
          <w:tcPr>
            <w:tcW w:w="4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160" w:type="dxa"/>
            <w:vAlign w:val="bottom"/>
            <w:shd w:val="clear" w:color="auto" w:fill="F4F4F4"/>
          </w:tcPr>
          <w:p>
            <w:pPr>
              <w:spacing w:after="0"/>
              <w:rPr>
                <w:sz w:val="13"/>
                <w:szCs w:val="13"/>
                <w:color w:val="auto"/>
              </w:rPr>
            </w:pPr>
          </w:p>
        </w:tc>
        <w:tc>
          <w:tcPr>
            <w:tcW w:w="1080" w:type="dxa"/>
            <w:vAlign w:val="bottom"/>
            <w:tcBorders>
              <w:right w:val="single" w:sz="8" w:color="F4F4F4"/>
            </w:tcBorders>
            <w:shd w:val="clear" w:color="auto" w:fill="F4F4F4"/>
          </w:tcPr>
          <w:p>
            <w:pPr>
              <w:spacing w:after="0"/>
              <w:rPr>
                <w:sz w:val="13"/>
                <w:szCs w:val="13"/>
                <w:color w:val="auto"/>
              </w:rPr>
            </w:pPr>
          </w:p>
        </w:tc>
        <w:tc>
          <w:tcPr>
            <w:tcW w:w="80" w:type="dxa"/>
            <w:vAlign w:val="bottom"/>
            <w:shd w:val="clear" w:color="auto" w:fill="F4F4F4"/>
          </w:tcPr>
          <w:p>
            <w:pPr>
              <w:spacing w:after="0"/>
              <w:rPr>
                <w:sz w:val="13"/>
                <w:szCs w:val="13"/>
                <w:color w:val="auto"/>
              </w:rPr>
            </w:pPr>
          </w:p>
        </w:tc>
        <w:tc>
          <w:tcPr>
            <w:tcW w:w="4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160" w:type="dxa"/>
            <w:vAlign w:val="bottom"/>
            <w:shd w:val="clear" w:color="auto" w:fill="F4F4F4"/>
          </w:tcPr>
          <w:p>
            <w:pPr>
              <w:spacing w:after="0"/>
              <w:rPr>
                <w:sz w:val="13"/>
                <w:szCs w:val="13"/>
                <w:color w:val="auto"/>
              </w:rPr>
            </w:pPr>
          </w:p>
        </w:tc>
        <w:tc>
          <w:tcPr>
            <w:tcW w:w="108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GAAP recurring revenue</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218.5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200.1</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642.3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621.2</w:t>
            </w:r>
          </w:p>
        </w:tc>
        <w:tc>
          <w:tcPr>
            <w:tcW w:w="20" w:type="dxa"/>
            <w:vAlign w:val="bottom"/>
          </w:tcPr>
          <w:p>
            <w:pPr>
              <w:spacing w:after="0"/>
              <w:rPr>
                <w:sz w:val="18"/>
                <w:szCs w:val="18"/>
                <w:color w:val="auto"/>
              </w:rPr>
            </w:pPr>
          </w:p>
        </w:tc>
      </w:tr>
      <w:tr>
        <w:trPr>
          <w:trHeight w:val="222"/>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recurring revenue growth</w:t>
            </w:r>
          </w:p>
        </w:tc>
        <w:tc>
          <w:tcPr>
            <w:tcW w:w="46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9.2 %</w:t>
            </w:r>
          </w:p>
        </w:tc>
        <w:tc>
          <w:tcPr>
            <w:tcW w:w="160" w:type="dxa"/>
            <w:vAlign w:val="bottom"/>
            <w:shd w:val="clear" w:color="auto" w:fill="F4F4F4"/>
          </w:tcPr>
          <w:p>
            <w:pPr>
              <w:spacing w:after="0"/>
              <w:rPr>
                <w:sz w:val="19"/>
                <w:szCs w:val="19"/>
                <w:color w:val="auto"/>
              </w:rPr>
            </w:pPr>
          </w:p>
        </w:tc>
        <w:tc>
          <w:tcPr>
            <w:tcW w:w="1080" w:type="dxa"/>
            <w:vAlign w:val="bottom"/>
            <w:tcBorders>
              <w:right w:val="single" w:sz="8" w:color="F4F4F4"/>
            </w:tcBorders>
            <w:shd w:val="clear" w:color="auto" w:fill="F4F4F4"/>
          </w:tcPr>
          <w:p>
            <w:pPr>
              <w:spacing w:after="0"/>
              <w:rPr>
                <w:sz w:val="19"/>
                <w:szCs w:val="19"/>
                <w:color w:val="auto"/>
              </w:rPr>
            </w:pPr>
          </w:p>
        </w:tc>
        <w:tc>
          <w:tcPr>
            <w:tcW w:w="8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3.4 %</w:t>
            </w:r>
          </w:p>
        </w:tc>
        <w:tc>
          <w:tcPr>
            <w:tcW w:w="16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96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Non-GAAP acquisition-related revenue</w:t>
            </w:r>
            <w:r>
              <w:rPr>
                <w:rFonts w:ascii="Arial" w:cs="Arial" w:eastAsia="Arial" w:hAnsi="Arial"/>
                <w:sz w:val="18"/>
                <w:szCs w:val="18"/>
                <w:color w:val="auto"/>
                <w:vertAlign w:val="superscript"/>
              </w:rPr>
              <w:t>(1)</w:t>
            </w:r>
          </w:p>
        </w:tc>
        <w:tc>
          <w:tcPr>
            <w:tcW w:w="460" w:type="dxa"/>
            <w:vAlign w:val="bottom"/>
            <w:tcBorders>
              <w:bottom w:val="single" w:sz="8" w:color="4D5259"/>
            </w:tcBorders>
          </w:tcPr>
          <w:p>
            <w:pPr>
              <w:spacing w:after="0"/>
              <w:rPr>
                <w:sz w:val="18"/>
                <w:szCs w:val="18"/>
                <w:color w:val="auto"/>
              </w:rPr>
            </w:pPr>
          </w:p>
        </w:tc>
        <w:tc>
          <w:tcPr>
            <w:tcW w:w="900" w:type="dxa"/>
            <w:vAlign w:val="bottom"/>
            <w:tcBorders>
              <w:bottom w:val="single" w:sz="8" w:color="4D5259"/>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D5259"/>
            </w:tcBorders>
          </w:tcPr>
          <w:p>
            <w:pPr>
              <w:spacing w:after="0"/>
              <w:rPr>
                <w:sz w:val="18"/>
                <w:szCs w:val="18"/>
                <w:color w:val="auto"/>
              </w:rPr>
            </w:pPr>
          </w:p>
        </w:tc>
        <w:tc>
          <w:tcPr>
            <w:tcW w:w="1080" w:type="dxa"/>
            <w:vAlign w:val="bottom"/>
            <w:tcBorders>
              <w:bottom w:val="single" w:sz="8" w:color="4D5259"/>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4F4F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03"/>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recurring revenue</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218.5</w:t>
            </w:r>
          </w:p>
        </w:tc>
        <w:tc>
          <w:tcPr>
            <w:tcW w:w="1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200.1</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642.3</w:t>
            </w:r>
          </w:p>
        </w:tc>
        <w:tc>
          <w:tcPr>
            <w:tcW w:w="1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621.2</w:t>
            </w:r>
          </w:p>
        </w:tc>
        <w:tc>
          <w:tcPr>
            <w:tcW w:w="20" w:type="dxa"/>
            <w:vAlign w:val="bottom"/>
          </w:tcPr>
          <w:p>
            <w:pPr>
              <w:spacing w:after="0"/>
              <w:rPr>
                <w:sz w:val="17"/>
                <w:szCs w:val="17"/>
                <w:color w:val="auto"/>
              </w:rPr>
            </w:pPr>
          </w:p>
        </w:tc>
      </w:tr>
      <w:tr>
        <w:trPr>
          <w:trHeight w:val="210"/>
        </w:trPr>
        <w:tc>
          <w:tcPr>
            <w:tcW w:w="596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organic recurring revenue growth</w:t>
            </w:r>
          </w:p>
        </w:tc>
        <w:tc>
          <w:tcPr>
            <w:tcW w:w="460" w:type="dxa"/>
            <w:vAlign w:val="bottom"/>
            <w:tcBorders>
              <w:top w:val="single" w:sz="8" w:color="4D5259"/>
              <w:bottom w:val="single" w:sz="8" w:color="71BF43"/>
            </w:tcBorders>
          </w:tcPr>
          <w:p>
            <w:pPr>
              <w:spacing w:after="0"/>
              <w:rPr>
                <w:sz w:val="18"/>
                <w:szCs w:val="18"/>
                <w:color w:val="auto"/>
              </w:rPr>
            </w:pPr>
          </w:p>
        </w:tc>
        <w:tc>
          <w:tcPr>
            <w:tcW w:w="900" w:type="dxa"/>
            <w:vAlign w:val="bottom"/>
            <w:tcBorders>
              <w:top w:val="single" w:sz="8" w:color="4D5259"/>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9.2 %</w:t>
            </w:r>
          </w:p>
        </w:tc>
        <w:tc>
          <w:tcPr>
            <w:tcW w:w="160" w:type="dxa"/>
            <w:vAlign w:val="bottom"/>
            <w:tcBorders>
              <w:top w:val="single" w:sz="8" w:color="4D5259"/>
              <w:bottom w:val="single" w:sz="8" w:color="71BF43"/>
            </w:tcBorders>
          </w:tcPr>
          <w:p>
            <w:pPr>
              <w:spacing w:after="0"/>
              <w:rPr>
                <w:sz w:val="18"/>
                <w:szCs w:val="18"/>
                <w:color w:val="auto"/>
              </w:rPr>
            </w:pPr>
          </w:p>
        </w:tc>
        <w:tc>
          <w:tcPr>
            <w:tcW w:w="1080" w:type="dxa"/>
            <w:vAlign w:val="bottom"/>
            <w:tcBorders>
              <w:top w:val="single" w:sz="8" w:color="4D5259"/>
              <w:bottom w:val="single" w:sz="8" w:color="71BF43"/>
            </w:tcBorders>
          </w:tcPr>
          <w:p>
            <w:pPr>
              <w:spacing w:after="0"/>
              <w:rPr>
                <w:sz w:val="18"/>
                <w:szCs w:val="18"/>
                <w:color w:val="auto"/>
              </w:rPr>
            </w:pPr>
          </w:p>
        </w:tc>
        <w:tc>
          <w:tcPr>
            <w:tcW w:w="80" w:type="dxa"/>
            <w:vAlign w:val="bottom"/>
            <w:tcBorders>
              <w:bottom w:val="single" w:sz="8" w:color="71BF43"/>
            </w:tcBorders>
          </w:tcPr>
          <w:p>
            <w:pPr>
              <w:spacing w:after="0"/>
              <w:rPr>
                <w:sz w:val="18"/>
                <w:szCs w:val="18"/>
                <w:color w:val="auto"/>
              </w:rPr>
            </w:pPr>
          </w:p>
        </w:tc>
        <w:tc>
          <w:tcPr>
            <w:tcW w:w="460" w:type="dxa"/>
            <w:vAlign w:val="bottom"/>
            <w:tcBorders>
              <w:top w:val="single" w:sz="8" w:color="auto"/>
              <w:bottom w:val="single" w:sz="8" w:color="71BF43"/>
            </w:tcBorders>
          </w:tcPr>
          <w:p>
            <w:pPr>
              <w:spacing w:after="0"/>
              <w:rPr>
                <w:sz w:val="18"/>
                <w:szCs w:val="18"/>
                <w:color w:val="auto"/>
              </w:rPr>
            </w:pPr>
          </w:p>
        </w:tc>
        <w:tc>
          <w:tcPr>
            <w:tcW w:w="900" w:type="dxa"/>
            <w:vAlign w:val="bottom"/>
            <w:tcBorders>
              <w:top w:val="single" w:sz="8" w:color="auto"/>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3.4 %</w:t>
            </w:r>
          </w:p>
        </w:tc>
        <w:tc>
          <w:tcPr>
            <w:tcW w:w="160" w:type="dxa"/>
            <w:vAlign w:val="bottom"/>
            <w:tcBorders>
              <w:top w:val="single" w:sz="8" w:color="auto"/>
              <w:bottom w:val="single" w:sz="8" w:color="71BF43"/>
            </w:tcBorders>
          </w:tcPr>
          <w:p>
            <w:pPr>
              <w:spacing w:after="0"/>
              <w:rPr>
                <w:sz w:val="18"/>
                <w:szCs w:val="18"/>
                <w:color w:val="auto"/>
              </w:rPr>
            </w:pPr>
          </w:p>
        </w:tc>
        <w:tc>
          <w:tcPr>
            <w:tcW w:w="1080" w:type="dxa"/>
            <w:vAlign w:val="bottom"/>
            <w:tcBorders>
              <w:top w:val="single" w:sz="8" w:color="auto"/>
              <w:bottom w:val="single" w:sz="8" w:color="71BF43"/>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-2408555</wp:posOffset>
            </wp:positionV>
            <wp:extent cx="33604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9" w:lineRule="exact"/>
        <w:rPr>
          <w:sz w:val="20"/>
          <w:szCs w:val="20"/>
          <w:color w:val="auto"/>
        </w:rPr>
      </w:pPr>
    </w:p>
    <w:p>
      <w:pPr>
        <w:jc w:val="both"/>
        <w:ind w:left="340" w:right="20" w:hanging="332"/>
        <w:spacing w:after="0" w:line="241" w:lineRule="auto"/>
        <w:tabs>
          <w:tab w:leader="none" w:pos="354"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Non-GAAP acquisition-related revenue excludes incremental acquisition-related revenue calculated in accordance with GAAP that is attributable to companies acquired in the current fiscal year. For companies, if any, acquired in the immediately preceding fiscal year, non-GAAP acquisition-related revenue reflects presentation of full-year incremental non-GAAP revenue derived from such companies, as if they were combined throughout the prior period, and it includes the non-GAAP revenue from the acquisition-related deferred revenue write-down attributable to those companies.</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54"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Non-GAAP organic revenue for the prior year periods presented herein will not agree to non-GAAP organic revenue presented in the respective prior period quarterly financial information solely due to the manner in which non-GAAP organic revenue growth is calculated.</w:t>
      </w:r>
    </w:p>
    <w:p>
      <w:pPr>
        <w:jc w:val="both"/>
        <w:ind w:left="340" w:right="20" w:hanging="332"/>
        <w:spacing w:after="0" w:line="249" w:lineRule="auto"/>
        <w:tabs>
          <w:tab w:leader="none" w:pos="35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 determine non-GAAP organic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210185</wp:posOffset>
            </wp:positionV>
            <wp:extent cx="65976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18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Rule of 40 is defined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acquisition-related deferred revenue write-down; stock-based compensation; acquisition-related integration costs; acquisition-related expenses; employee severance; restructuring and other real estate activities; and Security Incident-related costs, net of insurance.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82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180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18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r>
      <w:tr>
        <w:trPr>
          <w:trHeight w:val="190"/>
        </w:trPr>
        <w:tc>
          <w:tcPr>
            <w:tcW w:w="414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82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680" w:type="dxa"/>
            <w:vAlign w:val="bottom"/>
            <w:shd w:val="clear" w:color="auto" w:fill="ACACAC"/>
          </w:tcPr>
          <w:p>
            <w:pPr>
              <w:spacing w:after="0"/>
              <w:rPr>
                <w:sz w:val="16"/>
                <w:szCs w:val="16"/>
                <w:color w:val="auto"/>
              </w:rPr>
            </w:pPr>
          </w:p>
        </w:tc>
        <w:tc>
          <w:tcPr>
            <w:tcW w:w="112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6"/>
                <w:szCs w:val="16"/>
                <w:color w:val="auto"/>
              </w:rPr>
            </w:pPr>
          </w:p>
        </w:tc>
      </w:tr>
      <w:tr>
        <w:trPr>
          <w:trHeight w:val="236"/>
        </w:trPr>
        <w:tc>
          <w:tcPr>
            <w:tcW w:w="4140" w:type="dxa"/>
            <w:vAlign w:val="bottom"/>
            <w:tcBorders>
              <w:bottom w:val="single" w:sz="8" w:color="F4F4F4"/>
            </w:tcBorders>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tcBorders>
              <w:bottom w:val="single" w:sz="8" w:color="F4F4F4"/>
            </w:tcBorders>
            <w:shd w:val="clear" w:color="auto" w:fill="ACACAC"/>
          </w:tcPr>
          <w:p>
            <w:pPr>
              <w:spacing w:after="0"/>
              <w:rPr>
                <w:sz w:val="20"/>
                <w:szCs w:val="20"/>
                <w:color w:val="auto"/>
              </w:rPr>
            </w:pPr>
          </w:p>
        </w:tc>
        <w:tc>
          <w:tcPr>
            <w:tcW w:w="820" w:type="dxa"/>
            <w:vAlign w:val="bottom"/>
            <w:tcBorders>
              <w:bottom w:val="single" w:sz="8" w:color="F4F4F4"/>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20" w:type="dxa"/>
            <w:vAlign w:val="bottom"/>
            <w:tcBorders>
              <w:bottom w:val="single" w:sz="8" w:color="F4F4F4"/>
            </w:tcBorders>
            <w:shd w:val="clear" w:color="auto" w:fill="ACACAC"/>
          </w:tcPr>
          <w:p>
            <w:pPr>
              <w:spacing w:after="0"/>
              <w:rPr>
                <w:sz w:val="20"/>
                <w:szCs w:val="20"/>
                <w:color w:val="auto"/>
              </w:rPr>
            </w:pPr>
          </w:p>
        </w:tc>
        <w:tc>
          <w:tcPr>
            <w:tcW w:w="680" w:type="dxa"/>
            <w:vAlign w:val="bottom"/>
            <w:tcBorders>
              <w:bottom w:val="single" w:sz="8" w:color="F4F4F4"/>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120" w:type="dxa"/>
            <w:vAlign w:val="bottom"/>
            <w:tcBorders>
              <w:bottom w:val="single" w:sz="8" w:color="F4F4F4"/>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80" w:type="dxa"/>
            <w:vAlign w:val="bottom"/>
            <w:tcBorders>
              <w:bottom w:val="single" w:sz="8" w:color="F4F4F4"/>
            </w:tcBorders>
          </w:tcPr>
          <w:p>
            <w:pPr>
              <w:spacing w:after="0"/>
              <w:rPr>
                <w:sz w:val="20"/>
                <w:szCs w:val="20"/>
                <w:color w:val="auto"/>
              </w:rPr>
            </w:pPr>
          </w:p>
        </w:tc>
        <w:tc>
          <w:tcPr>
            <w:tcW w:w="420" w:type="dxa"/>
            <w:vAlign w:val="bottom"/>
            <w:tcBorders>
              <w:bottom w:val="single" w:sz="8" w:color="ACACAC"/>
            </w:tcBorders>
            <w:shd w:val="clear" w:color="auto" w:fill="ACACAC"/>
          </w:tcPr>
          <w:p>
            <w:pPr>
              <w:spacing w:after="0"/>
              <w:rPr>
                <w:sz w:val="20"/>
                <w:szCs w:val="20"/>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20"/>
                <w:szCs w:val="20"/>
                <w:color w:val="auto"/>
              </w:rPr>
            </w:pPr>
          </w:p>
        </w:tc>
        <w:tc>
          <w:tcPr>
            <w:tcW w:w="7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16"/>
        </w:trPr>
        <w:tc>
          <w:tcPr>
            <w:tcW w:w="414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net income</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6.2</w:t>
            </w:r>
          </w:p>
        </w:tc>
        <w:tc>
          <w:tcPr>
            <w:tcW w:w="42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4.9</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26.9 %</w:t>
            </w:r>
          </w:p>
        </w:tc>
        <w:tc>
          <w:tcPr>
            <w:tcW w:w="500" w:type="dxa"/>
            <w:vAlign w:val="bottom"/>
            <w:gridSpan w:val="2"/>
            <w:shd w:val="clear" w:color="auto" w:fill="F4F4F4"/>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12.8</w:t>
            </w:r>
          </w:p>
        </w:tc>
        <w:tc>
          <w:tcPr>
            <w:tcW w:w="400" w:type="dxa"/>
            <w:vAlign w:val="bottom"/>
            <w:shd w:val="clear" w:color="auto" w:fill="F4F4F4"/>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21.3</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(40.2)%</w:t>
            </w:r>
          </w:p>
        </w:tc>
        <w:tc>
          <w:tcPr>
            <w:tcW w:w="20" w:type="dxa"/>
            <w:vAlign w:val="bottom"/>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Interest, net</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3.9</w:t>
            </w:r>
          </w:p>
        </w:tc>
        <w:tc>
          <w:tcPr>
            <w:tcW w:w="420" w:type="dxa"/>
            <w:vAlign w:val="bottom"/>
            <w:shd w:val="clear" w:color="auto" w:fill="F4F4F4"/>
          </w:tcPr>
          <w:p>
            <w:pPr>
              <w:spacing w:after="0"/>
              <w:rPr>
                <w:sz w:val="19"/>
                <w:szCs w:val="19"/>
                <w:color w:val="auto"/>
              </w:rPr>
            </w:pP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3.2</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21.4 %</w:t>
            </w:r>
          </w:p>
        </w:tc>
        <w:tc>
          <w:tcPr>
            <w:tcW w:w="8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13.9</w:t>
            </w:r>
          </w:p>
        </w:tc>
        <w:tc>
          <w:tcPr>
            <w:tcW w:w="400" w:type="dxa"/>
            <w:vAlign w:val="bottom"/>
            <w:shd w:val="clear" w:color="auto" w:fill="F4F4F4"/>
          </w:tcPr>
          <w:p>
            <w:pPr>
              <w:spacing w:after="0"/>
              <w:rPr>
                <w:sz w:val="19"/>
                <w:szCs w:val="19"/>
                <w:color w:val="auto"/>
              </w:rPr>
            </w:pP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10.7</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30.1 %</w:t>
            </w:r>
          </w:p>
        </w:tc>
        <w:tc>
          <w:tcPr>
            <w:tcW w:w="20" w:type="dxa"/>
            <w:vAlign w:val="bottom"/>
          </w:tcPr>
          <w:p>
            <w:pPr>
              <w:spacing w:after="0"/>
              <w:rPr>
                <w:sz w:val="19"/>
                <w:szCs w:val="19"/>
                <w:color w:val="auto"/>
              </w:rPr>
            </w:pPr>
          </w:p>
        </w:tc>
      </w:tr>
      <w:tr>
        <w:trPr>
          <w:trHeight w:val="210"/>
        </w:trPr>
        <w:tc>
          <w:tcPr>
            <w:tcW w:w="4140" w:type="dxa"/>
            <w:vAlign w:val="bottom"/>
          </w:tcPr>
          <w:p>
            <w:pPr>
              <w:ind w:left="140"/>
              <w:spacing w:after="0"/>
              <w:rPr>
                <w:sz w:val="20"/>
                <w:szCs w:val="20"/>
                <w:color w:val="auto"/>
              </w:rPr>
            </w:pPr>
            <w:r>
              <w:rPr>
                <w:rFonts w:ascii="Arial" w:cs="Arial" w:eastAsia="Arial" w:hAnsi="Arial"/>
                <w:sz w:val="14"/>
                <w:szCs w:val="14"/>
                <w:color w:val="auto"/>
              </w:rPr>
              <w:t>Add: GAAP income tax provision</w:t>
            </w:r>
          </w:p>
        </w:tc>
        <w:tc>
          <w:tcPr>
            <w:tcW w:w="44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1120" w:type="dxa"/>
            <w:vAlign w:val="bottom"/>
          </w:tcPr>
          <w:p>
            <w:pPr>
              <w:jc w:val="right"/>
              <w:spacing w:after="0"/>
              <w:rPr>
                <w:sz w:val="20"/>
                <w:szCs w:val="20"/>
                <w:color w:val="auto"/>
              </w:rPr>
            </w:pPr>
            <w:r>
              <w:rPr>
                <w:rFonts w:ascii="Arial" w:cs="Arial" w:eastAsia="Arial" w:hAnsi="Arial"/>
                <w:sz w:val="14"/>
                <w:szCs w:val="14"/>
                <w:color w:val="auto"/>
              </w:rPr>
              <w:t>43.3 %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4.9</w:t>
            </w:r>
          </w:p>
        </w:tc>
        <w:tc>
          <w:tcPr>
            <w:tcW w:w="4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100" w:type="dxa"/>
            <w:vAlign w:val="bottom"/>
          </w:tcPr>
          <w:p>
            <w:pPr>
              <w:jc w:val="right"/>
              <w:spacing w:after="0"/>
              <w:rPr>
                <w:sz w:val="20"/>
                <w:szCs w:val="20"/>
                <w:color w:val="auto"/>
              </w:rPr>
            </w:pPr>
            <w:r>
              <w:rPr>
                <w:rFonts w:ascii="Arial" w:cs="Arial" w:eastAsia="Arial" w:hAnsi="Arial"/>
                <w:sz w:val="14"/>
                <w:szCs w:val="14"/>
                <w:color w:val="auto"/>
              </w:rPr>
              <w:t>(28.8)%</w:t>
            </w: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Depreciation</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3.1</w:t>
            </w:r>
          </w:p>
        </w:tc>
        <w:tc>
          <w:tcPr>
            <w:tcW w:w="420" w:type="dxa"/>
            <w:vAlign w:val="bottom"/>
            <w:shd w:val="clear" w:color="auto" w:fill="F4F4F4"/>
          </w:tcPr>
          <w:p>
            <w:pPr>
              <w:spacing w:after="0"/>
              <w:rPr>
                <w:sz w:val="19"/>
                <w:szCs w:val="19"/>
                <w:color w:val="auto"/>
              </w:rPr>
            </w:pP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3.7</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(15.8)%</w:t>
            </w:r>
          </w:p>
        </w:tc>
        <w:tc>
          <w:tcPr>
            <w:tcW w:w="8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9.5</w:t>
            </w:r>
          </w:p>
        </w:tc>
        <w:tc>
          <w:tcPr>
            <w:tcW w:w="400" w:type="dxa"/>
            <w:vAlign w:val="bottom"/>
            <w:shd w:val="clear" w:color="auto" w:fill="F4F4F4"/>
          </w:tcPr>
          <w:p>
            <w:pPr>
              <w:spacing w:after="0"/>
              <w:rPr>
                <w:sz w:val="19"/>
                <w:szCs w:val="19"/>
                <w:color w:val="auto"/>
              </w:rPr>
            </w:pP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10.9</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9"/>
                <w:szCs w:val="19"/>
                <w:color w:val="auto"/>
              </w:rPr>
            </w:pPr>
          </w:p>
        </w:tc>
      </w:tr>
      <w:tr>
        <w:trPr>
          <w:trHeight w:val="210"/>
        </w:trPr>
        <w:tc>
          <w:tcPr>
            <w:tcW w:w="4140" w:type="dxa"/>
            <w:vAlign w:val="bottom"/>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44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9.2</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12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28.3</w:t>
            </w:r>
          </w:p>
        </w:tc>
        <w:tc>
          <w:tcPr>
            <w:tcW w:w="4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32.1</w:t>
            </w:r>
          </w:p>
        </w:tc>
        <w:tc>
          <w:tcPr>
            <w:tcW w:w="1100" w:type="dxa"/>
            <w:vAlign w:val="bottom"/>
          </w:tcPr>
          <w:p>
            <w:pPr>
              <w:jc w:val="right"/>
              <w:spacing w:after="0"/>
              <w:rPr>
                <w:sz w:val="20"/>
                <w:szCs w:val="20"/>
                <w:color w:val="auto"/>
              </w:rPr>
            </w:pPr>
            <w:r>
              <w:rPr>
                <w:rFonts w:ascii="Arial" w:cs="Arial" w:eastAsia="Arial" w:hAnsi="Arial"/>
                <w:sz w:val="14"/>
                <w:szCs w:val="14"/>
                <w:color w:val="auto"/>
              </w:rPr>
              <w:t>(11.8)%</w:t>
            </w: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software development costs</w:t>
            </w:r>
            <w:r>
              <w:rPr>
                <w:rFonts w:ascii="Arial" w:cs="Arial" w:eastAsia="Arial" w:hAnsi="Arial"/>
                <w:sz w:val="18"/>
                <w:szCs w:val="18"/>
                <w:color w:val="auto"/>
                <w:vertAlign w:val="superscript"/>
              </w:rPr>
              <w:t>(1)</w:t>
            </w:r>
          </w:p>
        </w:tc>
        <w:tc>
          <w:tcPr>
            <w:tcW w:w="44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8.0</w:t>
            </w:r>
          </w:p>
        </w:tc>
        <w:tc>
          <w:tcPr>
            <w:tcW w:w="420" w:type="dxa"/>
            <w:vAlign w:val="bottom"/>
            <w:tcBorders>
              <w:bottom w:val="single" w:sz="8" w:color="auto"/>
            </w:tcBorders>
            <w:shd w:val="clear" w:color="auto" w:fill="F4F4F4"/>
          </w:tcPr>
          <w:p>
            <w:pPr>
              <w:spacing w:after="0"/>
              <w:rPr>
                <w:sz w:val="19"/>
                <w:szCs w:val="19"/>
                <w:color w:val="auto"/>
              </w:rPr>
            </w:pPr>
          </w:p>
        </w:tc>
        <w:tc>
          <w:tcPr>
            <w:tcW w:w="6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7.8</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2.5 %</w:t>
            </w:r>
          </w:p>
        </w:tc>
        <w:tc>
          <w:tcPr>
            <w:tcW w:w="80" w:type="dxa"/>
            <w:vAlign w:val="bottom"/>
            <w:shd w:val="clear" w:color="auto" w:fill="F4F4F4"/>
          </w:tcPr>
          <w:p>
            <w:pPr>
              <w:spacing w:after="0"/>
              <w:rPr>
                <w:sz w:val="19"/>
                <w:szCs w:val="19"/>
                <w:color w:val="auto"/>
              </w:rPr>
            </w:pPr>
          </w:p>
        </w:tc>
        <w:tc>
          <w:tcPr>
            <w:tcW w:w="42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24.1</w:t>
            </w:r>
          </w:p>
        </w:tc>
        <w:tc>
          <w:tcPr>
            <w:tcW w:w="400" w:type="dxa"/>
            <w:vAlign w:val="bottom"/>
            <w:tcBorders>
              <w:bottom w:val="single" w:sz="8" w:color="auto"/>
            </w:tcBorders>
            <w:shd w:val="clear" w:color="auto" w:fill="F4F4F4"/>
          </w:tcPr>
          <w:p>
            <w:pPr>
              <w:spacing w:after="0"/>
              <w:rPr>
                <w:sz w:val="19"/>
                <w:szCs w:val="19"/>
                <w:color w:val="auto"/>
              </w:rPr>
            </w:pPr>
          </w:p>
        </w:tc>
        <w:tc>
          <w:tcPr>
            <w:tcW w:w="760" w:type="dxa"/>
            <w:vAlign w:val="bottom"/>
            <w:tcBorders>
              <w:bottom w:val="single" w:sz="8" w:color="auto"/>
            </w:tcBorders>
            <w:shd w:val="clear" w:color="auto" w:fill="F4F4F4"/>
          </w:tcPr>
          <w:p>
            <w:pPr>
              <w:jc w:val="right"/>
              <w:ind w:right="8"/>
              <w:spacing w:after="0"/>
              <w:rPr>
                <w:sz w:val="20"/>
                <w:szCs w:val="20"/>
                <w:color w:val="auto"/>
              </w:rPr>
            </w:pPr>
            <w:r>
              <w:rPr>
                <w:rFonts w:ascii="Arial" w:cs="Arial" w:eastAsia="Arial" w:hAnsi="Arial"/>
                <w:sz w:val="14"/>
                <w:szCs w:val="14"/>
                <w:color w:val="auto"/>
              </w:rPr>
              <w:t>24.8</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9"/>
                <w:szCs w:val="19"/>
                <w:color w:val="auto"/>
              </w:rPr>
            </w:pPr>
          </w:p>
        </w:tc>
      </w:tr>
      <w:tr>
        <w:trPr>
          <w:trHeight w:val="209"/>
        </w:trPr>
        <w:tc>
          <w:tcPr>
            <w:tcW w:w="4140" w:type="dxa"/>
            <w:vAlign w:val="bottom"/>
            <w:tcBorders>
              <w:bottom w:val="single" w:sz="8" w:color="F4F4F4"/>
            </w:tcBorders>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(2)</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26.7</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1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0.9 %</w:t>
            </w:r>
          </w:p>
        </w:tc>
        <w:tc>
          <w:tcPr>
            <w:tcW w:w="80" w:type="dxa"/>
            <w:vAlign w:val="bottom"/>
            <w:tcBorders>
              <w:bottom w:val="single" w:sz="8" w:color="F4F4F4"/>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80.6</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85.3</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8"/>
                <w:szCs w:val="18"/>
                <w:color w:val="auto"/>
              </w:rPr>
            </w:pPr>
          </w:p>
        </w:tc>
      </w:tr>
      <w:tr>
        <w:trPr>
          <w:trHeight w:val="210"/>
        </w:trPr>
        <w:tc>
          <w:tcPr>
            <w:tcW w:w="414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EBITDA</w:t>
            </w:r>
            <w:r>
              <w:rPr>
                <w:rFonts w:ascii="Arial" w:cs="Arial" w:eastAsia="Arial" w:hAnsi="Arial"/>
                <w:sz w:val="18"/>
                <w:szCs w:val="18"/>
                <w:color w:val="auto"/>
                <w:vertAlign w:val="superscript"/>
              </w:rPr>
              <w:t>(2)</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32.9</w:t>
            </w:r>
          </w:p>
        </w:tc>
        <w:tc>
          <w:tcPr>
            <w:tcW w:w="42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31.3</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5.0 %</w:t>
            </w:r>
          </w:p>
        </w:tc>
        <w:tc>
          <w:tcPr>
            <w:tcW w:w="500" w:type="dxa"/>
            <w:vAlign w:val="bottom"/>
            <w:gridSpan w:val="2"/>
            <w:shd w:val="clear" w:color="auto" w:fill="F4F4F4"/>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93.4</w:t>
            </w:r>
          </w:p>
        </w:tc>
        <w:tc>
          <w:tcPr>
            <w:tcW w:w="400" w:type="dxa"/>
            <w:vAlign w:val="bottom"/>
            <w:shd w:val="clear" w:color="auto" w:fill="F4F4F4"/>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106.7</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8"/>
                <w:szCs w:val="18"/>
                <w:color w:val="auto"/>
              </w:rPr>
            </w:pPr>
          </w:p>
        </w:tc>
      </w:tr>
      <w:tr>
        <w:trPr>
          <w:trHeight w:val="203"/>
        </w:trPr>
        <w:tc>
          <w:tcPr>
            <w:tcW w:w="4140" w:type="dxa"/>
            <w:vAlign w:val="bottom"/>
          </w:tcPr>
          <w:p>
            <w:pPr>
              <w:ind w:left="140"/>
              <w:spacing w:after="0"/>
              <w:rPr>
                <w:sz w:val="20"/>
                <w:szCs w:val="20"/>
                <w:color w:val="auto"/>
              </w:rPr>
            </w:pPr>
            <w:r>
              <w:rPr>
                <w:rFonts w:ascii="Arial" w:cs="Arial" w:eastAsia="Arial" w:hAnsi="Arial"/>
                <w:sz w:val="14"/>
                <w:szCs w:val="14"/>
                <w:color w:val="auto"/>
              </w:rPr>
              <w:t>Non-GAAP EBITDA margin</w:t>
            </w: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14.2 %</w:t>
            </w:r>
          </w:p>
        </w:tc>
        <w:tc>
          <w:tcPr>
            <w:tcW w:w="4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13.7 %</w:t>
            </w: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4140" w:type="dxa"/>
            <w:vAlign w:val="bottom"/>
            <w:shd w:val="clear" w:color="auto" w:fill="F4F4F4"/>
          </w:tcPr>
          <w:p>
            <w:pPr>
              <w:spacing w:after="0"/>
              <w:rPr>
                <w:sz w:val="13"/>
                <w:szCs w:val="13"/>
                <w:color w:val="auto"/>
              </w:rPr>
            </w:pPr>
          </w:p>
        </w:tc>
        <w:tc>
          <w:tcPr>
            <w:tcW w:w="440" w:type="dxa"/>
            <w:vAlign w:val="bottom"/>
            <w:shd w:val="clear" w:color="auto" w:fill="F4F4F4"/>
          </w:tcPr>
          <w:p>
            <w:pPr>
              <w:spacing w:after="0"/>
              <w:rPr>
                <w:sz w:val="13"/>
                <w:szCs w:val="13"/>
                <w:color w:val="auto"/>
              </w:rPr>
            </w:pPr>
          </w:p>
        </w:tc>
        <w:tc>
          <w:tcPr>
            <w:tcW w:w="820" w:type="dxa"/>
            <w:vAlign w:val="bottom"/>
            <w:shd w:val="clear" w:color="auto" w:fill="F4F4F4"/>
          </w:tcPr>
          <w:p>
            <w:pPr>
              <w:spacing w:after="0"/>
              <w:rPr>
                <w:sz w:val="13"/>
                <w:szCs w:val="13"/>
                <w:color w:val="auto"/>
              </w:rPr>
            </w:pPr>
          </w:p>
        </w:tc>
        <w:tc>
          <w:tcPr>
            <w:tcW w:w="420" w:type="dxa"/>
            <w:vAlign w:val="bottom"/>
            <w:shd w:val="clear" w:color="auto" w:fill="F4F4F4"/>
          </w:tcPr>
          <w:p>
            <w:pPr>
              <w:spacing w:after="0"/>
              <w:rPr>
                <w:sz w:val="13"/>
                <w:szCs w:val="13"/>
                <w:color w:val="auto"/>
              </w:rPr>
            </w:pPr>
          </w:p>
        </w:tc>
        <w:tc>
          <w:tcPr>
            <w:tcW w:w="680" w:type="dxa"/>
            <w:vAlign w:val="bottom"/>
            <w:shd w:val="clear" w:color="auto" w:fill="F4F4F4"/>
          </w:tcPr>
          <w:p>
            <w:pPr>
              <w:spacing w:after="0"/>
              <w:rPr>
                <w:sz w:val="13"/>
                <w:szCs w:val="13"/>
                <w:color w:val="auto"/>
              </w:rPr>
            </w:pPr>
          </w:p>
        </w:tc>
        <w:tc>
          <w:tcPr>
            <w:tcW w:w="1120" w:type="dxa"/>
            <w:vAlign w:val="bottom"/>
            <w:tcBorders>
              <w:right w:val="single" w:sz="8" w:color="F4F4F4"/>
            </w:tcBorders>
            <w:shd w:val="clear" w:color="auto" w:fill="F4F4F4"/>
          </w:tcPr>
          <w:p>
            <w:pPr>
              <w:spacing w:after="0"/>
              <w:rPr>
                <w:sz w:val="13"/>
                <w:szCs w:val="13"/>
                <w:color w:val="auto"/>
              </w:rPr>
            </w:pPr>
          </w:p>
        </w:tc>
        <w:tc>
          <w:tcPr>
            <w:tcW w:w="80" w:type="dxa"/>
            <w:vAlign w:val="bottom"/>
            <w:shd w:val="clear" w:color="auto" w:fill="F4F4F4"/>
          </w:tcPr>
          <w:p>
            <w:pPr>
              <w:spacing w:after="0"/>
              <w:rPr>
                <w:sz w:val="13"/>
                <w:szCs w:val="13"/>
                <w:color w:val="auto"/>
              </w:rPr>
            </w:pPr>
          </w:p>
        </w:tc>
        <w:tc>
          <w:tcPr>
            <w:tcW w:w="420" w:type="dxa"/>
            <w:vAlign w:val="bottom"/>
            <w:shd w:val="clear" w:color="auto" w:fill="F4F4F4"/>
          </w:tcPr>
          <w:p>
            <w:pPr>
              <w:spacing w:after="0"/>
              <w:rPr>
                <w:sz w:val="13"/>
                <w:szCs w:val="13"/>
                <w:color w:val="auto"/>
              </w:rPr>
            </w:pPr>
          </w:p>
        </w:tc>
        <w:tc>
          <w:tcPr>
            <w:tcW w:w="860" w:type="dxa"/>
            <w:vAlign w:val="bottom"/>
            <w:shd w:val="clear" w:color="auto" w:fill="F4F4F4"/>
          </w:tcPr>
          <w:p>
            <w:pPr>
              <w:spacing w:after="0"/>
              <w:rPr>
                <w:sz w:val="13"/>
                <w:szCs w:val="13"/>
                <w:color w:val="auto"/>
              </w:rPr>
            </w:pPr>
          </w:p>
        </w:tc>
        <w:tc>
          <w:tcPr>
            <w:tcW w:w="400" w:type="dxa"/>
            <w:vAlign w:val="bottom"/>
            <w:shd w:val="clear" w:color="auto" w:fill="F4F4F4"/>
          </w:tcPr>
          <w:p>
            <w:pPr>
              <w:spacing w:after="0"/>
              <w:rPr>
                <w:sz w:val="13"/>
                <w:szCs w:val="13"/>
                <w:color w:val="auto"/>
              </w:rPr>
            </w:pPr>
          </w:p>
        </w:tc>
        <w:tc>
          <w:tcPr>
            <w:tcW w:w="760" w:type="dxa"/>
            <w:vAlign w:val="bottom"/>
            <w:shd w:val="clear" w:color="auto" w:fill="F4F4F4"/>
          </w:tcPr>
          <w:p>
            <w:pPr>
              <w:spacing w:after="0"/>
              <w:rPr>
                <w:sz w:val="13"/>
                <w:szCs w:val="13"/>
                <w:color w:val="auto"/>
              </w:rPr>
            </w:pPr>
          </w:p>
        </w:tc>
        <w:tc>
          <w:tcPr>
            <w:tcW w:w="110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Stock-based compensation expense</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28.9</w:t>
            </w:r>
          </w:p>
        </w:tc>
        <w:tc>
          <w:tcPr>
            <w:tcW w:w="420" w:type="dxa"/>
            <w:vAlign w:val="bottom"/>
            <w:shd w:val="clear" w:color="auto" w:fill="F4F4F4"/>
          </w:tcPr>
          <w:p>
            <w:pPr>
              <w:spacing w:after="0"/>
              <w:rPr>
                <w:sz w:val="19"/>
                <w:szCs w:val="19"/>
                <w:color w:val="auto"/>
              </w:rPr>
            </w:pP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20.8</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38.8 %</w:t>
            </w:r>
          </w:p>
        </w:tc>
        <w:tc>
          <w:tcPr>
            <w:tcW w:w="8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89.5</w:t>
            </w:r>
          </w:p>
        </w:tc>
        <w:tc>
          <w:tcPr>
            <w:tcW w:w="400" w:type="dxa"/>
            <w:vAlign w:val="bottom"/>
            <w:shd w:val="clear" w:color="auto" w:fill="F4F4F4"/>
          </w:tcPr>
          <w:p>
            <w:pPr>
              <w:spacing w:after="0"/>
              <w:rPr>
                <w:sz w:val="19"/>
                <w:szCs w:val="19"/>
                <w:color w:val="auto"/>
              </w:rPr>
            </w:pP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54.6</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64.0 %</w:t>
            </w:r>
          </w:p>
        </w:tc>
        <w:tc>
          <w:tcPr>
            <w:tcW w:w="20" w:type="dxa"/>
            <w:vAlign w:val="bottom"/>
          </w:tcPr>
          <w:p>
            <w:pPr>
              <w:spacing w:after="0"/>
              <w:rPr>
                <w:sz w:val="19"/>
                <w:szCs w:val="19"/>
                <w:color w:val="auto"/>
              </w:rPr>
            </w:pPr>
          </w:p>
        </w:tc>
      </w:tr>
      <w:tr>
        <w:trPr>
          <w:trHeight w:val="210"/>
        </w:trPr>
        <w:tc>
          <w:tcPr>
            <w:tcW w:w="4140" w:type="dxa"/>
            <w:vAlign w:val="bottom"/>
          </w:tcPr>
          <w:p>
            <w:pPr>
              <w:ind w:left="140"/>
              <w:spacing w:after="0"/>
              <w:rPr>
                <w:sz w:val="20"/>
                <w:szCs w:val="20"/>
                <w:color w:val="auto"/>
              </w:rPr>
            </w:pPr>
            <w:r>
              <w:rPr>
                <w:rFonts w:ascii="Arial" w:cs="Arial" w:eastAsia="Arial" w:hAnsi="Arial"/>
                <w:sz w:val="14"/>
                <w:szCs w:val="14"/>
                <w:color w:val="auto"/>
              </w:rPr>
              <w:t>Add: Employee severance</w:t>
            </w:r>
          </w:p>
        </w:tc>
        <w:tc>
          <w:tcPr>
            <w:tcW w:w="44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1120" w:type="dxa"/>
            <w:vAlign w:val="bottom"/>
          </w:tcPr>
          <w:p>
            <w:pPr>
              <w:jc w:val="right"/>
              <w:spacing w:after="0"/>
              <w:rPr>
                <w:sz w:val="20"/>
                <w:szCs w:val="20"/>
                <w:color w:val="auto"/>
              </w:rPr>
            </w:pPr>
            <w:r>
              <w:rPr>
                <w:rFonts w:ascii="Arial" w:cs="Arial" w:eastAsia="Arial" w:hAnsi="Arial"/>
                <w:sz w:val="14"/>
                <w:szCs w:val="14"/>
                <w:color w:val="auto"/>
              </w:rPr>
              <w:t>(70.7)%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4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1100" w:type="dxa"/>
            <w:vAlign w:val="bottom"/>
          </w:tcPr>
          <w:p>
            <w:pPr>
              <w:jc w:val="right"/>
              <w:spacing w:after="0"/>
              <w:rPr>
                <w:sz w:val="20"/>
                <w:szCs w:val="20"/>
                <w:color w:val="auto"/>
              </w:rPr>
            </w:pPr>
            <w:r>
              <w:rPr>
                <w:rFonts w:ascii="Arial" w:cs="Arial" w:eastAsia="Arial" w:hAnsi="Arial"/>
                <w:sz w:val="14"/>
                <w:szCs w:val="14"/>
                <w:color w:val="auto"/>
              </w:rPr>
              <w:t>(67.1)%</w:t>
            </w: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integration costs</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shd w:val="clear" w:color="auto" w:fill="F4F4F4"/>
          </w:tcPr>
          <w:p>
            <w:pPr>
              <w:spacing w:after="0"/>
              <w:rPr>
                <w:sz w:val="19"/>
                <w:szCs w:val="19"/>
                <w:color w:val="auto"/>
              </w:rPr>
            </w:pP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13.3 %</w:t>
            </w:r>
          </w:p>
        </w:tc>
        <w:tc>
          <w:tcPr>
            <w:tcW w:w="8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(0.1)</w:t>
            </w:r>
          </w:p>
        </w:tc>
        <w:tc>
          <w:tcPr>
            <w:tcW w:w="400" w:type="dxa"/>
            <w:vAlign w:val="bottom"/>
            <w:shd w:val="clear" w:color="auto" w:fill="F4F4F4"/>
          </w:tcPr>
          <w:p>
            <w:pPr>
              <w:spacing w:after="0"/>
              <w:rPr>
                <w:sz w:val="19"/>
                <w:szCs w:val="19"/>
                <w:color w:val="auto"/>
              </w:rPr>
            </w:pPr>
          </w:p>
        </w:tc>
        <w:tc>
          <w:tcPr>
            <w:tcW w:w="7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(0.1)</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9"/>
                <w:szCs w:val="19"/>
                <w:color w:val="auto"/>
              </w:rPr>
            </w:pPr>
          </w:p>
        </w:tc>
      </w:tr>
      <w:tr>
        <w:trPr>
          <w:trHeight w:val="210"/>
        </w:trPr>
        <w:tc>
          <w:tcPr>
            <w:tcW w:w="4140" w:type="dxa"/>
            <w:vAlign w:val="bottom"/>
          </w:tcPr>
          <w:p>
            <w:pPr>
              <w:ind w:left="140"/>
              <w:spacing w:after="0"/>
              <w:rPr>
                <w:sz w:val="20"/>
                <w:szCs w:val="20"/>
                <w:color w:val="auto"/>
              </w:rPr>
            </w:pPr>
            <w:r>
              <w:rPr>
                <w:rFonts w:ascii="Arial" w:cs="Arial" w:eastAsia="Arial" w:hAnsi="Arial"/>
                <w:sz w:val="14"/>
                <w:szCs w:val="14"/>
                <w:color w:val="auto"/>
              </w:rPr>
              <w:t>Add: Acquisition-related expenses</w:t>
            </w:r>
          </w:p>
        </w:tc>
        <w:tc>
          <w:tcPr>
            <w:tcW w:w="44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1120" w:type="dxa"/>
            <w:vAlign w:val="bottom"/>
          </w:tcPr>
          <w:p>
            <w:pPr>
              <w:jc w:val="right"/>
              <w:spacing w:after="0"/>
              <w:rPr>
                <w:sz w:val="20"/>
                <w:szCs w:val="20"/>
                <w:color w:val="auto"/>
              </w:rPr>
            </w:pPr>
            <w:r>
              <w:rPr>
                <w:rFonts w:ascii="Arial" w:cs="Arial" w:eastAsia="Arial" w:hAnsi="Arial"/>
                <w:sz w:val="14"/>
                <w:szCs w:val="14"/>
                <w:color w:val="auto"/>
              </w:rPr>
              <w:t>4.7 %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0.2</w:t>
            </w:r>
          </w:p>
        </w:tc>
        <w:tc>
          <w:tcPr>
            <w:tcW w:w="4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100" w:type="dxa"/>
            <w:vAlign w:val="bottom"/>
          </w:tcPr>
          <w:p>
            <w:pPr>
              <w:jc w:val="right"/>
              <w:spacing w:after="0"/>
              <w:rPr>
                <w:sz w:val="20"/>
                <w:szCs w:val="20"/>
                <w:color w:val="auto"/>
              </w:rPr>
            </w:pPr>
            <w:r>
              <w:rPr>
                <w:rFonts w:ascii="Arial" w:cs="Arial" w:eastAsia="Arial" w:hAnsi="Arial"/>
                <w:sz w:val="14"/>
                <w:szCs w:val="14"/>
                <w:color w:val="auto"/>
              </w:rPr>
              <w:t>(31.9)%</w:t>
            </w: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(0.4)</w:t>
            </w:r>
          </w:p>
        </w:tc>
        <w:tc>
          <w:tcPr>
            <w:tcW w:w="420" w:type="dxa"/>
            <w:vAlign w:val="bottom"/>
            <w:shd w:val="clear" w:color="auto" w:fill="F4F4F4"/>
          </w:tcPr>
          <w:p>
            <w:pPr>
              <w:spacing w:after="0"/>
              <w:rPr>
                <w:sz w:val="19"/>
                <w:szCs w:val="19"/>
                <w:color w:val="auto"/>
              </w:rPr>
            </w:pP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6.9</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(106.0)%</w:t>
            </w:r>
          </w:p>
        </w:tc>
        <w:tc>
          <w:tcPr>
            <w:tcW w:w="8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(0.4)</w:t>
            </w:r>
          </w:p>
        </w:tc>
        <w:tc>
          <w:tcPr>
            <w:tcW w:w="400" w:type="dxa"/>
            <w:vAlign w:val="bottom"/>
            <w:shd w:val="clear" w:color="auto" w:fill="F4F4F4"/>
          </w:tcPr>
          <w:p>
            <w:pPr>
              <w:spacing w:after="0"/>
              <w:rPr>
                <w:sz w:val="19"/>
                <w:szCs w:val="19"/>
                <w:color w:val="auto"/>
              </w:rPr>
            </w:pP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7.0</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(105.9)%</w:t>
            </w:r>
          </w:p>
        </w:tc>
        <w:tc>
          <w:tcPr>
            <w:tcW w:w="20" w:type="dxa"/>
            <w:vAlign w:val="bottom"/>
          </w:tcPr>
          <w:p>
            <w:pPr>
              <w:spacing w:after="0"/>
              <w:rPr>
                <w:sz w:val="19"/>
                <w:szCs w:val="19"/>
                <w:color w:val="auto"/>
              </w:rPr>
            </w:pPr>
          </w:p>
        </w:tc>
      </w:tr>
      <w:tr>
        <w:trPr>
          <w:trHeight w:val="216"/>
        </w:trPr>
        <w:tc>
          <w:tcPr>
            <w:tcW w:w="414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Security Incident-related costs, net of insurance</w:t>
            </w:r>
            <w:r>
              <w:rPr>
                <w:rFonts w:ascii="Arial" w:cs="Arial" w:eastAsia="Arial" w:hAnsi="Arial"/>
                <w:sz w:val="18"/>
                <w:szCs w:val="18"/>
                <w:color w:val="auto"/>
                <w:vertAlign w:val="superscript"/>
              </w:rPr>
              <w:t>(3)</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0.9</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F4F4F4"/>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8"/>
                <w:szCs w:val="18"/>
                <w:color w:val="auto"/>
              </w:rPr>
            </w:pPr>
          </w:p>
        </w:tc>
      </w:tr>
      <w:tr>
        <w:trPr>
          <w:trHeight w:val="210"/>
        </w:trPr>
        <w:tc>
          <w:tcPr>
            <w:tcW w:w="414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(2)</w:t>
            </w:r>
          </w:p>
        </w:tc>
        <w:tc>
          <w:tcPr>
            <w:tcW w:w="440" w:type="dxa"/>
            <w:vAlign w:val="bottom"/>
            <w:tcBorders>
              <w:bottom w:val="single" w:sz="8" w:color="auto"/>
            </w:tcBorders>
            <w:shd w:val="clear" w:color="auto" w:fill="F4F4F4"/>
          </w:tcPr>
          <w:p>
            <w:pPr>
              <w:spacing w:after="0"/>
              <w:rPr>
                <w:sz w:val="18"/>
                <w:szCs w:val="18"/>
                <w:color w:val="auto"/>
              </w:rPr>
            </w:pPr>
          </w:p>
        </w:tc>
        <w:tc>
          <w:tcPr>
            <w:tcW w:w="82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29.5</w:t>
            </w:r>
          </w:p>
        </w:tc>
        <w:tc>
          <w:tcPr>
            <w:tcW w:w="420" w:type="dxa"/>
            <w:vAlign w:val="bottom"/>
            <w:tcBorders>
              <w:bottom w:val="single" w:sz="8" w:color="auto"/>
            </w:tcBorders>
            <w:shd w:val="clear" w:color="auto" w:fill="F4F4F4"/>
          </w:tcPr>
          <w:p>
            <w:pPr>
              <w:spacing w:after="0"/>
              <w:rPr>
                <w:sz w:val="18"/>
                <w:szCs w:val="18"/>
                <w:color w:val="auto"/>
              </w:rPr>
            </w:pPr>
          </w:p>
        </w:tc>
        <w:tc>
          <w:tcPr>
            <w:tcW w:w="6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28.1</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5.0 %</w:t>
            </w:r>
          </w:p>
        </w:tc>
        <w:tc>
          <w:tcPr>
            <w:tcW w:w="80" w:type="dxa"/>
            <w:vAlign w:val="bottom"/>
            <w:shd w:val="clear" w:color="auto" w:fill="F4F4F4"/>
          </w:tcPr>
          <w:p>
            <w:pPr>
              <w:spacing w:after="0"/>
              <w:rPr>
                <w:sz w:val="18"/>
                <w:szCs w:val="18"/>
                <w:color w:val="auto"/>
              </w:rPr>
            </w:pPr>
          </w:p>
        </w:tc>
        <w:tc>
          <w:tcPr>
            <w:tcW w:w="420" w:type="dxa"/>
            <w:vAlign w:val="bottom"/>
            <w:tcBorders>
              <w:bottom w:val="single" w:sz="8" w:color="auto"/>
            </w:tcBorders>
            <w:shd w:val="clear" w:color="auto" w:fill="F4F4F4"/>
          </w:tcPr>
          <w:p>
            <w:pPr>
              <w:spacing w:after="0"/>
              <w:rPr>
                <w:sz w:val="18"/>
                <w:szCs w:val="18"/>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92.0</w:t>
            </w:r>
          </w:p>
        </w:tc>
        <w:tc>
          <w:tcPr>
            <w:tcW w:w="400" w:type="dxa"/>
            <w:vAlign w:val="bottom"/>
            <w:tcBorders>
              <w:bottom w:val="single" w:sz="8" w:color="auto"/>
            </w:tcBorders>
            <w:shd w:val="clear" w:color="auto" w:fill="F4F4F4"/>
          </w:tcPr>
          <w:p>
            <w:pPr>
              <w:spacing w:after="0"/>
              <w:rPr>
                <w:sz w:val="18"/>
                <w:szCs w:val="18"/>
                <w:color w:val="auto"/>
              </w:rPr>
            </w:pPr>
          </w:p>
        </w:tc>
        <w:tc>
          <w:tcPr>
            <w:tcW w:w="760" w:type="dxa"/>
            <w:vAlign w:val="bottom"/>
            <w:tcBorders>
              <w:bottom w:val="single" w:sz="8" w:color="auto"/>
            </w:tcBorders>
            <w:shd w:val="clear" w:color="auto" w:fill="F4F4F4"/>
          </w:tcPr>
          <w:p>
            <w:pPr>
              <w:jc w:val="right"/>
              <w:ind w:right="8"/>
              <w:spacing w:after="0"/>
              <w:rPr>
                <w:sz w:val="20"/>
                <w:szCs w:val="20"/>
                <w:color w:val="auto"/>
              </w:rPr>
            </w:pPr>
            <w:r>
              <w:rPr>
                <w:rFonts w:ascii="Arial" w:cs="Arial" w:eastAsia="Arial" w:hAnsi="Arial"/>
                <w:sz w:val="14"/>
                <w:szCs w:val="14"/>
                <w:color w:val="auto"/>
              </w:rPr>
              <w:t>66.3</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38.7 %</w:t>
            </w:r>
          </w:p>
        </w:tc>
        <w:tc>
          <w:tcPr>
            <w:tcW w:w="20" w:type="dxa"/>
            <w:vAlign w:val="bottom"/>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4"/>
                <w:szCs w:val="14"/>
                <w:color w:val="auto"/>
              </w:rPr>
              <w:t>Non-GAAP Adjusted EBITDA</w:t>
            </w:r>
            <w:r>
              <w:rPr>
                <w:rFonts w:ascii="Arial" w:cs="Arial" w:eastAsia="Arial" w:hAnsi="Arial"/>
                <w:sz w:val="18"/>
                <w:szCs w:val="18"/>
                <w:color w:val="auto"/>
                <w:vertAlign w:val="superscript"/>
              </w:rPr>
              <w:t>(2)</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62.4</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59.4</w:t>
            </w:r>
          </w:p>
        </w:tc>
        <w:tc>
          <w:tcPr>
            <w:tcW w:w="1120" w:type="dxa"/>
            <w:vAlign w:val="bottom"/>
          </w:tcPr>
          <w:p>
            <w:pPr>
              <w:jc w:val="right"/>
              <w:spacing w:after="0"/>
              <w:rPr>
                <w:sz w:val="20"/>
                <w:szCs w:val="20"/>
                <w:color w:val="auto"/>
              </w:rPr>
            </w:pPr>
            <w:r>
              <w:rPr>
                <w:rFonts w:ascii="Arial" w:cs="Arial" w:eastAsia="Arial" w:hAnsi="Arial"/>
                <w:sz w:val="14"/>
                <w:szCs w:val="14"/>
                <w:color w:val="auto"/>
              </w:rPr>
              <w:t>5.0 %</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185.4</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173.0</w:t>
            </w:r>
          </w:p>
        </w:tc>
        <w:tc>
          <w:tcPr>
            <w:tcW w:w="1100" w:type="dxa"/>
            <w:vAlign w:val="bottom"/>
          </w:tcPr>
          <w:p>
            <w:pPr>
              <w:jc w:val="right"/>
              <w:spacing w:after="0"/>
              <w:rPr>
                <w:sz w:val="20"/>
                <w:szCs w:val="20"/>
                <w:color w:val="auto"/>
              </w:rPr>
            </w:pPr>
            <w:r>
              <w:rPr>
                <w:rFonts w:ascii="Arial" w:cs="Arial" w:eastAsia="Arial" w:hAnsi="Arial"/>
                <w:sz w:val="14"/>
                <w:szCs w:val="14"/>
                <w:color w:val="auto"/>
              </w:rPr>
              <w:t>7.1 %</w:t>
            </w:r>
          </w:p>
        </w:tc>
        <w:tc>
          <w:tcPr>
            <w:tcW w:w="20" w:type="dxa"/>
            <w:vAlign w:val="bottom"/>
          </w:tcPr>
          <w:p>
            <w:pPr>
              <w:spacing w:after="0"/>
              <w:rPr>
                <w:sz w:val="18"/>
                <w:szCs w:val="18"/>
                <w:color w:val="auto"/>
              </w:rPr>
            </w:pPr>
          </w:p>
        </w:tc>
      </w:tr>
      <w:tr>
        <w:trPr>
          <w:trHeight w:val="209"/>
        </w:trPr>
        <w:tc>
          <w:tcPr>
            <w:tcW w:w="4140" w:type="dxa"/>
            <w:vAlign w:val="bottom"/>
            <w:tcBorders>
              <w:top w:val="single" w:sz="8" w:color="F4F4F4"/>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Adjusted EBITDA margin</w:t>
            </w:r>
          </w:p>
        </w:tc>
        <w:tc>
          <w:tcPr>
            <w:tcW w:w="440" w:type="dxa"/>
            <w:vAlign w:val="bottom"/>
            <w:tcBorders>
              <w:top w:val="single" w:sz="8" w:color="auto"/>
            </w:tcBorders>
            <w:shd w:val="clear" w:color="auto" w:fill="F4F4F4"/>
          </w:tcPr>
          <w:p>
            <w:pPr>
              <w:spacing w:after="0"/>
              <w:rPr>
                <w:sz w:val="18"/>
                <w:szCs w:val="18"/>
                <w:color w:val="auto"/>
              </w:rPr>
            </w:pPr>
          </w:p>
        </w:tc>
        <w:tc>
          <w:tcPr>
            <w:tcW w:w="8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27.0 %</w:t>
            </w:r>
          </w:p>
        </w:tc>
        <w:tc>
          <w:tcPr>
            <w:tcW w:w="420" w:type="dxa"/>
            <w:vAlign w:val="bottom"/>
            <w:tcBorders>
              <w:top w:val="single" w:sz="8" w:color="auto"/>
            </w:tcBorders>
            <w:shd w:val="clear" w:color="auto" w:fill="F4F4F4"/>
          </w:tcPr>
          <w:p>
            <w:pPr>
              <w:spacing w:after="0"/>
              <w:rPr>
                <w:sz w:val="18"/>
                <w:szCs w:val="18"/>
                <w:color w:val="auto"/>
              </w:rPr>
            </w:pPr>
          </w:p>
        </w:tc>
        <w:tc>
          <w:tcPr>
            <w:tcW w:w="680" w:type="dxa"/>
            <w:vAlign w:val="bottom"/>
            <w:tcBorders>
              <w:top w:val="single" w:sz="8" w:color="auto"/>
            </w:tcBorders>
            <w:shd w:val="clear" w:color="auto" w:fill="F4F4F4"/>
          </w:tcPr>
          <w:p>
            <w:pPr>
              <w:spacing w:after="0"/>
              <w:rPr>
                <w:sz w:val="18"/>
                <w:szCs w:val="18"/>
                <w:color w:val="auto"/>
              </w:rPr>
            </w:pPr>
          </w:p>
        </w:tc>
        <w:tc>
          <w:tcPr>
            <w:tcW w:w="1120" w:type="dxa"/>
            <w:vAlign w:val="bottom"/>
            <w:tcBorders>
              <w:top w:val="single" w:sz="8" w:color="F4F4F4"/>
              <w:right w:val="single" w:sz="8" w:color="F4F4F4"/>
            </w:tcBorders>
            <w:shd w:val="clear" w:color="auto" w:fill="F4F4F4"/>
          </w:tcPr>
          <w:p>
            <w:pPr>
              <w:spacing w:after="0"/>
              <w:rPr>
                <w:sz w:val="18"/>
                <w:szCs w:val="18"/>
                <w:color w:val="auto"/>
              </w:rPr>
            </w:pPr>
          </w:p>
        </w:tc>
        <w:tc>
          <w:tcPr>
            <w:tcW w:w="80" w:type="dxa"/>
            <w:vAlign w:val="bottom"/>
            <w:tcBorders>
              <w:top w:val="single" w:sz="8" w:color="F4F4F4"/>
            </w:tcBorders>
            <w:shd w:val="clear" w:color="auto" w:fill="F4F4F4"/>
          </w:tcPr>
          <w:p>
            <w:pPr>
              <w:spacing w:after="0"/>
              <w:rPr>
                <w:sz w:val="18"/>
                <w:szCs w:val="18"/>
                <w:color w:val="auto"/>
              </w:rPr>
            </w:pPr>
          </w:p>
        </w:tc>
        <w:tc>
          <w:tcPr>
            <w:tcW w:w="420" w:type="dxa"/>
            <w:vAlign w:val="bottom"/>
            <w:tcBorders>
              <w:top w:val="single" w:sz="8" w:color="auto"/>
            </w:tcBorders>
            <w:shd w:val="clear" w:color="auto" w:fill="F4F4F4"/>
          </w:tcPr>
          <w:p>
            <w:pPr>
              <w:spacing w:after="0"/>
              <w:rPr>
                <w:sz w:val="18"/>
                <w:szCs w:val="18"/>
                <w:color w:val="auto"/>
              </w:rPr>
            </w:pPr>
          </w:p>
        </w:tc>
        <w:tc>
          <w:tcPr>
            <w:tcW w:w="86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27.3 %</w:t>
            </w:r>
          </w:p>
        </w:tc>
        <w:tc>
          <w:tcPr>
            <w:tcW w:w="400" w:type="dxa"/>
            <w:vAlign w:val="bottom"/>
            <w:tcBorders>
              <w:top w:val="single" w:sz="8" w:color="auto"/>
            </w:tcBorders>
            <w:shd w:val="clear" w:color="auto" w:fill="F4F4F4"/>
          </w:tcPr>
          <w:p>
            <w:pPr>
              <w:spacing w:after="0"/>
              <w:rPr>
                <w:sz w:val="18"/>
                <w:szCs w:val="18"/>
                <w:color w:val="auto"/>
              </w:rPr>
            </w:pPr>
          </w:p>
        </w:tc>
        <w:tc>
          <w:tcPr>
            <w:tcW w:w="760" w:type="dxa"/>
            <w:vAlign w:val="bottom"/>
            <w:tcBorders>
              <w:top w:val="single" w:sz="8" w:color="auto"/>
            </w:tcBorders>
            <w:shd w:val="clear" w:color="auto" w:fill="F4F4F4"/>
          </w:tcPr>
          <w:p>
            <w:pPr>
              <w:spacing w:after="0"/>
              <w:rPr>
                <w:sz w:val="18"/>
                <w:szCs w:val="18"/>
                <w:color w:val="auto"/>
              </w:rPr>
            </w:pPr>
          </w:p>
        </w:tc>
        <w:tc>
          <w:tcPr>
            <w:tcW w:w="1100" w:type="dxa"/>
            <w:vAlign w:val="bottom"/>
            <w:tcBorders>
              <w:top w:val="single" w:sz="8" w:color="F4F4F4"/>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4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1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4"/>
                <w:szCs w:val="14"/>
                <w:b w:val="1"/>
                <w:bCs w:val="1"/>
                <w:color w:val="auto"/>
              </w:rPr>
              <w:t>Rule of 40</w:t>
            </w:r>
            <w:r>
              <w:rPr>
                <w:rFonts w:ascii="Arial" w:cs="Arial" w:eastAsia="Arial" w:hAnsi="Arial"/>
                <w:sz w:val="18"/>
                <w:szCs w:val="18"/>
                <w:b w:val="1"/>
                <w:bCs w:val="1"/>
                <w:color w:val="auto"/>
                <w:vertAlign w:val="superscript"/>
              </w:rPr>
              <w:t>(4)</w:t>
            </w:r>
          </w:p>
        </w:tc>
        <w:tc>
          <w:tcPr>
            <w:tcW w:w="440" w:type="dxa"/>
            <w:vAlign w:val="bottom"/>
            <w:tcBorders>
              <w:bottom w:val="single" w:sz="8" w:color="71BF43"/>
            </w:tcBorders>
            <w:shd w:val="clear" w:color="auto" w:fill="F4F4F4"/>
          </w:tcPr>
          <w:p>
            <w:pPr>
              <w:spacing w:after="0"/>
              <w:rPr>
                <w:sz w:val="18"/>
                <w:szCs w:val="18"/>
                <w:color w:val="auto"/>
              </w:rPr>
            </w:pPr>
          </w:p>
        </w:tc>
        <w:tc>
          <w:tcPr>
            <w:tcW w:w="8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34.5 %</w:t>
            </w:r>
          </w:p>
        </w:tc>
        <w:tc>
          <w:tcPr>
            <w:tcW w:w="420" w:type="dxa"/>
            <w:vAlign w:val="bottom"/>
            <w:tcBorders>
              <w:bottom w:val="single" w:sz="8" w:color="71BF43"/>
            </w:tcBorders>
            <w:shd w:val="clear" w:color="auto" w:fill="F4F4F4"/>
          </w:tcPr>
          <w:p>
            <w:pPr>
              <w:spacing w:after="0"/>
              <w:rPr>
                <w:sz w:val="18"/>
                <w:szCs w:val="18"/>
                <w:color w:val="auto"/>
              </w:rPr>
            </w:pPr>
          </w:p>
        </w:tc>
        <w:tc>
          <w:tcPr>
            <w:tcW w:w="680" w:type="dxa"/>
            <w:vAlign w:val="bottom"/>
            <w:tcBorders>
              <w:bottom w:val="single" w:sz="8" w:color="71BF43"/>
            </w:tcBorders>
            <w:shd w:val="clear" w:color="auto" w:fill="F4F4F4"/>
          </w:tcPr>
          <w:p>
            <w:pPr>
              <w:spacing w:after="0"/>
              <w:rPr>
                <w:sz w:val="18"/>
                <w:szCs w:val="18"/>
                <w:color w:val="auto"/>
              </w:rPr>
            </w:pPr>
          </w:p>
        </w:tc>
        <w:tc>
          <w:tcPr>
            <w:tcW w:w="1120" w:type="dxa"/>
            <w:vAlign w:val="bottom"/>
            <w:tcBorders>
              <w:bottom w:val="single" w:sz="8" w:color="71BF43"/>
              <w:right w:val="single" w:sz="8" w:color="F4F4F4"/>
            </w:tcBorders>
            <w:shd w:val="clear" w:color="auto" w:fill="F4F4F4"/>
          </w:tcPr>
          <w:p>
            <w:pPr>
              <w:spacing w:after="0"/>
              <w:rPr>
                <w:sz w:val="18"/>
                <w:szCs w:val="18"/>
                <w:color w:val="auto"/>
              </w:rPr>
            </w:pPr>
          </w:p>
        </w:tc>
        <w:tc>
          <w:tcPr>
            <w:tcW w:w="80" w:type="dxa"/>
            <w:vAlign w:val="bottom"/>
            <w:tcBorders>
              <w:bottom w:val="single" w:sz="8" w:color="71BF43"/>
            </w:tcBorders>
            <w:shd w:val="clear" w:color="auto" w:fill="F4F4F4"/>
          </w:tcPr>
          <w:p>
            <w:pPr>
              <w:spacing w:after="0"/>
              <w:rPr>
                <w:sz w:val="18"/>
                <w:szCs w:val="18"/>
                <w:color w:val="auto"/>
              </w:rPr>
            </w:pPr>
          </w:p>
        </w:tc>
        <w:tc>
          <w:tcPr>
            <w:tcW w:w="420" w:type="dxa"/>
            <w:vAlign w:val="bottom"/>
            <w:tcBorders>
              <w:bottom w:val="single" w:sz="8" w:color="71BF43"/>
            </w:tcBorders>
            <w:shd w:val="clear" w:color="auto" w:fill="F4F4F4"/>
          </w:tcPr>
          <w:p>
            <w:pPr>
              <w:spacing w:after="0"/>
              <w:rPr>
                <w:sz w:val="18"/>
                <w:szCs w:val="18"/>
                <w:color w:val="auto"/>
              </w:rPr>
            </w:pPr>
          </w:p>
        </w:tc>
        <w:tc>
          <w:tcPr>
            <w:tcW w:w="8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28.7 %</w:t>
            </w:r>
          </w:p>
        </w:tc>
        <w:tc>
          <w:tcPr>
            <w:tcW w:w="400" w:type="dxa"/>
            <w:vAlign w:val="bottom"/>
            <w:tcBorders>
              <w:bottom w:val="single" w:sz="8" w:color="71BF43"/>
            </w:tcBorders>
            <w:shd w:val="clear" w:color="auto" w:fill="F4F4F4"/>
          </w:tcPr>
          <w:p>
            <w:pPr>
              <w:spacing w:after="0"/>
              <w:rPr>
                <w:sz w:val="18"/>
                <w:szCs w:val="18"/>
                <w:color w:val="auto"/>
              </w:rPr>
            </w:pPr>
          </w:p>
        </w:tc>
        <w:tc>
          <w:tcPr>
            <w:tcW w:w="760" w:type="dxa"/>
            <w:vAlign w:val="bottom"/>
            <w:tcBorders>
              <w:bottom w:val="single" w:sz="8" w:color="71BF43"/>
            </w:tcBorders>
            <w:shd w:val="clear" w:color="auto" w:fill="F4F4F4"/>
          </w:tcPr>
          <w:p>
            <w:pPr>
              <w:spacing w:after="0"/>
              <w:rPr>
                <w:sz w:val="18"/>
                <w:szCs w:val="18"/>
                <w:color w:val="auto"/>
              </w:rPr>
            </w:pPr>
          </w:p>
        </w:tc>
        <w:tc>
          <w:tcPr>
            <w:tcW w:w="1100" w:type="dxa"/>
            <w:vAlign w:val="bottom"/>
            <w:tcBorders>
              <w:bottom w:val="single" w:sz="8" w:color="71BF43"/>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-3282950</wp:posOffset>
            </wp:positionV>
            <wp:extent cx="45173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17390"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amortization expense related to software development costs and amortization expense from capitalized cloud computing implementation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subtotal, non-GAAP EBITDA or non-GAAP adjusted EBITDA due to rounding.</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Security Incident-related costs incurred, net of probable insurance recoveries. See additional details in the reconciliation of GAAP to Non-GAAP operating income above.</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Measured by non-GAAP organic revenue growth plus non-GAAP adjusted EBITDA margin. See Non-GAAP organic revenue growth table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free cash flow</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Non-GAAP free cash flow is defined as operating cash flow less capital expenditures, including costs required to be capitalized for software development, and capital expenditures for property and equipment.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00" w:type="dxa"/>
            <w:vAlign w:val="bottom"/>
            <w:shd w:val="clear" w:color="auto" w:fill="ACACAC"/>
          </w:tcPr>
          <w:p>
            <w:pPr>
              <w:spacing w:after="0"/>
              <w:rPr>
                <w:sz w:val="16"/>
                <w:szCs w:val="16"/>
                <w:color w:val="auto"/>
              </w:rPr>
            </w:pPr>
          </w:p>
        </w:tc>
        <w:tc>
          <w:tcPr>
            <w:tcW w:w="610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20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6"/>
                <w:szCs w:val="16"/>
                <w:color w:val="auto"/>
              </w:rPr>
            </w:pPr>
          </w:p>
        </w:tc>
      </w:tr>
      <w:tr>
        <w:trPr>
          <w:trHeight w:val="190"/>
        </w:trPr>
        <w:tc>
          <w:tcPr>
            <w:tcW w:w="1500" w:type="dxa"/>
            <w:vAlign w:val="bottom"/>
            <w:shd w:val="clear" w:color="auto" w:fill="ACACAC"/>
          </w:tcPr>
          <w:p>
            <w:pPr>
              <w:spacing w:after="0"/>
              <w:rPr>
                <w:sz w:val="16"/>
                <w:szCs w:val="16"/>
                <w:color w:val="auto"/>
              </w:rPr>
            </w:pPr>
          </w:p>
        </w:tc>
        <w:tc>
          <w:tcPr>
            <w:tcW w:w="610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6"/>
                <w:szCs w:val="16"/>
                <w:color w:val="auto"/>
              </w:rPr>
            </w:pPr>
          </w:p>
        </w:tc>
      </w:tr>
      <w:tr>
        <w:trPr>
          <w:trHeight w:val="235"/>
        </w:trPr>
        <w:tc>
          <w:tcPr>
            <w:tcW w:w="15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6100" w:type="dxa"/>
            <w:vAlign w:val="bottom"/>
            <w:tcBorders>
              <w:bottom w:val="single" w:sz="8" w:color="ACACAC"/>
            </w:tcBorders>
            <w:shd w:val="clear" w:color="auto" w:fill="ACACAC"/>
          </w:tcPr>
          <w:p>
            <w:pPr>
              <w:spacing w:after="0"/>
              <w:rPr>
                <w:sz w:val="20"/>
                <w:szCs w:val="20"/>
                <w:color w:val="auto"/>
              </w:rPr>
            </w:pPr>
          </w:p>
        </w:tc>
        <w:tc>
          <w:tcPr>
            <w:tcW w:w="440" w:type="dxa"/>
            <w:vAlign w:val="bottom"/>
            <w:tcBorders>
              <w:bottom w:val="single" w:sz="8" w:color="ACACAC"/>
            </w:tcBorders>
            <w:shd w:val="clear" w:color="auto" w:fill="ACACAC"/>
          </w:tcPr>
          <w:p>
            <w:pPr>
              <w:spacing w:after="0"/>
              <w:rPr>
                <w:sz w:val="20"/>
                <w:szCs w:val="20"/>
                <w:color w:val="auto"/>
              </w:rPr>
            </w:pPr>
          </w:p>
        </w:tc>
        <w:tc>
          <w:tcPr>
            <w:tcW w:w="7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20" w:type="dxa"/>
            <w:vAlign w:val="bottom"/>
            <w:tcBorders>
              <w:bottom w:val="single" w:sz="8" w:color="ACACAC"/>
            </w:tcBorders>
            <w:shd w:val="clear" w:color="auto" w:fill="ACACAC"/>
          </w:tcPr>
          <w:p>
            <w:pPr>
              <w:spacing w:after="0"/>
              <w:rPr>
                <w:sz w:val="20"/>
                <w:szCs w:val="20"/>
                <w:color w:val="auto"/>
              </w:rPr>
            </w:pPr>
          </w:p>
        </w:tc>
        <w:tc>
          <w:tcPr>
            <w:tcW w:w="7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2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16"/>
        </w:trPr>
        <w:tc>
          <w:tcPr>
            <w:tcW w:w="7600" w:type="dxa"/>
            <w:vAlign w:val="bottom"/>
            <w:gridSpan w:val="2"/>
            <w:shd w:val="clear" w:color="auto" w:fill="F4F4F4"/>
          </w:tcPr>
          <w:p>
            <w:pPr>
              <w:ind w:left="20"/>
              <w:spacing w:after="0"/>
              <w:rPr>
                <w:sz w:val="20"/>
                <w:szCs w:val="20"/>
                <w:color w:val="auto"/>
              </w:rPr>
            </w:pPr>
            <w:r>
              <w:rPr>
                <w:rFonts w:ascii="Arial" w:cs="Arial" w:eastAsia="Arial" w:hAnsi="Arial"/>
                <w:sz w:val="14"/>
                <w:szCs w:val="14"/>
                <w:b w:val="1"/>
                <w:bCs w:val="1"/>
                <w:color w:val="auto"/>
              </w:rPr>
              <w:t>GAAP net cash provided by operating activities</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169.8</w:t>
            </w:r>
          </w:p>
        </w:tc>
        <w:tc>
          <w:tcPr>
            <w:tcW w:w="420" w:type="dxa"/>
            <w:vAlign w:val="bottom"/>
            <w:shd w:val="clear" w:color="auto" w:fill="F4F4F4"/>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109.2</w:t>
            </w:r>
          </w:p>
        </w:tc>
        <w:tc>
          <w:tcPr>
            <w:tcW w:w="12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55.5 %</w:t>
            </w:r>
          </w:p>
        </w:tc>
        <w:tc>
          <w:tcPr>
            <w:tcW w:w="20" w:type="dxa"/>
            <w:vAlign w:val="bottom"/>
          </w:tcPr>
          <w:p>
            <w:pPr>
              <w:spacing w:after="0"/>
              <w:rPr>
                <w:sz w:val="18"/>
                <w:szCs w:val="18"/>
                <w:color w:val="auto"/>
              </w:rPr>
            </w:pPr>
          </w:p>
        </w:tc>
      </w:tr>
      <w:tr>
        <w:trPr>
          <w:trHeight w:val="210"/>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Less: purchase of property and equipment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(25.8)</w:t>
            </w:r>
          </w:p>
        </w:tc>
        <w:tc>
          <w:tcPr>
            <w:tcW w:w="1260" w:type="dxa"/>
            <w:vAlign w:val="bottom"/>
          </w:tcPr>
          <w:p>
            <w:pPr>
              <w:jc w:val="right"/>
              <w:spacing w:after="0"/>
              <w:rPr>
                <w:sz w:val="20"/>
                <w:szCs w:val="20"/>
                <w:color w:val="auto"/>
              </w:rPr>
            </w:pPr>
            <w:r>
              <w:rPr>
                <w:rFonts w:ascii="Arial" w:cs="Arial" w:eastAsia="Arial" w:hAnsi="Arial"/>
                <w:sz w:val="14"/>
                <w:szCs w:val="14"/>
                <w:color w:val="auto"/>
              </w:rPr>
              <w:t>(67.8)%</w:t>
            </w:r>
          </w:p>
        </w:tc>
        <w:tc>
          <w:tcPr>
            <w:tcW w:w="20" w:type="dxa"/>
            <w:vAlign w:val="bottom"/>
          </w:tcPr>
          <w:p>
            <w:pPr>
              <w:spacing w:after="0"/>
              <w:rPr>
                <w:sz w:val="18"/>
                <w:szCs w:val="18"/>
                <w:color w:val="auto"/>
              </w:rPr>
            </w:pPr>
          </w:p>
        </w:tc>
      </w:tr>
      <w:tr>
        <w:trPr>
          <w:trHeight w:val="222"/>
        </w:trPr>
        <w:tc>
          <w:tcPr>
            <w:tcW w:w="7600" w:type="dxa"/>
            <w:vAlign w:val="bottom"/>
            <w:gridSpan w:val="2"/>
            <w:shd w:val="clear" w:color="auto" w:fill="F4F4F4"/>
          </w:tcPr>
          <w:p>
            <w:pPr>
              <w:ind w:left="140"/>
              <w:spacing w:after="0"/>
              <w:rPr>
                <w:sz w:val="20"/>
                <w:szCs w:val="20"/>
                <w:color w:val="auto"/>
              </w:rPr>
            </w:pPr>
            <w:r>
              <w:rPr>
                <w:rFonts w:ascii="Arial" w:cs="Arial" w:eastAsia="Arial" w:hAnsi="Arial"/>
                <w:sz w:val="14"/>
                <w:szCs w:val="14"/>
                <w:color w:val="auto"/>
              </w:rPr>
              <w:t>Less: capitalized software development costs</w:t>
            </w:r>
          </w:p>
        </w:tc>
        <w:tc>
          <w:tcPr>
            <w:tcW w:w="440" w:type="dxa"/>
            <w:vAlign w:val="bottom"/>
            <w:tcBorders>
              <w:bottom w:val="single" w:sz="8" w:color="auto"/>
            </w:tcBorders>
            <w:shd w:val="clear" w:color="auto" w:fill="F4F4F4"/>
          </w:tcPr>
          <w:p>
            <w:pPr>
              <w:spacing w:after="0"/>
              <w:rPr>
                <w:sz w:val="19"/>
                <w:szCs w:val="19"/>
                <w:color w:val="auto"/>
              </w:rPr>
            </w:pPr>
          </w:p>
        </w:tc>
        <w:tc>
          <w:tcPr>
            <w:tcW w:w="7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(29.7)</w:t>
            </w:r>
          </w:p>
        </w:tc>
        <w:tc>
          <w:tcPr>
            <w:tcW w:w="420" w:type="dxa"/>
            <w:vAlign w:val="bottom"/>
            <w:tcBorders>
              <w:bottom w:val="single" w:sz="8" w:color="auto"/>
            </w:tcBorders>
            <w:shd w:val="clear" w:color="auto" w:fill="F4F4F4"/>
          </w:tcPr>
          <w:p>
            <w:pPr>
              <w:spacing w:after="0"/>
              <w:rPr>
                <w:sz w:val="19"/>
                <w:szCs w:val="19"/>
                <w:color w:val="auto"/>
              </w:rPr>
            </w:pPr>
          </w:p>
        </w:tc>
        <w:tc>
          <w:tcPr>
            <w:tcW w:w="7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(32.0)</w:t>
            </w:r>
          </w:p>
        </w:tc>
        <w:tc>
          <w:tcPr>
            <w:tcW w:w="12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19"/>
                <w:szCs w:val="19"/>
                <w:color w:val="auto"/>
              </w:rPr>
            </w:pPr>
          </w:p>
        </w:tc>
      </w:tr>
      <w:tr>
        <w:trPr>
          <w:trHeight w:val="204"/>
        </w:trPr>
        <w:tc>
          <w:tcPr>
            <w:tcW w:w="7600" w:type="dxa"/>
            <w:vAlign w:val="bottom"/>
            <w:tcBorders>
              <w:bottom w:val="single" w:sz="8" w:color="71BF43"/>
            </w:tcBorders>
            <w:gridSpan w:val="2"/>
          </w:tcPr>
          <w:p>
            <w:pPr>
              <w:ind w:left="20"/>
              <w:spacing w:after="0"/>
              <w:rPr>
                <w:sz w:val="20"/>
                <w:szCs w:val="20"/>
                <w:color w:val="auto"/>
              </w:rPr>
            </w:pPr>
            <w:r>
              <w:rPr>
                <w:rFonts w:ascii="Arial" w:cs="Arial" w:eastAsia="Arial" w:hAnsi="Arial"/>
                <w:sz w:val="14"/>
                <w:szCs w:val="14"/>
                <w:b w:val="1"/>
                <w:bCs w:val="1"/>
                <w:color w:val="auto"/>
              </w:rPr>
              <w:t>Non-GAAP free cash flow</w:t>
            </w:r>
          </w:p>
        </w:tc>
        <w:tc>
          <w:tcPr>
            <w:tcW w:w="440" w:type="dxa"/>
            <w:vAlign w:val="bottom"/>
            <w:tcBorders>
              <w:bottom w:val="single" w:sz="8" w:color="71BF43"/>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71BF43"/>
            </w:tcBorders>
          </w:tcPr>
          <w:p>
            <w:pPr>
              <w:jc w:val="right"/>
              <w:ind w:right="8"/>
              <w:spacing w:after="0"/>
              <w:rPr>
                <w:sz w:val="20"/>
                <w:szCs w:val="20"/>
                <w:color w:val="auto"/>
              </w:rPr>
            </w:pPr>
            <w:r>
              <w:rPr>
                <w:rFonts w:ascii="Arial" w:cs="Arial" w:eastAsia="Arial" w:hAnsi="Arial"/>
                <w:sz w:val="14"/>
                <w:szCs w:val="14"/>
                <w:color w:val="auto"/>
              </w:rPr>
              <w:t>131.8</w:t>
            </w:r>
          </w:p>
        </w:tc>
        <w:tc>
          <w:tcPr>
            <w:tcW w:w="420" w:type="dxa"/>
            <w:vAlign w:val="bottom"/>
            <w:tcBorders>
              <w:bottom w:val="single" w:sz="8" w:color="71BF43"/>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51.3</w:t>
            </w:r>
          </w:p>
        </w:tc>
        <w:tc>
          <w:tcPr>
            <w:tcW w:w="126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156.9 %</w:t>
            </w:r>
          </w:p>
        </w:tc>
        <w:tc>
          <w:tcPr>
            <w:tcW w:w="20" w:type="dxa"/>
            <w:vAlign w:val="bottom"/>
          </w:tcPr>
          <w:p>
            <w:pPr>
              <w:spacing w:after="0"/>
              <w:rPr>
                <w:sz w:val="17"/>
                <w:szCs w:val="17"/>
                <w:color w:val="auto"/>
              </w:rPr>
            </w:pPr>
          </w:p>
        </w:tc>
      </w:tr>
      <w:tr>
        <w:trPr>
          <w:trHeight w:val="690"/>
        </w:trPr>
        <w:tc>
          <w:tcPr>
            <w:tcW w:w="1500" w:type="dxa"/>
            <w:vAlign w:val="bottom"/>
          </w:tcPr>
          <w:p>
            <w:pPr>
              <w:ind w:left="20"/>
              <w:spacing w:after="0"/>
              <w:rPr>
                <w:sz w:val="20"/>
                <w:szCs w:val="20"/>
                <w:color w:val="auto"/>
              </w:rPr>
            </w:pPr>
            <w:r>
              <w:rPr>
                <w:rFonts w:ascii="Arial" w:cs="Arial" w:eastAsia="Arial" w:hAnsi="Arial"/>
                <w:sz w:val="14"/>
                <w:szCs w:val="14"/>
                <w:color w:val="auto"/>
              </w:rPr>
              <w:t>38</w:t>
            </w:r>
          </w:p>
        </w:tc>
        <w:tc>
          <w:tcPr>
            <w:tcW w:w="6100" w:type="dxa"/>
            <w:vAlign w:val="bottom"/>
          </w:tcPr>
          <w:p>
            <w:pPr>
              <w:ind w:left="140"/>
              <w:spacing w:after="0"/>
              <w:rPr>
                <w:sz w:val="20"/>
                <w:szCs w:val="20"/>
                <w:color w:val="auto"/>
              </w:rPr>
            </w:pPr>
            <w:r>
              <w:rPr>
                <w:rFonts w:ascii="Arial" w:cs="Arial" w:eastAsia="Arial" w:hAnsi="Arial"/>
                <w:sz w:val="14"/>
                <w:szCs w:val="14"/>
                <w:color w:val="auto"/>
              </w:rPr>
              <w:t>Third Quarter 2021 Form 10-Q</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50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-1370965</wp:posOffset>
            </wp:positionV>
            <wp:extent cx="23145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-368300</wp:posOffset>
            </wp:positionV>
            <wp:extent cx="65151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however, do not vary significantly as a result of these factors, but do fluctuate on a quarterly basis due to varying timing of expenditures.</w:t>
      </w:r>
    </w:p>
    <w:p>
      <w:pPr>
        <w:spacing w:after="0" w:line="15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been lower in our second quarter as compared to our third and fourth quarters. Partially offsetting these favorable drivers of cash flow from operations in our third and fourth quarters are base salary merit increases, which were replaced in 2020 with performance-based equity awards due to COVID-19, but returned in July 2021. In addition, deferred revenues can vary on a seasonal basis for the same reasons. Our cash flow from financing is negatively impacted in our first quarter when most of our equity awards vest, as we pay taxes on behalf of our employees related to the settlement or exercise of equity awards. During the second quarter of 2021, however, we experienced an increase in the amount taxes we paid on behalf of our employees related to the settlement of equity awards when compared to the same period in 2020, as the equity granted in May 2020 in lieu of cash bonus plans and base salary merit increases vested. These patterns may change as a result of the continued shift to online giving, growth in volume of transactions for which we process payments, or as a result of acquisitions, new market opportunities, new solution introductions, the COVID-19 pandemic or other factors.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financial position: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4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48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r>
      <w:tr>
        <w:trPr>
          <w:trHeight w:val="196"/>
        </w:trPr>
        <w:tc>
          <w:tcPr>
            <w:tcW w:w="71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40" w:type="dxa"/>
            <w:vAlign w:val="bottom"/>
            <w:tcBorders>
              <w:bottom w:val="single" w:sz="8" w:color="ACACAC"/>
            </w:tcBorders>
            <w:shd w:val="clear" w:color="auto" w:fill="ACACAC"/>
          </w:tcPr>
          <w:p>
            <w:pPr>
              <w:spacing w:after="0"/>
              <w:rPr>
                <w:sz w:val="17"/>
                <w:szCs w:val="17"/>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40" w:type="dxa"/>
            <w:vAlign w:val="bottom"/>
            <w:tcBorders>
              <w:bottom w:val="single" w:sz="8" w:color="ACACAC"/>
            </w:tcBorders>
            <w:shd w:val="clear" w:color="auto" w:fill="ACACAC"/>
          </w:tcPr>
          <w:p>
            <w:pPr>
              <w:spacing w:after="0"/>
              <w:rPr>
                <w:sz w:val="17"/>
                <w:szCs w:val="17"/>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4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71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35.8</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1"/>
                <w:szCs w:val="2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105.2</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Software development costs, net</w:t>
            </w:r>
          </w:p>
        </w:tc>
        <w:tc>
          <w:tcPr>
            <w:tcW w:w="2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118.9</w:t>
            </w:r>
          </w:p>
        </w:tc>
        <w:tc>
          <w:tcPr>
            <w:tcW w:w="24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111.8</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6.3 %</w:t>
            </w:r>
          </w:p>
        </w:tc>
        <w:tc>
          <w:tcPr>
            <w:tcW w:w="20" w:type="dxa"/>
            <w:vAlign w:val="bottom"/>
          </w:tcPr>
          <w:p>
            <w:pPr>
              <w:spacing w:after="0"/>
              <w:rPr>
                <w:sz w:val="21"/>
                <w:szCs w:val="2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Total carrying value of debt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527.4</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531.0</w:t>
            </w:r>
          </w:p>
        </w:tc>
        <w:tc>
          <w:tcPr>
            <w:tcW w:w="148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1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F4F4F4"/>
            </w:tcBorders>
            <w:shd w:val="clear" w:color="auto" w:fill="F4F4F4"/>
          </w:tcPr>
          <w:p>
            <w:pPr>
              <w:spacing w:after="0"/>
              <w:rPr>
                <w:sz w:val="23"/>
                <w:szCs w:val="23"/>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(194.3)</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r>
      <w:tr>
        <w:trPr>
          <w:trHeight w:val="453"/>
        </w:trPr>
        <w:tc>
          <w:tcPr>
            <w:tcW w:w="7100" w:type="dxa"/>
            <w:vAlign w:val="bottom"/>
            <w:tcBorders>
              <w:top w:val="single" w:sz="8" w:color="71BF43"/>
            </w:tcBorders>
          </w:tcPr>
          <w:p>
            <w:pPr>
              <w:spacing w:after="0"/>
              <w:rPr>
                <w:sz w:val="20"/>
                <w:szCs w:val="20"/>
                <w:color w:val="auto"/>
              </w:rPr>
            </w:pPr>
            <w:r>
              <w:rPr>
                <w:rFonts w:ascii="Arial" w:cs="Arial" w:eastAsia="Arial" w:hAnsi="Arial"/>
                <w:sz w:val="18"/>
                <w:szCs w:val="18"/>
                <w:color w:val="auto"/>
              </w:rPr>
              <w:t>The following table presents selected financial information about our cash flows:</w:t>
            </w:r>
          </w:p>
        </w:tc>
        <w:tc>
          <w:tcPr>
            <w:tcW w:w="240" w:type="dxa"/>
            <w:vAlign w:val="bottom"/>
            <w:tcBorders>
              <w:top w:val="single" w:sz="8" w:color="71BF43"/>
            </w:tcBorders>
          </w:tcPr>
          <w:p>
            <w:pPr>
              <w:spacing w:after="0"/>
              <w:rPr>
                <w:sz w:val="24"/>
                <w:szCs w:val="24"/>
                <w:color w:val="auto"/>
              </w:rPr>
            </w:pPr>
          </w:p>
        </w:tc>
        <w:tc>
          <w:tcPr>
            <w:tcW w:w="1100" w:type="dxa"/>
            <w:vAlign w:val="bottom"/>
            <w:tcBorders>
              <w:top w:val="single" w:sz="8" w:color="71BF43"/>
            </w:tcBorders>
          </w:tcPr>
          <w:p>
            <w:pPr>
              <w:spacing w:after="0"/>
              <w:rPr>
                <w:sz w:val="24"/>
                <w:szCs w:val="24"/>
                <w:color w:val="auto"/>
              </w:rPr>
            </w:pPr>
          </w:p>
        </w:tc>
        <w:tc>
          <w:tcPr>
            <w:tcW w:w="240" w:type="dxa"/>
            <w:vAlign w:val="bottom"/>
            <w:tcBorders>
              <w:top w:val="single" w:sz="8" w:color="71BF43"/>
            </w:tcBorders>
          </w:tcPr>
          <w:p>
            <w:pPr>
              <w:spacing w:after="0"/>
              <w:rPr>
                <w:sz w:val="24"/>
                <w:szCs w:val="24"/>
                <w:color w:val="auto"/>
              </w:rPr>
            </w:pPr>
          </w:p>
        </w:tc>
        <w:tc>
          <w:tcPr>
            <w:tcW w:w="1080" w:type="dxa"/>
            <w:vAlign w:val="bottom"/>
            <w:tcBorders>
              <w:top w:val="single" w:sz="8" w:color="71BF43"/>
            </w:tcBorders>
          </w:tcPr>
          <w:p>
            <w:pPr>
              <w:spacing w:after="0"/>
              <w:rPr>
                <w:sz w:val="24"/>
                <w:szCs w:val="24"/>
                <w:color w:val="auto"/>
              </w:rPr>
            </w:pPr>
          </w:p>
        </w:tc>
        <w:tc>
          <w:tcPr>
            <w:tcW w:w="1480" w:type="dxa"/>
            <w:vAlign w:val="bottom"/>
            <w:tcBorders>
              <w:top w:val="single" w:sz="8" w:color="71BF43"/>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560" w:type="dxa"/>
            <w:vAlign w:val="bottom"/>
            <w:gridSpan w:val="2"/>
          </w:tcPr>
          <w:p>
            <w:pPr>
              <w:spacing w:after="0"/>
              <w:rPr>
                <w:sz w:val="7"/>
                <w:szCs w:val="7"/>
                <w:color w:val="auto"/>
              </w:rPr>
            </w:pPr>
          </w:p>
        </w:tc>
        <w:tc>
          <w:tcPr>
            <w:tcW w:w="20" w:type="dxa"/>
            <w:vAlign w:val="bottom"/>
          </w:tcPr>
          <w:p>
            <w:pPr>
              <w:spacing w:after="0"/>
              <w:rPr>
                <w:sz w:val="7"/>
                <w:szCs w:val="7"/>
                <w:color w:val="auto"/>
              </w:rPr>
            </w:pPr>
          </w:p>
        </w:tc>
      </w:tr>
      <w:tr>
        <w:trPr>
          <w:trHeight w:val="218"/>
        </w:trPr>
        <w:tc>
          <w:tcPr>
            <w:tcW w:w="710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110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25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 September 30,</w:t>
            </w:r>
          </w:p>
        </w:tc>
        <w:tc>
          <w:tcPr>
            <w:tcW w:w="20" w:type="dxa"/>
            <w:vAlign w:val="bottom"/>
            <w:shd w:val="clear" w:color="auto" w:fill="ACACAC"/>
          </w:tcPr>
          <w:p>
            <w:pPr>
              <w:spacing w:after="0"/>
              <w:rPr>
                <w:sz w:val="18"/>
                <w:szCs w:val="18"/>
                <w:color w:val="auto"/>
              </w:rPr>
            </w:pPr>
          </w:p>
        </w:tc>
      </w:tr>
      <w:tr>
        <w:trPr>
          <w:trHeight w:val="235"/>
        </w:trPr>
        <w:tc>
          <w:tcPr>
            <w:tcW w:w="71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40" w:type="dxa"/>
            <w:vAlign w:val="bottom"/>
            <w:tcBorders>
              <w:bottom w:val="single" w:sz="8" w:color="ACACAC"/>
            </w:tcBorders>
            <w:shd w:val="clear" w:color="auto" w:fill="ACACAC"/>
          </w:tcPr>
          <w:p>
            <w:pPr>
              <w:spacing w:after="0"/>
              <w:rPr>
                <w:sz w:val="20"/>
                <w:szCs w:val="20"/>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40" w:type="dxa"/>
            <w:vAlign w:val="bottom"/>
            <w:tcBorders>
              <w:bottom w:val="single" w:sz="8" w:color="ACACAC"/>
            </w:tcBorders>
            <w:shd w:val="clear" w:color="auto" w:fill="ACACAC"/>
          </w:tcPr>
          <w:p>
            <w:pPr>
              <w:spacing w:after="0"/>
              <w:rPr>
                <w:sz w:val="20"/>
                <w:szCs w:val="20"/>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4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71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169.8</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109.2</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55.5 %</w:t>
            </w:r>
          </w:p>
        </w:tc>
        <w:tc>
          <w:tcPr>
            <w:tcW w:w="20" w:type="dxa"/>
            <w:vAlign w:val="bottom"/>
          </w:tcPr>
          <w:p>
            <w:pPr>
              <w:spacing w:after="0"/>
              <w:rPr>
                <w:sz w:val="21"/>
                <w:szCs w:val="2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w:t>
            </w:r>
          </w:p>
        </w:tc>
        <w:tc>
          <w:tcPr>
            <w:tcW w:w="1480" w:type="dxa"/>
            <w:vAlign w:val="bottom"/>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1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(533.1)</w:t>
            </w:r>
          </w:p>
        </w:tc>
        <w:tc>
          <w:tcPr>
            <w:tcW w:w="240" w:type="dxa"/>
            <w:vAlign w:val="bottom"/>
            <w:tcBorders>
              <w:bottom w:val="single" w:sz="8" w:color="F4F4F4"/>
            </w:tcBorders>
            <w:shd w:val="clear" w:color="auto" w:fill="F4F4F4"/>
          </w:tcPr>
          <w:p>
            <w:pPr>
              <w:spacing w:after="0"/>
              <w:rPr>
                <w:sz w:val="23"/>
                <w:szCs w:val="23"/>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(393.8)</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35.4 %</w:t>
            </w:r>
          </w:p>
        </w:tc>
        <w:tc>
          <w:tcPr>
            <w:tcW w:w="20" w:type="dxa"/>
            <w:vAlign w:val="bottom"/>
          </w:tcPr>
          <w:p>
            <w:pPr>
              <w:spacing w:after="0"/>
              <w:rPr>
                <w:sz w:val="23"/>
                <w:szCs w:val="23"/>
                <w:color w:val="auto"/>
              </w:rPr>
            </w:pPr>
          </w:p>
        </w:tc>
      </w:tr>
      <w:tr>
        <w:trPr>
          <w:trHeight w:val="684"/>
        </w:trPr>
        <w:tc>
          <w:tcPr>
            <w:tcW w:w="7100" w:type="dxa"/>
            <w:vAlign w:val="bottom"/>
            <w:tcBorders>
              <w:top w:val="single" w:sz="8" w:color="71BF43"/>
            </w:tcBorders>
          </w:tcPr>
          <w:p>
            <w:pPr>
              <w:spacing w:after="0"/>
              <w:rPr>
                <w:sz w:val="24"/>
                <w:szCs w:val="24"/>
                <w:color w:val="auto"/>
              </w:rPr>
            </w:pPr>
          </w:p>
        </w:tc>
        <w:tc>
          <w:tcPr>
            <w:tcW w:w="240" w:type="dxa"/>
            <w:vAlign w:val="bottom"/>
            <w:tcBorders>
              <w:top w:val="single" w:sz="8" w:color="71BF43"/>
            </w:tcBorders>
          </w:tcPr>
          <w:p>
            <w:pPr>
              <w:spacing w:after="0"/>
              <w:rPr>
                <w:sz w:val="24"/>
                <w:szCs w:val="24"/>
                <w:color w:val="auto"/>
              </w:rPr>
            </w:pPr>
          </w:p>
        </w:tc>
        <w:tc>
          <w:tcPr>
            <w:tcW w:w="2420" w:type="dxa"/>
            <w:vAlign w:val="bottom"/>
            <w:tcBorders>
              <w:top w:val="single" w:sz="8" w:color="71BF43"/>
            </w:tcBorders>
            <w:gridSpan w:val="3"/>
          </w:tcPr>
          <w:p>
            <w:pPr>
              <w:jc w:val="right"/>
              <w:ind w:right="96"/>
              <w:spacing w:after="0"/>
              <w:rPr>
                <w:sz w:val="20"/>
                <w:szCs w:val="20"/>
                <w:color w:val="auto"/>
              </w:rPr>
            </w:pPr>
            <w:r>
              <w:rPr>
                <w:rFonts w:ascii="Arial" w:cs="Arial" w:eastAsia="Arial" w:hAnsi="Arial"/>
                <w:sz w:val="14"/>
                <w:szCs w:val="14"/>
                <w:color w:val="auto"/>
              </w:rPr>
              <w:t>Third Quarter 2021 Form 10-Q</w:t>
            </w:r>
          </w:p>
        </w:tc>
        <w:tc>
          <w:tcPr>
            <w:tcW w:w="1480" w:type="dxa"/>
            <w:vAlign w:val="bottom"/>
            <w:tcBorders>
              <w:top w:val="single" w:sz="8" w:color="71BF43"/>
            </w:tcBorders>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24"/>
                <w:szCs w:val="24"/>
                <w:color w:val="auto"/>
              </w:rPr>
            </w:pPr>
          </w:p>
        </w:tc>
      </w:tr>
      <w:tr>
        <w:trPr>
          <w:trHeight w:val="329"/>
        </w:trPr>
        <w:tc>
          <w:tcPr>
            <w:tcW w:w="7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-1336675</wp:posOffset>
            </wp:positionV>
            <wp:extent cx="26231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2318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principal sources of liquidity are our operating cash flow, funds available under the 2020 Credit Facility and cash on hand. Our operating cash flow depends on continued customer renewal of our subscription and maintenance arrangements, market acceptance of our solutions and services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To the extent we undertake future material acquisitions or, investments or incur unusually high capital or operating expenditures, we may require additional capital. In that context, we regularly evaluate opportunities to enhance our capital structure including through potential debt or equity issuances.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2021, our total cash and cash equivalents balance included approximately $15.4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operating activities increased by $ 60.6 million during the nine months ended September 30, 2021, when compared to the same period in 2020, primarily due to a $48.3 million increase in cash flow from operations associated with working capital and an $12.4 million increase in net income adjusted for non-cash expenses. Throughout both periods, our cash flows from operations were derived principally from: (i) our earnings from on-going operations prior to non-cash expenses such as depreciation, amortization, stock-based compensation, amortization of deferred financing costs and debt discount and adjustments to our provision for credit losses and sales returns; and (ii) changes in our working capital.</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Working capital changes are composed of changes in accounts receivable, prepaid expenses and other assets, trade accounts payable, accrued expenses and other liabilities, and deferred revenue. The increase in cash flow from operations associated with working capital during the nine months ended September 30, 2021, when compared to the same period in 2020, was primarily due to:</w:t>
      </w:r>
    </w:p>
    <w:p>
      <w:pPr>
        <w:spacing w:after="0" w:line="148" w:lineRule="exact"/>
        <w:rPr>
          <w:sz w:val="20"/>
          <w:szCs w:val="20"/>
          <w:color w:val="auto"/>
        </w:rPr>
      </w:pPr>
    </w:p>
    <w:p>
      <w:pPr>
        <w:ind w:left="620" w:hanging="288"/>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the timing of vendor payments; and</w:t>
      </w:r>
    </w:p>
    <w:p>
      <w:pPr>
        <w:spacing w:after="0" w:line="171"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payment of our 2019 cash bonus plans in 2020 and the replacement of our 2020 cash bonus plans with performance-based equity awards (which we expect will continue going forward).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 update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in Note 9 to our unaudited, condensed consolidated financial statements included in this report, we believe that total costs related to the Security Incident will exceed the limits of our insurance coverage during the fourth quarter of 2021. Accordingly, we expect that the Security Incident could negatively impact our GAAP profitability and cash flow during the fourth quarter of 2021 and will negatively impact our GAAP profitability and cash flow for the foreseeable future. As we are currently unable to estimate the approximate amount or range of any such excess, we are unable to determine the effect the Security Incident will have on our results of operations, cash flows, or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investing activities of $38.0 million decreased by $19.9 million during the nine months ended September 30, 2021, when compared to the same period in 2020.</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2021, we used $29.7 million for software development costs, which was down $2.4 million from cash spent during the same period in 2020, primarily due to less costs qualifying for capitalization under the internal-use software accounting guidance. We increased engineering hiring beginning in the fourth quarter of 2020 and continue to invest in our innovative cloud solutions, as well as development activities for Blackbaud SKY, our modern cloud platform.</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spent $8.3 million of cash for purchases of property and equipment during the nine months ended September 30, 2021, which was an decrease of $17.5 million when compared to the same period in 2020. The additional cash expended during the nine months ended 2020 was primarily used to purchase our global headquarters facility.</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40</w:t>
      </w:r>
      <w:r>
        <w:rPr>
          <w:sz w:val="20"/>
          <w:szCs w:val="20"/>
          <w:color w:val="auto"/>
        </w:rPr>
        <w:tab/>
      </w:r>
      <w:r>
        <w:rPr>
          <w:sz w:val="1"/>
          <w:szCs w:val="1"/>
          <w:color w:val="auto"/>
        </w:rPr>
        <w:drawing>
          <wp:inline distT="0" distB="0" distL="0" distR="0">
            <wp:extent cx="651510" cy="1714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we had a net decrease in borrowings of $3.0 million.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paid $39.0 million to satisfy tax obligations of employees upon settlement of equity awards during the nine months ended September 30, 2021 compared to $21.3 million during the same period in 2020.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 During the nine months ended September 30, 2020, we paid dividends of $6.0 million and we did not pay dividends during the same period in 2021, as we discontinued the declaration and payment of all cash dividends, beginning with the second quarter of 2020.</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in financing activities associated with changes in restricted cash due to customers increased $49.2 million during the nine months ended September 30, 2021 when compared to the same period in 2020, as the amount of restricted cash held and payable by us to customers as of December 31, 2020 was larger than at the same date in 2019 primarily due to the timing of year-end donations.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November 2020, our Board of Directors reauthorized and expanded a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During the three and nine months ended September 30, 2021, we purchased 583,280 and 1,454,148 shares for $40.3 million and $ 98.4 million, respectively. The remaining amount available to purchase stock under the stock repurchase program was $110.6 million as of September 30,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Credit Facility</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Historically, we have drawn on our credit facility from time to time to help us meet financial needs, primarily due to the seasonality of our cash flows from operations and financing for business acquisitions. At September 30, 2021, our available borrowing capacity under the 2020 Credit Facility was $424.6 million. The 2020 Credit Facility matures in October 2025.</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2021, the carrying amount of our debt under the 2020 Credit Facility was $465.9 million. Our average daily borrowings during the three and nine months ended September 30, 2021 were $471.0 million and $485.3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financial covenants under the 2020 Credit Facility: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9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286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Requirement</w:t>
            </w:r>
          </w:p>
        </w:tc>
        <w:tc>
          <w:tcPr>
            <w:tcW w:w="337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Ratio as of September 30, 2021</w:t>
            </w:r>
          </w:p>
        </w:tc>
      </w:tr>
      <w:tr>
        <w:trPr>
          <w:trHeight w:val="250"/>
        </w:trPr>
        <w:tc>
          <w:tcPr>
            <w:tcW w:w="499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leverage ratio</w:t>
            </w:r>
          </w:p>
        </w:tc>
        <w:tc>
          <w:tcPr>
            <w:tcW w:w="2860"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9"/>
              </w:rPr>
              <w:t>≤ 4.00 to 1.00</w:t>
            </w:r>
          </w:p>
        </w:tc>
        <w:tc>
          <w:tcPr>
            <w:tcW w:w="3370"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8"/>
              </w:rPr>
              <w:t>1.70 to 1.00</w:t>
            </w:r>
          </w:p>
        </w:tc>
      </w:tr>
      <w:tr>
        <w:trPr>
          <w:trHeight w:val="243"/>
        </w:trPr>
        <w:tc>
          <w:tcPr>
            <w:tcW w:w="4990" w:type="dxa"/>
            <w:vAlign w:val="bottom"/>
          </w:tcPr>
          <w:p>
            <w:pPr>
              <w:ind w:left="20"/>
              <w:spacing w:after="0"/>
              <w:rPr>
                <w:sz w:val="20"/>
                <w:szCs w:val="20"/>
                <w:color w:val="auto"/>
              </w:rPr>
            </w:pPr>
            <w:r>
              <w:rPr>
                <w:rFonts w:ascii="Arial" w:cs="Arial" w:eastAsia="Arial" w:hAnsi="Arial"/>
                <w:sz w:val="18"/>
                <w:szCs w:val="18"/>
                <w:color w:val="auto"/>
              </w:rPr>
              <w:t>Interest coverage ratio</w:t>
            </w:r>
          </w:p>
        </w:tc>
        <w:tc>
          <w:tcPr>
            <w:tcW w:w="2860" w:type="dxa"/>
            <w:vAlign w:val="bottom"/>
          </w:tcPr>
          <w:p>
            <w:pPr>
              <w:jc w:val="center"/>
              <w:spacing w:after="0"/>
              <w:rPr>
                <w:sz w:val="20"/>
                <w:szCs w:val="20"/>
                <w:color w:val="auto"/>
              </w:rPr>
            </w:pPr>
            <w:r>
              <w:rPr>
                <w:rFonts w:ascii="Arial" w:cs="Arial" w:eastAsia="Arial" w:hAnsi="Arial"/>
                <w:sz w:val="18"/>
                <w:szCs w:val="18"/>
                <w:color w:val="auto"/>
                <w:w w:val="99"/>
              </w:rPr>
              <w:t>≥ 2.50 to 1.00</w:t>
            </w:r>
          </w:p>
        </w:tc>
        <w:tc>
          <w:tcPr>
            <w:tcW w:w="3370" w:type="dxa"/>
            <w:vAlign w:val="bottom"/>
          </w:tcPr>
          <w:p>
            <w:pPr>
              <w:jc w:val="center"/>
              <w:spacing w:after="0"/>
              <w:rPr>
                <w:sz w:val="20"/>
                <w:szCs w:val="20"/>
                <w:color w:val="auto"/>
              </w:rPr>
            </w:pPr>
            <w:r>
              <w:rPr>
                <w:rFonts w:ascii="Arial" w:cs="Arial" w:eastAsia="Arial" w:hAnsi="Arial"/>
                <w:sz w:val="18"/>
                <w:szCs w:val="18"/>
                <w:color w:val="auto"/>
              </w:rPr>
              <w:t>16.32 to 1.00</w:t>
            </w:r>
          </w:p>
        </w:tc>
      </w:tr>
      <w:tr>
        <w:trPr>
          <w:trHeight w:val="27"/>
        </w:trPr>
        <w:tc>
          <w:tcPr>
            <w:tcW w:w="4990" w:type="dxa"/>
            <w:vAlign w:val="bottom"/>
            <w:tcBorders>
              <w:bottom w:val="single" w:sz="8" w:color="71BF43"/>
            </w:tcBorders>
          </w:tcPr>
          <w:p>
            <w:pPr>
              <w:spacing w:after="0"/>
              <w:rPr>
                <w:sz w:val="2"/>
                <w:szCs w:val="2"/>
                <w:color w:val="auto"/>
              </w:rPr>
            </w:pPr>
          </w:p>
        </w:tc>
        <w:tc>
          <w:tcPr>
            <w:tcW w:w="2860" w:type="dxa"/>
            <w:vAlign w:val="bottom"/>
            <w:tcBorders>
              <w:bottom w:val="single" w:sz="8" w:color="71BF43"/>
            </w:tcBorders>
          </w:tcPr>
          <w:p>
            <w:pPr>
              <w:spacing w:after="0"/>
              <w:rPr>
                <w:sz w:val="2"/>
                <w:szCs w:val="2"/>
                <w:color w:val="auto"/>
              </w:rPr>
            </w:pPr>
          </w:p>
        </w:tc>
        <w:tc>
          <w:tcPr>
            <w:tcW w:w="3370" w:type="dxa"/>
            <w:vAlign w:val="bottom"/>
            <w:tcBorders>
              <w:bottom w:val="single" w:sz="8" w:color="71BF43"/>
            </w:tcBorders>
          </w:tcPr>
          <w:p>
            <w:pPr>
              <w:spacing w:after="0"/>
              <w:rPr>
                <w:sz w:val="2"/>
                <w:szCs w:val="2"/>
                <w:color w:val="auto"/>
              </w:rPr>
            </w:pPr>
          </w:p>
        </w:tc>
      </w:tr>
    </w:tbl>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September 30, 2021, we were in compliance with our debt covenants under the 2020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216535</wp:posOffset>
            </wp:positionV>
            <wp:extent cx="65976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had contractual obligations with future minimum commitments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60" w:type="dxa"/>
            <w:vAlign w:val="bottom"/>
            <w:shd w:val="clear" w:color="auto" w:fill="ACACAC"/>
          </w:tcPr>
          <w:p>
            <w:pPr>
              <w:spacing w:after="0"/>
              <w:rPr>
                <w:sz w:val="18"/>
                <w:szCs w:val="18"/>
                <w:color w:val="auto"/>
              </w:rPr>
            </w:pPr>
          </w:p>
        </w:tc>
        <w:tc>
          <w:tcPr>
            <w:tcW w:w="500" w:type="dxa"/>
            <w:vAlign w:val="bottom"/>
            <w:shd w:val="clear" w:color="auto" w:fill="ACACAC"/>
          </w:tcPr>
          <w:p>
            <w:pPr>
              <w:spacing w:after="0"/>
              <w:rPr>
                <w:sz w:val="18"/>
                <w:szCs w:val="18"/>
                <w:color w:val="auto"/>
              </w:rPr>
            </w:pPr>
          </w:p>
        </w:tc>
        <w:tc>
          <w:tcPr>
            <w:tcW w:w="900" w:type="dxa"/>
            <w:vAlign w:val="bottom"/>
            <w:shd w:val="clear" w:color="auto" w:fill="ACACAC"/>
          </w:tcPr>
          <w:p>
            <w:pPr>
              <w:spacing w:after="0"/>
              <w:rPr>
                <w:sz w:val="18"/>
                <w:szCs w:val="18"/>
                <w:color w:val="auto"/>
              </w:rPr>
            </w:pPr>
          </w:p>
        </w:tc>
        <w:tc>
          <w:tcPr>
            <w:tcW w:w="360" w:type="dxa"/>
            <w:vAlign w:val="bottom"/>
            <w:shd w:val="clear" w:color="auto" w:fill="ACACAC"/>
          </w:tcPr>
          <w:p>
            <w:pPr>
              <w:spacing w:after="0"/>
              <w:rPr>
                <w:sz w:val="18"/>
                <w:szCs w:val="18"/>
                <w:color w:val="auto"/>
              </w:rPr>
            </w:pPr>
          </w:p>
        </w:tc>
        <w:tc>
          <w:tcPr>
            <w:tcW w:w="1060" w:type="dxa"/>
            <w:vAlign w:val="bottom"/>
            <w:shd w:val="clear" w:color="auto" w:fill="ACACAC"/>
          </w:tcPr>
          <w:p>
            <w:pPr>
              <w:spacing w:after="0"/>
              <w:rPr>
                <w:sz w:val="18"/>
                <w:szCs w:val="18"/>
                <w:color w:val="auto"/>
              </w:rPr>
            </w:pPr>
          </w:p>
        </w:tc>
        <w:tc>
          <w:tcPr>
            <w:tcW w:w="440" w:type="dxa"/>
            <w:vAlign w:val="bottom"/>
            <w:shd w:val="clear" w:color="auto" w:fill="ACACAC"/>
          </w:tcPr>
          <w:p>
            <w:pPr>
              <w:spacing w:after="0"/>
              <w:rPr>
                <w:sz w:val="18"/>
                <w:szCs w:val="18"/>
                <w:color w:val="auto"/>
              </w:rPr>
            </w:pPr>
          </w:p>
        </w:tc>
        <w:tc>
          <w:tcPr>
            <w:tcW w:w="960" w:type="dxa"/>
            <w:vAlign w:val="bottom"/>
            <w:shd w:val="clear" w:color="auto" w:fill="ACACAC"/>
          </w:tcPr>
          <w:p>
            <w:pPr>
              <w:spacing w:after="0"/>
              <w:rPr>
                <w:sz w:val="18"/>
                <w:szCs w:val="18"/>
                <w:color w:val="auto"/>
              </w:rPr>
            </w:pPr>
          </w:p>
        </w:tc>
        <w:tc>
          <w:tcPr>
            <w:tcW w:w="440" w:type="dxa"/>
            <w:vAlign w:val="bottom"/>
            <w:shd w:val="clear" w:color="auto" w:fill="ACACAC"/>
          </w:tcPr>
          <w:p>
            <w:pPr>
              <w:spacing w:after="0"/>
              <w:rPr>
                <w:sz w:val="18"/>
                <w:szCs w:val="18"/>
                <w:color w:val="auto"/>
              </w:rPr>
            </w:pPr>
          </w:p>
        </w:tc>
        <w:tc>
          <w:tcPr>
            <w:tcW w:w="23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Payments due by period</w:t>
            </w: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60" w:type="dxa"/>
            <w:vAlign w:val="bottom"/>
            <w:shd w:val="clear" w:color="auto" w:fill="ACACAC"/>
          </w:tcPr>
          <w:p>
            <w:pPr>
              <w:spacing w:after="0"/>
              <w:rPr>
                <w:sz w:val="17"/>
                <w:szCs w:val="17"/>
                <w:color w:val="auto"/>
              </w:rPr>
            </w:pPr>
          </w:p>
        </w:tc>
        <w:tc>
          <w:tcPr>
            <w:tcW w:w="500" w:type="dxa"/>
            <w:vAlign w:val="bottom"/>
            <w:shd w:val="clear" w:color="auto" w:fill="ACACAC"/>
          </w:tcPr>
          <w:p>
            <w:pPr>
              <w:spacing w:after="0"/>
              <w:rPr>
                <w:sz w:val="17"/>
                <w:szCs w:val="17"/>
                <w:color w:val="auto"/>
              </w:rPr>
            </w:pPr>
          </w:p>
        </w:tc>
        <w:tc>
          <w:tcPr>
            <w:tcW w:w="9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(1)</w:t>
            </w:r>
          </w:p>
        </w:tc>
        <w:tc>
          <w:tcPr>
            <w:tcW w:w="36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Less than 1</w:t>
            </w:r>
          </w:p>
        </w:tc>
        <w:tc>
          <w:tcPr>
            <w:tcW w:w="440" w:type="dxa"/>
            <w:vAlign w:val="bottom"/>
            <w:shd w:val="clear" w:color="auto" w:fill="ACACAC"/>
          </w:tcPr>
          <w:p>
            <w:pPr>
              <w:spacing w:after="0"/>
              <w:rPr>
                <w:sz w:val="17"/>
                <w:szCs w:val="17"/>
                <w:color w:val="auto"/>
              </w:rPr>
            </w:pPr>
          </w:p>
        </w:tc>
        <w:tc>
          <w:tcPr>
            <w:tcW w:w="960" w:type="dxa"/>
            <w:vAlign w:val="bottom"/>
            <w:shd w:val="clear" w:color="auto" w:fill="ACACAC"/>
          </w:tcPr>
          <w:p>
            <w:pPr>
              <w:spacing w:after="0"/>
              <w:rPr>
                <w:sz w:val="17"/>
                <w:szCs w:val="17"/>
                <w:color w:val="auto"/>
              </w:rPr>
            </w:pPr>
          </w:p>
        </w:tc>
        <w:tc>
          <w:tcPr>
            <w:tcW w:w="44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More than 5</w:t>
            </w: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(in millions)</w:t>
            </w:r>
          </w:p>
        </w:tc>
        <w:tc>
          <w:tcPr>
            <w:tcW w:w="500" w:type="dxa"/>
            <w:vAlign w:val="bottom"/>
            <w:shd w:val="clear" w:color="auto" w:fill="ACACAC"/>
          </w:tcPr>
          <w:p>
            <w:pPr>
              <w:spacing w:after="0"/>
              <w:rPr>
                <w:sz w:val="18"/>
                <w:szCs w:val="18"/>
                <w:color w:val="auto"/>
              </w:rPr>
            </w:pPr>
          </w:p>
        </w:tc>
        <w:tc>
          <w:tcPr>
            <w:tcW w:w="900" w:type="dxa"/>
            <w:vAlign w:val="bottom"/>
            <w:vMerge w:val="continue"/>
            <w:shd w:val="clear" w:color="auto" w:fill="ACACAC"/>
          </w:tcPr>
          <w:p>
            <w:pPr>
              <w:spacing w:after="0"/>
              <w:rPr>
                <w:sz w:val="18"/>
                <w:szCs w:val="18"/>
                <w:color w:val="auto"/>
              </w:rPr>
            </w:pPr>
          </w:p>
        </w:tc>
        <w:tc>
          <w:tcPr>
            <w:tcW w:w="360" w:type="dxa"/>
            <w:vAlign w:val="bottom"/>
            <w:shd w:val="clear" w:color="auto" w:fill="ACACAC"/>
          </w:tcPr>
          <w:p>
            <w:pPr>
              <w:spacing w:after="0"/>
              <w:rPr>
                <w:sz w:val="18"/>
                <w:szCs w:val="18"/>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w:t>
            </w:r>
          </w:p>
        </w:tc>
        <w:tc>
          <w:tcPr>
            <w:tcW w:w="440" w:type="dxa"/>
            <w:vAlign w:val="bottom"/>
            <w:shd w:val="clear" w:color="auto" w:fill="ACACAC"/>
          </w:tcPr>
          <w:p>
            <w:pPr>
              <w:spacing w:after="0"/>
              <w:rPr>
                <w:sz w:val="18"/>
                <w:szCs w:val="18"/>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1-3 years</w:t>
            </w:r>
          </w:p>
        </w:tc>
        <w:tc>
          <w:tcPr>
            <w:tcW w:w="440" w:type="dxa"/>
            <w:vAlign w:val="bottom"/>
            <w:shd w:val="clear" w:color="auto" w:fill="ACACAC"/>
          </w:tcPr>
          <w:p>
            <w:pPr>
              <w:spacing w:after="0"/>
              <w:rPr>
                <w:sz w:val="18"/>
                <w:szCs w:val="18"/>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3-5 years</w:t>
            </w:r>
          </w:p>
        </w:tc>
        <w:tc>
          <w:tcPr>
            <w:tcW w:w="340" w:type="dxa"/>
            <w:vAlign w:val="bottom"/>
            <w:shd w:val="clear" w:color="auto" w:fill="ACACAC"/>
          </w:tcPr>
          <w:p>
            <w:pPr>
              <w:spacing w:after="0"/>
              <w:rPr>
                <w:sz w:val="18"/>
                <w:szCs w:val="18"/>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w:t>
            </w: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Recorded contractual obligations:</w:t>
            </w:r>
          </w:p>
        </w:tc>
        <w:tc>
          <w:tcPr>
            <w:tcW w:w="50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160" w:type="dxa"/>
            <w:vAlign w:val="bottom"/>
          </w:tcPr>
          <w:p>
            <w:pPr>
              <w:ind w:left="140"/>
              <w:spacing w:after="0"/>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529.5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Interest payments on debt</w:t>
            </w:r>
            <w:r>
              <w:rPr>
                <w:rFonts w:ascii="Arial" w:cs="Arial" w:eastAsia="Arial" w:hAnsi="Arial"/>
                <w:sz w:val="23"/>
                <w:szCs w:val="23"/>
                <w:color w:val="auto"/>
                <w:vertAlign w:val="superscript"/>
              </w:rPr>
              <w:t>(3)</w:t>
            </w:r>
          </w:p>
        </w:tc>
        <w:tc>
          <w:tcPr>
            <w:tcW w:w="500" w:type="dxa"/>
            <w:vAlign w:val="bottom"/>
            <w:shd w:val="clear" w:color="auto" w:fill="F4F4F4"/>
          </w:tcPr>
          <w:p>
            <w:pPr>
              <w:spacing w:after="0"/>
              <w:rPr>
                <w:sz w:val="24"/>
                <w:szCs w:val="24"/>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F4F4F4"/>
          </w:tcPr>
          <w:p>
            <w:pPr>
              <w:spacing w:after="0"/>
              <w:rPr>
                <w:sz w:val="24"/>
                <w:szCs w:val="24"/>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F4F4F4"/>
          </w:tcPr>
          <w:p>
            <w:pPr>
              <w:spacing w:after="0"/>
              <w:rPr>
                <w:sz w:val="24"/>
                <w:szCs w:val="24"/>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F4F4F4"/>
          </w:tcPr>
          <w:p>
            <w:pPr>
              <w:spacing w:after="0"/>
              <w:rPr>
                <w:sz w:val="24"/>
                <w:szCs w:val="24"/>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F4F4F4"/>
          </w:tcPr>
          <w:p>
            <w:pPr>
              <w:spacing w:after="0"/>
              <w:rPr>
                <w:sz w:val="24"/>
                <w:szCs w:val="24"/>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60" w:type="dxa"/>
            <w:vAlign w:val="bottom"/>
          </w:tcPr>
          <w:p>
            <w:pPr>
              <w:ind w:left="14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(4)</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F4F4F4"/>
          </w:tcPr>
          <w:p>
            <w:pPr>
              <w:spacing w:after="0"/>
              <w:rPr>
                <w:sz w:val="23"/>
                <w:szCs w:val="23"/>
                <w:color w:val="auto"/>
              </w:rPr>
            </w:pPr>
          </w:p>
        </w:tc>
        <w:tc>
          <w:tcPr>
            <w:tcW w:w="500" w:type="dxa"/>
            <w:vAlign w:val="bottom"/>
            <w:shd w:val="clear" w:color="auto" w:fill="F4F4F4"/>
          </w:tcPr>
          <w:p>
            <w:pPr>
              <w:spacing w:after="0"/>
              <w:rPr>
                <w:sz w:val="23"/>
                <w:szCs w:val="23"/>
                <w:color w:val="auto"/>
              </w:rPr>
            </w:pPr>
          </w:p>
        </w:tc>
        <w:tc>
          <w:tcPr>
            <w:tcW w:w="900" w:type="dxa"/>
            <w:vAlign w:val="bottom"/>
            <w:shd w:val="clear" w:color="auto" w:fill="F4F4F4"/>
          </w:tcPr>
          <w:p>
            <w:pPr>
              <w:spacing w:after="0"/>
              <w:rPr>
                <w:sz w:val="23"/>
                <w:szCs w:val="23"/>
                <w:color w:val="auto"/>
              </w:rPr>
            </w:pPr>
          </w:p>
        </w:tc>
        <w:tc>
          <w:tcPr>
            <w:tcW w:w="36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4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c>
          <w:tcPr>
            <w:tcW w:w="440" w:type="dxa"/>
            <w:vAlign w:val="bottom"/>
            <w:shd w:val="clear" w:color="auto" w:fill="F4F4F4"/>
          </w:tcPr>
          <w:p>
            <w:pPr>
              <w:spacing w:after="0"/>
              <w:rPr>
                <w:sz w:val="23"/>
                <w:szCs w:val="23"/>
                <w:color w:val="auto"/>
              </w:rPr>
            </w:pPr>
          </w:p>
        </w:tc>
        <w:tc>
          <w:tcPr>
            <w:tcW w:w="980" w:type="dxa"/>
            <w:vAlign w:val="bottom"/>
            <w:shd w:val="clear" w:color="auto" w:fill="F4F4F4"/>
          </w:tcPr>
          <w:p>
            <w:pPr>
              <w:spacing w:after="0"/>
              <w:rPr>
                <w:sz w:val="23"/>
                <w:szCs w:val="23"/>
                <w:color w:val="auto"/>
              </w:rPr>
            </w:pPr>
          </w:p>
        </w:tc>
        <w:tc>
          <w:tcPr>
            <w:tcW w:w="34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Unrecorded contractual obligations: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1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Interest payments on debt</w:t>
            </w:r>
            <w:r>
              <w:rPr>
                <w:rFonts w:ascii="Arial" w:cs="Arial" w:eastAsia="Arial" w:hAnsi="Arial"/>
                <w:sz w:val="23"/>
                <w:szCs w:val="23"/>
                <w:color w:val="auto"/>
                <w:vertAlign w:val="superscript"/>
              </w:rPr>
              <w:t>(5)</w:t>
            </w:r>
          </w:p>
        </w:tc>
        <w:tc>
          <w:tcPr>
            <w:tcW w:w="500" w:type="dxa"/>
            <w:vAlign w:val="bottom"/>
            <w:shd w:val="clear" w:color="auto" w:fill="F4F4F4"/>
          </w:tcPr>
          <w:p>
            <w:pPr>
              <w:spacing w:after="0"/>
              <w:rPr>
                <w:sz w:val="24"/>
                <w:szCs w:val="24"/>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71.6</w:t>
            </w:r>
          </w:p>
        </w:tc>
        <w:tc>
          <w:tcPr>
            <w:tcW w:w="360" w:type="dxa"/>
            <w:vAlign w:val="bottom"/>
            <w:shd w:val="clear" w:color="auto" w:fill="F4F4F4"/>
          </w:tcPr>
          <w:p>
            <w:pPr>
              <w:spacing w:after="0"/>
              <w:rPr>
                <w:sz w:val="24"/>
                <w:szCs w:val="24"/>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F4F4F4"/>
          </w:tcPr>
          <w:p>
            <w:pPr>
              <w:spacing w:after="0"/>
              <w:rPr>
                <w:sz w:val="24"/>
                <w:szCs w:val="24"/>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24.8</w:t>
            </w:r>
          </w:p>
        </w:tc>
        <w:tc>
          <w:tcPr>
            <w:tcW w:w="440" w:type="dxa"/>
            <w:vAlign w:val="bottom"/>
            <w:shd w:val="clear" w:color="auto" w:fill="F4F4F4"/>
          </w:tcPr>
          <w:p>
            <w:pPr>
              <w:spacing w:after="0"/>
              <w:rPr>
                <w:sz w:val="24"/>
                <w:szCs w:val="24"/>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F4F4F4"/>
          </w:tcPr>
          <w:p>
            <w:pPr>
              <w:spacing w:after="0"/>
              <w:rPr>
                <w:sz w:val="24"/>
                <w:szCs w:val="24"/>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6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(6)</w:t>
            </w: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664.9</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61.2</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70.2</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458.0</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900" w:type="dxa"/>
            <w:vAlign w:val="bottom"/>
            <w:shd w:val="clear" w:color="auto" w:fill="71BF43"/>
          </w:tcPr>
          <w:p>
            <w:pPr>
              <w:spacing w:after="0" w:line="20" w:lineRule="exact"/>
              <w:rPr>
                <w:sz w:val="1"/>
                <w:szCs w:val="1"/>
                <w:color w:val="auto"/>
              </w:rPr>
            </w:pPr>
          </w:p>
        </w:tc>
        <w:tc>
          <w:tcPr>
            <w:tcW w:w="36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98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-1988185</wp:posOffset>
            </wp:positionV>
            <wp:extent cx="44748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individual amounts for each period may not sum to total due to rounding.</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54"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principal payments only, under the following assumptions: (i) that the amounts outstanding under the 2020 Credit Facility, our Real Estate Loans and our other debt at September 30, 2021 will remain outstanding until maturity, with minimum payments occurring as currently scheduled, and (ii) that there are no assumed future borrowings on the 2020 Credit Facility for the purposes of determining minimum commitment amounts.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interest payment obligations related to our interest rate swap agreements.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commitments related to operating leases have not been reduced by sublease income, incentive payments and reimbursement of leasehold improvements.</w:t>
      </w:r>
    </w:p>
    <w:p>
      <w:pPr>
        <w:spacing w:after="0" w:line="1" w:lineRule="exact"/>
        <w:rPr>
          <w:rFonts w:ascii="Arial" w:cs="Arial" w:eastAsia="Arial" w:hAnsi="Arial"/>
          <w:sz w:val="14"/>
          <w:szCs w:val="14"/>
          <w:color w:val="auto"/>
        </w:rPr>
      </w:pPr>
    </w:p>
    <w:p>
      <w:pPr>
        <w:ind w:left="340" w:hanging="332"/>
        <w:spacing w:after="0" w:line="241" w:lineRule="auto"/>
        <w:tabs>
          <w:tab w:leader="none" w:pos="354"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actual interest expense recognized in our consolidated statements of comprehensive income will depend on the amount of debt, the length of time the debt is outstanding and the interest rate, which could be different from our assumptions described in (2) above.</w:t>
      </w:r>
    </w:p>
    <w:p>
      <w:pPr>
        <w:ind w:left="340" w:hanging="332"/>
        <w:spacing w:after="0" w:line="258" w:lineRule="auto"/>
        <w:tabs>
          <w:tab w:leader="none" w:pos="354"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have contractual obligations for third-party technology used in our solutions and for other services we purchase as part of our normal operations. In certain cases, these arrangements require a minimum annual purchase commitment by us.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 under the 2020 Credit Facility and our other debt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total liability for uncertain tax positions as of September 30, 2021 and December 31, 2020, was $4.9 million and $4.6 million, respectively. Our accrued interest and penalties related to tax positions taken on our tax returns was $1.2 million and $1.1 million as of September 30, 2021 and December 31, 2020, respectively. In the fourth quarter of 2021, we entered into settlement discussions with the IRS Appeals Office in relation to one of our uncertain tax positions, which is not material to the financial statements. Successful settlement is expected to result in release of corresponding liability for uncertain tax positions within next twelve months.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9 to our unaudited, condensed consolidated financial statements included in this report, we believe that total losses related to the Security Incident will exceed the limits of our insurance coverage during the fourth quarter of 2021. As we are currently unable to determine the approximate amount or range of any such excess, we are unable to determine the effect the Security Incident will have on our results of operations, liquidity, or financial condition.</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2021, we did not have any off-balance sheet arrangements as previously defined by Item 303(a)(4)(ii) of Regulation S-K promulgated by the SEC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32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42</w:t>
      </w:r>
      <w:r>
        <w:rPr>
          <w:sz w:val="20"/>
          <w:szCs w:val="20"/>
          <w:color w:val="auto"/>
        </w:rPr>
        <w:tab/>
      </w:r>
      <w:r>
        <w:rPr>
          <w:sz w:val="1"/>
          <w:szCs w:val="1"/>
          <w:color w:val="auto"/>
        </w:rPr>
        <w:drawing>
          <wp:inline distT="0" distB="0" distL="0" distR="0">
            <wp:extent cx="651510" cy="1714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17% of our total revenue for the nine months ended September 30, 2021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gain of $1.7 million as of September 30, 2021 and a gain of $0.6 million as of December 31, 2020.</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nine months ended September 30, 2021, foreign translation resulted in increases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nine months ended September 30, 2021, the fluctuation in foreign currency exchange rates increased our total revenue and our income from operations by $8.4 million and $ 3.2 million, respectively.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nine months ended September 30, 2021 as compared to those disclosed in “Management’s Discussion and Analysis of Financial Condition and Results of Operations” included in our Annual Report on Form 10-K for the fiscal year ended December 31, 2020.</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the impact that recently issued accounting pronouncements are expected to have on our financial position and results of operations when adopted in the future, see Note 2 to our condensed consolidated financial statements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28"/>
          <w:szCs w:val="28"/>
          <w:b w:val="1"/>
          <w:bCs w:val="1"/>
          <w:color w:val="71BF43"/>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rate sensitivity for interest rates and foreign currency exchange rates.</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LIBOR rates. The Financial Conduct Authority in the U.K. has stated that it plans to phase out all tenors of LIBOR by June 2023.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 Due to the nature of our debt, the materiality of the fair values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218440</wp:posOffset>
            </wp:positionV>
            <wp:extent cx="65976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derivative instruments and the highly liquid, short-term nature and level of our cash and cash equivalents as of September 30, 2021, we believe that the risk of exposure to changing interest rates for those positions is immaterial. There were no significant changes in how we manage interest rate risk between December 31, 2020 and September 30, 2021.</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our exposure to foreign currency exchange rate fluctuations, see “Management’s Discussion and Analysis of Financial Condition and Results of Operations — Foreign Currency Exchange Rates”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4. CONTROLS AND PROCEDURES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changes in internal control over financial reporting occurred during the most recent fiscal quarter ended September 30, 2021 with respect to our operations, which have materially affected, or are reasonably likely to materially affect, our internal control over financial reporting.</w:t>
      </w:r>
    </w:p>
    <w:p>
      <w:pPr>
        <w:spacing w:after="0" w:line="30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44</w:t>
      </w:r>
      <w:r>
        <w:rPr>
          <w:sz w:val="20"/>
          <w:szCs w:val="20"/>
          <w:color w:val="auto"/>
        </w:rPr>
        <w:tab/>
      </w:r>
      <w:r>
        <w:rPr>
          <w:sz w:val="1"/>
          <w:szCs w:val="1"/>
          <w:color w:val="auto"/>
        </w:rPr>
        <w:drawing>
          <wp:inline distT="0" distB="0" distL="0" distR="0">
            <wp:extent cx="651510" cy="1714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Arial" w:cs="Arial" w:eastAsia="Arial" w:hAnsi="Arial"/>
          <w:sz w:val="40"/>
          <w:szCs w:val="40"/>
          <w:b w:val="1"/>
          <w:bCs w:val="1"/>
          <w:color w:val="50535A"/>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-263525</wp:posOffset>
            </wp:positionV>
            <wp:extent cx="171450"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LEGAL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legal proceedings, see Note 9 to our condensed consolidated financial statements in this report.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1A. RISK FACTORS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supplementing Item 1A. Risk Factors in our Annual Report on Form 10-K for the year ended December 31, 2020, as filed with the Securities and Exchange Commission on February 23, 2021 (the “Annual Report”). The following risk factors should be read in conjunction with the risk factors set forth in that Annual Report.</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Security Incident could have numerous adverse effects on our business.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Although the nature of the incident, our research and third party (including law enforcement) investigation have provided no reason to believe that any data went beyond the cybercriminal, was or will be misused, or will be disseminated or otherwise made available publicly, our investigation into the Security Incident remains ongoing and may provide additional information.</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To date, we have received approximately 260 specific requests for reimbursement of expenses ("Customer Reimbursement Requests") and approximately 400 reservations of the right to seek expense recovery in the future from customers or their attorneys in the U.S., U.K. and Canada related to the Security Incident (none of which have as yet been filed in court) and are in the process of assessing what liability may exist pursuant to such claims. Of the Customer Reimbursement Requests received to date, approximately 170 have been fully resolved and closed. In addition, insurance companies representing various customers’ interests through subrogation claims have contacted us.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Our review of customer and subrogation claims generally seek reimbursement of their costs and expenses associated with notifying their own customers of the Security Incident and taking steps to assure that personal information has not been compromised as a result of the Security Incident. In addition, presently, we are a defendant in 19 putative consumer class action cases [17 in U.S. federal courts (which have been consolidated under multi district litigation to a single federal court)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48 state Attorneys General and the District of Columbia and separate Civil Investigative Demands from the offices of the Illinois Attorney General and the California Attorney General relating to the Security Incident. In addition, we have received communications, inquires and requests from the U.S. Federal Trade Commission, the U.S. Department of Health and Human Services, the U.S. Securities and Exchange Commission, the Information Commissioner’s Office in the United Kingdom (the “ICO”) under the U.K. Data Protection Act 2018, the Office of the Australian Information Commissioner, the Office of the Privacy Commissioner of Canada, the Spanish Data Protection Authority and the Data Protection Commission of Ireland. (See Note 9 to our unaudited, condensed consolidated financial statements included in this report for a more detailed description of the Security Incident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237490</wp:posOffset>
            </wp:positionV>
            <wp:extent cx="65976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may not be covered by insurance. Governmental authorities also may seek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spacing w:after="0" w:line="15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Significant management time and Company resources have been, and are expected to continue to be, devoted to the Security Incident. In the three and nine months ended September 30, 2021, we recorded $11.4 million and $35.9 million, respectively, of expenses related to the Security Incident and offsetting probable insurance recoveries of $10.6 million and $34.5 million, respectively. As of September 30, 2021, we have recorded cumulative expenses related to the Security Incident of $45.7 million and cumulative probable insurance recoveries of $43.9 million. Although we carry insurance designed to protect us against certain losses related to cybersecurity events, we believe that insurance coverage will not be sufficient to cover all expenses or other losses (including fines) or all types of claims that may arise in connection with the Security Incident, and may not be sufficient for possible future cyberattacks, security compromises and other related incidents. Furthermore, in the future such insurance may not be available on commercially reasonable terms, or at all. (See Note 9 to our unaudited, condensed consolidated financial statements included in this report.)</w:t>
      </w:r>
    </w:p>
    <w:p>
      <w:pPr>
        <w:spacing w:after="0" w:line="15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Future publicity or developments related to the Security Incident could have a range of other adverse effects on our business or prospects, including causing or contributing to loss of customer confidence, reduced customer demand, reduced customer retention, strategic growth opportunities, and associated retention and recruiting difficulties.</w:t>
      </w:r>
    </w:p>
    <w:p>
      <w:pPr>
        <w:spacing w:after="0" w:line="216" w:lineRule="exact"/>
        <w:rPr>
          <w:sz w:val="20"/>
          <w:szCs w:val="20"/>
          <w:color w:val="auto"/>
        </w:rPr>
      </w:pPr>
    </w:p>
    <w:p>
      <w:pPr>
        <w:ind w:right="1540"/>
        <w:spacing w:after="0" w:line="278" w:lineRule="auto"/>
        <w:rPr>
          <w:sz w:val="20"/>
          <w:szCs w:val="20"/>
          <w:color w:val="auto"/>
        </w:rPr>
      </w:pPr>
      <w:r>
        <w:rPr>
          <w:rFonts w:ascii="Arial" w:cs="Arial" w:eastAsia="Arial" w:hAnsi="Arial"/>
          <w:sz w:val="29"/>
          <w:szCs w:val="29"/>
          <w:b w:val="1"/>
          <w:bCs w:val="1"/>
          <w:color w:val="71BF43"/>
        </w:rPr>
        <w:t>ITEM 2. UNREGISTERED SALES OF EQUITY SECURITIES AND USE OF PROCEEDS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table provides information about shares of common stock acquired or repurchased during the three months ended September 30, 2021 under the stock repurchase program then in effect, as well as common stock withheld by us to satisfy the minimum tax obligations of employees due upon vesting of restricted stock awards and units.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shd w:val="clear" w:color="auto" w:fill="ACACAC"/>
          </w:tcPr>
          <w:p>
            <w:pPr>
              <w:spacing w:after="0"/>
              <w:rPr>
                <w:sz w:val="16"/>
                <w:szCs w:val="16"/>
                <w:color w:val="auto"/>
              </w:rPr>
            </w:pPr>
          </w:p>
        </w:tc>
        <w:tc>
          <w:tcPr>
            <w:tcW w:w="136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136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Approximate</w:t>
            </w:r>
          </w:p>
        </w:tc>
        <w:tc>
          <w:tcPr>
            <w:tcW w:w="20" w:type="dxa"/>
            <w:vAlign w:val="bottom"/>
            <w:shd w:val="clear" w:color="auto" w:fill="ACACAC"/>
          </w:tcPr>
          <w:p>
            <w:pPr>
              <w:spacing w:after="0"/>
              <w:rPr>
                <w:sz w:val="16"/>
                <w:szCs w:val="16"/>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dollar value</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that may yet</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be purchased</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price</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under the</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paid</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plans or</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per</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programs</w:t>
            </w:r>
          </w:p>
        </w:tc>
        <w:tc>
          <w:tcPr>
            <w:tcW w:w="20" w:type="dxa"/>
            <w:vAlign w:val="bottom"/>
            <w:shd w:val="clear" w:color="auto" w:fill="ACACAC"/>
          </w:tcPr>
          <w:p>
            <w:pPr>
              <w:spacing w:after="0"/>
              <w:rPr>
                <w:sz w:val="14"/>
                <w:szCs w:val="14"/>
                <w:color w:val="auto"/>
              </w:rPr>
            </w:pPr>
          </w:p>
        </w:tc>
      </w:tr>
      <w:tr>
        <w:trPr>
          <w:trHeight w:val="216"/>
        </w:trPr>
        <w:tc>
          <w:tcPr>
            <w:tcW w:w="54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Period</w:t>
            </w:r>
          </w:p>
        </w:tc>
        <w:tc>
          <w:tcPr>
            <w:tcW w:w="1360" w:type="dxa"/>
            <w:vAlign w:val="bottom"/>
            <w:shd w:val="clear" w:color="auto" w:fill="ACACAC"/>
          </w:tcPr>
          <w:p>
            <w:pPr>
              <w:jc w:val="right"/>
              <w:spacing w:after="0" w:line="202" w:lineRule="exact"/>
              <w:rPr>
                <w:sz w:val="20"/>
                <w:szCs w:val="20"/>
                <w:color w:val="auto"/>
              </w:rPr>
            </w:pPr>
            <w:r>
              <w:rPr>
                <w:rFonts w:ascii="Arial" w:cs="Arial" w:eastAsia="Arial" w:hAnsi="Arial"/>
                <w:sz w:val="14"/>
                <w:szCs w:val="14"/>
                <w:b w:val="1"/>
                <w:bCs w:val="1"/>
                <w:color w:val="FFFFFF"/>
              </w:rPr>
              <w:t>purchased</w:t>
            </w:r>
            <w:r>
              <w:rPr>
                <w:rFonts w:ascii="Arial" w:cs="Arial" w:eastAsia="Arial" w:hAnsi="Arial"/>
                <w:sz w:val="18"/>
                <w:szCs w:val="18"/>
                <w:b w:val="1"/>
                <w:bCs w:val="1"/>
                <w:color w:val="FFFFFF"/>
                <w:vertAlign w:val="superscript"/>
              </w:rPr>
              <w:t>(1)</w:t>
            </w:r>
          </w:p>
        </w:tc>
        <w:tc>
          <w:tcPr>
            <w:tcW w:w="100" w:type="dxa"/>
            <w:vAlign w:val="bottom"/>
            <w:shd w:val="clear" w:color="auto" w:fill="ACACAC"/>
          </w:tcPr>
          <w:p>
            <w:pPr>
              <w:spacing w:after="0"/>
              <w:rPr>
                <w:sz w:val="18"/>
                <w:szCs w:val="18"/>
                <w:color w:val="auto"/>
              </w:rPr>
            </w:pPr>
          </w:p>
        </w:tc>
        <w:tc>
          <w:tcPr>
            <w:tcW w:w="460" w:type="dxa"/>
            <w:vAlign w:val="bottom"/>
            <w:shd w:val="clear" w:color="auto" w:fill="ACACAC"/>
          </w:tcPr>
          <w:p>
            <w:pPr>
              <w:spacing w:after="0"/>
              <w:rPr>
                <w:sz w:val="18"/>
                <w:szCs w:val="18"/>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ACACAC"/>
          </w:tcPr>
          <w:p>
            <w:pPr>
              <w:spacing w:after="0"/>
              <w:rPr>
                <w:sz w:val="18"/>
                <w:szCs w:val="18"/>
                <w:color w:val="auto"/>
              </w:rPr>
            </w:pPr>
          </w:p>
        </w:tc>
        <w:tc>
          <w:tcPr>
            <w:tcW w:w="1360" w:type="dxa"/>
            <w:vAlign w:val="bottom"/>
            <w:shd w:val="clear" w:color="auto" w:fill="ACACAC"/>
          </w:tcPr>
          <w:p>
            <w:pPr>
              <w:jc w:val="right"/>
              <w:spacing w:after="0" w:line="202" w:lineRule="exact"/>
              <w:rPr>
                <w:sz w:val="20"/>
                <w:szCs w:val="20"/>
                <w:color w:val="auto"/>
              </w:rPr>
            </w:pPr>
            <w:r>
              <w:rPr>
                <w:rFonts w:ascii="Arial" w:cs="Arial" w:eastAsia="Arial" w:hAnsi="Arial"/>
                <w:sz w:val="14"/>
                <w:szCs w:val="14"/>
                <w:b w:val="1"/>
                <w:bCs w:val="1"/>
                <w:color w:val="FFFFFF"/>
              </w:rPr>
              <w:t>programs</w:t>
            </w:r>
            <w:r>
              <w:rPr>
                <w:rFonts w:ascii="Arial" w:cs="Arial" w:eastAsia="Arial" w:hAnsi="Arial"/>
                <w:sz w:val="18"/>
                <w:szCs w:val="18"/>
                <w:b w:val="1"/>
                <w:bCs w:val="1"/>
                <w:color w:val="FFFFFF"/>
                <w:vertAlign w:val="superscript"/>
              </w:rPr>
              <w:t>(2)</w:t>
            </w:r>
          </w:p>
        </w:tc>
        <w:tc>
          <w:tcPr>
            <w:tcW w:w="10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c>
          <w:tcPr>
            <w:tcW w:w="20" w:type="dxa"/>
            <w:vAlign w:val="bottom"/>
            <w:shd w:val="clear" w:color="auto" w:fill="ACACAC"/>
          </w:tcPr>
          <w:p>
            <w:pPr>
              <w:spacing w:after="0"/>
              <w:rPr>
                <w:sz w:val="18"/>
                <w:szCs w:val="18"/>
                <w:color w:val="auto"/>
              </w:rPr>
            </w:pPr>
          </w:p>
        </w:tc>
      </w:tr>
      <w:tr>
        <w:trPr>
          <w:trHeight w:val="250"/>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Beginning balance, July 1, 2021</w:t>
            </w: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150,925</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July 1, 2021 through July 31, 2021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150,925</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August 1, 2021 through August 31, 2021</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69.40</w:t>
            </w:r>
          </w:p>
        </w:tc>
        <w:tc>
          <w:tcPr>
            <w:tcW w:w="12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gridSpan w:val="2"/>
            <w:shd w:val="clear" w:color="auto" w:fill="F4F4F4"/>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150,925</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September 1, 2021 through September 30, 2021</w:t>
            </w:r>
          </w:p>
        </w:tc>
        <w:tc>
          <w:tcPr>
            <w:tcW w:w="1360" w:type="dxa"/>
            <w:vAlign w:val="bottom"/>
          </w:tcPr>
          <w:p>
            <w:pPr>
              <w:jc w:val="right"/>
              <w:spacing w:after="0"/>
              <w:rPr>
                <w:sz w:val="20"/>
                <w:szCs w:val="20"/>
                <w:color w:val="auto"/>
              </w:rPr>
            </w:pPr>
            <w:r>
              <w:rPr>
                <w:rFonts w:ascii="Arial" w:cs="Arial" w:eastAsia="Arial" w:hAnsi="Arial"/>
                <w:sz w:val="18"/>
                <w:szCs w:val="18"/>
                <w:color w:val="auto"/>
              </w:rPr>
              <w:t>583,280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69.06</w:t>
            </w:r>
          </w:p>
        </w:tc>
        <w:tc>
          <w:tcPr>
            <w:tcW w:w="12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Arial" w:cs="Arial" w:eastAsia="Arial" w:hAnsi="Arial"/>
                <w:sz w:val="18"/>
                <w:szCs w:val="18"/>
                <w:color w:val="auto"/>
              </w:rPr>
              <w:t>583,280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110,646</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587,593</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69.06</w:t>
            </w:r>
          </w:p>
        </w:tc>
        <w:tc>
          <w:tcPr>
            <w:tcW w:w="120" w:type="dxa"/>
            <w:vAlign w:val="bottom"/>
            <w:tcBorders>
              <w:bottom w:val="single" w:sz="8" w:color="F4F4F4"/>
            </w:tcBorders>
            <w:shd w:val="clear" w:color="auto" w:fill="F4F4F4"/>
          </w:tcPr>
          <w:p>
            <w:pPr>
              <w:spacing w:after="0"/>
              <w:rPr>
                <w:sz w:val="21"/>
                <w:szCs w:val="21"/>
                <w:color w:val="auto"/>
              </w:rPr>
            </w:pPr>
          </w:p>
        </w:tc>
        <w:tc>
          <w:tcPr>
            <w:tcW w:w="136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583,280</w:t>
            </w:r>
          </w:p>
        </w:tc>
        <w:tc>
          <w:tcPr>
            <w:tcW w:w="10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110,646</w:t>
            </w:r>
          </w:p>
        </w:tc>
        <w:tc>
          <w:tcPr>
            <w:tcW w:w="20" w:type="dxa"/>
            <w:vAlign w:val="bottom"/>
          </w:tcPr>
          <w:p>
            <w:pPr>
              <w:spacing w:after="0"/>
              <w:rPr>
                <w:sz w:val="21"/>
                <w:szCs w:val="21"/>
                <w:color w:val="auto"/>
              </w:rPr>
            </w:pPr>
          </w:p>
        </w:tc>
      </w:tr>
      <w:tr>
        <w:trPr>
          <w:trHeight w:val="20"/>
        </w:trPr>
        <w:tc>
          <w:tcPr>
            <w:tcW w:w="5440" w:type="dxa"/>
            <w:vAlign w:val="bottom"/>
            <w:shd w:val="clear" w:color="auto" w:fill="71BF43"/>
          </w:tcPr>
          <w:p>
            <w:pPr>
              <w:spacing w:after="0" w:line="20" w:lineRule="exact"/>
              <w:rPr>
                <w:sz w:val="1"/>
                <w:szCs w:val="1"/>
                <w:color w:val="auto"/>
              </w:rPr>
            </w:pPr>
          </w:p>
        </w:tc>
        <w:tc>
          <w:tcPr>
            <w:tcW w:w="13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92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13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right="40" w:hanging="332"/>
        <w:spacing w:after="0" w:line="241" w:lineRule="auto"/>
        <w:tabs>
          <w:tab w:leader="none" w:pos="354"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4,313 shares in August withheld by us to satisfy the minimum tax obligations of employees due upon vesting of restricted stock awards and units. The level of this acquisition activity varies from period to period based upon the timing of award grants and vesting.</w:t>
      </w:r>
    </w:p>
    <w:p>
      <w:pPr>
        <w:ind w:left="340" w:right="20" w:hanging="332"/>
        <w:spacing w:after="0" w:line="258" w:lineRule="auto"/>
        <w:tabs>
          <w:tab w:leader="none" w:pos="354"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November 2020, our Board of Directors reauthorized and expanded our stock repurchase program to authorize us to purchase up to $250.0 million of our outstanding shares of common stock. The program does not have an expiration date.</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46</w:t>
      </w:r>
      <w:r>
        <w:rPr>
          <w:sz w:val="20"/>
          <w:szCs w:val="20"/>
          <w:color w:val="auto"/>
        </w:rPr>
        <w:tab/>
      </w:r>
      <w:r>
        <w:rPr>
          <w:sz w:val="1"/>
          <w:szCs w:val="1"/>
          <w:color w:val="auto"/>
        </w:rPr>
        <w:drawing>
          <wp:inline distT="0" distB="0" distL="0" distR="0">
            <wp:extent cx="651510" cy="1714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Third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6. EXHIBITS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incorporated by reference as part of this Quarterly Report on Form 10-Q:</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340" w:type="dxa"/>
            <w:vAlign w:val="bottom"/>
            <w:shd w:val="clear" w:color="auto" w:fill="ACACAC"/>
          </w:tcPr>
          <w:p>
            <w:pPr>
              <w:spacing w:after="0"/>
              <w:rPr>
                <w:sz w:val="18"/>
                <w:szCs w:val="18"/>
                <w:color w:val="auto"/>
              </w:rPr>
            </w:pPr>
          </w:p>
        </w:tc>
        <w:tc>
          <w:tcPr>
            <w:tcW w:w="140" w:type="dxa"/>
            <w:vAlign w:val="bottom"/>
            <w:shd w:val="clear" w:color="auto" w:fill="ACACAC"/>
          </w:tcPr>
          <w:p>
            <w:pPr>
              <w:spacing w:after="0"/>
              <w:rPr>
                <w:sz w:val="18"/>
                <w:szCs w:val="18"/>
                <w:color w:val="auto"/>
              </w:rPr>
            </w:pPr>
          </w:p>
        </w:tc>
        <w:tc>
          <w:tcPr>
            <w:tcW w:w="960" w:type="dxa"/>
            <w:vAlign w:val="bottom"/>
            <w:shd w:val="clear" w:color="auto" w:fill="ACACAC"/>
          </w:tcPr>
          <w:p>
            <w:pPr>
              <w:spacing w:after="0"/>
              <w:rPr>
                <w:sz w:val="18"/>
                <w:szCs w:val="18"/>
                <w:color w:val="auto"/>
              </w:rPr>
            </w:pPr>
          </w:p>
        </w:tc>
        <w:tc>
          <w:tcPr>
            <w:tcW w:w="2840" w:type="dxa"/>
            <w:vAlign w:val="bottom"/>
            <w:shd w:val="clear" w:color="auto" w:fill="ACACAC"/>
          </w:tcPr>
          <w:p>
            <w:pPr>
              <w:spacing w:after="0"/>
              <w:rPr>
                <w:sz w:val="18"/>
                <w:szCs w:val="18"/>
                <w:color w:val="auto"/>
              </w:rPr>
            </w:pPr>
          </w:p>
        </w:tc>
        <w:tc>
          <w:tcPr>
            <w:tcW w:w="34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60" w:type="dxa"/>
            <w:vAlign w:val="bottom"/>
            <w:shd w:val="clear" w:color="auto" w:fill="ACACAC"/>
          </w:tcPr>
          <w:p>
            <w:pPr>
              <w:spacing w:after="0"/>
              <w:rPr>
                <w:sz w:val="18"/>
                <w:szCs w:val="18"/>
                <w:color w:val="auto"/>
              </w:rPr>
            </w:pPr>
          </w:p>
        </w:tc>
        <w:tc>
          <w:tcPr>
            <w:tcW w:w="80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1070" w:type="dxa"/>
            <w:vAlign w:val="bottom"/>
            <w:shd w:val="clear" w:color="auto" w:fill="ACACAC"/>
          </w:tcPr>
          <w:p>
            <w:pPr>
              <w:spacing w:after="0"/>
              <w:rPr>
                <w:sz w:val="18"/>
                <w:szCs w:val="18"/>
                <w:color w:val="auto"/>
              </w:rPr>
            </w:pPr>
          </w:p>
        </w:tc>
        <w:tc>
          <w:tcPr>
            <w:tcW w:w="830" w:type="dxa"/>
            <w:vAlign w:val="bottom"/>
            <w:shd w:val="clear" w:color="auto" w:fill="ACACAC"/>
          </w:tcPr>
          <w:p>
            <w:pPr>
              <w:spacing w:after="0"/>
              <w:rPr>
                <w:sz w:val="18"/>
                <w:szCs w:val="18"/>
                <w:color w:val="auto"/>
              </w:rPr>
            </w:pPr>
          </w:p>
        </w:tc>
        <w:tc>
          <w:tcPr>
            <w:tcW w:w="1630" w:type="dxa"/>
            <w:vAlign w:val="bottom"/>
            <w:shd w:val="clear" w:color="auto" w:fill="ACACAC"/>
          </w:tcPr>
          <w:p>
            <w:pPr>
              <w:ind w:left="160"/>
              <w:spacing w:after="0"/>
              <w:rPr>
                <w:sz w:val="20"/>
                <w:szCs w:val="20"/>
                <w:color w:val="auto"/>
              </w:rPr>
            </w:pPr>
            <w:r>
              <w:rPr>
                <w:rFonts w:ascii="Arial" w:cs="Arial" w:eastAsia="Arial" w:hAnsi="Arial"/>
                <w:sz w:val="14"/>
                <w:szCs w:val="14"/>
                <w:b w:val="1"/>
                <w:bCs w:val="1"/>
                <w:color w:val="FFFFFF"/>
              </w:rPr>
              <w:t>Filed In</w:t>
            </w:r>
          </w:p>
        </w:tc>
        <w:tc>
          <w:tcPr>
            <w:tcW w:w="109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r>
      <w:tr>
        <w:trPr>
          <w:trHeight w:val="201"/>
        </w:trPr>
        <w:tc>
          <w:tcPr>
            <w:tcW w:w="1220" w:type="dxa"/>
            <w:vAlign w:val="bottom"/>
            <w:gridSpan w:val="4"/>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Exhibit</w:t>
            </w:r>
          </w:p>
        </w:tc>
        <w:tc>
          <w:tcPr>
            <w:tcW w:w="960" w:type="dxa"/>
            <w:vAlign w:val="bottom"/>
            <w:shd w:val="clear" w:color="auto" w:fill="ACACAC"/>
          </w:tcPr>
          <w:p>
            <w:pPr>
              <w:spacing w:after="0"/>
              <w:rPr>
                <w:sz w:val="17"/>
                <w:szCs w:val="17"/>
                <w:color w:val="auto"/>
              </w:rPr>
            </w:pPr>
          </w:p>
        </w:tc>
        <w:tc>
          <w:tcPr>
            <w:tcW w:w="284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60" w:type="dxa"/>
            <w:vAlign w:val="bottom"/>
            <w:shd w:val="clear" w:color="auto" w:fill="ACACAC"/>
          </w:tcPr>
          <w:p>
            <w:pPr>
              <w:spacing w:after="0"/>
              <w:rPr>
                <w:sz w:val="17"/>
                <w:szCs w:val="17"/>
                <w:color w:val="auto"/>
              </w:rPr>
            </w:pPr>
          </w:p>
        </w:tc>
        <w:tc>
          <w:tcPr>
            <w:tcW w:w="80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1070" w:type="dxa"/>
            <w:vAlign w:val="bottom"/>
            <w:shd w:val="clear" w:color="auto" w:fill="ACACAC"/>
          </w:tcPr>
          <w:p>
            <w:pPr>
              <w:jc w:val="center"/>
              <w:ind w:right="6"/>
              <w:spacing w:after="0"/>
              <w:rPr>
                <w:sz w:val="20"/>
                <w:szCs w:val="20"/>
                <w:color w:val="auto"/>
              </w:rPr>
            </w:pPr>
            <w:r>
              <w:rPr>
                <w:rFonts w:ascii="Arial" w:cs="Arial" w:eastAsia="Arial" w:hAnsi="Arial"/>
                <w:sz w:val="14"/>
                <w:szCs w:val="14"/>
                <w:b w:val="1"/>
                <w:bCs w:val="1"/>
                <w:color w:val="FFFFFF"/>
              </w:rPr>
              <w:t>Filed</w:t>
            </w:r>
          </w:p>
        </w:tc>
        <w:tc>
          <w:tcPr>
            <w:tcW w:w="830" w:type="dxa"/>
            <w:vAlign w:val="bottom"/>
            <w:shd w:val="clear" w:color="auto" w:fill="ACACAC"/>
          </w:tcPr>
          <w:p>
            <w:pPr>
              <w:spacing w:after="0"/>
              <w:rPr>
                <w:sz w:val="17"/>
                <w:szCs w:val="17"/>
                <w:color w:val="auto"/>
              </w:rPr>
            </w:pPr>
          </w:p>
        </w:tc>
        <w:tc>
          <w:tcPr>
            <w:tcW w:w="1630" w:type="dxa"/>
            <w:vAlign w:val="bottom"/>
            <w:shd w:val="clear" w:color="auto" w:fill="ACACAC"/>
          </w:tcPr>
          <w:p>
            <w:pPr>
              <w:spacing w:after="0"/>
              <w:rPr>
                <w:sz w:val="17"/>
                <w:szCs w:val="17"/>
                <w:color w:val="auto"/>
              </w:rPr>
            </w:pPr>
          </w:p>
        </w:tc>
        <w:tc>
          <w:tcPr>
            <w:tcW w:w="109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r>
      <w:tr>
        <w:trPr>
          <w:trHeight w:val="196"/>
        </w:trPr>
        <w:tc>
          <w:tcPr>
            <w:tcW w:w="1220" w:type="dxa"/>
            <w:vAlign w:val="bottom"/>
            <w:tcBorders>
              <w:bottom w:val="single" w:sz="8" w:color="ACACAC"/>
            </w:tcBorders>
            <w:gridSpan w:val="4"/>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Number</w:t>
            </w:r>
          </w:p>
        </w:tc>
        <w:tc>
          <w:tcPr>
            <w:tcW w:w="960" w:type="dxa"/>
            <w:vAlign w:val="bottom"/>
            <w:tcBorders>
              <w:bottom w:val="single" w:sz="8" w:color="ACACAC"/>
            </w:tcBorders>
            <w:shd w:val="clear" w:color="auto" w:fill="ACACAC"/>
          </w:tcPr>
          <w:p>
            <w:pPr>
              <w:spacing w:after="0"/>
              <w:rPr>
                <w:sz w:val="17"/>
                <w:szCs w:val="17"/>
                <w:color w:val="auto"/>
              </w:rPr>
            </w:pPr>
          </w:p>
        </w:tc>
        <w:tc>
          <w:tcPr>
            <w:tcW w:w="4440" w:type="dxa"/>
            <w:vAlign w:val="bottom"/>
            <w:tcBorders>
              <w:bottom w:val="single" w:sz="8" w:color="ACACAC"/>
            </w:tcBorders>
            <w:gridSpan w:val="8"/>
            <w:shd w:val="clear" w:color="auto" w:fill="ACACAC"/>
          </w:tcPr>
          <w:p>
            <w:pPr>
              <w:ind w:left="820"/>
              <w:spacing w:after="0"/>
              <w:rPr>
                <w:sz w:val="20"/>
                <w:szCs w:val="20"/>
                <w:color w:val="auto"/>
              </w:rPr>
            </w:pPr>
            <w:r>
              <w:rPr>
                <w:rFonts w:ascii="Arial" w:cs="Arial" w:eastAsia="Arial" w:hAnsi="Arial"/>
                <w:sz w:val="14"/>
                <w:szCs w:val="14"/>
                <w:b w:val="1"/>
                <w:bCs w:val="1"/>
                <w:color w:val="FFFFFF"/>
              </w:rPr>
              <w:t>Description of Document</w:t>
            </w:r>
          </w:p>
        </w:tc>
        <w:tc>
          <w:tcPr>
            <w:tcW w:w="1070" w:type="dxa"/>
            <w:vAlign w:val="bottom"/>
            <w:tcBorders>
              <w:bottom w:val="single" w:sz="8" w:color="ACACAC"/>
            </w:tcBorders>
            <w:shd w:val="clear" w:color="auto" w:fill="ACACAC"/>
          </w:tcPr>
          <w:p>
            <w:pPr>
              <w:jc w:val="center"/>
              <w:ind w:right="26"/>
              <w:spacing w:after="0"/>
              <w:rPr>
                <w:sz w:val="20"/>
                <w:szCs w:val="20"/>
                <w:color w:val="auto"/>
              </w:rPr>
            </w:pPr>
            <w:r>
              <w:rPr>
                <w:rFonts w:ascii="Arial" w:cs="Arial" w:eastAsia="Arial" w:hAnsi="Arial"/>
                <w:sz w:val="14"/>
                <w:szCs w:val="14"/>
                <w:b w:val="1"/>
                <w:bCs w:val="1"/>
                <w:color w:val="FFFFFF"/>
              </w:rPr>
              <w:t>Herewith</w:t>
            </w:r>
          </w:p>
        </w:tc>
        <w:tc>
          <w:tcPr>
            <w:tcW w:w="830" w:type="dxa"/>
            <w:vAlign w:val="bottom"/>
            <w:tcBorders>
              <w:bottom w:val="single" w:sz="8" w:color="ACACAC"/>
            </w:tcBorders>
            <w:shd w:val="clear" w:color="auto" w:fill="ACACAC"/>
          </w:tcPr>
          <w:p>
            <w:pPr>
              <w:ind w:left="330"/>
              <w:spacing w:after="0"/>
              <w:rPr>
                <w:sz w:val="20"/>
                <w:szCs w:val="20"/>
                <w:color w:val="auto"/>
              </w:rPr>
            </w:pPr>
            <w:r>
              <w:rPr>
                <w:rFonts w:ascii="Arial" w:cs="Arial" w:eastAsia="Arial" w:hAnsi="Arial"/>
                <w:sz w:val="14"/>
                <w:szCs w:val="14"/>
                <w:b w:val="1"/>
                <w:bCs w:val="1"/>
                <w:color w:val="FFFFFF"/>
              </w:rPr>
              <w:t>Form</w:t>
            </w:r>
          </w:p>
        </w:tc>
        <w:tc>
          <w:tcPr>
            <w:tcW w:w="1630" w:type="dxa"/>
            <w:vAlign w:val="bottom"/>
            <w:tcBorders>
              <w:bottom w:val="single" w:sz="8" w:color="ACACAC"/>
            </w:tcBorders>
            <w:shd w:val="clear" w:color="auto" w:fill="ACACAC"/>
          </w:tcPr>
          <w:p>
            <w:pPr>
              <w:ind w:left="380"/>
              <w:spacing w:after="0"/>
              <w:rPr>
                <w:sz w:val="20"/>
                <w:szCs w:val="20"/>
                <w:color w:val="auto"/>
              </w:rPr>
            </w:pPr>
            <w:r>
              <w:rPr>
                <w:rFonts w:ascii="Arial" w:cs="Arial" w:eastAsia="Arial" w:hAnsi="Arial"/>
                <w:sz w:val="14"/>
                <w:szCs w:val="14"/>
                <w:b w:val="1"/>
                <w:bCs w:val="1"/>
                <w:color w:val="FFFFFF"/>
              </w:rPr>
              <w:t>Exhibit Number</w:t>
            </w:r>
          </w:p>
        </w:tc>
        <w:tc>
          <w:tcPr>
            <w:tcW w:w="1090" w:type="dxa"/>
            <w:vAlign w:val="bottom"/>
            <w:tcBorders>
              <w:bottom w:val="single" w:sz="8" w:color="ACACAC"/>
            </w:tcBorders>
            <w:shd w:val="clear" w:color="auto" w:fill="ACACAC"/>
          </w:tcPr>
          <w:p>
            <w:pPr>
              <w:ind w:left="190"/>
              <w:spacing w:after="0"/>
              <w:rPr>
                <w:sz w:val="20"/>
                <w:szCs w:val="20"/>
                <w:color w:val="auto"/>
              </w:rPr>
            </w:pPr>
            <w:r>
              <w:rPr>
                <w:rFonts w:ascii="Arial" w:cs="Arial" w:eastAsia="Arial" w:hAnsi="Arial"/>
                <w:sz w:val="14"/>
                <w:szCs w:val="14"/>
                <w:b w:val="1"/>
                <w:bCs w:val="1"/>
                <w:color w:val="FFFFFF"/>
              </w:rPr>
              <w:t>Filing Date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6"/>
        </w:trPr>
        <w:tc>
          <w:tcPr>
            <w:tcW w:w="1220" w:type="dxa"/>
            <w:vAlign w:val="bottom"/>
            <w:gridSpan w:val="4"/>
            <w:shd w:val="clear" w:color="auto" w:fill="F4F4F4"/>
          </w:tcPr>
          <w:p>
            <w:pPr>
              <w:jc w:val="right"/>
              <w:ind w:right="140"/>
              <w:spacing w:after="0"/>
              <w:rPr>
                <w:rFonts w:ascii="Arial" w:cs="Arial" w:eastAsia="Arial" w:hAnsi="Arial"/>
                <w:sz w:val="18"/>
                <w:szCs w:val="18"/>
                <w:color w:val="0000FF"/>
              </w:rPr>
            </w:pPr>
            <w:hyperlink w:anchor="page50">
              <w:r>
                <w:rPr>
                  <w:rFonts w:ascii="Arial" w:cs="Arial" w:eastAsia="Arial" w:hAnsi="Arial"/>
                  <w:sz w:val="18"/>
                  <w:szCs w:val="18"/>
                  <w:color w:val="0000FF"/>
                </w:rPr>
                <w:t>10.01</w:t>
              </w:r>
            </w:hyperlink>
          </w:p>
        </w:tc>
        <w:tc>
          <w:tcPr>
            <w:tcW w:w="5400" w:type="dxa"/>
            <w:vAlign w:val="bottom"/>
            <w:gridSpan w:val="9"/>
            <w:shd w:val="clear" w:color="auto" w:fill="F4F4F4"/>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LIBOR Transition Amendment, dated as of September 20, 2021,</w:t>
              </w:r>
            </w:hyperlink>
          </w:p>
        </w:tc>
        <w:tc>
          <w:tcPr>
            <w:tcW w:w="1070" w:type="dxa"/>
            <w:vAlign w:val="bottom"/>
            <w:shd w:val="clear" w:color="auto" w:fill="F4F4F4"/>
          </w:tcPr>
          <w:p>
            <w:pPr>
              <w:jc w:val="center"/>
              <w:ind w:right="26"/>
              <w:spacing w:after="0"/>
              <w:rPr>
                <w:sz w:val="20"/>
                <w:szCs w:val="20"/>
                <w:color w:val="auto"/>
              </w:rPr>
            </w:pPr>
            <w:r>
              <w:rPr>
                <w:rFonts w:ascii="Arial" w:cs="Arial" w:eastAsia="Arial" w:hAnsi="Arial"/>
                <w:sz w:val="18"/>
                <w:szCs w:val="18"/>
                <w:color w:val="auto"/>
                <w:w w:val="99"/>
              </w:rPr>
              <w:t>X</w:t>
            </w:r>
          </w:p>
        </w:tc>
        <w:tc>
          <w:tcPr>
            <w:tcW w:w="830" w:type="dxa"/>
            <w:vAlign w:val="bottom"/>
            <w:shd w:val="clear" w:color="auto" w:fill="F4F4F4"/>
          </w:tcPr>
          <w:p>
            <w:pPr>
              <w:spacing w:after="0"/>
              <w:rPr>
                <w:sz w:val="22"/>
                <w:szCs w:val="22"/>
                <w:color w:val="auto"/>
              </w:rPr>
            </w:pPr>
          </w:p>
        </w:tc>
        <w:tc>
          <w:tcPr>
            <w:tcW w:w="1630" w:type="dxa"/>
            <w:vAlign w:val="bottom"/>
            <w:shd w:val="clear" w:color="auto" w:fill="F4F4F4"/>
          </w:tcPr>
          <w:p>
            <w:pPr>
              <w:spacing w:after="0"/>
              <w:rPr>
                <w:sz w:val="22"/>
                <w:szCs w:val="22"/>
                <w:color w:val="auto"/>
              </w:rPr>
            </w:pPr>
          </w:p>
        </w:tc>
        <w:tc>
          <w:tcPr>
            <w:tcW w:w="1090" w:type="dxa"/>
            <w:vAlign w:val="bottom"/>
            <w:shd w:val="clear" w:color="auto" w:fill="F4F4F4"/>
          </w:tcPr>
          <w:p>
            <w:pPr>
              <w:spacing w:after="0"/>
              <w:rPr>
                <w:sz w:val="22"/>
                <w:szCs w:val="22"/>
                <w:color w:val="auto"/>
              </w:rPr>
            </w:pPr>
          </w:p>
        </w:tc>
        <w:tc>
          <w:tcPr>
            <w:tcW w:w="20" w:type="dxa"/>
            <w:vAlign w:val="bottom"/>
          </w:tcPr>
          <w:p>
            <w:pPr>
              <w:spacing w:after="0"/>
              <w:rPr>
                <w:sz w:val="22"/>
                <w:szCs w:val="22"/>
                <w:color w:val="auto"/>
              </w:rPr>
            </w:pPr>
          </w:p>
        </w:tc>
      </w:tr>
      <w:tr>
        <w:trPr>
          <w:trHeight w:val="244"/>
        </w:trPr>
        <w:tc>
          <w:tcPr>
            <w:tcW w:w="640" w:type="dxa"/>
            <w:vAlign w:val="bottom"/>
            <w:tcBorders>
              <w:top w:val="single" w:sz="8" w:color="F4F4F4"/>
              <w:bottom w:val="single" w:sz="8" w:color="F4F4F4"/>
            </w:tcBorders>
            <w:shd w:val="clear" w:color="auto" w:fill="F4F4F4"/>
          </w:tcPr>
          <w:p>
            <w:pPr>
              <w:spacing w:after="0"/>
              <w:rPr>
                <w:sz w:val="21"/>
                <w:szCs w:val="21"/>
                <w:color w:val="auto"/>
              </w:rPr>
            </w:pPr>
          </w:p>
        </w:tc>
        <w:tc>
          <w:tcPr>
            <w:tcW w:w="100" w:type="dxa"/>
            <w:vAlign w:val="bottom"/>
            <w:tcBorders>
              <w:top w:val="single" w:sz="8" w:color="0000FF"/>
              <w:bottom w:val="single" w:sz="8" w:color="F4F4F4"/>
            </w:tcBorders>
            <w:shd w:val="clear" w:color="auto" w:fill="F4F4F4"/>
          </w:tcPr>
          <w:p>
            <w:pPr>
              <w:spacing w:after="0"/>
              <w:rPr>
                <w:sz w:val="21"/>
                <w:szCs w:val="21"/>
                <w:color w:val="auto"/>
              </w:rPr>
            </w:pPr>
          </w:p>
        </w:tc>
        <w:tc>
          <w:tcPr>
            <w:tcW w:w="340" w:type="dxa"/>
            <w:vAlign w:val="bottom"/>
            <w:tcBorders>
              <w:top w:val="single" w:sz="8" w:color="0000FF"/>
              <w:bottom w:val="single" w:sz="8" w:color="F4F4F4"/>
            </w:tcBorders>
            <w:shd w:val="clear" w:color="auto" w:fill="F4F4F4"/>
          </w:tcPr>
          <w:p>
            <w:pPr>
              <w:spacing w:after="0"/>
              <w:rPr>
                <w:sz w:val="21"/>
                <w:szCs w:val="21"/>
                <w:color w:val="auto"/>
              </w:rPr>
            </w:pPr>
          </w:p>
        </w:tc>
        <w:tc>
          <w:tcPr>
            <w:tcW w:w="140" w:type="dxa"/>
            <w:vAlign w:val="bottom"/>
            <w:tcBorders>
              <w:top w:val="single" w:sz="8" w:color="F4F4F4"/>
              <w:bottom w:val="single" w:sz="8" w:color="F4F4F4"/>
            </w:tcBorders>
            <w:shd w:val="clear" w:color="auto" w:fill="F4F4F4"/>
          </w:tcPr>
          <w:p>
            <w:pPr>
              <w:spacing w:after="0"/>
              <w:rPr>
                <w:sz w:val="21"/>
                <w:szCs w:val="21"/>
                <w:color w:val="auto"/>
              </w:rPr>
            </w:pPr>
          </w:p>
        </w:tc>
        <w:tc>
          <w:tcPr>
            <w:tcW w:w="4140" w:type="dxa"/>
            <w:vAlign w:val="bottom"/>
            <w:tcBorders>
              <w:top w:val="single" w:sz="8" w:color="0000FF"/>
              <w:bottom w:val="single" w:sz="8" w:color="0000FF"/>
            </w:tcBorders>
            <w:gridSpan w:val="3"/>
            <w:shd w:val="clear" w:color="auto" w:fill="F4F4F4"/>
          </w:tcPr>
          <w:p>
            <w:pPr>
              <w:spacing w:after="0" w:line="196"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between Blackbaud, Inc. and Bank of America, N.A.</w:t>
              </w:r>
            </w:hyperlink>
          </w:p>
        </w:tc>
        <w:tc>
          <w:tcPr>
            <w:tcW w:w="980" w:type="dxa"/>
            <w:vAlign w:val="bottom"/>
            <w:tcBorders>
              <w:top w:val="single" w:sz="8" w:color="0000FF"/>
              <w:bottom w:val="single" w:sz="8" w:color="F4F4F4"/>
            </w:tcBorders>
            <w:gridSpan w:val="3"/>
            <w:shd w:val="clear" w:color="auto" w:fill="F4F4F4"/>
          </w:tcPr>
          <w:p>
            <w:pPr>
              <w:spacing w:after="0"/>
              <w:rPr>
                <w:sz w:val="21"/>
                <w:szCs w:val="21"/>
                <w:color w:val="auto"/>
              </w:rPr>
            </w:pPr>
          </w:p>
        </w:tc>
        <w:tc>
          <w:tcPr>
            <w:tcW w:w="280" w:type="dxa"/>
            <w:vAlign w:val="bottom"/>
            <w:tcBorders>
              <w:top w:val="single" w:sz="8" w:color="F4F4F4"/>
              <w:bottom w:val="single" w:sz="8" w:color="F4F4F4"/>
            </w:tcBorders>
            <w:gridSpan w:val="3"/>
            <w:shd w:val="clear" w:color="auto" w:fill="F4F4F4"/>
          </w:tcPr>
          <w:p>
            <w:pPr>
              <w:spacing w:after="0"/>
              <w:rPr>
                <w:sz w:val="21"/>
                <w:szCs w:val="21"/>
                <w:color w:val="auto"/>
              </w:rPr>
            </w:pPr>
          </w:p>
        </w:tc>
        <w:tc>
          <w:tcPr>
            <w:tcW w:w="1070" w:type="dxa"/>
            <w:vAlign w:val="bottom"/>
            <w:tcBorders>
              <w:top w:val="single" w:sz="8" w:color="F4F4F4"/>
              <w:bottom w:val="single" w:sz="8" w:color="F4F4F4"/>
            </w:tcBorders>
            <w:shd w:val="clear" w:color="auto" w:fill="F4F4F4"/>
          </w:tcPr>
          <w:p>
            <w:pPr>
              <w:spacing w:after="0"/>
              <w:rPr>
                <w:sz w:val="21"/>
                <w:szCs w:val="21"/>
                <w:color w:val="auto"/>
              </w:rPr>
            </w:pPr>
          </w:p>
        </w:tc>
        <w:tc>
          <w:tcPr>
            <w:tcW w:w="830" w:type="dxa"/>
            <w:vAlign w:val="bottom"/>
            <w:tcBorders>
              <w:top w:val="single" w:sz="8" w:color="F4F4F4"/>
              <w:bottom w:val="single" w:sz="8" w:color="F4F4F4"/>
            </w:tcBorders>
            <w:shd w:val="clear" w:color="auto" w:fill="F4F4F4"/>
          </w:tcPr>
          <w:p>
            <w:pPr>
              <w:spacing w:after="0"/>
              <w:rPr>
                <w:sz w:val="21"/>
                <w:szCs w:val="21"/>
                <w:color w:val="auto"/>
              </w:rPr>
            </w:pPr>
          </w:p>
        </w:tc>
        <w:tc>
          <w:tcPr>
            <w:tcW w:w="1630" w:type="dxa"/>
            <w:vAlign w:val="bottom"/>
            <w:tcBorders>
              <w:top w:val="single" w:sz="8" w:color="F4F4F4"/>
              <w:bottom w:val="single" w:sz="8" w:color="F4F4F4"/>
            </w:tcBorders>
            <w:shd w:val="clear" w:color="auto" w:fill="F4F4F4"/>
          </w:tcPr>
          <w:p>
            <w:pPr>
              <w:spacing w:after="0"/>
              <w:rPr>
                <w:sz w:val="21"/>
                <w:szCs w:val="21"/>
                <w:color w:val="auto"/>
              </w:rPr>
            </w:pPr>
          </w:p>
        </w:tc>
        <w:tc>
          <w:tcPr>
            <w:tcW w:w="1090" w:type="dxa"/>
            <w:vAlign w:val="bottom"/>
            <w:tcBorders>
              <w:top w:val="single" w:sz="8" w:color="F4F4F4"/>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1220" w:type="dxa"/>
            <w:vAlign w:val="bottom"/>
            <w:gridSpan w:val="4"/>
          </w:tcPr>
          <w:p>
            <w:pPr>
              <w:jc w:val="right"/>
              <w:ind w:right="140"/>
              <w:spacing w:after="0"/>
              <w:rPr>
                <w:rFonts w:ascii="Arial" w:cs="Arial" w:eastAsia="Arial" w:hAnsi="Arial"/>
                <w:sz w:val="18"/>
                <w:szCs w:val="18"/>
                <w:color w:val="0000FF"/>
              </w:rPr>
            </w:pPr>
            <w:hyperlink w:anchor="page6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400" w:type="dxa"/>
            <w:vAlign w:val="bottom"/>
            <w:gridSpan w:val="9"/>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Certification by the Chief Executive Officer pursuant to</w:t>
              </w:r>
            </w:hyperlink>
          </w:p>
        </w:tc>
        <w:tc>
          <w:tcPr>
            <w:tcW w:w="1070" w:type="dxa"/>
            <w:vAlign w:val="bottom"/>
          </w:tcPr>
          <w:p>
            <w:pPr>
              <w:jc w:val="center"/>
              <w:ind w:right="26"/>
              <w:spacing w:after="0"/>
              <w:rPr>
                <w:sz w:val="20"/>
                <w:szCs w:val="20"/>
                <w:color w:val="auto"/>
              </w:rPr>
            </w:pPr>
            <w:r>
              <w:rPr>
                <w:rFonts w:ascii="Arial" w:cs="Arial" w:eastAsia="Arial" w:hAnsi="Arial"/>
                <w:sz w:val="18"/>
                <w:szCs w:val="18"/>
                <w:color w:val="auto"/>
                <w:w w:val="99"/>
              </w:rPr>
              <w:t>X</w:t>
            </w:r>
          </w:p>
        </w:tc>
        <w:tc>
          <w:tcPr>
            <w:tcW w:w="830" w:type="dxa"/>
            <w:vAlign w:val="bottom"/>
          </w:tcPr>
          <w:p>
            <w:pPr>
              <w:spacing w:after="0"/>
              <w:rPr>
                <w:sz w:val="22"/>
                <w:szCs w:val="22"/>
                <w:color w:val="auto"/>
              </w:rPr>
            </w:pPr>
          </w:p>
        </w:tc>
        <w:tc>
          <w:tcPr>
            <w:tcW w:w="1630" w:type="dxa"/>
            <w:vAlign w:val="bottom"/>
          </w:tcPr>
          <w:p>
            <w:pPr>
              <w:spacing w:after="0"/>
              <w:rPr>
                <w:sz w:val="22"/>
                <w:szCs w:val="22"/>
                <w:color w:val="auto"/>
              </w:rPr>
            </w:pPr>
          </w:p>
        </w:tc>
        <w:tc>
          <w:tcPr>
            <w:tcW w:w="109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Section 302 of the Sarbanes-Oxley Act of 2002.</w:t>
              </w:r>
            </w:hyperlink>
          </w:p>
        </w:tc>
        <w:tc>
          <w:tcPr>
            <w:tcW w:w="1080" w:type="dxa"/>
            <w:vAlign w:val="bottom"/>
            <w:gridSpan w:val="4"/>
          </w:tcPr>
          <w:p>
            <w:pPr>
              <w:spacing w:after="0"/>
              <w:rPr>
                <w:sz w:val="17"/>
                <w:szCs w:val="17"/>
                <w:color w:val="auto"/>
              </w:rPr>
            </w:pPr>
          </w:p>
        </w:tc>
        <w:tc>
          <w:tcPr>
            <w:tcW w:w="1070" w:type="dxa"/>
            <w:vAlign w:val="bottom"/>
          </w:tcPr>
          <w:p>
            <w:pPr>
              <w:spacing w:after="0"/>
              <w:rPr>
                <w:sz w:val="17"/>
                <w:szCs w:val="17"/>
                <w:color w:val="auto"/>
              </w:rPr>
            </w:pPr>
          </w:p>
        </w:tc>
        <w:tc>
          <w:tcPr>
            <w:tcW w:w="830" w:type="dxa"/>
            <w:vAlign w:val="bottom"/>
          </w:tcPr>
          <w:p>
            <w:pPr>
              <w:spacing w:after="0"/>
              <w:rPr>
                <w:sz w:val="17"/>
                <w:szCs w:val="17"/>
                <w:color w:val="auto"/>
              </w:rPr>
            </w:pPr>
          </w:p>
        </w:tc>
        <w:tc>
          <w:tcPr>
            <w:tcW w:w="1630" w:type="dxa"/>
            <w:vAlign w:val="bottom"/>
          </w:tcPr>
          <w:p>
            <w:pPr>
              <w:spacing w:after="0"/>
              <w:rPr>
                <w:sz w:val="17"/>
                <w:szCs w:val="17"/>
                <w:color w:val="auto"/>
              </w:rPr>
            </w:pPr>
          </w:p>
        </w:tc>
        <w:tc>
          <w:tcPr>
            <w:tcW w:w="109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8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70" w:type="dxa"/>
            <w:vAlign w:val="bottom"/>
          </w:tcPr>
          <w:p>
            <w:pPr>
              <w:spacing w:after="0"/>
              <w:rPr>
                <w:sz w:val="4"/>
                <w:szCs w:val="4"/>
                <w:color w:val="auto"/>
              </w:rPr>
            </w:pPr>
          </w:p>
        </w:tc>
        <w:tc>
          <w:tcPr>
            <w:tcW w:w="830" w:type="dxa"/>
            <w:vAlign w:val="bottom"/>
          </w:tcPr>
          <w:p>
            <w:pPr>
              <w:spacing w:after="0"/>
              <w:rPr>
                <w:sz w:val="4"/>
                <w:szCs w:val="4"/>
                <w:color w:val="auto"/>
              </w:rPr>
            </w:pPr>
          </w:p>
        </w:tc>
        <w:tc>
          <w:tcPr>
            <w:tcW w:w="1630" w:type="dxa"/>
            <w:vAlign w:val="bottom"/>
          </w:tcPr>
          <w:p>
            <w:pPr>
              <w:spacing w:after="0"/>
              <w:rPr>
                <w:sz w:val="4"/>
                <w:szCs w:val="4"/>
                <w:color w:val="auto"/>
              </w:rPr>
            </w:pPr>
          </w:p>
        </w:tc>
        <w:tc>
          <w:tcPr>
            <w:tcW w:w="109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1220" w:type="dxa"/>
            <w:vAlign w:val="bottom"/>
            <w:gridSpan w:val="4"/>
            <w:shd w:val="clear" w:color="auto" w:fill="F4F4F4"/>
          </w:tcPr>
          <w:p>
            <w:pPr>
              <w:jc w:val="right"/>
              <w:ind w:right="140"/>
              <w:spacing w:after="0"/>
              <w:rPr>
                <w:rFonts w:ascii="Arial" w:cs="Arial" w:eastAsia="Arial" w:hAnsi="Arial"/>
                <w:sz w:val="18"/>
                <w:szCs w:val="18"/>
                <w:color w:val="0000FF"/>
              </w:rPr>
            </w:pPr>
            <w:hyperlink w:anchor="page6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400" w:type="dxa"/>
            <w:vAlign w:val="bottom"/>
            <w:gridSpan w:val="9"/>
            <w:shd w:val="clear" w:color="auto" w:fill="F4F4F4"/>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Certification by the Chief Financial Officer pursuant to</w:t>
              </w:r>
            </w:hyperlink>
          </w:p>
        </w:tc>
        <w:tc>
          <w:tcPr>
            <w:tcW w:w="1070" w:type="dxa"/>
            <w:vAlign w:val="bottom"/>
            <w:shd w:val="clear" w:color="auto" w:fill="F4F4F4"/>
          </w:tcPr>
          <w:p>
            <w:pPr>
              <w:jc w:val="center"/>
              <w:ind w:right="26"/>
              <w:spacing w:after="0"/>
              <w:rPr>
                <w:sz w:val="20"/>
                <w:szCs w:val="20"/>
                <w:color w:val="auto"/>
              </w:rPr>
            </w:pPr>
            <w:r>
              <w:rPr>
                <w:rFonts w:ascii="Arial" w:cs="Arial" w:eastAsia="Arial" w:hAnsi="Arial"/>
                <w:sz w:val="18"/>
                <w:szCs w:val="18"/>
                <w:color w:val="auto"/>
                <w:w w:val="99"/>
              </w:rPr>
              <w:t>X</w:t>
            </w:r>
          </w:p>
        </w:tc>
        <w:tc>
          <w:tcPr>
            <w:tcW w:w="830" w:type="dxa"/>
            <w:vAlign w:val="bottom"/>
            <w:shd w:val="clear" w:color="auto" w:fill="F4F4F4"/>
          </w:tcPr>
          <w:p>
            <w:pPr>
              <w:spacing w:after="0"/>
              <w:rPr>
                <w:sz w:val="22"/>
                <w:szCs w:val="22"/>
                <w:color w:val="auto"/>
              </w:rPr>
            </w:pPr>
          </w:p>
        </w:tc>
        <w:tc>
          <w:tcPr>
            <w:tcW w:w="1630" w:type="dxa"/>
            <w:vAlign w:val="bottom"/>
            <w:shd w:val="clear" w:color="auto" w:fill="F4F4F4"/>
          </w:tcPr>
          <w:p>
            <w:pPr>
              <w:spacing w:after="0"/>
              <w:rPr>
                <w:sz w:val="22"/>
                <w:szCs w:val="22"/>
                <w:color w:val="auto"/>
              </w:rPr>
            </w:pPr>
          </w:p>
        </w:tc>
        <w:tc>
          <w:tcPr>
            <w:tcW w:w="1090" w:type="dxa"/>
            <w:vAlign w:val="bottom"/>
            <w:shd w:val="clear" w:color="auto" w:fill="F4F4F4"/>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640" w:type="dxa"/>
            <w:vAlign w:val="bottom"/>
            <w:tcBorders>
              <w:top w:val="single" w:sz="8" w:color="F4F4F4"/>
            </w:tcBorders>
            <w:shd w:val="clear" w:color="auto" w:fill="F4F4F4"/>
          </w:tcPr>
          <w:p>
            <w:pPr>
              <w:spacing w:after="0"/>
              <w:rPr>
                <w:sz w:val="17"/>
                <w:szCs w:val="17"/>
                <w:color w:val="auto"/>
              </w:rPr>
            </w:pPr>
          </w:p>
        </w:tc>
        <w:tc>
          <w:tcPr>
            <w:tcW w:w="100" w:type="dxa"/>
            <w:vAlign w:val="bottom"/>
            <w:tcBorders>
              <w:top w:val="single" w:sz="8" w:color="F4F4F4"/>
            </w:tcBorders>
            <w:shd w:val="clear" w:color="auto" w:fill="F4F4F4"/>
          </w:tcPr>
          <w:p>
            <w:pPr>
              <w:spacing w:after="0"/>
              <w:rPr>
                <w:sz w:val="17"/>
                <w:szCs w:val="17"/>
                <w:color w:val="auto"/>
              </w:rPr>
            </w:pPr>
          </w:p>
        </w:tc>
        <w:tc>
          <w:tcPr>
            <w:tcW w:w="340" w:type="dxa"/>
            <w:vAlign w:val="bottom"/>
            <w:tcBorders>
              <w:top w:val="single" w:sz="8" w:color="0000FF"/>
            </w:tcBorders>
            <w:shd w:val="clear" w:color="auto" w:fill="F4F4F4"/>
          </w:tcPr>
          <w:p>
            <w:pPr>
              <w:spacing w:after="0"/>
              <w:rPr>
                <w:sz w:val="17"/>
                <w:szCs w:val="17"/>
                <w:color w:val="auto"/>
              </w:rPr>
            </w:pPr>
          </w:p>
        </w:tc>
        <w:tc>
          <w:tcPr>
            <w:tcW w:w="140" w:type="dxa"/>
            <w:vAlign w:val="bottom"/>
            <w:tcBorders>
              <w:top w:val="single" w:sz="8" w:color="F4F4F4"/>
            </w:tcBorders>
            <w:shd w:val="clear" w:color="auto" w:fill="F4F4F4"/>
          </w:tcPr>
          <w:p>
            <w:pPr>
              <w:spacing w:after="0"/>
              <w:rPr>
                <w:sz w:val="17"/>
                <w:szCs w:val="17"/>
                <w:color w:val="auto"/>
              </w:rPr>
            </w:pPr>
          </w:p>
        </w:tc>
        <w:tc>
          <w:tcPr>
            <w:tcW w:w="4260" w:type="dxa"/>
            <w:vAlign w:val="bottom"/>
            <w:tcBorders>
              <w:top w:val="single" w:sz="8" w:color="0000FF"/>
            </w:tcBorders>
            <w:gridSpan w:val="4"/>
            <w:shd w:val="clear" w:color="auto" w:fill="F4F4F4"/>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Section 302 of the Sarbanes-Oxley Act of 2002.</w:t>
              </w:r>
            </w:hyperlink>
          </w:p>
        </w:tc>
        <w:tc>
          <w:tcPr>
            <w:tcW w:w="1140" w:type="dxa"/>
            <w:vAlign w:val="bottom"/>
            <w:tcBorders>
              <w:top w:val="single" w:sz="8" w:color="F4F4F4"/>
            </w:tcBorders>
            <w:gridSpan w:val="5"/>
            <w:shd w:val="clear" w:color="auto" w:fill="F4F4F4"/>
          </w:tcPr>
          <w:p>
            <w:pPr>
              <w:spacing w:after="0"/>
              <w:rPr>
                <w:sz w:val="17"/>
                <w:szCs w:val="17"/>
                <w:color w:val="auto"/>
              </w:rPr>
            </w:pPr>
          </w:p>
        </w:tc>
        <w:tc>
          <w:tcPr>
            <w:tcW w:w="1070" w:type="dxa"/>
            <w:vAlign w:val="bottom"/>
            <w:tcBorders>
              <w:top w:val="single" w:sz="8" w:color="F4F4F4"/>
            </w:tcBorders>
            <w:shd w:val="clear" w:color="auto" w:fill="F4F4F4"/>
          </w:tcPr>
          <w:p>
            <w:pPr>
              <w:spacing w:after="0"/>
              <w:rPr>
                <w:sz w:val="17"/>
                <w:szCs w:val="17"/>
                <w:color w:val="auto"/>
              </w:rPr>
            </w:pPr>
          </w:p>
        </w:tc>
        <w:tc>
          <w:tcPr>
            <w:tcW w:w="830" w:type="dxa"/>
            <w:vAlign w:val="bottom"/>
            <w:tcBorders>
              <w:top w:val="single" w:sz="8" w:color="F4F4F4"/>
            </w:tcBorders>
            <w:shd w:val="clear" w:color="auto" w:fill="F4F4F4"/>
          </w:tcPr>
          <w:p>
            <w:pPr>
              <w:spacing w:after="0"/>
              <w:rPr>
                <w:sz w:val="17"/>
                <w:szCs w:val="17"/>
                <w:color w:val="auto"/>
              </w:rPr>
            </w:pPr>
          </w:p>
        </w:tc>
        <w:tc>
          <w:tcPr>
            <w:tcW w:w="1630" w:type="dxa"/>
            <w:vAlign w:val="bottom"/>
            <w:tcBorders>
              <w:top w:val="single" w:sz="8" w:color="F4F4F4"/>
            </w:tcBorders>
            <w:shd w:val="clear" w:color="auto" w:fill="F4F4F4"/>
          </w:tcPr>
          <w:p>
            <w:pPr>
              <w:spacing w:after="0"/>
              <w:rPr>
                <w:sz w:val="17"/>
                <w:szCs w:val="17"/>
                <w:color w:val="auto"/>
              </w:rPr>
            </w:pPr>
          </w:p>
        </w:tc>
        <w:tc>
          <w:tcPr>
            <w:tcW w:w="1090" w:type="dxa"/>
            <w:vAlign w:val="bottom"/>
            <w:tcBorders>
              <w:top w:val="single" w:sz="8" w:color="F4F4F4"/>
            </w:tcBorders>
            <w:shd w:val="clear" w:color="auto" w:fill="F4F4F4"/>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40" w:type="dxa"/>
            <w:vAlign w:val="bottom"/>
            <w:tcBorders>
              <w:top w:val="single" w:sz="8" w:color="F4F4F4"/>
            </w:tcBorders>
            <w:shd w:val="clear" w:color="auto" w:fill="F4F4F4"/>
          </w:tcPr>
          <w:p>
            <w:pPr>
              <w:spacing w:after="0"/>
              <w:rPr>
                <w:sz w:val="4"/>
                <w:szCs w:val="4"/>
                <w:color w:val="auto"/>
              </w:rPr>
            </w:pPr>
          </w:p>
        </w:tc>
        <w:tc>
          <w:tcPr>
            <w:tcW w:w="100" w:type="dxa"/>
            <w:vAlign w:val="bottom"/>
            <w:tcBorders>
              <w:top w:val="single" w:sz="8" w:color="F4F4F4"/>
            </w:tcBorders>
            <w:shd w:val="clear" w:color="auto" w:fill="F4F4F4"/>
          </w:tcPr>
          <w:p>
            <w:pPr>
              <w:spacing w:after="0"/>
              <w:rPr>
                <w:sz w:val="4"/>
                <w:szCs w:val="4"/>
                <w:color w:val="auto"/>
              </w:rPr>
            </w:pPr>
          </w:p>
        </w:tc>
        <w:tc>
          <w:tcPr>
            <w:tcW w:w="340" w:type="dxa"/>
            <w:vAlign w:val="bottom"/>
            <w:tcBorders>
              <w:top w:val="single" w:sz="8" w:color="F4F4F4"/>
            </w:tcBorders>
            <w:shd w:val="clear" w:color="auto" w:fill="F4F4F4"/>
          </w:tcPr>
          <w:p>
            <w:pPr>
              <w:spacing w:after="0"/>
              <w:rPr>
                <w:sz w:val="4"/>
                <w:szCs w:val="4"/>
                <w:color w:val="auto"/>
              </w:rPr>
            </w:pPr>
          </w:p>
        </w:tc>
        <w:tc>
          <w:tcPr>
            <w:tcW w:w="140" w:type="dxa"/>
            <w:vAlign w:val="bottom"/>
            <w:tcBorders>
              <w:top w:val="single" w:sz="8" w:color="F4F4F4"/>
            </w:tcBorders>
            <w:shd w:val="clear" w:color="auto" w:fill="F4F4F4"/>
          </w:tcPr>
          <w:p>
            <w:pPr>
              <w:spacing w:after="0"/>
              <w:rPr>
                <w:sz w:val="4"/>
                <w:szCs w:val="4"/>
                <w:color w:val="auto"/>
              </w:rPr>
            </w:pPr>
          </w:p>
        </w:tc>
        <w:tc>
          <w:tcPr>
            <w:tcW w:w="960" w:type="dxa"/>
            <w:vAlign w:val="bottom"/>
            <w:tcBorders>
              <w:top w:val="single" w:sz="8" w:color="0000FF"/>
            </w:tcBorders>
            <w:shd w:val="clear" w:color="auto" w:fill="F4F4F4"/>
          </w:tcPr>
          <w:p>
            <w:pPr>
              <w:spacing w:after="0"/>
              <w:rPr>
                <w:sz w:val="4"/>
                <w:szCs w:val="4"/>
                <w:color w:val="auto"/>
              </w:rPr>
            </w:pPr>
          </w:p>
        </w:tc>
        <w:tc>
          <w:tcPr>
            <w:tcW w:w="2840" w:type="dxa"/>
            <w:vAlign w:val="bottom"/>
            <w:tcBorders>
              <w:top w:val="single" w:sz="8" w:color="0000FF"/>
            </w:tcBorders>
            <w:shd w:val="clear" w:color="auto" w:fill="F4F4F4"/>
          </w:tcPr>
          <w:p>
            <w:pPr>
              <w:spacing w:after="0"/>
              <w:rPr>
                <w:sz w:val="4"/>
                <w:szCs w:val="4"/>
                <w:color w:val="auto"/>
              </w:rPr>
            </w:pPr>
          </w:p>
        </w:tc>
        <w:tc>
          <w:tcPr>
            <w:tcW w:w="340" w:type="dxa"/>
            <w:vAlign w:val="bottom"/>
            <w:tcBorders>
              <w:top w:val="single" w:sz="8" w:color="F4F4F4"/>
            </w:tcBorders>
            <w:shd w:val="clear" w:color="auto" w:fill="F4F4F4"/>
          </w:tcPr>
          <w:p>
            <w:pPr>
              <w:spacing w:after="0"/>
              <w:rPr>
                <w:sz w:val="4"/>
                <w:szCs w:val="4"/>
                <w:color w:val="auto"/>
              </w:rPr>
            </w:pPr>
          </w:p>
        </w:tc>
        <w:tc>
          <w:tcPr>
            <w:tcW w:w="120" w:type="dxa"/>
            <w:vAlign w:val="bottom"/>
            <w:tcBorders>
              <w:top w:val="single" w:sz="8" w:color="F4F4F4"/>
            </w:tcBorders>
            <w:shd w:val="clear" w:color="auto" w:fill="F4F4F4"/>
          </w:tcPr>
          <w:p>
            <w:pPr>
              <w:spacing w:after="0"/>
              <w:rPr>
                <w:sz w:val="4"/>
                <w:szCs w:val="4"/>
                <w:color w:val="auto"/>
              </w:rPr>
            </w:pPr>
          </w:p>
        </w:tc>
        <w:tc>
          <w:tcPr>
            <w:tcW w:w="60" w:type="dxa"/>
            <w:vAlign w:val="bottom"/>
            <w:tcBorders>
              <w:top w:val="single" w:sz="8" w:color="F4F4F4"/>
            </w:tcBorders>
            <w:shd w:val="clear" w:color="auto" w:fill="F4F4F4"/>
          </w:tcPr>
          <w:p>
            <w:pPr>
              <w:spacing w:after="0"/>
              <w:rPr>
                <w:sz w:val="4"/>
                <w:szCs w:val="4"/>
                <w:color w:val="auto"/>
              </w:rPr>
            </w:pPr>
          </w:p>
        </w:tc>
        <w:tc>
          <w:tcPr>
            <w:tcW w:w="80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240" w:type="dxa"/>
            <w:vAlign w:val="bottom"/>
            <w:tcBorders>
              <w:top w:val="single" w:sz="8" w:color="F4F4F4"/>
            </w:tcBorders>
            <w:shd w:val="clear" w:color="auto" w:fill="F4F4F4"/>
          </w:tcPr>
          <w:p>
            <w:pPr>
              <w:spacing w:after="0"/>
              <w:rPr>
                <w:sz w:val="4"/>
                <w:szCs w:val="4"/>
                <w:color w:val="auto"/>
              </w:rPr>
            </w:pPr>
          </w:p>
        </w:tc>
        <w:tc>
          <w:tcPr>
            <w:tcW w:w="1070" w:type="dxa"/>
            <w:vAlign w:val="bottom"/>
            <w:tcBorders>
              <w:top w:val="single" w:sz="8" w:color="F4F4F4"/>
            </w:tcBorders>
            <w:shd w:val="clear" w:color="auto" w:fill="F4F4F4"/>
          </w:tcPr>
          <w:p>
            <w:pPr>
              <w:spacing w:after="0"/>
              <w:rPr>
                <w:sz w:val="4"/>
                <w:szCs w:val="4"/>
                <w:color w:val="auto"/>
              </w:rPr>
            </w:pPr>
          </w:p>
        </w:tc>
        <w:tc>
          <w:tcPr>
            <w:tcW w:w="830" w:type="dxa"/>
            <w:vAlign w:val="bottom"/>
            <w:tcBorders>
              <w:top w:val="single" w:sz="8" w:color="F4F4F4"/>
            </w:tcBorders>
            <w:shd w:val="clear" w:color="auto" w:fill="F4F4F4"/>
          </w:tcPr>
          <w:p>
            <w:pPr>
              <w:spacing w:after="0"/>
              <w:rPr>
                <w:sz w:val="4"/>
                <w:szCs w:val="4"/>
                <w:color w:val="auto"/>
              </w:rPr>
            </w:pPr>
          </w:p>
        </w:tc>
        <w:tc>
          <w:tcPr>
            <w:tcW w:w="1630" w:type="dxa"/>
            <w:vAlign w:val="bottom"/>
            <w:tcBorders>
              <w:top w:val="single" w:sz="8" w:color="F4F4F4"/>
            </w:tcBorders>
            <w:shd w:val="clear" w:color="auto" w:fill="F4F4F4"/>
          </w:tcPr>
          <w:p>
            <w:pPr>
              <w:spacing w:after="0"/>
              <w:rPr>
                <w:sz w:val="4"/>
                <w:szCs w:val="4"/>
                <w:color w:val="auto"/>
              </w:rPr>
            </w:pPr>
          </w:p>
        </w:tc>
        <w:tc>
          <w:tcPr>
            <w:tcW w:w="1090" w:type="dxa"/>
            <w:vAlign w:val="bottom"/>
            <w:tcBorders>
              <w:top w:val="single" w:sz="8" w:color="F4F4F4"/>
            </w:tcBorders>
            <w:shd w:val="clear" w:color="auto" w:fill="F4F4F4"/>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1220" w:type="dxa"/>
            <w:vAlign w:val="bottom"/>
            <w:gridSpan w:val="4"/>
          </w:tcPr>
          <w:p>
            <w:pPr>
              <w:jc w:val="right"/>
              <w:ind w:right="140"/>
              <w:spacing w:after="0"/>
              <w:rPr>
                <w:rFonts w:ascii="Arial" w:cs="Arial" w:eastAsia="Arial" w:hAnsi="Arial"/>
                <w:sz w:val="18"/>
                <w:szCs w:val="18"/>
                <w:color w:val="0000FF"/>
              </w:rPr>
            </w:pPr>
            <w:hyperlink w:anchor="page6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400" w:type="dxa"/>
            <w:vAlign w:val="bottom"/>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Certification by the Chief Executive Officer pursuant to 18 U.S.C.</w:t>
              </w:r>
            </w:hyperlink>
          </w:p>
        </w:tc>
        <w:tc>
          <w:tcPr>
            <w:tcW w:w="1070" w:type="dxa"/>
            <w:vAlign w:val="bottom"/>
          </w:tcPr>
          <w:p>
            <w:pPr>
              <w:jc w:val="center"/>
              <w:ind w:right="26"/>
              <w:spacing w:after="0"/>
              <w:rPr>
                <w:sz w:val="20"/>
                <w:szCs w:val="20"/>
                <w:color w:val="auto"/>
              </w:rPr>
            </w:pPr>
            <w:r>
              <w:rPr>
                <w:rFonts w:ascii="Arial" w:cs="Arial" w:eastAsia="Arial" w:hAnsi="Arial"/>
                <w:sz w:val="18"/>
                <w:szCs w:val="18"/>
                <w:color w:val="auto"/>
                <w:w w:val="99"/>
              </w:rPr>
              <w:t>X</w:t>
            </w:r>
          </w:p>
        </w:tc>
        <w:tc>
          <w:tcPr>
            <w:tcW w:w="830" w:type="dxa"/>
            <w:vAlign w:val="bottom"/>
          </w:tcPr>
          <w:p>
            <w:pPr>
              <w:spacing w:after="0"/>
              <w:rPr>
                <w:sz w:val="22"/>
                <w:szCs w:val="22"/>
                <w:color w:val="auto"/>
              </w:rPr>
            </w:pPr>
          </w:p>
        </w:tc>
        <w:tc>
          <w:tcPr>
            <w:tcW w:w="1630" w:type="dxa"/>
            <w:vAlign w:val="bottom"/>
          </w:tcPr>
          <w:p>
            <w:pPr>
              <w:spacing w:after="0"/>
              <w:rPr>
                <w:sz w:val="22"/>
                <w:szCs w:val="22"/>
                <w:color w:val="auto"/>
              </w:rPr>
            </w:pPr>
          </w:p>
        </w:tc>
        <w:tc>
          <w:tcPr>
            <w:tcW w:w="109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9"/>
              </w:rPr>
            </w:pPr>
            <w:hyperlink w:anchor="page63">
              <w:r>
                <w:rPr>
                  <w:rFonts w:ascii="Arial" w:cs="Arial" w:eastAsia="Arial" w:hAnsi="Arial"/>
                  <w:sz w:val="18"/>
                  <w:szCs w:val="18"/>
                  <w:color w:val="0000FF"/>
                  <w:w w:val="99"/>
                </w:rPr>
                <w:t>1350 as adopted pursuant to Section 906 of the Sarbanes-Oxley</w:t>
              </w:r>
            </w:hyperlink>
          </w:p>
        </w:tc>
        <w:tc>
          <w:tcPr>
            <w:tcW w:w="2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070" w:type="dxa"/>
            <w:vAlign w:val="bottom"/>
          </w:tcPr>
          <w:p>
            <w:pPr>
              <w:spacing w:after="0"/>
              <w:rPr>
                <w:sz w:val="17"/>
                <w:szCs w:val="17"/>
                <w:color w:val="auto"/>
              </w:rPr>
            </w:pPr>
          </w:p>
        </w:tc>
        <w:tc>
          <w:tcPr>
            <w:tcW w:w="830" w:type="dxa"/>
            <w:vAlign w:val="bottom"/>
          </w:tcPr>
          <w:p>
            <w:pPr>
              <w:spacing w:after="0"/>
              <w:rPr>
                <w:sz w:val="17"/>
                <w:szCs w:val="17"/>
                <w:color w:val="auto"/>
              </w:rPr>
            </w:pPr>
          </w:p>
        </w:tc>
        <w:tc>
          <w:tcPr>
            <w:tcW w:w="1630" w:type="dxa"/>
            <w:vAlign w:val="bottom"/>
          </w:tcPr>
          <w:p>
            <w:pPr>
              <w:spacing w:after="0"/>
              <w:rPr>
                <w:sz w:val="17"/>
                <w:szCs w:val="17"/>
                <w:color w:val="auto"/>
              </w:rPr>
            </w:pPr>
          </w:p>
        </w:tc>
        <w:tc>
          <w:tcPr>
            <w:tcW w:w="109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gridSpan w:val="9"/>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Act of 2002.</w:t>
              </w:r>
            </w:hyperlink>
          </w:p>
        </w:tc>
        <w:tc>
          <w:tcPr>
            <w:tcW w:w="1070" w:type="dxa"/>
            <w:vAlign w:val="bottom"/>
          </w:tcPr>
          <w:p>
            <w:pPr>
              <w:spacing w:after="0"/>
              <w:rPr>
                <w:sz w:val="17"/>
                <w:szCs w:val="17"/>
                <w:color w:val="auto"/>
              </w:rPr>
            </w:pPr>
          </w:p>
        </w:tc>
        <w:tc>
          <w:tcPr>
            <w:tcW w:w="830" w:type="dxa"/>
            <w:vAlign w:val="bottom"/>
          </w:tcPr>
          <w:p>
            <w:pPr>
              <w:spacing w:after="0"/>
              <w:rPr>
                <w:sz w:val="17"/>
                <w:szCs w:val="17"/>
                <w:color w:val="auto"/>
              </w:rPr>
            </w:pPr>
          </w:p>
        </w:tc>
        <w:tc>
          <w:tcPr>
            <w:tcW w:w="1630" w:type="dxa"/>
            <w:vAlign w:val="bottom"/>
          </w:tcPr>
          <w:p>
            <w:pPr>
              <w:spacing w:after="0"/>
              <w:rPr>
                <w:sz w:val="17"/>
                <w:szCs w:val="17"/>
                <w:color w:val="auto"/>
              </w:rPr>
            </w:pPr>
          </w:p>
        </w:tc>
        <w:tc>
          <w:tcPr>
            <w:tcW w:w="109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70" w:type="dxa"/>
            <w:vAlign w:val="bottom"/>
          </w:tcPr>
          <w:p>
            <w:pPr>
              <w:spacing w:after="0" w:line="20" w:lineRule="exact"/>
              <w:rPr>
                <w:sz w:val="1"/>
                <w:szCs w:val="1"/>
                <w:color w:val="auto"/>
              </w:rPr>
            </w:pPr>
          </w:p>
        </w:tc>
        <w:tc>
          <w:tcPr>
            <w:tcW w:w="830" w:type="dxa"/>
            <w:vAlign w:val="bottom"/>
          </w:tcPr>
          <w:p>
            <w:pPr>
              <w:spacing w:after="0" w:line="20" w:lineRule="exact"/>
              <w:rPr>
                <w:sz w:val="1"/>
                <w:szCs w:val="1"/>
                <w:color w:val="auto"/>
              </w:rPr>
            </w:pPr>
          </w:p>
        </w:tc>
        <w:tc>
          <w:tcPr>
            <w:tcW w:w="1630" w:type="dxa"/>
            <w:vAlign w:val="bottom"/>
          </w:tcPr>
          <w:p>
            <w:pPr>
              <w:spacing w:after="0" w:line="20" w:lineRule="exact"/>
              <w:rPr>
                <w:sz w:val="1"/>
                <w:szCs w:val="1"/>
                <w:color w:val="auto"/>
              </w:rPr>
            </w:pPr>
          </w:p>
        </w:tc>
        <w:tc>
          <w:tcPr>
            <w:tcW w:w="10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4800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-1731010</wp:posOffset>
            </wp:positionV>
            <wp:extent cx="29489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p>
      <w:pPr>
        <w:spacing w:after="0" w:line="134" w:lineRule="exact"/>
        <w:rPr>
          <w:sz w:val="20"/>
          <w:szCs w:val="20"/>
          <w:color w:val="auto"/>
        </w:rPr>
      </w:pPr>
    </w:p>
    <w:p>
      <w:pPr>
        <w:jc w:val="both"/>
        <w:ind w:left="1220" w:hanging="493"/>
        <w:spacing w:after="0" w:line="256" w:lineRule="auto"/>
        <w:tabs>
          <w:tab w:leader="none" w:pos="1200" w:val="left"/>
        </w:tabs>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64">
        <w:r>
          <w:rPr>
            <w:rFonts w:ascii="Arial" w:cs="Arial" w:eastAsia="Arial" w:hAnsi="Arial"/>
            <w:sz w:val="18"/>
            <w:szCs w:val="18"/>
            <w:u w:val="single" w:color="auto"/>
            <w:color w:val="0000FF"/>
          </w:rPr>
          <w:t>Certification by the Chief Financial Officer pursuant to 18 U.S.C.</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1350 as adopted pursuant to Section 906 of the Sarbanes-Oxley</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Act of 2002.</w:t>
        </w:r>
      </w:hyperlink>
    </w:p>
    <w:p>
      <w:pPr>
        <w:spacing w:after="0" w:line="40" w:lineRule="exact"/>
        <w:rPr>
          <w:rFonts w:ascii="Arial" w:cs="Arial" w:eastAsia="Arial" w:hAnsi="Arial"/>
          <w:sz w:val="18"/>
          <w:szCs w:val="18"/>
          <w:u w:val="single" w:color="auto"/>
          <w:color w:val="0000FF"/>
        </w:rPr>
      </w:pPr>
    </w:p>
    <w:p>
      <w:pPr>
        <w:jc w:val="both"/>
        <w:ind w:left="1220" w:right="60" w:hanging="793"/>
        <w:spacing w:after="0" w:line="256" w:lineRule="auto"/>
        <w:tabs>
          <w:tab w:leader="none" w:pos="1200" w:val="left"/>
        </w:tabs>
        <w:rPr>
          <w:sz w:val="20"/>
          <w:szCs w:val="20"/>
          <w:color w:val="auto"/>
        </w:rPr>
      </w:pPr>
      <w:r>
        <w:rPr>
          <w:rFonts w:ascii="Arial" w:cs="Arial" w:eastAsia="Arial" w:hAnsi="Arial"/>
          <w:sz w:val="18"/>
          <w:szCs w:val="18"/>
          <w:color w:val="auto"/>
        </w:rPr>
        <w:t>101.INS</w:t>
        <w:tab/>
        <w:t>Inline XBRL Instance Document - the Instance Document does not appear in the interactive data file because its XBRL tags are embedded within the Inline XBRL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6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FF"/>
        </w:rPr>
      </w:pPr>
    </w:p>
    <w:p>
      <w:pPr>
        <w:spacing w:after="0" w:line="36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480" w:lineRule="exact"/>
        <w:rPr>
          <w:rFonts w:ascii="Arial" w:cs="Arial" w:eastAsia="Arial" w:hAnsi="Arial"/>
          <w:sz w:val="18"/>
          <w:szCs w:val="18"/>
          <w:u w:val="single" w:color="auto"/>
          <w:color w:val="0000FF"/>
        </w:rPr>
      </w:pPr>
    </w:p>
    <w:p>
      <w:pPr>
        <w:sectPr>
          <w:pgSz w:w="11900" w:h="16838" w:orient="portrait"/>
          <w:cols w:equalWidth="0" w:num="2">
            <w:col w:w="6360" w:space="680"/>
            <w:col w:w="4220"/>
          </w:cols>
          <w:pgMar w:left="320" w:top="126" w:right="31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101.SCH</w:t>
            </w:r>
          </w:p>
        </w:tc>
        <w:tc>
          <w:tcPr>
            <w:tcW w:w="5540" w:type="dxa"/>
            <w:vAlign w:val="bottom"/>
            <w:tcBorders>
              <w:bottom w:val="single" w:sz="8" w:color="F4F4F4"/>
            </w:tcBorders>
            <w:shd w:val="clear" w:color="auto" w:fill="F4F4F4"/>
          </w:tcPr>
          <w:p>
            <w:pPr>
              <w:ind w:left="60"/>
              <w:spacing w:after="0"/>
              <w:rPr>
                <w:sz w:val="20"/>
                <w:szCs w:val="20"/>
                <w:color w:val="auto"/>
              </w:rPr>
            </w:pPr>
            <w:r>
              <w:rPr>
                <w:rFonts w:ascii="Arial" w:cs="Arial" w:eastAsia="Arial" w:hAnsi="Arial"/>
                <w:sz w:val="18"/>
                <w:szCs w:val="18"/>
                <w:color w:val="auto"/>
              </w:rPr>
              <w:t>Inline XBRL Taxonomy Extension Schema Document.</w:t>
            </w:r>
          </w:p>
        </w:tc>
        <w:tc>
          <w:tcPr>
            <w:tcW w:w="4540" w:type="dxa"/>
            <w:vAlign w:val="bottom"/>
            <w:tcBorders>
              <w:bottom w:val="single" w:sz="8" w:color="F4F4F4"/>
            </w:tcBorders>
            <w:shd w:val="clear" w:color="auto" w:fill="F4F4F4"/>
          </w:tcPr>
          <w:p>
            <w:pPr>
              <w:ind w:left="340"/>
              <w:spacing w:after="0"/>
              <w:rPr>
                <w:sz w:val="20"/>
                <w:szCs w:val="20"/>
                <w:color w:val="auto"/>
              </w:rPr>
            </w:pPr>
            <w:r>
              <w:rPr>
                <w:rFonts w:ascii="Arial" w:cs="Arial" w:eastAsia="Arial" w:hAnsi="Arial"/>
                <w:sz w:val="18"/>
                <w:szCs w:val="18"/>
                <w:color w:val="auto"/>
              </w:rPr>
              <w:t>X</w:t>
            </w:r>
          </w:p>
        </w:tc>
      </w:tr>
      <w:tr>
        <w:trPr>
          <w:trHeight w:val="242"/>
        </w:trPr>
        <w:tc>
          <w:tcPr>
            <w:tcW w:w="1160" w:type="dxa"/>
            <w:vAlign w:val="bottom"/>
          </w:tcPr>
          <w:p>
            <w:pPr>
              <w:jc w:val="right"/>
              <w:spacing w:after="0"/>
              <w:rPr>
                <w:sz w:val="20"/>
                <w:szCs w:val="20"/>
                <w:color w:val="auto"/>
              </w:rPr>
            </w:pPr>
            <w:r>
              <w:rPr>
                <w:rFonts w:ascii="Arial" w:cs="Arial" w:eastAsia="Arial" w:hAnsi="Arial"/>
                <w:sz w:val="18"/>
                <w:szCs w:val="18"/>
                <w:color w:val="auto"/>
              </w:rPr>
              <w:t>101.CAL</w:t>
            </w:r>
          </w:p>
        </w:tc>
        <w:tc>
          <w:tcPr>
            <w:tcW w:w="5540" w:type="dxa"/>
            <w:vAlign w:val="bottom"/>
          </w:tcPr>
          <w:p>
            <w:pPr>
              <w:ind w:left="60"/>
              <w:spacing w:after="0"/>
              <w:rPr>
                <w:sz w:val="20"/>
                <w:szCs w:val="20"/>
                <w:color w:val="auto"/>
              </w:rPr>
            </w:pPr>
            <w:r>
              <w:rPr>
                <w:rFonts w:ascii="Arial" w:cs="Arial" w:eastAsia="Arial" w:hAnsi="Arial"/>
                <w:sz w:val="18"/>
                <w:szCs w:val="18"/>
                <w:color w:val="auto"/>
              </w:rPr>
              <w:t>Inline XBRL Taxonomy Extension Calculation Linkbase</w:t>
            </w:r>
          </w:p>
        </w:tc>
        <w:tc>
          <w:tcPr>
            <w:tcW w:w="4540" w:type="dxa"/>
            <w:vAlign w:val="bottom"/>
          </w:tcPr>
          <w:p>
            <w:pPr>
              <w:ind w:left="340"/>
              <w:spacing w:after="0"/>
              <w:rPr>
                <w:sz w:val="20"/>
                <w:szCs w:val="20"/>
                <w:color w:val="auto"/>
              </w:rPr>
            </w:pPr>
            <w:r>
              <w:rPr>
                <w:rFonts w:ascii="Arial" w:cs="Arial" w:eastAsia="Arial" w:hAnsi="Arial"/>
                <w:sz w:val="18"/>
                <w:szCs w:val="18"/>
                <w:color w:val="auto"/>
              </w:rPr>
              <w:t>X</w:t>
            </w:r>
          </w:p>
        </w:tc>
      </w:tr>
      <w:tr>
        <w:trPr>
          <w:trHeight w:val="217"/>
        </w:trPr>
        <w:tc>
          <w:tcPr>
            <w:tcW w:w="1160" w:type="dxa"/>
            <w:vAlign w:val="bottom"/>
          </w:tcPr>
          <w:p>
            <w:pPr>
              <w:spacing w:after="0"/>
              <w:rPr>
                <w:sz w:val="18"/>
                <w:szCs w:val="18"/>
                <w:color w:val="auto"/>
              </w:rPr>
            </w:pPr>
          </w:p>
        </w:tc>
        <w:tc>
          <w:tcPr>
            <w:tcW w:w="5540" w:type="dxa"/>
            <w:vAlign w:val="bottom"/>
          </w:tcPr>
          <w:p>
            <w:pPr>
              <w:ind w:left="60"/>
              <w:spacing w:after="0"/>
              <w:rPr>
                <w:sz w:val="20"/>
                <w:szCs w:val="20"/>
                <w:color w:val="auto"/>
              </w:rPr>
            </w:pPr>
            <w:r>
              <w:rPr>
                <w:rFonts w:ascii="Arial" w:cs="Arial" w:eastAsia="Arial" w:hAnsi="Arial"/>
                <w:sz w:val="18"/>
                <w:szCs w:val="18"/>
                <w:color w:val="auto"/>
              </w:rPr>
              <w:t>Document.</w:t>
            </w:r>
          </w:p>
        </w:tc>
        <w:tc>
          <w:tcPr>
            <w:tcW w:w="45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50"/>
        </w:trPr>
        <w:tc>
          <w:tcPr>
            <w:tcW w:w="1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101.DEF</w:t>
            </w:r>
          </w:p>
        </w:tc>
        <w:tc>
          <w:tcPr>
            <w:tcW w:w="5540" w:type="dxa"/>
            <w:vAlign w:val="bottom"/>
            <w:tcBorders>
              <w:bottom w:val="single" w:sz="8" w:color="F4F4F4"/>
            </w:tcBorders>
            <w:shd w:val="clear" w:color="auto" w:fill="F4F4F4"/>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c>
          <w:tcPr>
            <w:tcW w:w="4540" w:type="dxa"/>
            <w:vAlign w:val="bottom"/>
            <w:tcBorders>
              <w:bottom w:val="single" w:sz="8" w:color="F4F4F4"/>
            </w:tcBorders>
            <w:shd w:val="clear" w:color="auto" w:fill="F4F4F4"/>
          </w:tcPr>
          <w:p>
            <w:pPr>
              <w:ind w:left="340"/>
              <w:spacing w:after="0"/>
              <w:rPr>
                <w:sz w:val="20"/>
                <w:szCs w:val="20"/>
                <w:color w:val="auto"/>
              </w:rPr>
            </w:pPr>
            <w:r>
              <w:rPr>
                <w:rFonts w:ascii="Arial" w:cs="Arial" w:eastAsia="Arial" w:hAnsi="Arial"/>
                <w:sz w:val="18"/>
                <w:szCs w:val="18"/>
                <w:color w:val="auto"/>
              </w:rPr>
              <w:t>X</w:t>
            </w:r>
          </w:p>
        </w:tc>
      </w:tr>
      <w:tr>
        <w:trPr>
          <w:trHeight w:val="243"/>
        </w:trPr>
        <w:tc>
          <w:tcPr>
            <w:tcW w:w="1160" w:type="dxa"/>
            <w:vAlign w:val="bottom"/>
          </w:tcPr>
          <w:p>
            <w:pPr>
              <w:jc w:val="right"/>
              <w:spacing w:after="0"/>
              <w:rPr>
                <w:sz w:val="20"/>
                <w:szCs w:val="20"/>
                <w:color w:val="auto"/>
              </w:rPr>
            </w:pPr>
            <w:r>
              <w:rPr>
                <w:rFonts w:ascii="Arial" w:cs="Arial" w:eastAsia="Arial" w:hAnsi="Arial"/>
                <w:sz w:val="18"/>
                <w:szCs w:val="18"/>
                <w:color w:val="auto"/>
              </w:rPr>
              <w:t>101.LAB</w:t>
            </w:r>
          </w:p>
        </w:tc>
        <w:tc>
          <w:tcPr>
            <w:tcW w:w="5540" w:type="dxa"/>
            <w:vAlign w:val="bottom"/>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c>
          <w:tcPr>
            <w:tcW w:w="4540" w:type="dxa"/>
            <w:vAlign w:val="bottom"/>
          </w:tcPr>
          <w:p>
            <w:pPr>
              <w:ind w:left="340"/>
              <w:spacing w:after="0"/>
              <w:rPr>
                <w:sz w:val="20"/>
                <w:szCs w:val="20"/>
                <w:color w:val="auto"/>
              </w:rPr>
            </w:pPr>
            <w:r>
              <w:rPr>
                <w:rFonts w:ascii="Arial" w:cs="Arial" w:eastAsia="Arial" w:hAnsi="Arial"/>
                <w:sz w:val="18"/>
                <w:szCs w:val="18"/>
                <w:color w:val="auto"/>
              </w:rPr>
              <w:t>X</w:t>
            </w:r>
          </w:p>
        </w:tc>
      </w:tr>
      <w:tr>
        <w:trPr>
          <w:trHeight w:val="27"/>
        </w:trPr>
        <w:tc>
          <w:tcPr>
            <w:tcW w:w="11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42"/>
        </w:trPr>
        <w:tc>
          <w:tcPr>
            <w:tcW w:w="11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101.PRE</w:t>
            </w:r>
          </w:p>
        </w:tc>
        <w:tc>
          <w:tcPr>
            <w:tcW w:w="5540" w:type="dxa"/>
            <w:vAlign w:val="bottom"/>
            <w:shd w:val="clear" w:color="auto" w:fill="F4F4F4"/>
          </w:tcPr>
          <w:p>
            <w:pPr>
              <w:ind w:left="60"/>
              <w:spacing w:after="0"/>
              <w:rPr>
                <w:sz w:val="20"/>
                <w:szCs w:val="20"/>
                <w:color w:val="auto"/>
              </w:rPr>
            </w:pPr>
            <w:r>
              <w:rPr>
                <w:rFonts w:ascii="Arial" w:cs="Arial" w:eastAsia="Arial" w:hAnsi="Arial"/>
                <w:sz w:val="18"/>
                <w:szCs w:val="18"/>
                <w:color w:val="auto"/>
              </w:rPr>
              <w:t>Inline XBRL Taxonomy Extension Presentation Linkbase</w:t>
            </w:r>
          </w:p>
        </w:tc>
        <w:tc>
          <w:tcPr>
            <w:tcW w:w="4540" w:type="dxa"/>
            <w:vAlign w:val="bottom"/>
            <w:shd w:val="clear" w:color="auto" w:fill="F4F4F4"/>
          </w:tcPr>
          <w:p>
            <w:pPr>
              <w:ind w:left="340"/>
              <w:spacing w:after="0"/>
              <w:rPr>
                <w:sz w:val="20"/>
                <w:szCs w:val="20"/>
                <w:color w:val="auto"/>
              </w:rPr>
            </w:pPr>
            <w:r>
              <w:rPr>
                <w:rFonts w:ascii="Arial" w:cs="Arial" w:eastAsia="Arial" w:hAnsi="Arial"/>
                <w:sz w:val="18"/>
                <w:szCs w:val="18"/>
                <w:color w:val="auto"/>
              </w:rPr>
              <w:t>X</w:t>
            </w:r>
          </w:p>
        </w:tc>
      </w:tr>
      <w:tr>
        <w:trPr>
          <w:trHeight w:val="224"/>
        </w:trPr>
        <w:tc>
          <w:tcPr>
            <w:tcW w:w="1160" w:type="dxa"/>
            <w:vAlign w:val="bottom"/>
            <w:tcBorders>
              <w:bottom w:val="single" w:sz="8" w:color="F4F4F4"/>
            </w:tcBorders>
            <w:shd w:val="clear" w:color="auto" w:fill="F4F4F4"/>
          </w:tcPr>
          <w:p>
            <w:pPr>
              <w:spacing w:after="0"/>
              <w:rPr>
                <w:sz w:val="19"/>
                <w:szCs w:val="19"/>
                <w:color w:val="auto"/>
              </w:rPr>
            </w:pPr>
          </w:p>
        </w:tc>
        <w:tc>
          <w:tcPr>
            <w:tcW w:w="5540" w:type="dxa"/>
            <w:vAlign w:val="bottom"/>
            <w:tcBorders>
              <w:bottom w:val="single" w:sz="8" w:color="F4F4F4"/>
            </w:tcBorders>
            <w:shd w:val="clear" w:color="auto" w:fill="F4F4F4"/>
          </w:tcPr>
          <w:p>
            <w:pPr>
              <w:ind w:left="60"/>
              <w:spacing w:after="0"/>
              <w:rPr>
                <w:sz w:val="20"/>
                <w:szCs w:val="20"/>
                <w:color w:val="auto"/>
              </w:rPr>
            </w:pPr>
            <w:r>
              <w:rPr>
                <w:rFonts w:ascii="Arial" w:cs="Arial" w:eastAsia="Arial" w:hAnsi="Arial"/>
                <w:sz w:val="18"/>
                <w:szCs w:val="18"/>
                <w:color w:val="auto"/>
              </w:rPr>
              <w:t>Document.</w:t>
            </w:r>
          </w:p>
        </w:tc>
        <w:tc>
          <w:tcPr>
            <w:tcW w:w="4540" w:type="dxa"/>
            <w:vAlign w:val="bottom"/>
            <w:tcBorders>
              <w:bottom w:val="single" w:sz="8" w:color="F4F4F4"/>
            </w:tcBorders>
            <w:shd w:val="clear" w:color="auto" w:fill="F4F4F4"/>
          </w:tcPr>
          <w:p>
            <w:pPr>
              <w:spacing w:after="0"/>
              <w:rPr>
                <w:sz w:val="19"/>
                <w:szCs w:val="19"/>
                <w:color w:val="auto"/>
              </w:rPr>
            </w:pPr>
          </w:p>
        </w:tc>
      </w:tr>
      <w:tr>
        <w:trPr>
          <w:trHeight w:val="242"/>
        </w:trPr>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5540" w:type="dxa"/>
            <w:vAlign w:val="bottom"/>
          </w:tcPr>
          <w:p>
            <w:pPr>
              <w:ind w:left="60"/>
              <w:spacing w:after="0"/>
              <w:rPr>
                <w:sz w:val="20"/>
                <w:szCs w:val="20"/>
                <w:color w:val="auto"/>
              </w:rPr>
            </w:pPr>
            <w:r>
              <w:rPr>
                <w:rFonts w:ascii="Arial" w:cs="Arial" w:eastAsia="Arial" w:hAnsi="Arial"/>
                <w:sz w:val="18"/>
                <w:szCs w:val="18"/>
                <w:color w:val="auto"/>
              </w:rPr>
              <w:t>Cover Page Interactive Data File (formatted as Inline XBRL and</w:t>
            </w:r>
          </w:p>
        </w:tc>
        <w:tc>
          <w:tcPr>
            <w:tcW w:w="4540" w:type="dxa"/>
            <w:vAlign w:val="bottom"/>
          </w:tcPr>
          <w:p>
            <w:pPr>
              <w:ind w:left="340"/>
              <w:spacing w:after="0"/>
              <w:rPr>
                <w:sz w:val="20"/>
                <w:szCs w:val="20"/>
                <w:color w:val="auto"/>
              </w:rPr>
            </w:pPr>
            <w:r>
              <w:rPr>
                <w:rFonts w:ascii="Arial" w:cs="Arial" w:eastAsia="Arial" w:hAnsi="Arial"/>
                <w:sz w:val="18"/>
                <w:szCs w:val="18"/>
                <w:color w:val="auto"/>
              </w:rPr>
              <w:t>X</w:t>
            </w:r>
          </w:p>
        </w:tc>
      </w:tr>
      <w:tr>
        <w:trPr>
          <w:trHeight w:val="217"/>
        </w:trPr>
        <w:tc>
          <w:tcPr>
            <w:tcW w:w="1160" w:type="dxa"/>
            <w:vAlign w:val="bottom"/>
          </w:tcPr>
          <w:p>
            <w:pPr>
              <w:spacing w:after="0"/>
              <w:rPr>
                <w:sz w:val="18"/>
                <w:szCs w:val="18"/>
                <w:color w:val="auto"/>
              </w:rPr>
            </w:pPr>
          </w:p>
        </w:tc>
        <w:tc>
          <w:tcPr>
            <w:tcW w:w="5540" w:type="dxa"/>
            <w:vAlign w:val="bottom"/>
          </w:tcPr>
          <w:p>
            <w:pPr>
              <w:ind w:left="60"/>
              <w:spacing w:after="0"/>
              <w:rPr>
                <w:sz w:val="20"/>
                <w:szCs w:val="20"/>
                <w:color w:val="auto"/>
              </w:rPr>
            </w:pPr>
            <w:r>
              <w:rPr>
                <w:rFonts w:ascii="Arial" w:cs="Arial" w:eastAsia="Arial" w:hAnsi="Arial"/>
                <w:sz w:val="18"/>
                <w:szCs w:val="18"/>
                <w:color w:val="auto"/>
              </w:rPr>
              <w:t>contained in Exhibit 101).</w:t>
            </w:r>
          </w:p>
        </w:tc>
        <w:tc>
          <w:tcPr>
            <w:tcW w:w="4540" w:type="dxa"/>
            <w:vAlign w:val="bottom"/>
          </w:tcPr>
          <w:p>
            <w:pPr>
              <w:spacing w:after="0"/>
              <w:rPr>
                <w:sz w:val="18"/>
                <w:szCs w:val="18"/>
                <w:color w:val="auto"/>
              </w:rPr>
            </w:pPr>
          </w:p>
        </w:tc>
      </w:tr>
      <w:tr>
        <w:trPr>
          <w:trHeight w:val="27"/>
        </w:trPr>
        <w:tc>
          <w:tcPr>
            <w:tcW w:w="1160" w:type="dxa"/>
            <w:vAlign w:val="bottom"/>
            <w:tcBorders>
              <w:bottom w:val="single" w:sz="8" w:color="71BF43"/>
            </w:tcBorders>
          </w:tcPr>
          <w:p>
            <w:pPr>
              <w:spacing w:after="0"/>
              <w:rPr>
                <w:sz w:val="2"/>
                <w:szCs w:val="2"/>
                <w:color w:val="auto"/>
              </w:rPr>
            </w:pPr>
          </w:p>
        </w:tc>
        <w:tc>
          <w:tcPr>
            <w:tcW w:w="5540" w:type="dxa"/>
            <w:vAlign w:val="bottom"/>
            <w:tcBorders>
              <w:bottom w:val="single" w:sz="8" w:color="71BF43"/>
            </w:tcBorders>
          </w:tcPr>
          <w:p>
            <w:pPr>
              <w:spacing w:after="0"/>
              <w:rPr>
                <w:sz w:val="2"/>
                <w:szCs w:val="2"/>
                <w:color w:val="auto"/>
              </w:rPr>
            </w:pPr>
          </w:p>
        </w:tc>
        <w:tc>
          <w:tcPr>
            <w:tcW w:w="4540" w:type="dxa"/>
            <w:vAlign w:val="bottom"/>
            <w:tcBorders>
              <w:bottom w:val="single" w:sz="8" w:color="71BF43"/>
            </w:tcBorders>
          </w:tcPr>
          <w:p>
            <w:pPr>
              <w:spacing w:after="0"/>
              <w:rPr>
                <w:sz w:val="2"/>
                <w:szCs w:val="2"/>
                <w:color w:val="auto"/>
              </w:rPr>
            </w:pP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6168390</wp:posOffset>
            </wp:positionH>
            <wp:positionV relativeFrom="paragraph">
              <wp:posOffset>282575</wp:posOffset>
            </wp:positionV>
            <wp:extent cx="65976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98"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auto"/>
              </w:rPr>
              <w:t>Third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Arial" w:cs="Arial" w:eastAsia="Arial" w:hAnsi="Arial"/>
          <w:sz w:val="40"/>
          <w:szCs w:val="40"/>
          <w:b w:val="1"/>
          <w:bCs w:val="1"/>
          <w:color w:val="50535A"/>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-263525</wp:posOffset>
            </wp:positionV>
            <wp:extent cx="171450" cy="2228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222885"/>
                    </a:xfrm>
                    <a:prstGeom prst="rect">
                      <a:avLst/>
                    </a:prstGeom>
                    <a:noFill/>
                  </pic:spPr>
                </pic:pic>
              </a:graphicData>
            </a:graphic>
          </wp:anchor>
        </w:drawing>
      </w:r>
    </w:p>
    <w:p>
      <w:pPr>
        <w:spacing w:after="0" w:line="30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480" w:type="dxa"/>
            <w:vAlign w:val="bottom"/>
            <w:gridSpan w:val="2"/>
          </w:tcPr>
          <w:p>
            <w:pPr>
              <w:ind w:left="1140"/>
              <w:spacing w:after="0"/>
              <w:rPr>
                <w:sz w:val="20"/>
                <w:szCs w:val="20"/>
                <w:color w:val="auto"/>
              </w:rPr>
            </w:pPr>
            <w:r>
              <w:rPr>
                <w:rFonts w:ascii="Arial" w:cs="Arial" w:eastAsia="Arial" w:hAnsi="Arial"/>
                <w:sz w:val="18"/>
                <w:szCs w:val="18"/>
                <w:b w:val="1"/>
                <w:bCs w:val="1"/>
                <w:color w:val="auto"/>
              </w:rPr>
              <w:t>BLACKBAUD, INC.</w:t>
            </w:r>
          </w:p>
        </w:tc>
      </w:tr>
      <w:tr>
        <w:trPr>
          <w:trHeight w:val="540"/>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160" w:type="dxa"/>
            <w:vAlign w:val="bottom"/>
          </w:tcPr>
          <w:p>
            <w:pPr>
              <w:ind w:left="100"/>
              <w:spacing w:after="0"/>
              <w:rPr>
                <w:sz w:val="20"/>
                <w:szCs w:val="20"/>
                <w:color w:val="auto"/>
              </w:rPr>
            </w:pPr>
            <w:r>
              <w:rPr>
                <w:rFonts w:ascii="Arial" w:cs="Arial" w:eastAsia="Arial" w:hAnsi="Arial"/>
                <w:sz w:val="18"/>
                <w:szCs w:val="18"/>
                <w:color w:val="auto"/>
              </w:rPr>
              <w:t>November 4, 2021</w:t>
            </w:r>
          </w:p>
        </w:tc>
        <w:tc>
          <w:tcPr>
            <w:tcW w:w="1580" w:type="dxa"/>
            <w:vAlign w:val="bottom"/>
          </w:tcPr>
          <w:p>
            <w:pPr>
              <w:ind w:left="11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Michael P. Gianoni</w:t>
            </w:r>
          </w:p>
        </w:tc>
      </w:tr>
      <w:tr>
        <w:trPr>
          <w:trHeight w:val="27"/>
        </w:trPr>
        <w:tc>
          <w:tcPr>
            <w:tcW w:w="5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Michael P. Gianoni</w:t>
            </w:r>
          </w:p>
        </w:tc>
      </w:tr>
      <w:tr>
        <w:trPr>
          <w:trHeight w:val="270"/>
        </w:trPr>
        <w:tc>
          <w:tcPr>
            <w:tcW w:w="56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56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160" w:type="dxa"/>
            <w:vAlign w:val="bottom"/>
          </w:tcPr>
          <w:p>
            <w:pPr>
              <w:ind w:left="100"/>
              <w:spacing w:after="0"/>
              <w:rPr>
                <w:sz w:val="20"/>
                <w:szCs w:val="20"/>
                <w:color w:val="auto"/>
              </w:rPr>
            </w:pPr>
            <w:r>
              <w:rPr>
                <w:rFonts w:ascii="Arial" w:cs="Arial" w:eastAsia="Arial" w:hAnsi="Arial"/>
                <w:sz w:val="18"/>
                <w:szCs w:val="18"/>
                <w:color w:val="auto"/>
              </w:rPr>
              <w:t>November 4, 2021</w:t>
            </w:r>
          </w:p>
        </w:tc>
        <w:tc>
          <w:tcPr>
            <w:tcW w:w="1580" w:type="dxa"/>
            <w:vAlign w:val="bottom"/>
          </w:tcPr>
          <w:p>
            <w:pPr>
              <w:ind w:left="11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Anthony W. Boor</w:t>
            </w:r>
          </w:p>
        </w:tc>
      </w:tr>
      <w:tr>
        <w:trPr>
          <w:trHeight w:val="27"/>
        </w:trPr>
        <w:tc>
          <w:tcPr>
            <w:tcW w:w="5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Anthony W. Boor</w:t>
            </w:r>
          </w:p>
        </w:tc>
      </w:tr>
      <w:tr>
        <w:trPr>
          <w:trHeight w:val="270"/>
        </w:trPr>
        <w:tc>
          <w:tcPr>
            <w:tcW w:w="56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56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717"/>
        </w:trPr>
        <w:tc>
          <w:tcPr>
            <w:tcW w:w="560" w:type="dxa"/>
            <w:vAlign w:val="bottom"/>
          </w:tcPr>
          <w:p>
            <w:pPr>
              <w:spacing w:after="0"/>
              <w:rPr>
                <w:sz w:val="20"/>
                <w:szCs w:val="20"/>
                <w:color w:val="auto"/>
              </w:rPr>
            </w:pPr>
            <w:r>
              <w:rPr>
                <w:rFonts w:ascii="Arial" w:cs="Arial" w:eastAsia="Arial" w:hAnsi="Arial"/>
                <w:sz w:val="14"/>
                <w:szCs w:val="14"/>
                <w:color w:val="auto"/>
              </w:rPr>
              <w:t>48</w:t>
            </w:r>
          </w:p>
        </w:tc>
        <w:tc>
          <w:tcPr>
            <w:tcW w:w="4160" w:type="dxa"/>
            <w:vAlign w:val="bottom"/>
          </w:tcPr>
          <w:p>
            <w:pPr>
              <w:ind w:left="1060"/>
              <w:spacing w:after="0"/>
              <w:rPr>
                <w:sz w:val="20"/>
                <w:szCs w:val="20"/>
                <w:color w:val="auto"/>
              </w:rPr>
            </w:pPr>
            <w:r>
              <w:rPr>
                <w:rFonts w:ascii="Arial" w:cs="Arial" w:eastAsia="Arial" w:hAnsi="Arial"/>
                <w:sz w:val="14"/>
                <w:szCs w:val="14"/>
                <w:color w:val="auto"/>
              </w:rPr>
              <w:t>Third Quarter 2021 Form 10-Q</w:t>
            </w:r>
          </w:p>
        </w:tc>
        <w:tc>
          <w:tcPr>
            <w:tcW w:w="158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-154940</wp:posOffset>
            </wp:positionV>
            <wp:extent cx="65151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LIBOR TRANSITION AMENDMENT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LIBOR TRANSITION AMENDMENT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September 20, 2021 (the “</w:t>
      </w:r>
      <w:r>
        <w:rPr>
          <w:rFonts w:ascii="Arial" w:cs="Arial" w:eastAsia="Arial" w:hAnsi="Arial"/>
          <w:sz w:val="20"/>
          <w:szCs w:val="20"/>
          <w:u w:val="single" w:color="auto"/>
          <w:color w:val="auto"/>
        </w:rPr>
        <w:t>Amendment 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is entered into between BLACKBAUD,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and Bank of America,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the Administrative Agent have entered into that certain Amended and Restated Credit Agreement, dated as of October 30, 2020 (as amended, restated, amended and restated, modified, extended, restated, replaced, or supplemented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certain loans and/or other extensions of credit (the “</w:t>
      </w:r>
      <w:r>
        <w:rPr>
          <w:rFonts w:ascii="Arial" w:cs="Arial" w:eastAsia="Arial" w:hAnsi="Arial"/>
          <w:sz w:val="18"/>
          <w:szCs w:val="18"/>
          <w:u w:val="single" w:color="auto"/>
          <w:color w:val="auto"/>
        </w:rPr>
        <w:t>Loans</w:t>
      </w:r>
      <w:r>
        <w:rPr>
          <w:rFonts w:ascii="Arial" w:cs="Arial" w:eastAsia="Arial" w:hAnsi="Arial"/>
          <w:sz w:val="18"/>
          <w:szCs w:val="18"/>
          <w:color w:val="auto"/>
        </w:rPr>
        <w:t>”) under the Credit Agreement denominated in Sterling (the “</w:t>
      </w:r>
      <w:r>
        <w:rPr>
          <w:rFonts w:ascii="Arial" w:cs="Arial" w:eastAsia="Arial" w:hAnsi="Arial"/>
          <w:sz w:val="18"/>
          <w:szCs w:val="18"/>
          <w:u w:val="single" w:color="auto"/>
          <w:color w:val="auto"/>
        </w:rPr>
        <w:t>Impacted Currency</w:t>
      </w:r>
      <w:r>
        <w:rPr>
          <w:rFonts w:ascii="Arial" w:cs="Arial" w:eastAsia="Arial" w:hAnsi="Arial"/>
          <w:sz w:val="18"/>
          <w:szCs w:val="18"/>
          <w:color w:val="auto"/>
        </w:rPr>
        <w:t>”) accrue or are permitted to accrue interest, fees, commissions or other amounts based on the London Interbank Offered Rate as administered by the ICE Benchmark Administration (“</w:t>
      </w:r>
      <w:r>
        <w:rPr>
          <w:rFonts w:ascii="Arial" w:cs="Arial" w:eastAsia="Arial" w:hAnsi="Arial"/>
          <w:sz w:val="18"/>
          <w:szCs w:val="18"/>
          <w:u w:val="single" w:color="auto"/>
          <w:color w:val="auto"/>
        </w:rPr>
        <w:t>LIBOR</w:t>
      </w:r>
      <w:r>
        <w:rPr>
          <w:rFonts w:ascii="Arial" w:cs="Arial" w:eastAsia="Arial" w:hAnsi="Arial"/>
          <w:sz w:val="18"/>
          <w:szCs w:val="18"/>
          <w:color w:val="auto"/>
        </w:rPr>
        <w:t>”) in accordance with the terms of the Credit Agreement; and</w:t>
      </w:r>
    </w:p>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WHEREAS, applicable parties under the Credit Agreement have determined in accordance with the Credit Agreement that LIBOR for the Impacted Currency should be replaced with a successor rate in accordance with Section 4.8(c) of the Credit Agreement and, in connection therewith, the Administrative Agent has determined that certain conforming changes are necessary or advisable.</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7" w:lineRule="exact"/>
        <w:rPr>
          <w:sz w:val="20"/>
          <w:szCs w:val="20"/>
          <w:color w:val="auto"/>
        </w:rPr>
      </w:pPr>
    </w:p>
    <w:p>
      <w:pPr>
        <w:ind w:right="20" w:firstLine="656"/>
        <w:spacing w:after="0" w:line="260" w:lineRule="auto"/>
        <w:tabs>
          <w:tab w:leader="none" w:pos="1125"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(including on any Appendix attached hereto) shall have the meanings provided to such terms in the Credit Agreement, as amended by this Agreement.</w:t>
      </w:r>
    </w:p>
    <w:p>
      <w:pPr>
        <w:spacing w:after="0" w:line="176" w:lineRule="exact"/>
        <w:rPr>
          <w:rFonts w:ascii="Arial" w:cs="Arial" w:eastAsia="Arial" w:hAnsi="Arial"/>
          <w:sz w:val="20"/>
          <w:szCs w:val="20"/>
          <w:color w:val="auto"/>
        </w:rPr>
      </w:pPr>
    </w:p>
    <w:p>
      <w:pPr>
        <w:jc w:val="both"/>
        <w:ind w:firstLine="656"/>
        <w:spacing w:after="0" w:line="263" w:lineRule="auto"/>
        <w:tabs>
          <w:tab w:leader="none" w:pos="1062"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Notwithstanding any provision of the Credit Agreement or any other Loan Document to the contrary, the parties hereto hereby agree that the terms set forth on Appendix A shall apply solely with respect to the Impacted Currency. For the avoidance of doubt, to the extent provisions in the Credit Agreement apply to the Impacted Currency and such provisions are not specifically addressed by Appendix A, the provisions in the Credit Agreement shall continue to apply to the Impacted Currency.</w:t>
      </w:r>
    </w:p>
    <w:p>
      <w:pPr>
        <w:spacing w:after="0" w:line="176" w:lineRule="exact"/>
        <w:rPr>
          <w:rFonts w:ascii="Arial" w:cs="Arial" w:eastAsia="Arial" w:hAnsi="Arial"/>
          <w:sz w:val="19"/>
          <w:szCs w:val="19"/>
          <w:color w:val="auto"/>
        </w:rPr>
      </w:pPr>
    </w:p>
    <w:p>
      <w:pPr>
        <w:ind w:firstLine="656"/>
        <w:spacing w:after="0" w:line="260" w:lineRule="auto"/>
        <w:tabs>
          <w:tab w:leader="none" w:pos="104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Conflict with Loan Documents</w:t>
      </w:r>
      <w:r>
        <w:rPr>
          <w:rFonts w:ascii="Arial" w:cs="Arial" w:eastAsia="Arial" w:hAnsi="Arial"/>
          <w:sz w:val="20"/>
          <w:szCs w:val="20"/>
          <w:color w:val="auto"/>
        </w:rPr>
        <w:t>. In the event of any conflict between the terms of this Agreement and the terms of the Credit Agreement or the other Loan Documents, the terms hereof shall control.</w:t>
      </w:r>
    </w:p>
    <w:p>
      <w:pPr>
        <w:spacing w:after="0" w:line="176" w:lineRule="exact"/>
        <w:rPr>
          <w:rFonts w:ascii="Arial" w:cs="Arial" w:eastAsia="Arial" w:hAnsi="Arial"/>
          <w:sz w:val="20"/>
          <w:szCs w:val="20"/>
          <w:color w:val="auto"/>
        </w:rPr>
      </w:pPr>
    </w:p>
    <w:p>
      <w:pPr>
        <w:jc w:val="both"/>
        <w:ind w:firstLine="656"/>
        <w:spacing w:after="0" w:line="230" w:lineRule="auto"/>
        <w:tabs>
          <w:tab w:leader="none" w:pos="100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Agreement shall become effective on the fifth (5</w:t>
      </w:r>
      <w:r>
        <w:rPr>
          <w:rFonts w:ascii="Arial" w:cs="Arial" w:eastAsia="Arial" w:hAnsi="Arial"/>
          <w:sz w:val="25"/>
          <w:szCs w:val="25"/>
          <w:color w:val="auto"/>
          <w:vertAlign w:val="superscript"/>
        </w:rPr>
        <w:t>th</w:t>
      </w:r>
      <w:r>
        <w:rPr>
          <w:rFonts w:ascii="Arial" w:cs="Arial" w:eastAsia="Arial" w:hAnsi="Arial"/>
          <w:sz w:val="20"/>
          <w:szCs w:val="20"/>
          <w:color w:val="auto"/>
        </w:rPr>
        <w:t>) Business Day after receipt by the Administrative Agent of counterparts of this Agreement, properly executed by the Borrower and the Administrative Agent but only to the extent that Lenders comprising the Required Lenders have not by 5:00 p.m. New York time on such date provided written notice to the Administrative Agent that such Required Lenders object to this Agreement.</w:t>
      </w:r>
    </w:p>
    <w:p>
      <w:pPr>
        <w:spacing w:after="0" w:line="197" w:lineRule="exact"/>
        <w:rPr>
          <w:rFonts w:ascii="Arial" w:cs="Arial" w:eastAsia="Arial" w:hAnsi="Arial"/>
          <w:sz w:val="20"/>
          <w:szCs w:val="20"/>
          <w:color w:val="auto"/>
        </w:rPr>
      </w:pPr>
    </w:p>
    <w:p>
      <w:pPr>
        <w:ind w:right="20" w:firstLine="656"/>
        <w:spacing w:after="0" w:line="260" w:lineRule="auto"/>
        <w:tabs>
          <w:tab w:leader="none" w:pos="1156"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Payment of Expenses</w:t>
      </w:r>
      <w:r>
        <w:rPr>
          <w:rFonts w:ascii="Arial" w:cs="Arial" w:eastAsia="Arial" w:hAnsi="Arial"/>
          <w:sz w:val="20"/>
          <w:szCs w:val="20"/>
          <w:color w:val="auto"/>
        </w:rPr>
        <w:t>. The Borrower agrees to reimburse the Administrative Agent for all reasonable fees, charges and disbursements of the Administrative Agent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1240"/>
          </w:cols>
          <w:pgMar w:left="320" w:top="126" w:right="339" w:bottom="1440" w:gutter="0" w:footer="0" w:header="0"/>
        </w:sectPr>
      </w:pPr>
    </w:p>
    <w:bookmarkStart w:id="50" w:name="page51"/>
    <w:bookmarkEnd w:id="50"/>
    <w:p>
      <w:pPr>
        <w:spacing w:after="0" w:line="260" w:lineRule="auto"/>
        <w:rPr>
          <w:sz w:val="20"/>
          <w:szCs w:val="20"/>
          <w:color w:val="auto"/>
        </w:rPr>
      </w:pPr>
      <w:r>
        <w:rPr>
          <w:rFonts w:ascii="Arial" w:cs="Arial" w:eastAsia="Arial" w:hAnsi="Arial"/>
          <w:sz w:val="20"/>
          <w:szCs w:val="20"/>
          <w:color w:val="auto"/>
        </w:rPr>
        <w:t>preparation, execution and delivery of this Agreement, including all reasonable fees, charges and disbursements of counsel to the Administrative Agent (paid directly to such counsel if requested by the Administrative Agent).</w:t>
      </w:r>
    </w:p>
    <w:p>
      <w:pPr>
        <w:spacing w:after="0" w:line="177" w:lineRule="exact"/>
        <w:rPr>
          <w:sz w:val="20"/>
          <w:szCs w:val="20"/>
          <w:color w:val="auto"/>
        </w:rPr>
      </w:pPr>
    </w:p>
    <w:p>
      <w:pPr>
        <w:ind w:left="1000" w:hanging="344"/>
        <w:spacing w:after="0"/>
        <w:tabs>
          <w:tab w:leader="none" w:pos="100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right="20" w:firstLine="644"/>
        <w:spacing w:after="0" w:line="260" w:lineRule="auto"/>
        <w:tabs>
          <w:tab w:leader="none" w:pos="1881"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Loan Documents, and the obligations of the Borrower under the Loan Documents, are hereby ratified and confirmed and shall remain in full force and effect according to their terms. This Agreement is a Loan Document.</w:t>
      </w:r>
    </w:p>
    <w:p>
      <w:pPr>
        <w:spacing w:after="0" w:line="176" w:lineRule="exact"/>
        <w:rPr>
          <w:rFonts w:ascii="Arial" w:cs="Arial" w:eastAsia="Arial" w:hAnsi="Arial"/>
          <w:sz w:val="20"/>
          <w:szCs w:val="20"/>
          <w:color w:val="auto"/>
        </w:rPr>
      </w:pPr>
    </w:p>
    <w:p>
      <w:pPr>
        <w:jc w:val="both"/>
        <w:ind w:left="660" w:firstLine="644"/>
        <w:spacing w:after="0" w:line="243" w:lineRule="auto"/>
        <w:tabs>
          <w:tab w:leader="none" w:pos="1755"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Borrower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Security Documents continue to be in full force and effect and are not impaired or adversely affected in any manner whatsoever, (v) confirms its grant of security interests pursuant to the Security Documents to which it is a party as Collateral for the Obligations, and (vi) acknowledges that all Liens granted (or purported to be granted) pursuant to the Security Documents remain and continue in full force and effect in respect of, and to secure, the Obligations.</w:t>
      </w:r>
    </w:p>
    <w:p>
      <w:pPr>
        <w:spacing w:after="0" w:line="192" w:lineRule="exact"/>
        <w:rPr>
          <w:rFonts w:ascii="Arial" w:cs="Arial" w:eastAsia="Arial" w:hAnsi="Arial"/>
          <w:sz w:val="20"/>
          <w:szCs w:val="20"/>
          <w:color w:val="auto"/>
        </w:rPr>
      </w:pPr>
    </w:p>
    <w:p>
      <w:pPr>
        <w:ind w:left="1720" w:hanging="416"/>
        <w:spacing w:after="0"/>
        <w:tabs>
          <w:tab w:leader="none" w:pos="1720"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Borrower represents and warrants that as of the date hereof:</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563" w:val="left"/>
        </w:tabs>
        <w:numPr>
          <w:ilvl w:val="2"/>
          <w:numId w:val="44"/>
        </w:numPr>
        <w:rPr>
          <w:rFonts w:ascii="Arial" w:cs="Arial" w:eastAsia="Arial" w:hAnsi="Arial"/>
          <w:sz w:val="20"/>
          <w:szCs w:val="20"/>
          <w:color w:val="auto"/>
        </w:rPr>
      </w:pPr>
      <w:r>
        <w:rPr>
          <w:rFonts w:ascii="Arial" w:cs="Arial" w:eastAsia="Arial" w:hAnsi="Arial"/>
          <w:sz w:val="20"/>
          <w:szCs w:val="20"/>
          <w:color w:val="auto"/>
        </w:rPr>
        <w:t>The execution, delivery and performance by such Person of this Agreement is within such Person’s organizational powers and has been duly authorized by all necessary organizational, partnership, member or other action, as applicable, as may be necessary or required.</w:t>
      </w:r>
    </w:p>
    <w:p>
      <w:pPr>
        <w:spacing w:after="0" w:line="185" w:lineRule="exact"/>
        <w:rPr>
          <w:rFonts w:ascii="Arial" w:cs="Arial" w:eastAsia="Arial" w:hAnsi="Arial"/>
          <w:sz w:val="20"/>
          <w:szCs w:val="20"/>
          <w:color w:val="auto"/>
        </w:rPr>
      </w:pPr>
    </w:p>
    <w:p>
      <w:pPr>
        <w:jc w:val="both"/>
        <w:ind w:left="1300" w:firstLine="652"/>
        <w:spacing w:after="0" w:line="246" w:lineRule="auto"/>
        <w:tabs>
          <w:tab w:leader="none" w:pos="2476" w:val="left"/>
        </w:tabs>
        <w:numPr>
          <w:ilvl w:val="2"/>
          <w:numId w:val="44"/>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such Person, and constitutes a valid and binding obligation of such Person, enforceable against it in accordance with the terms hereof, except as may be limited by applicable bankruptcy, insolvency, reorganization, moratorium, or similar state or federal debtor relief laws affecting the enforcement of creditors’ rights generally and by general principles of equity.</w:t>
      </w:r>
    </w:p>
    <w:p>
      <w:pPr>
        <w:spacing w:after="0" w:line="191" w:lineRule="exact"/>
        <w:rPr>
          <w:rFonts w:ascii="Arial" w:cs="Arial" w:eastAsia="Arial" w:hAnsi="Arial"/>
          <w:sz w:val="20"/>
          <w:szCs w:val="20"/>
          <w:color w:val="auto"/>
        </w:rPr>
      </w:pPr>
    </w:p>
    <w:p>
      <w:pPr>
        <w:jc w:val="both"/>
        <w:ind w:left="1300" w:firstLine="652"/>
        <w:spacing w:after="0" w:line="275" w:lineRule="auto"/>
        <w:tabs>
          <w:tab w:leader="none" w:pos="2585"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execution and delivery by such Person of this Agreement and performance by such Person of this Agreement have been duly authorized by all necessary corporate or other organizational action, and do not and will not</w:t>
      </w:r>
    </w:p>
    <w:p>
      <w:pPr>
        <w:jc w:val="both"/>
        <w:ind w:left="1300" w:firstLine="4"/>
        <w:spacing w:after="0" w:line="274" w:lineRule="auto"/>
        <w:tabs>
          <w:tab w:leader="none" w:pos="1589"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contravene the terms of its certificate or articles of incorporation or organization or other applicable constitutive documents, (ii) conflict with or result in any breach or contravention of, or the creation of any lien under, or require any payment to be made under (x) any contractual obligation to which such Person is a party or affecting such Person or the properties of such Person or any subsidiary thereof or (y) any order, injunction, writ or decree of any governmental authority or any arbitral award to which such Person or any subsidiary thereof or its property is subject or (c) violate any law.</w:t>
      </w:r>
    </w:p>
    <w:p>
      <w:pPr>
        <w:spacing w:after="0" w:line="165" w:lineRule="exact"/>
        <w:rPr>
          <w:rFonts w:ascii="Arial" w:cs="Arial" w:eastAsia="Arial" w:hAnsi="Arial"/>
          <w:sz w:val="18"/>
          <w:szCs w:val="18"/>
          <w:color w:val="auto"/>
        </w:rPr>
      </w:pPr>
    </w:p>
    <w:p>
      <w:pPr>
        <w:jc w:val="both"/>
        <w:ind w:left="1300" w:firstLine="652"/>
        <w:spacing w:after="0" w:line="244" w:lineRule="auto"/>
        <w:tabs>
          <w:tab w:leader="none" w:pos="2606" w:val="left"/>
        </w:tabs>
        <w:numPr>
          <w:ilvl w:val="2"/>
          <w:numId w:val="45"/>
        </w:numPr>
        <w:rPr>
          <w:rFonts w:ascii="Arial" w:cs="Arial" w:eastAsia="Arial" w:hAnsi="Arial"/>
          <w:sz w:val="20"/>
          <w:szCs w:val="20"/>
          <w:color w:val="auto"/>
        </w:rPr>
      </w:pPr>
      <w:r>
        <w:rPr>
          <w:rFonts w:ascii="Arial" w:cs="Arial" w:eastAsia="Arial" w:hAnsi="Arial"/>
          <w:sz w:val="20"/>
          <w:szCs w:val="20"/>
          <w:color w:val="auto"/>
        </w:rPr>
        <w:t>Immediately before and immediately after giving effect to this Agreement, (A) all representations and warranties of such Person set forth in the Loan Documents are true and correct in all material respects (and in all respects if any such representation or warranty is already qualified by materiality (after giving effect to such materiality qualification)) on and as of the Amendment Effective Date (except to the extent that such representations and warranties specifically refer to an earlier date,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1240"/>
          </w:cols>
          <w:pgMar w:left="320" w:top="1419" w:right="339" w:bottom="1440" w:gutter="0" w:footer="0" w:header="0"/>
        </w:sectPr>
      </w:pPr>
    </w:p>
    <w:bookmarkStart w:id="51" w:name="page52"/>
    <w:bookmarkEnd w:id="51"/>
    <w:p>
      <w:pPr>
        <w:jc w:val="both"/>
        <w:ind w:left="1300"/>
        <w:spacing w:after="0" w:line="250" w:lineRule="auto"/>
        <w:rPr>
          <w:sz w:val="20"/>
          <w:szCs w:val="20"/>
          <w:color w:val="auto"/>
        </w:rPr>
      </w:pPr>
      <w:r>
        <w:rPr>
          <w:rFonts w:ascii="Arial" w:cs="Arial" w:eastAsia="Arial" w:hAnsi="Arial"/>
          <w:sz w:val="20"/>
          <w:szCs w:val="20"/>
          <w:color w:val="auto"/>
        </w:rPr>
        <w:t>which case they were true and correct in all material respects (and in all respects if any such representation or warranty is already qualified by materiality (after giving effect to such materiality qualification)) as of such earlier date), and (B) no Event of Default exists.</w:t>
      </w:r>
    </w:p>
    <w:p>
      <w:pPr>
        <w:spacing w:after="0" w:line="186" w:lineRule="exact"/>
        <w:rPr>
          <w:sz w:val="20"/>
          <w:szCs w:val="20"/>
          <w:color w:val="auto"/>
        </w:rPr>
      </w:pPr>
    </w:p>
    <w:p>
      <w:pPr>
        <w:jc w:val="both"/>
        <w:ind w:left="660" w:firstLine="644"/>
        <w:spacing w:after="0" w:line="274" w:lineRule="auto"/>
        <w:tabs>
          <w:tab w:leader="none" w:pos="17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168" w:lineRule="exact"/>
        <w:rPr>
          <w:rFonts w:ascii="Arial" w:cs="Arial" w:eastAsia="Arial" w:hAnsi="Arial"/>
          <w:sz w:val="18"/>
          <w:szCs w:val="18"/>
          <w:color w:val="auto"/>
        </w:rPr>
      </w:pPr>
    </w:p>
    <w:p>
      <w:pPr>
        <w:jc w:val="both"/>
        <w:ind w:left="660" w:firstLine="644"/>
        <w:spacing w:after="0" w:line="246" w:lineRule="auto"/>
        <w:tabs>
          <w:tab w:leader="none" w:pos="1835"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91" w:lineRule="exact"/>
        <w:rPr>
          <w:rFonts w:ascii="Arial" w:cs="Arial" w:eastAsia="Arial" w:hAnsi="Arial"/>
          <w:sz w:val="20"/>
          <w:szCs w:val="20"/>
          <w:color w:val="auto"/>
        </w:rPr>
      </w:pPr>
    </w:p>
    <w:p>
      <w:pPr>
        <w:ind w:left="660" w:firstLine="644"/>
        <w:spacing w:after="0" w:line="287" w:lineRule="auto"/>
        <w:tabs>
          <w:tab w:leader="none" w:pos="18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The terms of the Credit Agreement with respect to governing law, submission to jurisdiction, waiver of venue and waiver of jury trial are incorporated herein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 and the parties hereto agree to such terms.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1240"/>
          </w:cols>
          <w:pgMar w:left="320" w:top="1419"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Each of the parties hereto has caused a counterpart of this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20"/>
                <w:szCs w:val="20"/>
                <w:color w:val="auto"/>
              </w:rPr>
              <w:t>BORROWER:</w:t>
            </w:r>
          </w:p>
        </w:tc>
        <w:tc>
          <w:tcPr>
            <w:tcW w:w="7200" w:type="dxa"/>
            <w:vAlign w:val="bottom"/>
            <w:gridSpan w:val="2"/>
          </w:tcPr>
          <w:p>
            <w:pPr>
              <w:ind w:left="1480"/>
              <w:spacing w:after="0"/>
              <w:rPr>
                <w:sz w:val="20"/>
                <w:szCs w:val="20"/>
                <w:color w:val="auto"/>
              </w:rPr>
            </w:pPr>
            <w:r>
              <w:rPr>
                <w:rFonts w:ascii="Arial" w:cs="Arial" w:eastAsia="Arial" w:hAnsi="Arial"/>
                <w:sz w:val="20"/>
                <w:szCs w:val="20"/>
                <w:b w:val="1"/>
                <w:bCs w:val="1"/>
                <w:color w:val="auto"/>
              </w:rPr>
              <w:t>BLACKBAUD, INC.</w:t>
            </w:r>
            <w:r>
              <w:rPr>
                <w:rFonts w:ascii="Arial" w:cs="Arial" w:eastAsia="Arial" w:hAnsi="Arial"/>
                <w:sz w:val="20"/>
                <w:szCs w:val="20"/>
                <w:color w:val="auto"/>
              </w:rPr>
              <w:t>, as a Borrower</w:t>
            </w:r>
          </w:p>
        </w:tc>
      </w:tr>
      <w:tr>
        <w:trPr>
          <w:trHeight w:val="578"/>
        </w:trPr>
        <w:tc>
          <w:tcPr>
            <w:tcW w:w="112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ind w:left="1480"/>
              <w:spacing w:after="0"/>
              <w:rPr>
                <w:sz w:val="20"/>
                <w:szCs w:val="20"/>
                <w:color w:val="auto"/>
              </w:rPr>
            </w:pPr>
            <w:r>
              <w:rPr>
                <w:rFonts w:ascii="Arial" w:cs="Arial" w:eastAsia="Arial" w:hAnsi="Arial"/>
                <w:sz w:val="20"/>
                <w:szCs w:val="20"/>
                <w:color w:val="auto"/>
              </w:rPr>
              <w:t>By:</w:t>
            </w:r>
          </w:p>
        </w:tc>
        <w:tc>
          <w:tcPr>
            <w:tcW w:w="5180" w:type="dxa"/>
            <w:vAlign w:val="bottom"/>
          </w:tcPr>
          <w:p>
            <w:pPr>
              <w:ind w:left="300"/>
              <w:spacing w:after="0"/>
              <w:rPr>
                <w:sz w:val="20"/>
                <w:szCs w:val="20"/>
                <w:color w:val="auto"/>
              </w:rPr>
            </w:pPr>
            <w:r>
              <w:rPr>
                <w:rFonts w:ascii="Arial" w:cs="Arial" w:eastAsia="Arial" w:hAnsi="Arial"/>
                <w:sz w:val="20"/>
                <w:szCs w:val="20"/>
                <w:color w:val="auto"/>
              </w:rPr>
              <w:t>/s/ Thomas E. Griffin</w:t>
            </w:r>
          </w:p>
        </w:tc>
      </w:tr>
      <w:tr>
        <w:trPr>
          <w:trHeight w:val="23"/>
        </w:trPr>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54"/>
        </w:trPr>
        <w:tc>
          <w:tcPr>
            <w:tcW w:w="1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20" w:type="dxa"/>
            <w:vAlign w:val="bottom"/>
          </w:tcPr>
          <w:p>
            <w:pPr>
              <w:ind w:left="1480"/>
              <w:spacing w:after="0"/>
              <w:rPr>
                <w:sz w:val="20"/>
                <w:szCs w:val="20"/>
                <w:color w:val="auto"/>
              </w:rPr>
            </w:pPr>
            <w:r>
              <w:rPr>
                <w:rFonts w:ascii="Arial" w:cs="Arial" w:eastAsia="Arial" w:hAnsi="Arial"/>
                <w:sz w:val="20"/>
                <w:szCs w:val="20"/>
                <w:color w:val="auto"/>
                <w:w w:val="88"/>
              </w:rPr>
              <w:t>Name:</w:t>
            </w:r>
          </w:p>
        </w:tc>
        <w:tc>
          <w:tcPr>
            <w:tcW w:w="5180" w:type="dxa"/>
            <w:vAlign w:val="bottom"/>
          </w:tcPr>
          <w:p>
            <w:pPr>
              <w:ind w:left="300"/>
              <w:spacing w:after="0"/>
              <w:rPr>
                <w:sz w:val="20"/>
                <w:szCs w:val="20"/>
                <w:color w:val="auto"/>
              </w:rPr>
            </w:pPr>
            <w:r>
              <w:rPr>
                <w:rFonts w:ascii="Arial" w:cs="Arial" w:eastAsia="Arial" w:hAnsi="Arial"/>
                <w:sz w:val="20"/>
                <w:szCs w:val="20"/>
                <w:color w:val="auto"/>
              </w:rPr>
              <w:t>Thomas E. Griffin</w:t>
            </w:r>
          </w:p>
        </w:tc>
      </w:tr>
      <w:tr>
        <w:trPr>
          <w:trHeight w:val="284"/>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ind w:left="1480"/>
              <w:spacing w:after="0"/>
              <w:rPr>
                <w:sz w:val="20"/>
                <w:szCs w:val="20"/>
                <w:color w:val="auto"/>
              </w:rPr>
            </w:pPr>
            <w:r>
              <w:rPr>
                <w:rFonts w:ascii="Arial" w:cs="Arial" w:eastAsia="Arial" w:hAnsi="Arial"/>
                <w:sz w:val="20"/>
                <w:szCs w:val="20"/>
                <w:color w:val="auto"/>
              </w:rPr>
              <w:t>Title:</w:t>
            </w:r>
          </w:p>
        </w:tc>
        <w:tc>
          <w:tcPr>
            <w:tcW w:w="5180" w:type="dxa"/>
            <w:vAlign w:val="bottom"/>
          </w:tcPr>
          <w:p>
            <w:pPr>
              <w:ind w:left="300"/>
              <w:spacing w:after="0"/>
              <w:rPr>
                <w:sz w:val="20"/>
                <w:szCs w:val="20"/>
                <w:color w:val="auto"/>
              </w:rPr>
            </w:pPr>
            <w:r>
              <w:rPr>
                <w:rFonts w:ascii="Arial" w:cs="Arial" w:eastAsia="Arial" w:hAnsi="Arial"/>
                <w:sz w:val="20"/>
                <w:szCs w:val="20"/>
                <w:color w:val="auto"/>
              </w:rPr>
              <w:t>VP Finance, Treasury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1240"/>
          </w:cols>
          <w:pgMar w:left="320" w:top="1419" w:right="339" w:bottom="1440" w:gutter="0" w:footer="0" w:header="0"/>
        </w:sectPr>
      </w:pPr>
    </w:p>
    <w:bookmarkStart w:id="53" w:name="page54"/>
    <w:bookmarkEnd w:id="53"/>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2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6560" w:type="dxa"/>
            <w:vAlign w:val="bottom"/>
            <w:gridSpan w:val="2"/>
          </w:tcPr>
          <w:p>
            <w:pPr>
              <w:ind w:left="8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tc>
      </w:tr>
      <w:tr>
        <w:trPr>
          <w:trHeight w:val="254"/>
        </w:trPr>
        <w:tc>
          <w:tcPr>
            <w:tcW w:w="2400" w:type="dxa"/>
            <w:vAlign w:val="bottom"/>
            <w:tcBorders>
              <w:top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6560" w:type="dxa"/>
            <w:vAlign w:val="bottom"/>
            <w:gridSpan w:val="2"/>
          </w:tcPr>
          <w:p>
            <w:pPr>
              <w:ind w:left="860"/>
              <w:spacing w:after="0"/>
              <w:rPr>
                <w:sz w:val="20"/>
                <w:szCs w:val="20"/>
                <w:color w:val="auto"/>
              </w:rPr>
            </w:pPr>
            <w:r>
              <w:rPr>
                <w:rFonts w:ascii="Arial" w:cs="Arial" w:eastAsia="Arial" w:hAnsi="Arial"/>
                <w:sz w:val="20"/>
                <w:szCs w:val="20"/>
                <w:color w:val="auto"/>
              </w:rPr>
              <w:t>as Administrative Agent</w:t>
            </w:r>
          </w:p>
        </w:tc>
      </w:tr>
      <w:tr>
        <w:trPr>
          <w:trHeight w:val="553"/>
        </w:trPr>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ind w:left="860"/>
              <w:spacing w:after="0"/>
              <w:rPr>
                <w:sz w:val="20"/>
                <w:szCs w:val="20"/>
                <w:color w:val="auto"/>
              </w:rPr>
            </w:pPr>
            <w:r>
              <w:rPr>
                <w:rFonts w:ascii="Arial" w:cs="Arial" w:eastAsia="Arial" w:hAnsi="Arial"/>
                <w:sz w:val="20"/>
                <w:szCs w:val="20"/>
                <w:color w:val="auto"/>
              </w:rPr>
              <w:t>By:</w:t>
            </w:r>
          </w:p>
        </w:tc>
        <w:tc>
          <w:tcPr>
            <w:tcW w:w="5160" w:type="dxa"/>
            <w:vAlign w:val="bottom"/>
          </w:tcPr>
          <w:p>
            <w:pPr>
              <w:ind w:left="300"/>
              <w:spacing w:after="0"/>
              <w:rPr>
                <w:sz w:val="20"/>
                <w:szCs w:val="20"/>
                <w:color w:val="auto"/>
              </w:rPr>
            </w:pPr>
            <w:r>
              <w:rPr>
                <w:rFonts w:ascii="Arial" w:cs="Arial" w:eastAsia="Arial" w:hAnsi="Arial"/>
                <w:sz w:val="20"/>
                <w:szCs w:val="20"/>
                <w:color w:val="auto"/>
              </w:rPr>
              <w:t>/s/ Liliana Claar</w:t>
            </w:r>
          </w:p>
        </w:tc>
      </w:tr>
      <w:tr>
        <w:trPr>
          <w:trHeight w:val="23"/>
        </w:trPr>
        <w:tc>
          <w:tcPr>
            <w:tcW w:w="2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54"/>
        </w:trPr>
        <w:tc>
          <w:tcPr>
            <w:tcW w:w="2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0" w:type="dxa"/>
            <w:vAlign w:val="bottom"/>
          </w:tcPr>
          <w:p>
            <w:pPr>
              <w:ind w:left="860"/>
              <w:spacing w:after="0"/>
              <w:rPr>
                <w:sz w:val="20"/>
                <w:szCs w:val="20"/>
                <w:color w:val="auto"/>
              </w:rPr>
            </w:pPr>
            <w:r>
              <w:rPr>
                <w:rFonts w:ascii="Arial" w:cs="Arial" w:eastAsia="Arial" w:hAnsi="Arial"/>
                <w:sz w:val="20"/>
                <w:szCs w:val="20"/>
                <w:color w:val="auto"/>
                <w:w w:val="88"/>
              </w:rPr>
              <w:t>Name:</w:t>
            </w:r>
          </w:p>
        </w:tc>
        <w:tc>
          <w:tcPr>
            <w:tcW w:w="5160" w:type="dxa"/>
            <w:vAlign w:val="bottom"/>
          </w:tcPr>
          <w:p>
            <w:pPr>
              <w:ind w:left="300"/>
              <w:spacing w:after="0"/>
              <w:rPr>
                <w:sz w:val="20"/>
                <w:szCs w:val="20"/>
                <w:color w:val="auto"/>
              </w:rPr>
            </w:pPr>
            <w:r>
              <w:rPr>
                <w:rFonts w:ascii="Arial" w:cs="Arial" w:eastAsia="Arial" w:hAnsi="Arial"/>
                <w:sz w:val="20"/>
                <w:szCs w:val="20"/>
                <w:color w:val="auto"/>
              </w:rPr>
              <w:t>Liliana Claar</w:t>
            </w:r>
          </w:p>
        </w:tc>
      </w:tr>
      <w:tr>
        <w:trPr>
          <w:trHeight w:val="283"/>
        </w:trPr>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ind w:left="860"/>
              <w:spacing w:after="0"/>
              <w:rPr>
                <w:sz w:val="20"/>
                <w:szCs w:val="20"/>
                <w:color w:val="auto"/>
              </w:rPr>
            </w:pPr>
            <w:r>
              <w:rPr>
                <w:rFonts w:ascii="Arial" w:cs="Arial" w:eastAsia="Arial" w:hAnsi="Arial"/>
                <w:sz w:val="20"/>
                <w:szCs w:val="20"/>
                <w:color w:val="auto"/>
              </w:rPr>
              <w:t>Title:</w:t>
            </w:r>
          </w:p>
        </w:tc>
        <w:tc>
          <w:tcPr>
            <w:tcW w:w="5160" w:type="dxa"/>
            <w:vAlign w:val="bottom"/>
          </w:tcPr>
          <w:p>
            <w:pPr>
              <w:ind w:left="30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0139"/>
          </w:cols>
          <w:pgMar w:left="320" w:top="1440" w:right="1440" w:bottom="1440" w:gutter="0" w:footer="0" w:header="0"/>
        </w:sectPr>
      </w:pPr>
    </w:p>
    <w:bookmarkStart w:id="54" w:name="page55"/>
    <w:bookmarkEnd w:id="54"/>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Appendix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TERMS APPLICABLE TO ALTERNATIVE CURRENCY LOANS</w:t>
      </w:r>
    </w:p>
    <w:p>
      <w:pPr>
        <w:spacing w:after="0" w:line="243" w:lineRule="exact"/>
        <w:rPr>
          <w:sz w:val="20"/>
          <w:szCs w:val="20"/>
          <w:color w:val="auto"/>
        </w:rPr>
      </w:pPr>
    </w:p>
    <w:p>
      <w:pPr>
        <w:ind w:left="1300" w:right="4100" w:hanging="644"/>
        <w:spacing w:after="0" w:line="464" w:lineRule="auto"/>
        <w:tabs>
          <w:tab w:leader="none" w:pos="998"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The following terms shall have the meanings set forth below: “</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means Sterling.</w:t>
      </w:r>
    </w:p>
    <w:p>
      <w:pPr>
        <w:spacing w:after="0" w:line="2"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Daily Rate</w:t>
      </w:r>
      <w:r>
        <w:rPr>
          <w:rFonts w:ascii="Arial" w:cs="Arial" w:eastAsia="Arial" w:hAnsi="Arial"/>
          <w:sz w:val="20"/>
          <w:szCs w:val="20"/>
          <w:color w:val="auto"/>
        </w:rPr>
        <w:t xml:space="preserve">” means, for any day, with respect to any extension of credit under the Credit Agreement denominated in Sterling, the rate per annum equal to SONIA determined pursuant to the definition thereof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SONIA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94"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Daily Rate Loan</w:t>
      </w:r>
      <w:r>
        <w:rPr>
          <w:rFonts w:ascii="Arial" w:cs="Arial" w:eastAsia="Arial" w:hAnsi="Arial"/>
          <w:sz w:val="19"/>
          <w:szCs w:val="19"/>
          <w:color w:val="auto"/>
        </w:rPr>
        <w:t>” means a Loan that bears interest at a rate based on the definition of “Alternative Currency Daily Rate.” All Alternative Currency Daily Rate Loans must be denominated in an Alternative Currency.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Loan</w:t>
      </w:r>
      <w:r>
        <w:rPr>
          <w:rFonts w:ascii="Arial" w:cs="Arial" w:eastAsia="Arial" w:hAnsi="Arial"/>
          <w:sz w:val="20"/>
          <w:szCs w:val="20"/>
          <w:color w:val="auto"/>
        </w:rPr>
        <w:t>” means an Alternative Currency Daily Rate Loan.</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the Applicable Rate, Applicable Margin or any similar or analogous definition in the Credit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Committed Borrowing, Borrowing, or any similar or analogous definition in the Credit Agreement.</w:t>
      </w:r>
    </w:p>
    <w:p>
      <w:pPr>
        <w:spacing w:after="0" w:line="227"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commercial banks are authorized to close under the laws of, or are in fact closed in, the state where the Administrative Agent’s Office is located;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30" w:lineRule="exact"/>
        <w:rPr>
          <w:sz w:val="20"/>
          <w:szCs w:val="20"/>
          <w:color w:val="auto"/>
        </w:rPr>
      </w:pPr>
    </w:p>
    <w:p>
      <w:pPr>
        <w:jc w:val="both"/>
        <w:ind w:left="1300" w:firstLine="652"/>
        <w:spacing w:after="0" w:line="250" w:lineRule="auto"/>
        <w:tabs>
          <w:tab w:leader="none" w:pos="2445" w:val="left"/>
        </w:tabs>
        <w:numPr>
          <w:ilvl w:val="0"/>
          <w:numId w:val="48"/>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w:t>
      </w:r>
    </w:p>
    <w:p>
      <w:pPr>
        <w:spacing w:after="0" w:line="185" w:lineRule="exact"/>
        <w:rPr>
          <w:rFonts w:ascii="Arial" w:cs="Arial" w:eastAsia="Arial" w:hAnsi="Arial"/>
          <w:sz w:val="20"/>
          <w:szCs w:val="20"/>
          <w:color w:val="auto"/>
        </w:rPr>
      </w:pPr>
    </w:p>
    <w:p>
      <w:pPr>
        <w:jc w:val="both"/>
        <w:ind w:left="1300" w:firstLine="652"/>
        <w:spacing w:after="0" w:line="244" w:lineRule="auto"/>
        <w:tabs>
          <w:tab w:leader="none" w:pos="2423" w:val="left"/>
        </w:tabs>
        <w:numPr>
          <w:ilvl w:val="0"/>
          <w:numId w:val="48"/>
        </w:numPr>
        <w:rPr>
          <w:rFonts w:ascii="Arial" w:cs="Arial" w:eastAsia="Arial" w:hAnsi="Arial"/>
          <w:sz w:val="20"/>
          <w:szCs w:val="20"/>
          <w:color w:val="auto"/>
        </w:rPr>
      </w:pPr>
      <w:r>
        <w:rPr>
          <w:rFonts w:ascii="Arial" w:cs="Arial" w:eastAsia="Arial" w:hAnsi="Arial"/>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94"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 Notice</w:t>
      </w:r>
      <w:r>
        <w:rPr>
          <w:rFonts w:ascii="Arial" w:cs="Arial" w:eastAsia="Arial" w:hAnsi="Arial"/>
          <w:sz w:val="20"/>
          <w:szCs w:val="20"/>
          <w:color w:val="auto"/>
        </w:rPr>
        <w:t>” means a Committed Loan Notice, Loan Notice, Borrowing Notice, Continuation/Conversion Notice, or any similar or analogous definition in the Credit Agreement, and such term shall be deemed to include the Committed Loan Notice attached hereto as Exhibit A.</w:t>
      </w:r>
    </w:p>
    <w:p>
      <w:pPr>
        <w:spacing w:after="0" w:line="186"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Conforming Changes</w:t>
      </w:r>
      <w:r>
        <w:rPr>
          <w:rFonts w:ascii="Arial" w:cs="Arial" w:eastAsia="Arial" w:hAnsi="Arial"/>
          <w:sz w:val="20"/>
          <w:szCs w:val="20"/>
          <w:color w:val="auto"/>
        </w:rPr>
        <w:t>” means, with respect to the use, administration of or any conventions associated with SONIA or any proposed Successor Rate for any currency,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1240"/>
          </w:cols>
          <w:pgMar w:left="320" w:top="1440" w:right="339" w:bottom="1440" w:gutter="0" w:footer="0" w:header="0"/>
        </w:sectPr>
      </w:pPr>
    </w:p>
    <w:bookmarkStart w:id="55" w:name="page56"/>
    <w:bookmarkEnd w:id="55"/>
    <w:p>
      <w:pPr>
        <w:jc w:val="both"/>
        <w:ind w:left="660"/>
        <w:spacing w:after="0" w:line="256" w:lineRule="auto"/>
        <w:rPr>
          <w:sz w:val="20"/>
          <w:szCs w:val="20"/>
          <w:color w:val="auto"/>
        </w:rPr>
      </w:pPr>
      <w:r>
        <w:rPr>
          <w:rFonts w:ascii="Arial" w:cs="Arial" w:eastAsia="Arial" w:hAnsi="Arial"/>
          <w:sz w:val="19"/>
          <w:szCs w:val="19"/>
          <w:color w:val="auto"/>
        </w:rPr>
        <w:t>conforming changes to the definitions of “SONIA”,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is reasonably necessary in connection with the administration of this Agreement and any other Loan Document).</w:t>
      </w:r>
    </w:p>
    <w:p>
      <w:pPr>
        <w:spacing w:after="0" w:line="184"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as to any Alternative Currency Daily Rate Loan, the last Business Day of each month and the applicable maturity date set forth in the Credit Agreement.</w:t>
      </w:r>
    </w:p>
    <w:p>
      <w:pPr>
        <w:spacing w:after="0" w:line="17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Revaluation Date</w:t>
      </w:r>
      <w:r>
        <w:rPr>
          <w:rFonts w:ascii="Arial" w:cs="Arial" w:eastAsia="Arial" w:hAnsi="Arial"/>
          <w:sz w:val="20"/>
          <w:szCs w:val="20"/>
          <w:color w:val="auto"/>
        </w:rPr>
        <w:t>” means, with respect to any Loan, each of the following: (a) each date of a Borrowing of an Alternative Currency Loan, (b) with respect to an Alternative Currency Daily Rate Loan, each Interest Payment Date, and (c) such additional dates as the Administrative Agent shall determine or the Required Lenders shall require.</w:t>
      </w:r>
    </w:p>
    <w:p>
      <w:pPr>
        <w:spacing w:after="0" w:line="186"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w:t>
      </w:r>
      <w:r>
        <w:rPr>
          <w:rFonts w:ascii="Arial" w:cs="Arial" w:eastAsia="Arial" w:hAnsi="Arial"/>
          <w:sz w:val="20"/>
          <w:szCs w:val="20"/>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however that if such determination date is not a Business Day, SONIA means such rate that applied on the first Business Day immediately prior thereto.</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Adjustment</w:t>
      </w:r>
      <w:r>
        <w:rPr>
          <w:rFonts w:ascii="Arial" w:cs="Arial" w:eastAsia="Arial" w:hAnsi="Arial"/>
          <w:sz w:val="20"/>
          <w:szCs w:val="20"/>
          <w:color w:val="auto"/>
        </w:rPr>
        <w:t>” means, with respect to SONIA, 0.0326% per annum.</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a Eurocurrency Rate Loan, or an Alternative Currency Daily Rate Loan.</w:t>
      </w:r>
    </w:p>
    <w:p>
      <w:pPr>
        <w:spacing w:after="0" w:line="177"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Terms Applicable to Alternative Currency Loans</w:t>
      </w:r>
      <w:r>
        <w:rPr>
          <w:rFonts w:ascii="Arial" w:cs="Arial" w:eastAsia="Arial" w:hAnsi="Arial"/>
          <w:sz w:val="18"/>
          <w:szCs w:val="18"/>
          <w:color w:val="auto"/>
        </w:rPr>
        <w:t>. From and after the Amendment Effective Date, the parties hereto agree as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follows:</w:t>
      </w:r>
    </w:p>
    <w:p>
      <w:pPr>
        <w:spacing w:after="0" w:line="199" w:lineRule="exact"/>
        <w:rPr>
          <w:rFonts w:ascii="Arial" w:cs="Arial" w:eastAsia="Arial" w:hAnsi="Arial"/>
          <w:sz w:val="18"/>
          <w:szCs w:val="18"/>
          <w:color w:val="auto"/>
        </w:rPr>
      </w:pPr>
    </w:p>
    <w:p>
      <w:pPr>
        <w:jc w:val="both"/>
        <w:ind w:left="660" w:firstLine="644"/>
        <w:spacing w:after="0" w:line="257" w:lineRule="auto"/>
        <w:tabs>
          <w:tab w:leader="none" w:pos="1833"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Alternative Currencies</w:t>
      </w:r>
      <w:r>
        <w:rPr>
          <w:rFonts w:ascii="Arial" w:cs="Arial" w:eastAsia="Arial" w:hAnsi="Arial"/>
          <w:sz w:val="19"/>
          <w:szCs w:val="19"/>
          <w:color w:val="auto"/>
        </w:rPr>
        <w:t xml:space="preserve">. (i) No Alternative Currency shall be considered a currency for which there is a published LIBOR Rate, and (ii) any request for a new Loan denominated in an Alternative Currency, or to continue an existing Loan denominated in an Alternative Currency, shall be deemed to be a request for a new Loan bearing interest at the Alternative Currency Daily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to the extent any Loan bearing interest at the Eurocurrency Rate is outstanding on the Amendment Effective Date, such Loan shall continue to bear interest at the Eurocurrency Rate until the end of the current Interest Period or payment period applicable to such Loan unless, in the case of a Loan that bears interest at a daily floating rate, such daily floating rate is no longer representative or being made available, in which case such Loan shall bear interest at the applicable Alternative Currency Daily Rate immediately upon the effectiveness of this Agreement.</w:t>
      </w:r>
    </w:p>
    <w:p>
      <w:pPr>
        <w:spacing w:after="0" w:line="180" w:lineRule="exact"/>
        <w:rPr>
          <w:rFonts w:ascii="Arial" w:cs="Arial" w:eastAsia="Arial" w:hAnsi="Arial"/>
          <w:sz w:val="19"/>
          <w:szCs w:val="19"/>
          <w:color w:val="auto"/>
        </w:rPr>
      </w:pPr>
    </w:p>
    <w:p>
      <w:pPr>
        <w:ind w:left="1780" w:hanging="476"/>
        <w:spacing w:after="0"/>
        <w:tabs>
          <w:tab w:leader="none" w:pos="1780"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References to Eurocurrency Rate and Eurocurrency Rate Loans in the Credit Agreement and Loan Documents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1240"/>
          </w:cols>
          <w:pgMar w:left="320" w:top="1419" w:right="339" w:bottom="1440" w:gutter="0" w:footer="0" w:header="0"/>
        </w:sectPr>
      </w:pPr>
    </w:p>
    <w:bookmarkStart w:id="56" w:name="page57"/>
    <w:bookmarkEnd w:id="56"/>
    <w:p>
      <w:pPr>
        <w:jc w:val="both"/>
        <w:ind w:left="1300" w:firstLine="652"/>
        <w:spacing w:after="0" w:line="246" w:lineRule="auto"/>
        <w:tabs>
          <w:tab w:leader="none" w:pos="2416" w:val="left"/>
        </w:tabs>
        <w:numPr>
          <w:ilvl w:val="1"/>
          <w:numId w:val="50"/>
        </w:numPr>
        <w:rPr>
          <w:rFonts w:ascii="Arial" w:cs="Arial" w:eastAsia="Arial" w:hAnsi="Arial"/>
          <w:sz w:val="20"/>
          <w:szCs w:val="20"/>
          <w:color w:val="auto"/>
        </w:rPr>
      </w:pPr>
      <w:r>
        <w:rPr>
          <w:rFonts w:ascii="Arial" w:cs="Arial" w:eastAsia="Arial" w:hAnsi="Arial"/>
          <w:sz w:val="20"/>
          <w:szCs w:val="20"/>
          <w:color w:val="auto"/>
        </w:rPr>
        <w:t>References to the Eurocurrency Rate and Eurocurrency Rate Loans in provisions of the Credit Agreement and the other Loan Documents that are not specifically addressed herein (other than the definitions of Eurocurrency Rate and Eurocurrency Rate Loan) shall be deemed to include Alternative Currency Daily Rates, and Alternative Currency Loans, as applicable.</w:t>
      </w:r>
    </w:p>
    <w:p>
      <w:pPr>
        <w:spacing w:after="0" w:line="191" w:lineRule="exact"/>
        <w:rPr>
          <w:rFonts w:ascii="Arial" w:cs="Arial" w:eastAsia="Arial" w:hAnsi="Arial"/>
          <w:sz w:val="20"/>
          <w:szCs w:val="20"/>
          <w:color w:val="auto"/>
        </w:rPr>
      </w:pPr>
    </w:p>
    <w:p>
      <w:pPr>
        <w:jc w:val="both"/>
        <w:ind w:left="1300" w:firstLine="652"/>
        <w:spacing w:after="0" w:line="244" w:lineRule="auto"/>
        <w:tabs>
          <w:tab w:leader="none" w:pos="2482" w:val="left"/>
        </w:tabs>
        <w:numPr>
          <w:ilvl w:val="1"/>
          <w:numId w:val="50"/>
        </w:numPr>
        <w:rPr>
          <w:rFonts w:ascii="Arial" w:cs="Arial" w:eastAsia="Arial" w:hAnsi="Arial"/>
          <w:sz w:val="20"/>
          <w:szCs w:val="20"/>
          <w:color w:val="auto"/>
        </w:rPr>
      </w:pPr>
      <w:r>
        <w:rPr>
          <w:rFonts w:ascii="Arial" w:cs="Arial" w:eastAsia="Arial" w:hAnsi="Arial"/>
          <w:sz w:val="20"/>
          <w:szCs w:val="20"/>
          <w:color w:val="auto"/>
        </w:rPr>
        <w:t>For purposes of any requirement for the Borrower to compensate Lenders for losses in the Credit Agreement resulting from any continuation, conversion, payment or prepayment of any Alternative Currency Loan on a day other than the last day of any Interest Period (as defined in the Credit Agreement), references to the Interest Period (as defined in the Credit Agreement) shall be deemed to include any relevant interest payment date or payment period for an Alternative Currency Loan.</w:t>
      </w:r>
    </w:p>
    <w:p>
      <w:pPr>
        <w:spacing w:after="0" w:line="188" w:lineRule="exact"/>
        <w:rPr>
          <w:rFonts w:ascii="Arial" w:cs="Arial" w:eastAsia="Arial" w:hAnsi="Arial"/>
          <w:sz w:val="20"/>
          <w:szCs w:val="20"/>
          <w:color w:val="auto"/>
        </w:rPr>
      </w:pPr>
    </w:p>
    <w:p>
      <w:pPr>
        <w:ind w:left="1780" w:hanging="476"/>
        <w:spacing w:after="0"/>
        <w:tabs>
          <w:tab w:leader="none" w:pos="178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Interest Rates</w:t>
      </w:r>
      <w:r>
        <w:rPr>
          <w:rFonts w:ascii="Arial" w:cs="Arial" w:eastAsia="Arial" w:hAnsi="Arial"/>
          <w:sz w:val="16"/>
          <w:szCs w:val="16"/>
          <w:color w:val="auto"/>
        </w:rPr>
        <w:t xml:space="preserve">. </w:t>
      </w:r>
      <w:r>
        <w:rPr>
          <w:rFonts w:ascii="Arial" w:cs="Arial" w:eastAsia="Arial" w:hAnsi="Arial"/>
          <w:sz w:val="16"/>
          <w:szCs w:val="16"/>
          <w:b w:val="1"/>
          <w:bCs w:val="1"/>
          <w:color w:val="auto"/>
        </w:rPr>
        <w:t>The Administrative Agent does not warrant, or accept responsibility, nor shall the Administrative</w:t>
      </w:r>
    </w:p>
    <w:p>
      <w:pPr>
        <w:spacing w:after="0" w:line="67" w:lineRule="exact"/>
        <w:rPr>
          <w:rFonts w:ascii="Arial" w:cs="Arial" w:eastAsia="Arial" w:hAnsi="Arial"/>
          <w:sz w:val="16"/>
          <w:szCs w:val="16"/>
          <w:color w:val="auto"/>
        </w:rPr>
      </w:pPr>
    </w:p>
    <w:p>
      <w:pPr>
        <w:jc w:val="both"/>
        <w:ind w:left="660"/>
        <w:spacing w:after="0" w:line="241" w:lineRule="auto"/>
        <w:rPr>
          <w:rFonts w:ascii="Arial" w:cs="Arial" w:eastAsia="Arial" w:hAnsi="Arial"/>
          <w:sz w:val="16"/>
          <w:szCs w:val="16"/>
          <w:color w:val="auto"/>
        </w:rPr>
      </w:pPr>
      <w:r>
        <w:rPr>
          <w:rFonts w:ascii="Arial" w:cs="Arial" w:eastAsia="Arial" w:hAnsi="Arial"/>
          <w:sz w:val="20"/>
          <w:szCs w:val="20"/>
          <w:b w:val="1"/>
          <w:bCs w:val="1"/>
          <w:color w:val="auto"/>
        </w:rPr>
        <w:t xml:space="preserve">Agent have any liability with respect to the administration, submission or any other matter related to the rates in the definition of “Alternative Currency Daily Rate”, </w:t>
      </w:r>
      <w:r>
        <w:rPr>
          <w:rFonts w:ascii="Arial" w:cs="Arial" w:eastAsia="Arial" w:hAnsi="Arial"/>
          <w:sz w:val="20"/>
          <w:szCs w:val="20"/>
          <w:color w:val="auto"/>
        </w:rPr>
        <w:t>or with respect to any rate (including, for the avoidance of doubt, the selection</w:t>
      </w:r>
      <w:r>
        <w:rPr>
          <w:rFonts w:ascii="Arial" w:cs="Arial" w:eastAsia="Arial" w:hAnsi="Arial"/>
          <w:sz w:val="20"/>
          <w:szCs w:val="20"/>
          <w:b w:val="1"/>
          <w:bCs w:val="1"/>
          <w:color w:val="auto"/>
        </w:rPr>
        <w:t xml:space="preserve"> </w:t>
      </w:r>
      <w:r>
        <w:rPr>
          <w:rFonts w:ascii="Arial" w:cs="Arial" w:eastAsia="Arial" w:hAnsi="Arial"/>
          <w:sz w:val="20"/>
          <w:szCs w:val="20"/>
          <w:color w:val="auto"/>
        </w:rPr>
        <w:t>of such rate and any related spread or other adjustment) that is an alternative or replacement for or successor to any such rate or the effect of any of the foregoing, or of any Conforming Changes.</w:t>
      </w:r>
    </w:p>
    <w:p>
      <w:pPr>
        <w:spacing w:after="0" w:line="194" w:lineRule="exact"/>
        <w:rPr>
          <w:rFonts w:ascii="Arial" w:cs="Arial" w:eastAsia="Arial" w:hAnsi="Arial"/>
          <w:sz w:val="16"/>
          <w:szCs w:val="16"/>
          <w:color w:val="auto"/>
        </w:rPr>
      </w:pPr>
    </w:p>
    <w:p>
      <w:pPr>
        <w:jc w:val="both"/>
        <w:ind w:left="660" w:firstLine="644"/>
        <w:spacing w:after="0" w:line="250" w:lineRule="auto"/>
        <w:tabs>
          <w:tab w:leader="none" w:pos="179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Revaluation Dates</w:t>
      </w:r>
      <w:r>
        <w:rPr>
          <w:rFonts w:ascii="Arial" w:cs="Arial" w:eastAsia="Arial" w:hAnsi="Arial"/>
          <w:sz w:val="20"/>
          <w:szCs w:val="20"/>
          <w:color w:val="auto"/>
        </w:rPr>
        <w:t>. The Administrative Agent shall determine the Dollar Amount amounts of Borrowings and Loans denominated in Alternative Currencies. Such Dollar Amount shall become effective as of such Revaluation Date and shall be the Dollar Amount of such amounts until the next Revaluation Date to occur.</w:t>
      </w:r>
    </w:p>
    <w:p>
      <w:pPr>
        <w:spacing w:after="0" w:line="185" w:lineRule="exact"/>
        <w:rPr>
          <w:rFonts w:ascii="Arial" w:cs="Arial" w:eastAsia="Arial" w:hAnsi="Arial"/>
          <w:sz w:val="20"/>
          <w:szCs w:val="20"/>
          <w:color w:val="auto"/>
        </w:rPr>
      </w:pPr>
    </w:p>
    <w:p>
      <w:pPr>
        <w:ind w:left="1800" w:hanging="496"/>
        <w:spacing w:after="0"/>
        <w:tabs>
          <w:tab w:leader="none" w:pos="180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Borrowings of Alternative Currency Loans</w:t>
      </w:r>
      <w:r>
        <w:rPr>
          <w:rFonts w:ascii="Arial" w:cs="Arial" w:eastAsia="Arial" w:hAnsi="Arial"/>
          <w:sz w:val="19"/>
          <w:szCs w:val="19"/>
          <w:color w:val="auto"/>
        </w:rPr>
        <w:t>. In addition to any other borrowing requirements set forth in the Credit</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199" w:lineRule="exact"/>
        <w:rPr>
          <w:rFonts w:ascii="Arial" w:cs="Arial" w:eastAsia="Arial" w:hAnsi="Arial"/>
          <w:sz w:val="19"/>
          <w:szCs w:val="19"/>
          <w:color w:val="auto"/>
        </w:rPr>
      </w:pPr>
    </w:p>
    <w:p>
      <w:pPr>
        <w:jc w:val="both"/>
        <w:ind w:left="1300" w:firstLine="652"/>
        <w:spacing w:after="0" w:line="254" w:lineRule="auto"/>
        <w:tabs>
          <w:tab w:leader="none" w:pos="2333"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Alternative Currency Loans</w:t>
      </w:r>
      <w:r>
        <w:rPr>
          <w:rFonts w:ascii="Arial" w:cs="Arial" w:eastAsia="Arial" w:hAnsi="Arial"/>
          <w:sz w:val="19"/>
          <w:szCs w:val="19"/>
          <w:color w:val="auto"/>
        </w:rPr>
        <w:t xml:space="preserve">. Each Borrowing of Alternative Currency Loans shall be made upon the Borrower’s irrevocable notice to the Administrative Agent, which may be given by (A) telephone or (B) a Committed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telephonic notice must be confirmed immediately by delivery to the Administrative Agent of a Committed Loan Notice. Each such Committed Loan Notice must be received by the Administrative Agent not later than 11:00 a.m. (Eastern time) three Business Days (or five Business Days in the case of a Special Notice Currency) prior to the requested date of any Borrowing. Each Borrowing of Alternative Currency Loans shall be in a principal amount of the Dollar Amount of $5,000,000 or a whole multiple of the Dollar Amount of $1,000,000 in excess thereof. Each Committed Loan Notice shall specify (i) whether the Borrower is requesting a Borrowing, (ii) the requested date of the Borrowing, as the case may be (which shall be a Business Day), (iii) the currency and principal amount of Loans to be borrowed or continued, and (iv) the Type of Loans to be borrowed. If the Borrower fails to specify a currency in a Loan Notice requesting a Borrowing, then the Loans so requested shall be made in Dollars. If the Borrower fails to specify a Type of Loan in a Committed Loan Notice, then the applicable Loans shall be made as Base Rate Loans denominated in Dollars. Except as otherwise specified in the Credit Agreement, no Alternative Currency Loan may be converted into or continued as a Loan denominated in a different currency, but instead must be repaid in the original currency of such Alternative Currency Loan and reborrowed in the other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1240"/>
          </w:cols>
          <w:pgMar w:left="320" w:top="1419" w:right="339" w:bottom="1440" w:gutter="0" w:footer="0" w:header="0"/>
        </w:sectPr>
      </w:pPr>
    </w:p>
    <w:bookmarkStart w:id="57" w:name="page58"/>
    <w:bookmarkEnd w:id="57"/>
    <w:p>
      <w:pPr>
        <w:jc w:val="both"/>
        <w:ind w:left="1300" w:firstLine="652"/>
        <w:spacing w:after="0" w:line="274" w:lineRule="auto"/>
        <w:tabs>
          <w:tab w:leader="none" w:pos="2387" w:val="left"/>
        </w:tabs>
        <w:numPr>
          <w:ilvl w:val="4"/>
          <w:numId w:val="52"/>
        </w:numPr>
        <w:rPr>
          <w:rFonts w:ascii="Arial" w:cs="Arial" w:eastAsia="Arial" w:hAnsi="Arial"/>
          <w:sz w:val="18"/>
          <w:szCs w:val="18"/>
          <w:color w:val="auto"/>
        </w:rPr>
      </w:pPr>
      <w:r>
        <w:rPr>
          <w:rFonts w:ascii="Arial" w:cs="Arial" w:eastAsia="Arial" w:hAnsi="Arial"/>
          <w:sz w:val="18"/>
          <w:szCs w:val="18"/>
          <w:u w:val="single" w:color="auto"/>
          <w:color w:val="auto"/>
        </w:rPr>
        <w:t>Conforming Changes</w:t>
      </w:r>
      <w:r>
        <w:rPr>
          <w:rFonts w:ascii="Arial" w:cs="Arial" w:eastAsia="Arial" w:hAnsi="Arial"/>
          <w:sz w:val="18"/>
          <w:szCs w:val="18"/>
          <w:color w:val="auto"/>
        </w:rPr>
        <w:t xml:space="preserve">. With respect to any Alternative Currency Daily Rate or Alternative Currency Term Rate, the Administrative Agent will have the right to make additional Conforming Changes from time to time and, notwithstanding anything to the contrary herein, in the Credit Agreement or in any other Loan Document, any amendments implementing such additional Conforming Changes will become effective without any further action or consent of any other party to this Agreement, the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such amendment effected, the Administrative Agent shall post each such amendment implementing such Conforming Changes to the Borrower and the Lenders reasonably promptly after such amendment becomes effective.</w:t>
      </w:r>
    </w:p>
    <w:p>
      <w:pPr>
        <w:spacing w:after="0" w:line="168" w:lineRule="exact"/>
        <w:rPr>
          <w:rFonts w:ascii="Arial" w:cs="Arial" w:eastAsia="Arial" w:hAnsi="Arial"/>
          <w:sz w:val="18"/>
          <w:szCs w:val="18"/>
          <w:color w:val="auto"/>
        </w:rPr>
      </w:pPr>
    </w:p>
    <w:p>
      <w:pPr>
        <w:ind w:left="1300" w:firstLine="652"/>
        <w:spacing w:after="0" w:line="260" w:lineRule="auto"/>
        <w:tabs>
          <w:tab w:leader="none" w:pos="2469" w:val="left"/>
        </w:tabs>
        <w:numPr>
          <w:ilvl w:val="4"/>
          <w:numId w:val="52"/>
        </w:numPr>
        <w:rPr>
          <w:rFonts w:ascii="Arial" w:cs="Arial" w:eastAsia="Arial" w:hAnsi="Arial"/>
          <w:sz w:val="20"/>
          <w:szCs w:val="20"/>
          <w:color w:val="auto"/>
        </w:rPr>
      </w:pPr>
      <w:r>
        <w:rPr>
          <w:rFonts w:ascii="Arial" w:cs="Arial" w:eastAsia="Arial" w:hAnsi="Arial"/>
          <w:sz w:val="20"/>
          <w:szCs w:val="20"/>
          <w:u w:val="single" w:color="auto"/>
          <w:color w:val="auto"/>
        </w:rPr>
        <w:t>Committed Loan Notice</w:t>
      </w:r>
      <w:r>
        <w:rPr>
          <w:rFonts w:ascii="Arial" w:cs="Arial" w:eastAsia="Arial" w:hAnsi="Arial"/>
          <w:sz w:val="20"/>
          <w:szCs w:val="20"/>
          <w:color w:val="auto"/>
        </w:rPr>
        <w:t>. For purposes of a Borrowing of Alternative Currency Loans, the Borrower shall use the Committed Loan Notice attached hereto as Exhibit A.</w:t>
      </w:r>
    </w:p>
    <w:p>
      <w:pPr>
        <w:spacing w:after="0" w:line="176" w:lineRule="exact"/>
        <w:rPr>
          <w:rFonts w:ascii="Arial" w:cs="Arial" w:eastAsia="Arial" w:hAnsi="Arial"/>
          <w:sz w:val="20"/>
          <w:szCs w:val="20"/>
          <w:color w:val="auto"/>
        </w:rPr>
      </w:pPr>
    </w:p>
    <w:p>
      <w:pPr>
        <w:ind w:left="1700" w:hanging="396"/>
        <w:spacing w:after="0"/>
        <w:tabs>
          <w:tab w:leader="none" w:pos="1700"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249"/>
        <w:spacing w:after="0" w:line="250" w:lineRule="auto"/>
        <w:tabs>
          <w:tab w:leader="none" w:pos="1977" w:val="left"/>
        </w:tabs>
        <w:numPr>
          <w:ilvl w:val="2"/>
          <w:numId w:val="53"/>
        </w:numPr>
        <w:rPr>
          <w:rFonts w:ascii="Arial" w:cs="Arial" w:eastAsia="Arial" w:hAnsi="Arial"/>
          <w:sz w:val="20"/>
          <w:szCs w:val="20"/>
          <w:color w:val="auto"/>
        </w:rPr>
      </w:pPr>
      <w:r>
        <w:rPr>
          <w:rFonts w:ascii="Arial" w:cs="Arial" w:eastAsia="Arial" w:hAnsi="Arial"/>
          <w:sz w:val="20"/>
          <w:szCs w:val="20"/>
          <w:color w:val="auto"/>
        </w:rPr>
        <w:t xml:space="preserve">Subject to the provisions of the Credit Agreement with respect to default interest, each Alternative Currency Daily Rate Loan shall bear interest on the outstanding principal amount thereof from the applicable borrowing date at a rate per annum equal to the Alternative Currency Daily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w:t>
      </w:r>
    </w:p>
    <w:p>
      <w:pPr>
        <w:spacing w:after="0" w:line="185" w:lineRule="exact"/>
        <w:rPr>
          <w:rFonts w:ascii="Arial" w:cs="Arial" w:eastAsia="Arial" w:hAnsi="Arial"/>
          <w:sz w:val="20"/>
          <w:szCs w:val="20"/>
          <w:color w:val="auto"/>
        </w:rPr>
      </w:pPr>
    </w:p>
    <w:p>
      <w:pPr>
        <w:jc w:val="both"/>
        <w:ind w:left="1300" w:firstLine="299"/>
        <w:spacing w:after="0" w:line="246" w:lineRule="auto"/>
        <w:tabs>
          <w:tab w:leader="none" w:pos="2132" w:val="left"/>
        </w:tabs>
        <w:numPr>
          <w:ilvl w:val="3"/>
          <w:numId w:val="53"/>
        </w:numPr>
        <w:rPr>
          <w:rFonts w:ascii="Arial" w:cs="Arial" w:eastAsia="Arial" w:hAnsi="Arial"/>
          <w:sz w:val="20"/>
          <w:szCs w:val="20"/>
          <w:color w:val="auto"/>
        </w:rPr>
      </w:pPr>
      <w:r>
        <w:rPr>
          <w:rFonts w:ascii="Arial" w:cs="Arial" w:eastAsia="Arial" w:hAnsi="Arial"/>
          <w:sz w:val="20"/>
          <w:szCs w:val="20"/>
          <w:color w:val="auto"/>
        </w:rPr>
        <w:t>Interest on each Alternative Currency Loan shall be due and payable in arrears on each Interest Payment Date applicable thereto and at such other times as may be specified the Credit Agreement. Interest hereunder shall be due and payable in accordance with the terms hereof before and after judgment, and before and after the commencement of any proceeding under any debtor relief law.</w:t>
      </w:r>
    </w:p>
    <w:p>
      <w:pPr>
        <w:spacing w:after="0" w:line="191" w:lineRule="exact"/>
        <w:rPr>
          <w:rFonts w:ascii="Arial" w:cs="Arial" w:eastAsia="Arial" w:hAnsi="Arial"/>
          <w:sz w:val="20"/>
          <w:szCs w:val="20"/>
          <w:color w:val="auto"/>
        </w:rPr>
      </w:pPr>
    </w:p>
    <w:p>
      <w:pPr>
        <w:jc w:val="both"/>
        <w:ind w:left="660" w:firstLine="644"/>
        <w:spacing w:after="0" w:line="257" w:lineRule="auto"/>
        <w:tabs>
          <w:tab w:leader="none" w:pos="1799"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Computations</w:t>
      </w:r>
      <w:r>
        <w:rPr>
          <w:rFonts w:ascii="Arial" w:cs="Arial" w:eastAsia="Arial" w:hAnsi="Arial"/>
          <w:sz w:val="19"/>
          <w:szCs w:val="19"/>
          <w:color w:val="auto"/>
        </w:rPr>
        <w:t xml:space="preserve">. All computations of interest for Alternative Currency Loans shall be made on the basis of a year of 365 or 366 days, as the case may be, and actual days elapsed, or, in the case of interest in respect of Alternative Currency Loans as to which market practice differs from the foregoing, in accordance with such market practice. Interest shall accrue on each Alternative Currency Loans for the day on which the Alternative Currency Loans is made, and shall not accrue on an Alternative Currency Loans, or any portion thereof, for the day on which the Alternative Currency Loans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Alternative Currency Loans that is repaid on the same day on which it is made shall, subject to the terms of the Credit Agreement, bear interest for one day. Each determination by the Administrative Agent of an interest rate or fee hereunder shall be conclusive and binding for all purposes, absent manifest error.</w:t>
      </w:r>
    </w:p>
    <w:p>
      <w:pPr>
        <w:spacing w:after="0" w:line="180" w:lineRule="exact"/>
        <w:rPr>
          <w:rFonts w:ascii="Arial" w:cs="Arial" w:eastAsia="Arial" w:hAnsi="Arial"/>
          <w:sz w:val="19"/>
          <w:szCs w:val="19"/>
          <w:color w:val="auto"/>
        </w:rPr>
      </w:pPr>
    </w:p>
    <w:p>
      <w:pPr>
        <w:jc w:val="both"/>
        <w:ind w:left="340" w:firstLine="640"/>
        <w:spacing w:after="0" w:line="250" w:lineRule="auto"/>
        <w:tabs>
          <w:tab w:leader="none" w:pos="1497"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Successor Rates</w:t>
      </w:r>
      <w:r>
        <w:rPr>
          <w:rFonts w:ascii="Arial" w:cs="Arial" w:eastAsia="Arial" w:hAnsi="Arial"/>
          <w:sz w:val="20"/>
          <w:szCs w:val="20"/>
          <w:color w:val="auto"/>
        </w:rPr>
        <w:t>. The provisions in the Credit Agreement addressing the replacement of a current Successor Rate for a currency shall be deemed to apply to Alternative Currency Loans and SONIA and the related defined terms shall be deemed to include Sterling.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1240"/>
          </w:cols>
          <w:pgMar w:left="320" w:top="1419"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u w:val="single" w:color="auto"/>
          <w:color w:val="auto"/>
        </w:rPr>
        <w:t>Exhibit 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COMMITTED LOAN NOTICE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(Alternative Currency Loans)</w:t>
      </w:r>
    </w:p>
    <w:p>
      <w:pPr>
        <w:spacing w:after="0" w:line="200" w:lineRule="exact"/>
        <w:rPr>
          <w:sz w:val="20"/>
          <w:szCs w:val="20"/>
          <w:color w:val="auto"/>
        </w:rPr>
      </w:pPr>
    </w:p>
    <w:p>
      <w:pPr>
        <w:spacing w:after="0" w:line="216"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Administrative Agent</w:t>
      </w:r>
    </w:p>
    <w:p>
      <w:pPr>
        <w:spacing w:after="0" w:line="243" w:lineRule="exact"/>
        <w:rPr>
          <w:sz w:val="20"/>
          <w:szCs w:val="20"/>
          <w:color w:val="auto"/>
        </w:rPr>
      </w:pPr>
    </w:p>
    <w:p>
      <w:pPr>
        <w:jc w:val="both"/>
        <w:ind w:left="540" w:hanging="1295"/>
        <w:spacing w:after="0" w:line="259" w:lineRule="auto"/>
        <w:tabs>
          <w:tab w:leader="none" w:pos="5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9"/>
          <w:szCs w:val="19"/>
          <w:color w:val="auto"/>
        </w:rPr>
        <w:t>Amended and Restated Credit Agreement, dated as of October 30, 2020, by and among Blackbaud,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certain Subsidiaries of the Company from time to time party thereto as subsidiary borrowers (the “</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Borrowers</w:t>
      </w:r>
      <w:r>
        <w:rPr>
          <w:rFonts w:ascii="Arial" w:cs="Arial" w:eastAsia="Arial" w:hAnsi="Arial"/>
          <w:sz w:val="19"/>
          <w:szCs w:val="19"/>
          <w:color w:val="auto"/>
        </w:rPr>
        <w:t>” and, together with the Company, each a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the Lenders and Bank of America, N.A., as Administrative Agent, Swingline Lender and an Issuing Lender (as amended, restated, amended and restated, modified, extended, restated, replaced, or supplemented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capitalized terms used herein and not otherwise defined shall have the meanings set forth in the Credit Agreement)</w:t>
      </w:r>
    </w:p>
    <w:p>
      <w:pPr>
        <w:spacing w:after="0" w:line="205"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57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hereby requests (select one):</w:t>
      </w:r>
    </w:p>
    <w:p>
      <w:pPr>
        <w:spacing w:after="0" w:line="243" w:lineRule="exact"/>
        <w:rPr>
          <w:sz w:val="20"/>
          <w:szCs w:val="20"/>
          <w:color w:val="auto"/>
        </w:rPr>
      </w:pPr>
    </w:p>
    <w:p>
      <w:pPr>
        <w:ind w:left="240" w:hanging="232"/>
        <w:spacing w:after="0"/>
        <w:tabs>
          <w:tab w:leader="none" w:pos="240" w:val="left"/>
        </w:tabs>
        <w:numPr>
          <w:ilvl w:val="0"/>
          <w:numId w:val="55"/>
        </w:numPr>
        <w:rPr>
          <w:rFonts w:ascii="MS PGothic" w:cs="MS PGothic" w:eastAsia="MS PGothic" w:hAnsi="MS PGothic"/>
          <w:sz w:val="20"/>
          <w:szCs w:val="20"/>
          <w:color w:val="auto"/>
        </w:rPr>
      </w:pPr>
      <w:r>
        <w:rPr>
          <w:rFonts w:ascii="Arial" w:cs="Arial" w:eastAsia="Arial" w:hAnsi="Arial"/>
          <w:sz w:val="20"/>
          <w:szCs w:val="20"/>
          <w:color w:val="auto"/>
        </w:rPr>
        <w:t>A Borrowing of Alternative Currency Loans</w:t>
      </w:r>
    </w:p>
    <w:p>
      <w:pPr>
        <w:spacing w:after="0" w:line="243" w:lineRule="exact"/>
        <w:rPr>
          <w:sz w:val="20"/>
          <w:szCs w:val="20"/>
          <w:color w:val="auto"/>
        </w:rPr>
      </w:pPr>
    </w:p>
    <w:p>
      <w:pPr>
        <w:spacing w:after="0"/>
        <w:tabs>
          <w:tab w:leader="none" w:pos="340" w:val="left"/>
          <w:tab w:leader="none" w:pos="1260" w:val="left"/>
        </w:tabs>
        <w:rPr>
          <w:sz w:val="20"/>
          <w:szCs w:val="20"/>
          <w:color w:val="auto"/>
        </w:rPr>
      </w:pPr>
      <w:r>
        <w:rPr>
          <w:rFonts w:ascii="Arial" w:cs="Arial" w:eastAsia="Arial" w:hAnsi="Arial"/>
          <w:sz w:val="20"/>
          <w:szCs w:val="20"/>
          <w:color w:val="auto"/>
        </w:rPr>
        <w:t>1.</w:t>
        <w:tab/>
        <w:t>On</w:t>
      </w:r>
      <w:r>
        <w:rPr>
          <w:sz w:val="20"/>
          <w:szCs w:val="20"/>
          <w:color w:val="auto"/>
        </w:rPr>
        <w:tab/>
      </w:r>
      <w:r>
        <w:rPr>
          <w:rFonts w:ascii="Arial" w:cs="Arial" w:eastAsia="Arial" w:hAnsi="Arial"/>
          <w:sz w:val="18"/>
          <w:szCs w:val="18"/>
          <w:color w:val="auto"/>
        </w:rPr>
        <w:t>(the “Credit Extension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-14605</wp:posOffset>
            </wp:positionV>
            <wp:extent cx="3771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23" w:lineRule="exact"/>
        <w:rPr>
          <w:sz w:val="20"/>
          <w:szCs w:val="20"/>
          <w:color w:val="auto"/>
        </w:rPr>
      </w:pPr>
    </w:p>
    <w:p>
      <w:pPr>
        <w:spacing w:after="0"/>
        <w:tabs>
          <w:tab w:leader="none" w:pos="340" w:val="left"/>
          <w:tab w:leader="none" w:pos="2580" w:val="left"/>
        </w:tabs>
        <w:rPr>
          <w:sz w:val="20"/>
          <w:szCs w:val="20"/>
          <w:color w:val="auto"/>
        </w:rPr>
      </w:pPr>
      <w:r>
        <w:rPr>
          <w:rFonts w:ascii="Arial" w:cs="Arial" w:eastAsia="Arial" w:hAnsi="Arial"/>
          <w:sz w:val="20"/>
          <w:szCs w:val="20"/>
          <w:color w:val="auto"/>
        </w:rPr>
        <w:t>2.</w:t>
        <w:tab/>
        <w:t>In the amount of [$]</w:t>
      </w:r>
      <w:r>
        <w:rPr>
          <w:sz w:val="20"/>
          <w:szCs w:val="20"/>
          <w:color w:val="auto"/>
        </w:rPr>
        <w:tab/>
      </w:r>
      <w:r>
        <w:rPr>
          <w:rFonts w:ascii="Arial" w:cs="Arial" w:eastAsia="Arial" w:hAnsi="Arial"/>
          <w:sz w:val="18"/>
          <w:szCs w:val="18"/>
          <w:color w:val="auto"/>
        </w:rPr>
        <w:t>in the following currency: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-14605</wp:posOffset>
            </wp:positionV>
            <wp:extent cx="3771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85" w:lineRule="exact"/>
        <w:rPr>
          <w:sz w:val="20"/>
          <w:szCs w:val="20"/>
          <w:color w:val="auto"/>
        </w:rPr>
      </w:pPr>
    </w:p>
    <w:p>
      <w:pPr>
        <w:spacing w:after="0" w:line="230" w:lineRule="exact"/>
        <w:tabs>
          <w:tab w:leader="none" w:pos="340" w:val="left"/>
          <w:tab w:leader="none" w:pos="1660" w:val="left"/>
        </w:tabs>
        <w:rPr>
          <w:sz w:val="20"/>
          <w:szCs w:val="20"/>
          <w:color w:val="auto"/>
        </w:rPr>
      </w:pPr>
      <w:r>
        <w:rPr>
          <w:rFonts w:ascii="Arial" w:cs="Arial" w:eastAsia="Arial" w:hAnsi="Arial"/>
          <w:sz w:val="20"/>
          <w:szCs w:val="20"/>
          <w:color w:val="auto"/>
        </w:rPr>
        <w:t>3.</w:t>
        <w:tab/>
        <w:t>Comprised 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Alternative Currency Daily Rate Loans</w:t>
      </w:r>
    </w:p>
    <w:p>
      <w:pPr>
        <w:spacing w:after="0" w:line="280" w:lineRule="exact"/>
        <w:rPr>
          <w:sz w:val="20"/>
          <w:szCs w:val="20"/>
          <w:color w:val="auto"/>
        </w:rPr>
      </w:pPr>
    </w:p>
    <w:p>
      <w:pPr>
        <w:ind w:firstLine="648"/>
        <w:spacing w:after="0" w:line="279" w:lineRule="auto"/>
        <w:rPr>
          <w:sz w:val="20"/>
          <w:szCs w:val="20"/>
          <w:color w:val="auto"/>
        </w:rPr>
      </w:pPr>
      <w:r>
        <w:rPr>
          <w:rFonts w:ascii="Arial" w:cs="Arial" w:eastAsia="Arial" w:hAnsi="Arial"/>
          <w:sz w:val="20"/>
          <w:szCs w:val="20"/>
          <w:color w:val="auto"/>
        </w:rPr>
        <w:t>[The Revolving Credit Loan(s) requested herein complies with the proviso to the first sentence of Section [2.1(a)/2.1(b)] of the Credit Agreement.]</w:t>
      </w:r>
      <w:r>
        <w:rPr>
          <w:rFonts w:ascii="Arial" w:cs="Arial" w:eastAsia="Arial" w:hAnsi="Arial"/>
          <w:sz w:val="25"/>
          <w:szCs w:val="25"/>
          <w:color w:val="auto"/>
          <w:vertAlign w:val="superscript"/>
        </w:rPr>
        <w:t>1</w:t>
      </w:r>
    </w:p>
    <w:p>
      <w:pPr>
        <w:spacing w:after="0" w:line="100" w:lineRule="exact"/>
        <w:rPr>
          <w:sz w:val="20"/>
          <w:szCs w:val="20"/>
          <w:color w:val="auto"/>
        </w:rPr>
      </w:pPr>
    </w:p>
    <w:p>
      <w:pPr>
        <w:ind w:firstLine="648"/>
        <w:spacing w:after="0" w:line="279" w:lineRule="auto"/>
        <w:rPr>
          <w:sz w:val="20"/>
          <w:szCs w:val="20"/>
          <w:color w:val="auto"/>
        </w:rPr>
      </w:pPr>
      <w:r>
        <w:rPr>
          <w:rFonts w:ascii="Arial" w:cs="Arial" w:eastAsia="Arial" w:hAnsi="Arial"/>
          <w:sz w:val="20"/>
          <w:szCs w:val="20"/>
          <w:color w:val="auto"/>
        </w:rPr>
        <w:t>[The undersigned Borrower hereby represents and warrants that the conditions specified in Section 5.2 of the Credit Agreement shall be satisfied on and as of the date of the Credit Extension Date.]</w:t>
      </w:r>
      <w:r>
        <w:rPr>
          <w:rFonts w:ascii="Arial" w:cs="Arial" w:eastAsia="Arial" w:hAnsi="Arial"/>
          <w:sz w:val="25"/>
          <w:szCs w:val="25"/>
          <w:color w:val="auto"/>
          <w:vertAlign w:val="superscript"/>
        </w:rPr>
        <w:t>2</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“pdf” or “tif”) shall be effective as delivery of a manually executed counterpart of this notice.</w:t>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ind w:right="4900"/>
        <w:spacing w:after="0"/>
        <w:rPr>
          <w:sz w:val="20"/>
          <w:szCs w:val="20"/>
          <w:color w:val="auto"/>
        </w:rPr>
      </w:pPr>
      <w:r>
        <w:rPr>
          <w:rFonts w:ascii="Arial" w:cs="Arial" w:eastAsia="Arial" w:hAnsi="Arial"/>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130175</wp:posOffset>
            </wp:positionV>
            <wp:extent cx="1714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Include this sentence in the case of a Revolving Credit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Include this sentence in the case of request for an Extension of Credit.</w:t>
      </w:r>
    </w:p>
    <w:p>
      <w:pPr>
        <w:spacing w:after="0" w:line="200" w:lineRule="exact"/>
        <w:rPr>
          <w:sz w:val="20"/>
          <w:szCs w:val="20"/>
          <w:color w:val="auto"/>
        </w:rPr>
      </w:pPr>
    </w:p>
    <w:p>
      <w:pPr>
        <w:sectPr>
          <w:pgSz w:w="11900" w:h="16838" w:orient="portrait"/>
          <w:cols w:equalWidth="0" w:num="2">
            <w:col w:w="60" w:space="240"/>
            <w:col w:w="10940"/>
          </w:cols>
          <w:pgMar w:left="320" w:top="14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5</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1240"/>
          </w:cols>
          <w:pgMar w:left="320" w:top="1419" w:right="339" w:bottom="1440" w:gutter="0" w:footer="0" w:header="0"/>
          <w:type w:val="continuous"/>
        </w:sectPr>
      </w:pPr>
    </w:p>
    <w:bookmarkStart w:id="59" w:name="page60"/>
    <w:bookmarkEnd w:id="59"/>
    <w:p>
      <w:pPr>
        <w:ind w:left="3900"/>
        <w:spacing w:after="0"/>
        <w:rPr>
          <w:sz w:val="20"/>
          <w:szCs w:val="20"/>
          <w:color w:val="auto"/>
        </w:rPr>
      </w:pPr>
      <w:r>
        <w:rPr>
          <w:rFonts w:ascii="Arial" w:cs="Arial" w:eastAsia="Arial" w:hAnsi="Arial"/>
          <w:sz w:val="20"/>
          <w:szCs w:val="20"/>
          <w:color w:val="auto"/>
        </w:rPr>
        <w:t>[____________________],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a [________________________]</w:t>
      </w:r>
    </w:p>
    <w:p>
      <w:pPr>
        <w:spacing w:after="0" w:line="27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7537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-24765</wp:posOffset>
            </wp:positionV>
            <wp:extent cx="7537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7537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CHAR1\1821536v3</w:t>
      </w:r>
    </w:p>
    <w:p>
      <w:pPr>
        <w:sectPr>
          <w:pgSz w:w="11900" w:h="16838" w:orient="portrait"/>
          <w:cols w:equalWidth="0" w:num="1">
            <w:col w:w="10139"/>
          </w:cols>
          <w:pgMar w:left="320" w:top="1419"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November 4, 2021</w:t>
            </w:r>
          </w:p>
        </w:tc>
        <w:tc>
          <w:tcPr>
            <w:tcW w:w="7240" w:type="dxa"/>
            <w:vAlign w:val="bottom"/>
            <w:gridSpan w:val="2"/>
          </w:tcPr>
          <w:p>
            <w:pPr>
              <w:ind w:left="1840"/>
              <w:spacing w:after="0"/>
              <w:rPr>
                <w:sz w:val="20"/>
                <w:szCs w:val="20"/>
                <w:color w:val="auto"/>
              </w:rPr>
            </w:pPr>
            <w:r>
              <w:rPr>
                <w:rFonts w:ascii="Arial" w:cs="Arial" w:eastAsia="Arial" w:hAnsi="Arial"/>
                <w:sz w:val="18"/>
                <w:szCs w:val="18"/>
                <w:color w:val="auto"/>
              </w:rPr>
              <w:t>By:   /s/ Michael P. Gianoni</w:t>
            </w:r>
          </w:p>
        </w:tc>
      </w:tr>
      <w:tr>
        <w:trPr>
          <w:trHeight w:val="223"/>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November 4, 2021</w:t>
            </w:r>
          </w:p>
        </w:tc>
        <w:tc>
          <w:tcPr>
            <w:tcW w:w="7240" w:type="dxa"/>
            <w:vAlign w:val="bottom"/>
            <w:gridSpan w:val="2"/>
          </w:tcPr>
          <w:p>
            <w:pPr>
              <w:ind w:left="1840"/>
              <w:spacing w:after="0"/>
              <w:rPr>
                <w:sz w:val="20"/>
                <w:szCs w:val="20"/>
                <w:color w:val="auto"/>
              </w:rPr>
            </w:pPr>
            <w:r>
              <w:rPr>
                <w:rFonts w:ascii="Arial" w:cs="Arial" w:eastAsia="Arial" w:hAnsi="Arial"/>
                <w:sz w:val="18"/>
                <w:szCs w:val="18"/>
                <w:color w:val="auto"/>
              </w:rPr>
              <w:t>By:   /s/ Anthony W. Boor</w:t>
            </w:r>
          </w:p>
        </w:tc>
      </w:tr>
      <w:tr>
        <w:trPr>
          <w:trHeight w:val="223"/>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September 30, 2021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Date:  November 4, 2021</w:t>
            </w:r>
          </w:p>
        </w:tc>
        <w:tc>
          <w:tcPr>
            <w:tcW w:w="7240" w:type="dxa"/>
            <w:vAlign w:val="bottom"/>
            <w:gridSpan w:val="2"/>
          </w:tcPr>
          <w:p>
            <w:pPr>
              <w:ind w:left="1820"/>
              <w:spacing w:after="0"/>
              <w:rPr>
                <w:sz w:val="20"/>
                <w:szCs w:val="20"/>
                <w:color w:val="auto"/>
              </w:rPr>
            </w:pPr>
            <w:r>
              <w:rPr>
                <w:rFonts w:ascii="Arial" w:cs="Arial" w:eastAsia="Arial" w:hAnsi="Arial"/>
                <w:sz w:val="18"/>
                <w:szCs w:val="18"/>
                <w:color w:val="auto"/>
              </w:rPr>
              <w:t>By:   /s/ Michael P. Gianoni</w:t>
            </w:r>
          </w:p>
        </w:tc>
      </w:tr>
      <w:tr>
        <w:trPr>
          <w:trHeight w:val="223"/>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September 30, 2021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Date:  November 4, 2021</w:t>
            </w:r>
          </w:p>
        </w:tc>
        <w:tc>
          <w:tcPr>
            <w:tcW w:w="7240" w:type="dxa"/>
            <w:vAlign w:val="bottom"/>
            <w:gridSpan w:val="2"/>
          </w:tcPr>
          <w:p>
            <w:pPr>
              <w:ind w:left="1820"/>
              <w:spacing w:after="0"/>
              <w:rPr>
                <w:sz w:val="20"/>
                <w:szCs w:val="20"/>
                <w:color w:val="auto"/>
              </w:rPr>
            </w:pPr>
            <w:r>
              <w:rPr>
                <w:rFonts w:ascii="Arial" w:cs="Arial" w:eastAsia="Arial" w:hAnsi="Arial"/>
                <w:sz w:val="18"/>
                <w:szCs w:val="18"/>
                <w:color w:val="auto"/>
              </w:rPr>
              <w:t>By:   /s/ Anthony W. Boor</w:t>
            </w:r>
          </w:p>
        </w:tc>
      </w:tr>
      <w:tr>
        <w:trPr>
          <w:trHeight w:val="223"/>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29"/>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emdash "/>
      <w:numFmt w:val="bullet"/>
      <w:start w:val="1"/>
    </w:lvl>
  </w:abstractNum>
  <w:abstractNum w:abstractNumId="3">
    <w:nsid w:val="737B8DDC"/>
    <w:multiLevelType w:val="hybridMultilevel"/>
    <w:lvl w:ilvl="0">
      <w:lvlJc w:val="left"/>
      <w:lvlText w:val="\emdash "/>
      <w:numFmt w:val="bullet"/>
      <w:start w:val="1"/>
    </w:lvl>
  </w:abstractNum>
  <w:abstractNum w:abstractNumId="4">
    <w:nsid w:val="6CEAF087"/>
    <w:multiLevelType w:val="hybridMultilevel"/>
    <w:lvl w:ilvl="0">
      <w:lvlJc w:val="left"/>
      <w:lvlText w:val="\emdash "/>
      <w:numFmt w:val="bullet"/>
      <w:start w:val="1"/>
    </w:lvl>
  </w:abstractNum>
  <w:abstractNum w:abstractNumId="5">
    <w:nsid w:val="22221A70"/>
    <w:multiLevelType w:val="hybridMultilevel"/>
    <w:lvl w:ilvl="0">
      <w:lvlJc w:val="left"/>
      <w:lvlText w:val="%1"/>
      <w:numFmt w:val="decimal"/>
      <w:start w:val="97"/>
    </w:lvl>
  </w:abstractNum>
  <w:abstractNum w:abstractNumId="6">
    <w:nsid w:val="4516DDE9"/>
    <w:multiLevelType w:val="hybridMultilevel"/>
    <w:lvl w:ilvl="0">
      <w:lvlJc w:val="left"/>
      <w:lvlText w:val="6"/>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bullet"/>
      <w:start w:val="1"/>
    </w:lvl>
  </w:abstractNum>
  <w:abstractNum w:abstractNumId="14">
    <w:nsid w:val="77465F01"/>
    <w:multiLevelType w:val="hybridMultilevel"/>
    <w:lvl w:ilvl="0">
      <w:lvlJc w:val="left"/>
      <w:lvlText w:val="2"/>
      <w:numFmt w:val="bullet"/>
      <w:start w:val="1"/>
    </w:lvl>
  </w:abstractNum>
  <w:abstractNum w:abstractNumId="15">
    <w:nsid w:val="7724C67E"/>
    <w:multiLevelType w:val="hybridMultilevel"/>
    <w:lvl w:ilvl="0">
      <w:lvlJc w:val="left"/>
      <w:lvlText w:val="%1."/>
      <w:numFmt w:val="decimal"/>
    </w:lvl>
    <w:lvl w:ilvl="1">
      <w:lvlJc w:val="left"/>
      <w:lvlText w:val="3"/>
      <w:numFmt w:val="bullet"/>
      <w:start w:val="1"/>
    </w:lvl>
  </w:abstractNum>
  <w:abstractNum w:abstractNumId="16">
    <w:nsid w:val="5C482A97"/>
    <w:multiLevelType w:val="hybridMultilevel"/>
    <w:lvl w:ilvl="0">
      <w:lvlJc w:val="left"/>
      <w:lvlText w:val="%1."/>
      <w:numFmt w:val="decimal"/>
      <w:start w:val="2"/>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
    <w:nsid w:val="580BD78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4">
    <w:nsid w:val="75C6C33A"/>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4"/>
    </w:lvl>
  </w:abstractNum>
  <w:abstractNum w:abstractNumId="45">
    <w:nsid w:val="12E685FB"/>
    <w:multiLevelType w:val="hybridMultilevel"/>
    <w:lvl w:ilvl="0">
      <w:lvlJc w:val="left"/>
      <w:lvlText w:val="(%1)"/>
      <w:numFmt w:val="lowerLetter"/>
      <w:start w:val="4"/>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decimal"/>
      <w:start w:val="2"/>
    </w:lvl>
    <w:lvl w:ilvl="1">
      <w:lvlJc w:val="left"/>
      <w:lvlText w:val="(%2)"/>
      <w:numFmt w:val="lowerLetter"/>
      <w:start w:val="1"/>
    </w:lvl>
  </w:abstractNum>
  <w:abstractNum w:abstractNumId="49">
    <w:nsid w:val="4F4EF005"/>
    <w:multiLevelType w:val="hybridMultilevel"/>
    <w:lvl w:ilvl="0">
      <w:lvlJc w:val="left"/>
      <w:lvlText w:val="%1"/>
      <w:numFmt w:val="lowerLetter"/>
      <w:start w:val="1"/>
    </w:lvl>
    <w:lvl w:ilvl="1">
      <w:lvlJc w:val="left"/>
      <w:lvlText w:val="(%2)"/>
      <w:numFmt w:val="lowerRoman"/>
      <w:start w:val="1"/>
    </w:lvl>
  </w:abstractNum>
  <w:abstractNum w:abstractNumId="50">
    <w:nsid w:val="23F9C13C"/>
    <w:multiLevelType w:val="hybridMultilevel"/>
    <w:lvl w:ilvl="0">
      <w:lvlJc w:val="left"/>
      <w:lvlText w:val="(%1)"/>
      <w:numFmt w:val="lowerLetter"/>
      <w:start w:val="3"/>
    </w:lvl>
    <w:lvl w:ilvl="1">
      <w:lvlJc w:val="left"/>
      <w:lvlText w:val="(%2)"/>
      <w:numFmt w:val="lowerRoman"/>
      <w:start w:val="1"/>
    </w:lvl>
  </w:abstractNum>
  <w:abstractNum w:abstractNumId="51">
    <w:nsid w:val="649BB77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Roman"/>
      <w:start w:val="2"/>
    </w:lvl>
  </w:abstractNum>
  <w:abstractNum w:abstractNumId="52">
    <w:nsid w:val="275AC794"/>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lvl w:ilvl="3">
      <w:lvlJc w:val="left"/>
      <w:lvlText w:val="(%4)"/>
      <w:numFmt w:val="lowerLetter"/>
      <w:start w:val="35"/>
    </w:lvl>
    <w:lvl w:ilvl="4">
      <w:lvlJc w:val="left"/>
      <w:lvlText w:val="%5"/>
      <w:numFmt w:val="lowerRoman"/>
      <w:start w:val="1"/>
    </w:lvl>
  </w:abstractNum>
  <w:abstractNum w:abstractNumId="53">
    <w:nsid w:val="39386575"/>
    <w:multiLevelType w:val="hybridMultilevel"/>
    <w:lvl w:ilvl="0">
      <w:lvlJc w:val="left"/>
      <w:lvlText w:val="(%1)"/>
      <w:numFmt w:val="lowerLetter"/>
      <w:start w:val="8"/>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2021-11-04T16:00:58Z</dcterms:created>
  <dcterms:modified xsi:type="dcterms:W3CDTF">2021-11-04T16:00:58Z</dcterms:modified>
</cp:coreProperties>
</file>