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51555C"/>
        </w:rPr>
        <w:t>UNITED STATES</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SECURITIES AND EXCHANGE COMMISSION</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Washington, D.C. 20549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FORM 8-K</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CURRENT REPORT</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7"/>
          <w:szCs w:val="17"/>
          <w:color w:val="51555C"/>
        </w:rPr>
        <w:t>Pursuant to Section 13 or 15(d) of the Securities Exchange Act of 1934</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Date of Report (Date of earliest event reported): </w:t>
      </w:r>
      <w:r>
        <w:rPr>
          <w:rFonts w:ascii="Arial" w:cs="Arial" w:eastAsia="Arial" w:hAnsi="Arial"/>
          <w:sz w:val="18"/>
          <w:szCs w:val="18"/>
          <w:b w:val="1"/>
          <w:bCs w:val="1"/>
          <w:color w:val="51555C"/>
        </w:rPr>
        <w:t>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172085</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51555C"/>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51555C"/>
        </w:rPr>
        <w:t>000-50600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3" w:lineRule="exact"/>
        <w:rPr>
          <w:sz w:val="24"/>
          <w:szCs w:val="24"/>
          <w:color w:val="auto"/>
        </w:rPr>
      </w:pPr>
    </w:p>
    <w:p>
      <w:pPr>
        <w:spacing w:after="0"/>
        <w:rPr>
          <w:sz w:val="20"/>
          <w:szCs w:val="20"/>
          <w:color w:val="auto"/>
        </w:rPr>
      </w:pPr>
      <w:r>
        <w:rPr>
          <w:rFonts w:ascii="Arial" w:cs="Arial" w:eastAsia="Arial" w:hAnsi="Arial"/>
          <w:sz w:val="17"/>
          <w:szCs w:val="17"/>
          <w:b w:val="1"/>
          <w:bCs w:val="1"/>
          <w:color w:val="51555C"/>
        </w:rPr>
        <w:t>11-2617163</w:t>
      </w:r>
    </w:p>
    <w:p>
      <w:pPr>
        <w:spacing w:after="0" w:line="129" w:lineRule="exact"/>
        <w:rPr>
          <w:sz w:val="24"/>
          <w:szCs w:val="24"/>
          <w:color w:val="auto"/>
        </w:rPr>
      </w:pPr>
    </w:p>
    <w:p>
      <w:pPr>
        <w:sectPr>
          <w:pgSz w:w="11900" w:h="16838" w:orient="portrait"/>
          <w:cols w:equalWidth="0" w:num="3">
            <w:col w:w="4460" w:space="720"/>
            <w:col w:w="2980" w:space="720"/>
            <w:col w:w="2360"/>
          </w:cols>
          <w:pgMar w:left="320" w:top="1214" w:right="339" w:bottom="1440" w:gutter="0" w:footer="0" w:header="0"/>
          <w:type w:val="continuous"/>
        </w:sectPr>
      </w:pPr>
    </w:p>
    <w:p>
      <w:pPr>
        <w:ind w:left="180"/>
        <w:spacing w:after="0"/>
        <w:rPr>
          <w:sz w:val="20"/>
          <w:szCs w:val="20"/>
          <w:color w:val="auto"/>
        </w:rPr>
      </w:pPr>
      <w:r>
        <w:rPr>
          <w:rFonts w:ascii="Arial" w:cs="Arial" w:eastAsia="Arial" w:hAnsi="Arial"/>
          <w:sz w:val="17"/>
          <w:szCs w:val="17"/>
          <w:color w:val="51555C"/>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51555C"/>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51555C"/>
        </w:rPr>
        <w:t>(IRS Employer ID Number)</w:t>
      </w:r>
    </w:p>
    <w:p>
      <w:pPr>
        <w:spacing w:after="0" w:line="200" w:lineRule="exact"/>
        <w:rPr>
          <w:sz w:val="24"/>
          <w:szCs w:val="24"/>
          <w:color w:val="auto"/>
        </w:rPr>
      </w:pPr>
    </w:p>
    <w:p>
      <w:pPr>
        <w:sectPr>
          <w:pgSz w:w="11900" w:h="16838" w:orient="portrait"/>
          <w:cols w:equalWidth="0" w:num="3">
            <w:col w:w="3820" w:space="720"/>
            <w:col w:w="3020" w:space="720"/>
            <w:col w:w="2960"/>
          </w:cols>
          <w:pgMar w:left="320" w:top="1214" w:right="339" w:bottom="1440" w:gutter="0" w:footer="0" w:header="0"/>
          <w:type w:val="continuous"/>
        </w:sectPr>
      </w:pPr>
    </w:p>
    <w:p>
      <w:pPr>
        <w:spacing w:after="0" w:line="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65 Fairchild Street, Charleston, South Carolina 29492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(Address of principal executive offices) (Zip Code)</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Registrant’s telephone number, including area code: </w:t>
      </w:r>
      <w:r>
        <w:rPr>
          <w:rFonts w:ascii="Arial" w:cs="Arial" w:eastAsia="Arial" w:hAnsi="Arial"/>
          <w:sz w:val="18"/>
          <w:szCs w:val="18"/>
          <w:b w:val="1"/>
          <w:bCs w:val="1"/>
          <w:color w:val="51555C"/>
        </w:rPr>
        <w:t>(843) 216-6200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137795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351790</wp:posOffset>
            </wp:positionV>
            <wp:extent cx="7123430" cy="13544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3430" cy="1354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0" w:right="240"/>
        <w:spacing w:after="0" w:line="296" w:lineRule="auto"/>
        <w:rPr>
          <w:sz w:val="20"/>
          <w:szCs w:val="20"/>
          <w:color w:val="auto"/>
        </w:rPr>
      </w:pPr>
      <w:r>
        <w:rPr>
          <w:rFonts w:ascii="Arial" w:cs="Arial" w:eastAsia="Arial" w:hAnsi="Arial"/>
          <w:sz w:val="18"/>
          <w:szCs w:val="18"/>
          <w:b w:val="1"/>
          <w:bCs w:val="1"/>
          <w:color w:val="51555C"/>
        </w:rPr>
        <w:t>Check the appropriate box below if the Form 8-K filing is intended to simultaneously satisfy the filing obligation of the registrant under any of the following provisions:</w:t>
      </w:r>
    </w:p>
    <w:p>
      <w:pPr>
        <w:spacing w:after="0" w:line="97" w:lineRule="exact"/>
        <w:rPr>
          <w:sz w:val="24"/>
          <w:szCs w:val="24"/>
          <w:color w:val="auto"/>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Written communications pursuant to Rule 425 under the Securities Act (17 CFR 230.425)</w:t>
      </w:r>
    </w:p>
    <w:p>
      <w:pPr>
        <w:spacing w:after="0" w:line="184"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Soliciting material pursuant to Rule 14a-12 under the Exchange Act (17 CFR 240.14a-12)</w:t>
      </w:r>
    </w:p>
    <w:p>
      <w:pPr>
        <w:spacing w:after="0" w:line="184"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shd w:val="clear" w:color="auto" w:fill="51555C"/>
        </w:rPr>
      </w:pPr>
    </w:p>
    <w:p>
      <w:pPr>
        <w:ind w:left="680" w:hanging="422"/>
        <w:spacing w:after="0"/>
        <w:tabs>
          <w:tab w:leader="none" w:pos="680" w:val="left"/>
        </w:tabs>
        <w:numPr>
          <w:ilvl w:val="0"/>
          <w:numId w:val="1"/>
        </w:numPr>
        <w:rPr>
          <w:rFonts w:ascii="MS PGothic" w:cs="MS PGothic" w:eastAsia="MS PGothic" w:hAnsi="MS PGothic"/>
          <w:sz w:val="18"/>
          <w:szCs w:val="18"/>
          <w:color w:val="auto"/>
          <w:shd w:val="clear" w:color="auto" w:fill="51555C"/>
        </w:rPr>
      </w:pPr>
      <w:r>
        <w:rPr>
          <w:rFonts w:ascii="Arial" w:cs="Arial" w:eastAsia="Arial" w:hAnsi="Arial"/>
          <w:sz w:val="18"/>
          <w:szCs w:val="18"/>
          <w:color w:val="51555C"/>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214630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0"/>
        <w:spacing w:after="0"/>
        <w:rPr>
          <w:sz w:val="20"/>
          <w:szCs w:val="20"/>
          <w:color w:val="auto"/>
        </w:rPr>
      </w:pPr>
      <w:r>
        <w:rPr>
          <w:rFonts w:ascii="Arial" w:cs="Arial" w:eastAsia="Arial" w:hAnsi="Arial"/>
          <w:sz w:val="18"/>
          <w:szCs w:val="18"/>
          <w:color w:val="51555C"/>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51555C"/>
                <w:w w:val="99"/>
              </w:rPr>
              <w:t>Title of Each Class</w:t>
            </w:r>
          </w:p>
        </w:tc>
        <w:tc>
          <w:tcPr>
            <w:tcW w:w="1920" w:type="dxa"/>
            <w:vAlign w:val="bottom"/>
          </w:tcPr>
          <w:p>
            <w:pPr>
              <w:spacing w:after="0"/>
              <w:rPr>
                <w:sz w:val="18"/>
                <w:szCs w:val="18"/>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color w:val="51555C"/>
                <w:w w:val="99"/>
              </w:rPr>
              <w:t>Trading Symbol(s)</w:t>
            </w:r>
          </w:p>
        </w:tc>
        <w:tc>
          <w:tcPr>
            <w:tcW w:w="4020" w:type="dxa"/>
            <w:vAlign w:val="bottom"/>
            <w:gridSpan w:val="2"/>
          </w:tcPr>
          <w:p>
            <w:pPr>
              <w:jc w:val="center"/>
              <w:ind w:right="360"/>
              <w:spacing w:after="0"/>
              <w:rPr>
                <w:sz w:val="20"/>
                <w:szCs w:val="20"/>
                <w:color w:val="auto"/>
              </w:rPr>
            </w:pPr>
            <w:r>
              <w:rPr>
                <w:rFonts w:ascii="Arial" w:cs="Arial" w:eastAsia="Arial" w:hAnsi="Arial"/>
                <w:sz w:val="18"/>
                <w:szCs w:val="18"/>
                <w:color w:val="51555C"/>
                <w:w w:val="99"/>
              </w:rPr>
              <w:t>Name of Each Exchange on which Registered</w:t>
            </w:r>
          </w:p>
        </w:tc>
      </w:tr>
      <w:tr>
        <w:trPr>
          <w:trHeight w:val="20"/>
        </w:trPr>
        <w:tc>
          <w:tcPr>
            <w:tcW w:w="1380" w:type="dxa"/>
            <w:vAlign w:val="bottom"/>
          </w:tcPr>
          <w:p>
            <w:pPr>
              <w:spacing w:after="0" w:line="20" w:lineRule="exact"/>
              <w:rPr>
                <w:sz w:val="1"/>
                <w:szCs w:val="1"/>
                <w:color w:val="auto"/>
              </w:rPr>
            </w:pPr>
          </w:p>
        </w:tc>
        <w:tc>
          <w:tcPr>
            <w:tcW w:w="1500" w:type="dxa"/>
            <w:vAlign w:val="bottom"/>
            <w:shd w:val="clear" w:color="auto" w:fill="51555C"/>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shd w:val="clear" w:color="auto" w:fill="51555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60" w:type="dxa"/>
            <w:vAlign w:val="bottom"/>
            <w:shd w:val="clear" w:color="auto" w:fill="51555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57"/>
        </w:trPr>
        <w:tc>
          <w:tcPr>
            <w:tcW w:w="48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51555C"/>
                <w:w w:val="99"/>
              </w:rPr>
              <w:t>Common Stock, $0.001 Par Value</w:t>
            </w: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51555C"/>
                <w:w w:val="99"/>
              </w:rPr>
              <w:t>BLKB</w:t>
            </w:r>
          </w:p>
        </w:tc>
        <w:tc>
          <w:tcPr>
            <w:tcW w:w="40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51555C"/>
                <w:w w:val="99"/>
              </w:rPr>
              <w:t>Nasdaq Global Select Market</w:t>
            </w:r>
          </w:p>
        </w:tc>
      </w:tr>
      <w:tr>
        <w:trPr>
          <w:trHeight w:val="69"/>
        </w:trPr>
        <w:tc>
          <w:tcPr>
            <w:tcW w:w="1380" w:type="dxa"/>
            <w:vAlign w:val="bottom"/>
            <w:tcBorders>
              <w:bottom w:val="single" w:sz="8" w:color="51555C"/>
            </w:tcBorders>
          </w:tcPr>
          <w:p>
            <w:pPr>
              <w:spacing w:after="0"/>
              <w:rPr>
                <w:sz w:val="6"/>
                <w:szCs w:val="6"/>
                <w:color w:val="auto"/>
              </w:rPr>
            </w:pPr>
          </w:p>
        </w:tc>
        <w:tc>
          <w:tcPr>
            <w:tcW w:w="1500" w:type="dxa"/>
            <w:vAlign w:val="bottom"/>
            <w:tcBorders>
              <w:bottom w:val="single" w:sz="8" w:color="51555C"/>
            </w:tcBorders>
          </w:tcPr>
          <w:p>
            <w:pPr>
              <w:spacing w:after="0"/>
              <w:rPr>
                <w:sz w:val="6"/>
                <w:szCs w:val="6"/>
                <w:color w:val="auto"/>
              </w:rPr>
            </w:pPr>
          </w:p>
        </w:tc>
        <w:tc>
          <w:tcPr>
            <w:tcW w:w="1920" w:type="dxa"/>
            <w:vAlign w:val="bottom"/>
            <w:tcBorders>
              <w:bottom w:val="single" w:sz="8" w:color="51555C"/>
            </w:tcBorders>
          </w:tcPr>
          <w:p>
            <w:pPr>
              <w:spacing w:after="0"/>
              <w:rPr>
                <w:sz w:val="6"/>
                <w:szCs w:val="6"/>
                <w:color w:val="auto"/>
              </w:rPr>
            </w:pPr>
          </w:p>
        </w:tc>
        <w:tc>
          <w:tcPr>
            <w:tcW w:w="1460" w:type="dxa"/>
            <w:vAlign w:val="bottom"/>
            <w:tcBorders>
              <w:bottom w:val="single" w:sz="8" w:color="51555C"/>
            </w:tcBorders>
          </w:tcPr>
          <w:p>
            <w:pPr>
              <w:spacing w:after="0"/>
              <w:rPr>
                <w:sz w:val="6"/>
                <w:szCs w:val="6"/>
                <w:color w:val="auto"/>
              </w:rPr>
            </w:pPr>
          </w:p>
        </w:tc>
        <w:tc>
          <w:tcPr>
            <w:tcW w:w="920" w:type="dxa"/>
            <w:vAlign w:val="bottom"/>
            <w:tcBorders>
              <w:bottom w:val="single" w:sz="8" w:color="51555C"/>
            </w:tcBorders>
          </w:tcPr>
          <w:p>
            <w:pPr>
              <w:spacing w:after="0"/>
              <w:rPr>
                <w:sz w:val="6"/>
                <w:szCs w:val="6"/>
                <w:color w:val="auto"/>
              </w:rPr>
            </w:pPr>
          </w:p>
        </w:tc>
        <w:tc>
          <w:tcPr>
            <w:tcW w:w="3660" w:type="dxa"/>
            <w:vAlign w:val="bottom"/>
            <w:tcBorders>
              <w:bottom w:val="single" w:sz="8" w:color="51555C"/>
            </w:tcBorders>
          </w:tcPr>
          <w:p>
            <w:pPr>
              <w:spacing w:after="0"/>
              <w:rPr>
                <w:sz w:val="6"/>
                <w:szCs w:val="6"/>
                <w:color w:val="auto"/>
              </w:rPr>
            </w:pPr>
          </w:p>
        </w:tc>
        <w:tc>
          <w:tcPr>
            <w:tcW w:w="360" w:type="dxa"/>
            <w:vAlign w:val="bottom"/>
            <w:tcBorders>
              <w:bottom w:val="single" w:sz="8" w:color="51555C"/>
            </w:tcBorders>
          </w:tcPr>
          <w:p>
            <w:pPr>
              <w:spacing w:after="0"/>
              <w:rPr>
                <w:sz w:val="6"/>
                <w:szCs w:val="6"/>
                <w:color w:val="auto"/>
              </w:rPr>
            </w:pPr>
          </w:p>
        </w:tc>
      </w:tr>
    </w:tbl>
    <w:p>
      <w:pPr>
        <w:spacing w:after="0" w:line="238" w:lineRule="exact"/>
        <w:rPr>
          <w:sz w:val="24"/>
          <w:szCs w:val="24"/>
          <w:color w:val="auto"/>
        </w:rPr>
      </w:pPr>
    </w:p>
    <w:p>
      <w:pPr>
        <w:jc w:val="both"/>
        <w:ind w:right="20"/>
        <w:spacing w:after="0" w:line="287" w:lineRule="auto"/>
        <w:rPr>
          <w:sz w:val="20"/>
          <w:szCs w:val="20"/>
          <w:color w:val="auto"/>
        </w:rPr>
      </w:pPr>
      <w:r>
        <w:rPr>
          <w:rFonts w:ascii="Arial" w:cs="Arial" w:eastAsia="Arial" w:hAnsi="Arial"/>
          <w:sz w:val="18"/>
          <w:szCs w:val="18"/>
          <w:color w:val="51555C"/>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50" w:lineRule="exact"/>
        <w:rPr>
          <w:sz w:val="24"/>
          <w:szCs w:val="24"/>
          <w:color w:val="auto"/>
        </w:rPr>
      </w:pPr>
    </w:p>
    <w:p>
      <w:pPr>
        <w:spacing w:after="0" w:line="219" w:lineRule="exact"/>
        <w:rPr>
          <w:sz w:val="20"/>
          <w:szCs w:val="20"/>
          <w:color w:val="auto"/>
        </w:rPr>
      </w:pPr>
      <w:r>
        <w:rPr>
          <w:rFonts w:ascii="Arial" w:cs="Arial" w:eastAsia="Arial" w:hAnsi="Arial"/>
          <w:sz w:val="18"/>
          <w:szCs w:val="18"/>
          <w:color w:val="51555C"/>
        </w:rPr>
        <w:t xml:space="preserve">Emerging growth company </w:t>
      </w:r>
      <w:r>
        <w:rPr>
          <w:rFonts w:ascii="MS PGothic" w:cs="MS PGothic" w:eastAsia="MS PGothic" w:hAnsi="MS PGothic"/>
          <w:sz w:val="19"/>
          <w:szCs w:val="19"/>
          <w:color w:val="51555C"/>
        </w:rPr>
        <w:t>☐</w:t>
      </w:r>
    </w:p>
    <w:p>
      <w:pPr>
        <w:spacing w:after="0" w:line="236" w:lineRule="exact"/>
        <w:rPr>
          <w:sz w:val="24"/>
          <w:szCs w:val="24"/>
          <w:color w:val="auto"/>
        </w:rPr>
      </w:pPr>
    </w:p>
    <w:p>
      <w:pPr>
        <w:jc w:val="both"/>
        <w:spacing w:after="0" w:line="250" w:lineRule="exact"/>
        <w:rPr>
          <w:sz w:val="20"/>
          <w:szCs w:val="20"/>
          <w:color w:val="auto"/>
        </w:rPr>
      </w:pPr>
      <w:r>
        <w:rPr>
          <w:rFonts w:ascii="Arial" w:cs="Arial" w:eastAsia="Arial" w:hAnsi="Arial"/>
          <w:sz w:val="18"/>
          <w:szCs w:val="18"/>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51555C"/>
        </w:rPr>
        <w:t>Item 2.02. Results of Operations and Financial Condition.</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 xml:space="preserve">On April 29, 2026, Blackbaud, Inc. (the "Company") issued a press release reporting unaudited financial results for the quarter ended March 31, 2026. A copy of this press release is attached hereto as </w:t>
      </w:r>
      <w:r>
        <w:rPr>
          <w:rFonts w:ascii="Arial" w:cs="Arial" w:eastAsia="Arial" w:hAnsi="Arial"/>
          <w:sz w:val="18"/>
          <w:szCs w:val="18"/>
          <w:u w:val="single" w:color="auto"/>
          <w:color w:val="51555C"/>
        </w:rPr>
        <w:t>Exhibit 99.1</w:t>
      </w:r>
      <w:r>
        <w:rPr>
          <w:rFonts w:ascii="Arial" w:cs="Arial" w:eastAsia="Arial" w:hAnsi="Arial"/>
          <w:sz w:val="18"/>
          <w:szCs w:val="18"/>
          <w:color w:val="51555C"/>
        </w:rPr>
        <w:t>.</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Item 9.01. Financial Statements and Exhibits.</w:t>
      </w:r>
    </w:p>
    <w:p>
      <w:pPr>
        <w:sectPr>
          <w:pgSz w:w="11900" w:h="16838" w:orient="portrait"/>
          <w:cols w:equalWidth="0" w:num="1">
            <w:col w:w="11240"/>
          </w:cols>
          <w:pgMar w:left="320" w:top="1214"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(d) Exhibits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51555C"/>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96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7A04DD"/>
        </w:rPr>
        <w:t>99.1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6240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Press release dated April 29, 2026 reporting unaudited financial results for the quarter ended March 31, 2026.</w:t>
      </w:r>
    </w:p>
    <w:p>
      <w:pPr>
        <w:spacing w:after="0" w:line="11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51555C"/>
        </w:rPr>
        <w:t>Inline 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ectPr>
          <w:pgSz w:w="11900" w:h="16838" w:orient="portrait"/>
          <w:cols w:equalWidth="0" w:num="2">
            <w:col w:w="960" w:space="420"/>
            <w:col w:w="9860"/>
          </w:cols>
          <w:pgMar w:left="320" w:top="1214"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1060" w:type="dxa"/>
            <w:vAlign w:val="bottom"/>
          </w:tcPr>
          <w:p>
            <w:pPr>
              <w:ind w:left="20"/>
              <w:spacing w:after="0"/>
              <w:rPr>
                <w:sz w:val="20"/>
                <w:szCs w:val="20"/>
                <w:color w:val="auto"/>
              </w:rPr>
            </w:pPr>
            <w:r>
              <w:rPr>
                <w:rFonts w:ascii="Arial" w:cs="Arial" w:eastAsia="Arial" w:hAnsi="Arial"/>
                <w:sz w:val="18"/>
                <w:szCs w:val="18"/>
                <w:color w:val="51555C"/>
              </w:rPr>
              <w:t>101.DEF</w:t>
            </w:r>
          </w:p>
        </w:tc>
        <w:tc>
          <w:tcPr>
            <w:tcW w:w="10180" w:type="dxa"/>
            <w:vAlign w:val="bottom"/>
          </w:tcPr>
          <w:p>
            <w:pPr>
              <w:ind w:left="320"/>
              <w:spacing w:after="0"/>
              <w:rPr>
                <w:sz w:val="20"/>
                <w:szCs w:val="20"/>
                <w:color w:val="auto"/>
              </w:rPr>
            </w:pPr>
            <w:r>
              <w:rPr>
                <w:rFonts w:ascii="Arial" w:cs="Arial" w:eastAsia="Arial" w:hAnsi="Arial"/>
                <w:sz w:val="18"/>
                <w:szCs w:val="18"/>
                <w:color w:val="51555C"/>
              </w:rPr>
              <w:t>Inline XBRL Taxonomy Extension Definition Linkbase Document.</w:t>
            </w:r>
          </w:p>
        </w:tc>
      </w:tr>
      <w:tr>
        <w:trPr>
          <w:trHeight w:val="324"/>
        </w:trPr>
        <w:tc>
          <w:tcPr>
            <w:tcW w:w="1060" w:type="dxa"/>
            <w:vAlign w:val="bottom"/>
          </w:tcPr>
          <w:p>
            <w:pPr>
              <w:ind w:left="20"/>
              <w:spacing w:after="0"/>
              <w:rPr>
                <w:sz w:val="20"/>
                <w:szCs w:val="20"/>
                <w:color w:val="auto"/>
              </w:rPr>
            </w:pPr>
            <w:r>
              <w:rPr>
                <w:rFonts w:ascii="Arial" w:cs="Arial" w:eastAsia="Arial" w:hAnsi="Arial"/>
                <w:sz w:val="18"/>
                <w:szCs w:val="18"/>
                <w:color w:val="51555C"/>
              </w:rPr>
              <w:t>101.LAB</w:t>
            </w:r>
          </w:p>
        </w:tc>
        <w:tc>
          <w:tcPr>
            <w:tcW w:w="10180" w:type="dxa"/>
            <w:vAlign w:val="bottom"/>
          </w:tcPr>
          <w:p>
            <w:pPr>
              <w:ind w:left="320"/>
              <w:spacing w:after="0"/>
              <w:rPr>
                <w:sz w:val="20"/>
                <w:szCs w:val="20"/>
                <w:color w:val="auto"/>
              </w:rPr>
            </w:pPr>
            <w:r>
              <w:rPr>
                <w:rFonts w:ascii="Arial" w:cs="Arial" w:eastAsia="Arial" w:hAnsi="Arial"/>
                <w:sz w:val="18"/>
                <w:szCs w:val="18"/>
                <w:color w:val="51555C"/>
              </w:rPr>
              <w:t>Inline XBRL Taxonomy Extension Label Linkbase Document.</w:t>
            </w:r>
          </w:p>
        </w:tc>
      </w:tr>
      <w:tr>
        <w:trPr>
          <w:trHeight w:val="324"/>
        </w:trPr>
        <w:tc>
          <w:tcPr>
            <w:tcW w:w="1060" w:type="dxa"/>
            <w:vAlign w:val="bottom"/>
          </w:tcPr>
          <w:p>
            <w:pPr>
              <w:ind w:left="20"/>
              <w:spacing w:after="0"/>
              <w:rPr>
                <w:sz w:val="20"/>
                <w:szCs w:val="20"/>
                <w:color w:val="auto"/>
              </w:rPr>
            </w:pPr>
            <w:r>
              <w:rPr>
                <w:rFonts w:ascii="Arial" w:cs="Arial" w:eastAsia="Arial" w:hAnsi="Arial"/>
                <w:sz w:val="18"/>
                <w:szCs w:val="18"/>
                <w:color w:val="51555C"/>
              </w:rPr>
              <w:t>101.PRE</w:t>
            </w:r>
          </w:p>
        </w:tc>
        <w:tc>
          <w:tcPr>
            <w:tcW w:w="10180" w:type="dxa"/>
            <w:vAlign w:val="bottom"/>
          </w:tcPr>
          <w:p>
            <w:pPr>
              <w:ind w:left="320"/>
              <w:spacing w:after="0"/>
              <w:rPr>
                <w:sz w:val="20"/>
                <w:szCs w:val="20"/>
                <w:color w:val="auto"/>
              </w:rPr>
            </w:pPr>
            <w:r>
              <w:rPr>
                <w:rFonts w:ascii="Arial" w:cs="Arial" w:eastAsia="Arial" w:hAnsi="Arial"/>
                <w:sz w:val="18"/>
                <w:szCs w:val="18"/>
                <w:color w:val="51555C"/>
              </w:rPr>
              <w:t>Inline XBRL Taxonomy Extension Presentation Linkbase Document.</w:t>
            </w:r>
          </w:p>
        </w:tc>
      </w:tr>
      <w:tr>
        <w:trPr>
          <w:trHeight w:val="324"/>
        </w:trPr>
        <w:tc>
          <w:tcPr>
            <w:tcW w:w="1060" w:type="dxa"/>
            <w:vAlign w:val="bottom"/>
          </w:tcPr>
          <w:p>
            <w:pPr>
              <w:ind w:left="20"/>
              <w:spacing w:after="0"/>
              <w:rPr>
                <w:sz w:val="20"/>
                <w:szCs w:val="20"/>
                <w:color w:val="auto"/>
              </w:rPr>
            </w:pPr>
            <w:r>
              <w:rPr>
                <w:rFonts w:ascii="Arial" w:cs="Arial" w:eastAsia="Arial" w:hAnsi="Arial"/>
                <w:sz w:val="18"/>
                <w:szCs w:val="18"/>
                <w:color w:val="51555C"/>
              </w:rPr>
              <w:t>104</w:t>
            </w:r>
          </w:p>
        </w:tc>
        <w:tc>
          <w:tcPr>
            <w:tcW w:w="10180" w:type="dxa"/>
            <w:vAlign w:val="bottom"/>
          </w:tcPr>
          <w:p>
            <w:pPr>
              <w:ind w:left="320"/>
              <w:spacing w:after="0"/>
              <w:rPr>
                <w:sz w:val="20"/>
                <w:szCs w:val="20"/>
                <w:color w:val="auto"/>
              </w:rPr>
            </w:pPr>
            <w:r>
              <w:rPr>
                <w:rFonts w:ascii="Arial" w:cs="Arial" w:eastAsia="Arial" w:hAnsi="Arial"/>
                <w:sz w:val="18"/>
                <w:szCs w:val="18"/>
                <w:color w:val="51555C"/>
              </w:rPr>
              <w:t>Cover Page Interactive Data File (formatted as Inline XBRL and contained in Exhibit 101).</w:t>
            </w:r>
          </w:p>
        </w:tc>
      </w:tr>
      <w:tr>
        <w:trPr>
          <w:trHeight w:val="1407"/>
        </w:trPr>
        <w:tc>
          <w:tcPr>
            <w:tcW w:w="106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2" w:name="page3"/>
    <w:bookmarkEnd w:id="2"/>
    <w:p>
      <w:pPr>
        <w:jc w:val="center"/>
        <w:ind w:right="-119"/>
        <w:spacing w:after="0"/>
        <w:rPr>
          <w:sz w:val="20"/>
          <w:szCs w:val="20"/>
          <w:color w:val="auto"/>
        </w:rPr>
      </w:pPr>
      <w:r>
        <w:rPr>
          <w:rFonts w:ascii="Arial" w:cs="Arial" w:eastAsia="Arial" w:hAnsi="Arial"/>
          <w:sz w:val="18"/>
          <w:szCs w:val="18"/>
          <w:color w:val="51555C"/>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51555C"/>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51555C"/>
        </w:rPr>
        <w:t>BLACKBAUD, INC.</w:t>
      </w:r>
    </w:p>
    <w:p>
      <w:pPr>
        <w:spacing w:after="0" w:line="279" w:lineRule="exact"/>
        <w:rPr>
          <w:sz w:val="20"/>
          <w:szCs w:val="20"/>
          <w:color w:val="auto"/>
        </w:rPr>
      </w:pPr>
    </w:p>
    <w:p>
      <w:pPr>
        <w:ind w:left="20"/>
        <w:spacing w:after="0"/>
        <w:tabs>
          <w:tab w:leader="none" w:pos="980" w:val="left"/>
          <w:tab w:leader="none" w:pos="5180" w:val="left"/>
        </w:tabs>
        <w:rPr>
          <w:sz w:val="20"/>
          <w:szCs w:val="20"/>
          <w:color w:val="auto"/>
        </w:rPr>
      </w:pPr>
      <w:r>
        <w:rPr>
          <w:rFonts w:ascii="Arial" w:cs="Arial" w:eastAsia="Arial" w:hAnsi="Arial"/>
          <w:sz w:val="18"/>
          <w:szCs w:val="18"/>
          <w:color w:val="51555C"/>
        </w:rPr>
        <w:t>Date:</w:t>
      </w:r>
      <w:r>
        <w:rPr>
          <w:sz w:val="20"/>
          <w:szCs w:val="20"/>
          <w:color w:val="auto"/>
        </w:rPr>
        <w:tab/>
      </w:r>
      <w:r>
        <w:rPr>
          <w:rFonts w:ascii="Arial" w:cs="Arial" w:eastAsia="Arial" w:hAnsi="Arial"/>
          <w:sz w:val="18"/>
          <w:szCs w:val="18"/>
          <w:color w:val="51555C"/>
        </w:rPr>
        <w:t>April 29, 2026</w:t>
      </w:r>
      <w:r>
        <w:rPr>
          <w:sz w:val="20"/>
          <w:szCs w:val="20"/>
          <w:color w:val="auto"/>
        </w:rPr>
        <w:tab/>
      </w:r>
      <w:r>
        <w:rPr>
          <w:rFonts w:ascii="Arial" w:cs="Arial" w:eastAsia="Arial" w:hAnsi="Arial"/>
          <w:sz w:val="17"/>
          <w:szCs w:val="17"/>
          <w:color w:val="51555C"/>
        </w:rPr>
        <w:t>/s/ Chad M.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34925</wp:posOffset>
            </wp:positionV>
            <wp:extent cx="38487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color w:val="51555C"/>
        </w:rPr>
        <w:t>Chad M. Anderson</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color w:val="51555C"/>
        </w:rPr>
        <w:t>Executive Vice President and Chief Financial Officer</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color w:val="51555C"/>
        </w:rPr>
        <w:t>(Principal Financial and Accounting Officer)</w:t>
      </w:r>
    </w:p>
    <w:p>
      <w:pPr>
        <w:sectPr>
          <w:pgSz w:w="11900" w:h="16838" w:orient="portrait"/>
          <w:cols w:equalWidth="0" w:num="1">
            <w:col w:w="11120"/>
          </w:cols>
          <w:pgMar w:left="320" w:top="1214" w:right="459" w:bottom="1440" w:gutter="0" w:footer="0" w:header="0"/>
        </w:sectPr>
      </w:pPr>
    </w:p>
    <w:bookmarkStart w:id="3" w:name="page4"/>
    <w:bookmarkEnd w:id="3"/>
    <w:p>
      <w:pPr>
        <w:ind w:left="10220"/>
        <w:spacing w:after="0"/>
        <w:rPr>
          <w:sz w:val="20"/>
          <w:szCs w:val="20"/>
          <w:color w:val="auto"/>
        </w:rPr>
      </w:pPr>
      <w:r>
        <w:rPr>
          <w:rFonts w:ascii="Arial" w:cs="Arial" w:eastAsia="Arial" w:hAnsi="Arial"/>
          <w:sz w:val="18"/>
          <w:szCs w:val="18"/>
          <w:b w:val="1"/>
          <w:bCs w:val="1"/>
          <w:color w:val="51555C"/>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248920</wp:posOffset>
            </wp:positionV>
            <wp:extent cx="162877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2877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40"/>
        <w:spacing w:after="0"/>
        <w:rPr>
          <w:sz w:val="20"/>
          <w:szCs w:val="20"/>
          <w:color w:val="auto"/>
        </w:rPr>
      </w:pPr>
      <w:r>
        <w:rPr>
          <w:rFonts w:ascii="Arial" w:cs="Arial" w:eastAsia="Arial" w:hAnsi="Arial"/>
          <w:sz w:val="29"/>
          <w:szCs w:val="29"/>
          <w:b w:val="1"/>
          <w:bCs w:val="1"/>
          <w:color w:val="006880"/>
        </w:rPr>
        <w:t>PRESS RELEASE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51555C"/>
        </w:rPr>
        <w:t>Blackbaud Announces 2026 First Quarter Results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51555C"/>
        </w:rPr>
        <w:t>Company Launches Its First Agent for Good</w:t>
      </w:r>
      <w:r>
        <w:rPr>
          <w:rFonts w:ascii="Arial" w:cs="Arial" w:eastAsia="Arial" w:hAnsi="Arial"/>
          <w:sz w:val="23"/>
          <w:szCs w:val="23"/>
          <w:i w:val="1"/>
          <w:iCs w:val="1"/>
          <w:color w:val="51555C"/>
          <w:vertAlign w:val="superscript"/>
        </w:rPr>
        <w:t>TM</w:t>
      </w:r>
      <w:r>
        <w:rPr>
          <w:rFonts w:ascii="Arial" w:cs="Arial" w:eastAsia="Arial" w:hAnsi="Arial"/>
          <w:sz w:val="18"/>
          <w:szCs w:val="18"/>
          <w:i w:val="1"/>
          <w:iCs w:val="1"/>
          <w:color w:val="51555C"/>
        </w:rPr>
        <w:t xml:space="preserve"> Agentic AI Solution for the Social Impact Sector</w:t>
      </w:r>
    </w:p>
    <w:p>
      <w:pPr>
        <w:spacing w:after="0" w:line="3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51555C"/>
        </w:rPr>
        <w:t xml:space="preserve">Charleston, S.C. (April 29, 2026) </w:t>
      </w:r>
      <w:r>
        <w:rPr>
          <w:rFonts w:ascii="Arial" w:cs="Arial" w:eastAsia="Arial" w:hAnsi="Arial"/>
          <w:sz w:val="18"/>
          <w:szCs w:val="18"/>
          <w:color w:val="51555C"/>
        </w:rPr>
        <w:t>— Blackbaud (NASDAQ: BLKB), the leader in AI for social impact, today announced financial results for</w:t>
      </w:r>
      <w:r>
        <w:rPr>
          <w:rFonts w:ascii="Arial" w:cs="Arial" w:eastAsia="Arial" w:hAnsi="Arial"/>
          <w:sz w:val="18"/>
          <w:szCs w:val="18"/>
          <w:b w:val="1"/>
          <w:bCs w:val="1"/>
          <w:color w:val="51555C"/>
        </w:rPr>
        <w:t xml:space="preserve"> </w:t>
      </w:r>
      <w:r>
        <w:rPr>
          <w:rFonts w:ascii="Arial" w:cs="Arial" w:eastAsia="Arial" w:hAnsi="Arial"/>
          <w:sz w:val="18"/>
          <w:szCs w:val="18"/>
          <w:color w:val="51555C"/>
        </w:rPr>
        <w:t>its first quarter ended March 31, 2026.</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"We’re off to a strong start in 2026, and our execution continues to reinforce Blackbaud’s clear leadership in the social impact software market,” said Mike Gianoni, president, CEO and vice chairman of the board of directors, Blackbaud. “With more than 70 new AI capabilities embedded across our products, we have now taken the next step and launched the first of many planned new agentic AI solutions, the Development Agent. Early demand has been exceptional, customer interest is high, and momentum is building. This strong first quarter reinforces our confidence in our AI-powered roadmap and positions Blackbaud well for 2026 and beyond as we pursue our aspirational goals."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First Quarter 2026 Results Compared to First Quarter 2025 Results:</w:t>
      </w:r>
    </w:p>
    <w:p>
      <w:pPr>
        <w:spacing w:after="0" w:line="11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GAAP total revenue was $281.1 million, up 4.2% and non-GAAP organic revenue increased 4.2%.</w:t>
      </w:r>
    </w:p>
    <w:p>
      <w:pPr>
        <w:spacing w:after="0" w:line="117" w:lineRule="exact"/>
        <w:rPr>
          <w:rFonts w:ascii="Arial" w:cs="Arial" w:eastAsia="Arial" w:hAnsi="Arial"/>
          <w:sz w:val="18"/>
          <w:szCs w:val="18"/>
          <w:color w:val="51555C"/>
        </w:rPr>
      </w:pPr>
    </w:p>
    <w:p>
      <w:pPr>
        <w:ind w:left="340" w:hanging="332"/>
        <w:spacing w:after="0" w:line="287" w:lineRule="auto"/>
        <w:tabs>
          <w:tab w:leader="none" w:pos="335"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GAAP recurring revenue was $276.5 million, up 5.0% and represented 98.3% of total revenue. Non-GAAP organic recurring revenue increased 5.0%.</w:t>
      </w:r>
    </w:p>
    <w:p>
      <w:pPr>
        <w:spacing w:after="0" w:line="44" w:lineRule="exact"/>
        <w:rPr>
          <w:rFonts w:ascii="Arial" w:cs="Arial" w:eastAsia="Arial" w:hAnsi="Arial"/>
          <w:sz w:val="18"/>
          <w:szCs w:val="18"/>
          <w:color w:val="51555C"/>
        </w:rPr>
      </w:pPr>
    </w:p>
    <w:p>
      <w:pPr>
        <w:ind w:left="320" w:hanging="312"/>
        <w:spacing w:after="0"/>
        <w:tabs>
          <w:tab w:leader="none" w:pos="320"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GAAP income from operations was $51.4 million, with GAAP operating margin of 18.3%, an increase of 1,100 basis points.</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Non-GAAP income from operations was $83.4 million, with non-GAAP operating margin of 29.6%, an increase of 120 basis points.</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GAAP net income was $31.1 million, with GAAP diluted earnings per share of $0.67, up $0.58 per share.</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Non-GAAP net income was $52.6 million, with non-GAAP diluted earnings per share of $1.14, up $0.19 per share.</w:t>
      </w:r>
    </w:p>
    <w:p>
      <w:pPr>
        <w:spacing w:after="0" w:line="117" w:lineRule="exact"/>
        <w:rPr>
          <w:rFonts w:ascii="Arial" w:cs="Arial" w:eastAsia="Arial" w:hAnsi="Arial"/>
          <w:sz w:val="18"/>
          <w:szCs w:val="18"/>
          <w:color w:val="51555C"/>
        </w:rPr>
      </w:pPr>
    </w:p>
    <w:p>
      <w:pPr>
        <w:ind w:left="340" w:right="20" w:hanging="332"/>
        <w:spacing w:after="0" w:line="287" w:lineRule="auto"/>
        <w:tabs>
          <w:tab w:leader="none" w:pos="335"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Non-GAAP adjusted EBITDA was $98.7 million, up $6.6 million, with non-GAAP adjusted EBITDA margin of 35.1%, an increase of 100 basis points.</w:t>
      </w:r>
    </w:p>
    <w:p>
      <w:pPr>
        <w:spacing w:after="0" w:line="44" w:lineRule="exact"/>
        <w:rPr>
          <w:rFonts w:ascii="Arial" w:cs="Arial" w:eastAsia="Arial" w:hAnsi="Arial"/>
          <w:sz w:val="18"/>
          <w:szCs w:val="18"/>
          <w:color w:val="51555C"/>
        </w:rPr>
      </w:pPr>
    </w:p>
    <w:p>
      <w:pPr>
        <w:ind w:left="320" w:hanging="312"/>
        <w:spacing w:after="0"/>
        <w:tabs>
          <w:tab w:leader="none" w:pos="320"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Rule of 40 score was 39.3%.</w:t>
      </w:r>
    </w:p>
    <w:p>
      <w:pPr>
        <w:spacing w:after="0" w:line="117" w:lineRule="exact"/>
        <w:rPr>
          <w:rFonts w:ascii="Arial" w:cs="Arial" w:eastAsia="Arial" w:hAnsi="Arial"/>
          <w:sz w:val="18"/>
          <w:szCs w:val="18"/>
          <w:color w:val="51555C"/>
        </w:rPr>
      </w:pPr>
    </w:p>
    <w:p>
      <w:pPr>
        <w:ind w:left="340" w:hanging="332"/>
        <w:spacing w:after="0" w:line="287" w:lineRule="auto"/>
        <w:tabs>
          <w:tab w:leader="none" w:pos="335"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GAAP net cash provided by operating activities was $51.5 million, an increase of $50.1 million, with GAAP operating cash flow margin of 18.3%, an increase of 1,780 basis points.</w:t>
      </w:r>
    </w:p>
    <w:p>
      <w:pPr>
        <w:spacing w:after="0" w:line="44" w:lineRule="exact"/>
        <w:rPr>
          <w:rFonts w:ascii="Arial" w:cs="Arial" w:eastAsia="Arial" w:hAnsi="Arial"/>
          <w:sz w:val="18"/>
          <w:szCs w:val="18"/>
          <w:color w:val="51555C"/>
        </w:rPr>
      </w:pPr>
    </w:p>
    <w:p>
      <w:pPr>
        <w:ind w:left="340" w:hanging="332"/>
        <w:spacing w:after="0" w:line="287" w:lineRule="auto"/>
        <w:tabs>
          <w:tab w:leader="none" w:pos="335" w:val="left"/>
        </w:tabs>
        <w:numPr>
          <w:ilvl w:val="0"/>
          <w:numId w:val="2"/>
        </w:numPr>
        <w:rPr>
          <w:rFonts w:ascii="Arial" w:cs="Arial" w:eastAsia="Arial" w:hAnsi="Arial"/>
          <w:sz w:val="18"/>
          <w:szCs w:val="18"/>
          <w:color w:val="51555C"/>
        </w:rPr>
      </w:pPr>
      <w:r>
        <w:rPr>
          <w:rFonts w:ascii="Arial" w:cs="Arial" w:eastAsia="Arial" w:hAnsi="Arial"/>
          <w:sz w:val="18"/>
          <w:szCs w:val="18"/>
          <w:color w:val="51555C"/>
        </w:rPr>
        <w:t>Non-GAAP free cash flow was $37.0 million, an increase of $49.3 million, with non-GAAP free cash flow margin of 13.2%, an increase of 1,770 basis points.</w:t>
      </w:r>
    </w:p>
    <w:p>
      <w:pPr>
        <w:spacing w:after="0" w:line="99"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color w:val="51555C"/>
        </w:rPr>
        <w:t>"We began 2026 with disciplined execution against our operating plan, while continuing to invest in innovation to support both performance today and the opportunities ahead,” said Chad Anderson, executive vice president and CFO, Blackbaud. “The quarter reflects the strength of our financial model—driving growth, expanding margins, improving EPS, and generating strong free cash flow. We continued our purposeful capital allocation strategy, repurchasing approximately 4.5% of our shares outstanding at the end of 2025 inclusive of net share settlement of employee stock compensation, while maintaining financial flexibility. This combination of execution, reinvestment, and disciplined capital deployment underpins our ability to deliver long</w:t>
      </w:r>
      <w:r>
        <w:rPr>
          <w:rFonts w:ascii="MS PGothic" w:cs="MS PGothic" w:eastAsia="MS PGothic" w:hAnsi="MS PGothic"/>
          <w:sz w:val="18"/>
          <w:szCs w:val="18"/>
          <w:color w:val="51555C"/>
        </w:rPr>
        <w:t>‑</w:t>
      </w:r>
      <w:r>
        <w:rPr>
          <w:rFonts w:ascii="Arial" w:cs="Arial" w:eastAsia="Arial" w:hAnsi="Arial"/>
          <w:sz w:val="18"/>
          <w:szCs w:val="18"/>
          <w:color w:val="51555C"/>
        </w:rPr>
        <w:t>term value."</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An explanation of all non-GAAP financial measures referenced in this press release, including the Rule of 40, is included below under the heading "Non-GAAP Financial Measures." A reconciliation of the company's non-GAAP financial measures to their most directly comparable GAAP measures has been provided in the financial statement tables included below in this press release.</w:t>
      </w:r>
    </w:p>
    <w:p>
      <w:pPr>
        <w:sectPr>
          <w:pgSz w:w="11900" w:h="16838" w:orient="portrait"/>
          <w:cols w:equalWidth="0" w:num="1">
            <w:col w:w="11240"/>
          </w:cols>
          <w:pgMar w:left="320" w:top="161" w:right="339" w:bottom="1440" w:gutter="0" w:footer="0" w:header="0"/>
        </w:sectPr>
      </w:pPr>
    </w:p>
    <w:bookmarkStart w:id="4" w:name="page5"/>
    <w:bookmarkEnd w:id="4"/>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5702935</wp:posOffset>
            </wp:positionH>
            <wp:positionV relativeFrom="page">
              <wp:posOffset>534670</wp:posOffset>
            </wp:positionV>
            <wp:extent cx="1628775" cy="24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8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29"/>
          <w:szCs w:val="29"/>
          <w:b w:val="1"/>
          <w:bCs w:val="1"/>
          <w:color w:val="006880"/>
        </w:rPr>
        <w:t>PRESS RELEASE</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 Company Highlights</w:t>
      </w:r>
    </w:p>
    <w:p>
      <w:pPr>
        <w:spacing w:after="0" w:line="117" w:lineRule="exact"/>
        <w:rPr>
          <w:sz w:val="20"/>
          <w:szCs w:val="20"/>
          <w:color w:val="auto"/>
        </w:rPr>
      </w:pPr>
    </w:p>
    <w:p>
      <w:pPr>
        <w:jc w:val="both"/>
        <w:ind w:left="340" w:hanging="332"/>
        <w:spacing w:after="0" w:line="268" w:lineRule="auto"/>
        <w:tabs>
          <w:tab w:leader="none" w:pos="335"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 xml:space="preserve">Blackbaud </w:t>
      </w:r>
      <w:r>
        <w:rPr>
          <w:rFonts w:ascii="Arial" w:cs="Arial" w:eastAsia="Arial" w:hAnsi="Arial"/>
          <w:sz w:val="18"/>
          <w:szCs w:val="18"/>
          <w:u w:val="single" w:color="auto"/>
          <w:color w:val="7A04DD"/>
        </w:rPr>
        <w:t>launched its first Agent for Good™</w:t>
      </w:r>
      <w:r>
        <w:rPr>
          <w:rFonts w:ascii="Arial" w:cs="Arial" w:eastAsia="Arial" w:hAnsi="Arial"/>
          <w:sz w:val="18"/>
          <w:szCs w:val="18"/>
          <w:color w:val="51555C"/>
        </w:rPr>
        <w:t xml:space="preserve">, the Development Agent, which is the first-ever expert agent to be embedded in a dedicated social impact platform and is designed to help personalize donor engagement and grow giving at scale. The </w:t>
      </w:r>
      <w:r>
        <w:rPr>
          <w:rFonts w:ascii="Arial" w:cs="Arial" w:eastAsia="Arial" w:hAnsi="Arial"/>
          <w:sz w:val="18"/>
          <w:szCs w:val="18"/>
          <w:u w:val="single" w:color="auto"/>
          <w:color w:val="7A04DD"/>
        </w:rPr>
        <w:t>Development</w:t>
      </w:r>
      <w:r>
        <w:rPr>
          <w:rFonts w:ascii="Arial" w:cs="Arial" w:eastAsia="Arial" w:hAnsi="Arial"/>
          <w:sz w:val="18"/>
          <w:szCs w:val="18"/>
          <w:color w:val="51555C"/>
        </w:rPr>
        <w:t xml:space="preserve"> </w:t>
      </w:r>
      <w:r>
        <w:rPr>
          <w:rFonts w:ascii="Arial" w:cs="Arial" w:eastAsia="Arial" w:hAnsi="Arial"/>
          <w:sz w:val="18"/>
          <w:szCs w:val="18"/>
          <w:u w:val="single" w:color="auto"/>
          <w:color w:val="7A04DD"/>
        </w:rPr>
        <w:t>Agent</w:t>
      </w:r>
      <w:r>
        <w:rPr>
          <w:rFonts w:ascii="Arial" w:cs="Arial" w:eastAsia="Arial" w:hAnsi="Arial"/>
          <w:sz w:val="18"/>
          <w:szCs w:val="18"/>
          <w:color w:val="7A04DD"/>
        </w:rPr>
        <w:t xml:space="preserve"> </w:t>
      </w:r>
      <w:r>
        <w:rPr>
          <w:rFonts w:ascii="Arial" w:cs="Arial" w:eastAsia="Arial" w:hAnsi="Arial"/>
          <w:sz w:val="18"/>
          <w:szCs w:val="18"/>
          <w:color w:val="51555C"/>
        </w:rPr>
        <w:t>is available to Raiser’s Edge NXT® customers in the U.S., with availability internationally and in other products to follow.</w:t>
      </w:r>
    </w:p>
    <w:p>
      <w:pPr>
        <w:spacing w:after="0" w:line="62" w:lineRule="exact"/>
        <w:rPr>
          <w:rFonts w:ascii="Arial" w:cs="Arial" w:eastAsia="Arial" w:hAnsi="Arial"/>
          <w:sz w:val="18"/>
          <w:szCs w:val="18"/>
          <w:color w:val="51555C"/>
        </w:rPr>
      </w:pPr>
    </w:p>
    <w:p>
      <w:pPr>
        <w:ind w:left="340" w:hanging="332"/>
        <w:spacing w:after="0" w:line="287" w:lineRule="auto"/>
        <w:tabs>
          <w:tab w:leader="none" w:pos="335"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 xml:space="preserve">Blackbaud </w:t>
      </w:r>
      <w:r>
        <w:rPr>
          <w:rFonts w:ascii="Arial" w:cs="Arial" w:eastAsia="Arial" w:hAnsi="Arial"/>
          <w:sz w:val="18"/>
          <w:szCs w:val="18"/>
          <w:u w:val="single" w:color="auto"/>
          <w:color w:val="7A04DD"/>
        </w:rPr>
        <w:t>highlighted customer outcomes</w:t>
      </w:r>
      <w:r>
        <w:rPr>
          <w:rFonts w:ascii="Arial" w:cs="Arial" w:eastAsia="Arial" w:hAnsi="Arial"/>
          <w:sz w:val="18"/>
          <w:szCs w:val="18"/>
          <w:color w:val="51555C"/>
        </w:rPr>
        <w:t xml:space="preserve"> that underline the real-world impact of its solutions and showcase the differentiated power of Blackbaud’s specialized domain expertise.</w:t>
      </w:r>
    </w:p>
    <w:p>
      <w:pPr>
        <w:spacing w:after="0" w:line="44" w:lineRule="exact"/>
        <w:rPr>
          <w:rFonts w:ascii="Arial" w:cs="Arial" w:eastAsia="Arial" w:hAnsi="Arial"/>
          <w:sz w:val="18"/>
          <w:szCs w:val="18"/>
          <w:color w:val="51555C"/>
        </w:rPr>
      </w:pPr>
    </w:p>
    <w:p>
      <w:pPr>
        <w:ind w:left="340" w:hanging="332"/>
        <w:spacing w:after="0" w:line="239" w:lineRule="exact"/>
        <w:tabs>
          <w:tab w:leader="none" w:pos="335"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 xml:space="preserve">Chief Data and AI Officer Carrie Cobb </w:t>
      </w:r>
      <w:r>
        <w:rPr>
          <w:rFonts w:ascii="Arial" w:cs="Arial" w:eastAsia="Arial" w:hAnsi="Arial"/>
          <w:sz w:val="18"/>
          <w:szCs w:val="18"/>
          <w:u w:val="single" w:color="auto"/>
          <w:color w:val="7A04DD"/>
        </w:rPr>
        <w:t>shared how Blackbaud is approaching responsible AI</w:t>
      </w:r>
      <w:r>
        <w:rPr>
          <w:rFonts w:ascii="Arial" w:cs="Arial" w:eastAsia="Arial" w:hAnsi="Arial"/>
          <w:sz w:val="18"/>
          <w:szCs w:val="18"/>
          <w:color w:val="51555C"/>
        </w:rPr>
        <w:t>, through engagement, shared learning, and cross</w:t>
      </w:r>
      <w:r>
        <w:rPr>
          <w:rFonts w:ascii="MS PGothic" w:cs="MS PGothic" w:eastAsia="MS PGothic" w:hAnsi="MS PGothic"/>
          <w:sz w:val="18"/>
          <w:szCs w:val="18"/>
          <w:color w:val="51555C"/>
        </w:rPr>
        <w:t>‑</w:t>
      </w:r>
      <w:r>
        <w:rPr>
          <w:rFonts w:ascii="Arial" w:cs="Arial" w:eastAsia="Arial" w:hAnsi="Arial"/>
          <w:sz w:val="18"/>
          <w:szCs w:val="18"/>
          <w:color w:val="51555C"/>
        </w:rPr>
        <w:t>sector leadership.</w:t>
      </w:r>
    </w:p>
    <w:p>
      <w:pPr>
        <w:spacing w:after="0" w:line="62" w:lineRule="exact"/>
        <w:rPr>
          <w:rFonts w:ascii="Arial" w:cs="Arial" w:eastAsia="Arial" w:hAnsi="Arial"/>
          <w:sz w:val="18"/>
          <w:szCs w:val="18"/>
          <w:color w:val="51555C"/>
        </w:rPr>
      </w:pPr>
    </w:p>
    <w:p>
      <w:pPr>
        <w:jc w:val="both"/>
        <w:ind w:left="340" w:hanging="332"/>
        <w:spacing w:after="0" w:line="268" w:lineRule="auto"/>
        <w:tabs>
          <w:tab w:leader="none" w:pos="335"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 xml:space="preserve">As the presenting sponsor of the Association of Fundraising Professionals (AFP) ICON conference, Blackbaud shared how it is ushering the sector into </w:t>
      </w:r>
      <w:r>
        <w:rPr>
          <w:rFonts w:ascii="Arial" w:cs="Arial" w:eastAsia="Arial" w:hAnsi="Arial"/>
          <w:sz w:val="18"/>
          <w:szCs w:val="18"/>
          <w:u w:val="single" w:color="auto"/>
          <w:color w:val="7A04DD"/>
        </w:rPr>
        <w:t>a new era of social impact</w:t>
      </w:r>
      <w:r>
        <w:rPr>
          <w:rFonts w:ascii="Arial" w:cs="Arial" w:eastAsia="Arial" w:hAnsi="Arial"/>
          <w:sz w:val="18"/>
          <w:szCs w:val="18"/>
          <w:color w:val="51555C"/>
        </w:rPr>
        <w:t>, equipping fundraisers with purpose-built, responsible AI tools that help them navigate increasing complexity, meet donor expectations, and accelerate their outcomes.</w:t>
      </w:r>
    </w:p>
    <w:p>
      <w:pPr>
        <w:spacing w:after="0" w:line="62" w:lineRule="exact"/>
        <w:rPr>
          <w:rFonts w:ascii="Arial" w:cs="Arial" w:eastAsia="Arial" w:hAnsi="Arial"/>
          <w:sz w:val="18"/>
          <w:szCs w:val="18"/>
          <w:color w:val="51555C"/>
        </w:rPr>
      </w:pPr>
    </w:p>
    <w:p>
      <w:pPr>
        <w:jc w:val="both"/>
        <w:ind w:left="340" w:hanging="332"/>
        <w:spacing w:after="0" w:line="224" w:lineRule="exact"/>
        <w:tabs>
          <w:tab w:leader="none" w:pos="335"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 xml:space="preserve">At its annual </w:t>
      </w:r>
      <w:r>
        <w:rPr>
          <w:rFonts w:ascii="Arial" w:cs="Arial" w:eastAsia="Arial" w:hAnsi="Arial"/>
          <w:sz w:val="18"/>
          <w:szCs w:val="18"/>
          <w:u w:val="single" w:color="auto"/>
          <w:color w:val="7A04DD"/>
        </w:rPr>
        <w:t>Corporate Social Impact Summit</w:t>
      </w:r>
      <w:r>
        <w:rPr>
          <w:rFonts w:ascii="Arial" w:cs="Arial" w:eastAsia="Arial" w:hAnsi="Arial"/>
          <w:sz w:val="18"/>
          <w:szCs w:val="18"/>
          <w:color w:val="51555C"/>
        </w:rPr>
        <w:t>, Blackbaud convened hundreds of corporate and social good leaders for thought</w:t>
      </w:r>
      <w:r>
        <w:rPr>
          <w:rFonts w:ascii="MS PGothic" w:cs="MS PGothic" w:eastAsia="MS PGothic" w:hAnsi="MS PGothic"/>
          <w:sz w:val="18"/>
          <w:szCs w:val="18"/>
          <w:color w:val="51555C"/>
        </w:rPr>
        <w:t>‑</w:t>
      </w:r>
      <w:r>
        <w:rPr>
          <w:rFonts w:ascii="Arial" w:cs="Arial" w:eastAsia="Arial" w:hAnsi="Arial"/>
          <w:sz w:val="18"/>
          <w:szCs w:val="18"/>
          <w:color w:val="51555C"/>
        </w:rPr>
        <w:t>provoking sessions from industry experts and an exclusive preview of upcoming innovation across the YourCause® from Blackbaud® platform, including advancements in AI capabilities, faster donation processing, and social impact reporting.</w:t>
      </w:r>
    </w:p>
    <w:p>
      <w:pPr>
        <w:spacing w:after="0" w:line="85" w:lineRule="exact"/>
        <w:rPr>
          <w:rFonts w:ascii="Arial" w:cs="Arial" w:eastAsia="Arial" w:hAnsi="Arial"/>
          <w:sz w:val="18"/>
          <w:szCs w:val="18"/>
          <w:color w:val="51555C"/>
        </w:rPr>
      </w:pPr>
    </w:p>
    <w:p>
      <w:pPr>
        <w:ind w:left="340" w:hanging="332"/>
        <w:spacing w:after="0" w:line="287" w:lineRule="auto"/>
        <w:tabs>
          <w:tab w:leader="none" w:pos="335"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 xml:space="preserve">The company </w:t>
      </w:r>
      <w:r>
        <w:rPr>
          <w:rFonts w:ascii="Arial" w:cs="Arial" w:eastAsia="Arial" w:hAnsi="Arial"/>
          <w:sz w:val="18"/>
          <w:szCs w:val="18"/>
          <w:u w:val="single" w:color="auto"/>
          <w:color w:val="7A04DD"/>
        </w:rPr>
        <w:t>announced open registration for bbcon</w:t>
      </w:r>
      <w:r>
        <w:rPr>
          <w:rFonts w:ascii="Arial" w:cs="Arial" w:eastAsia="Arial" w:hAnsi="Arial"/>
          <w:sz w:val="18"/>
          <w:szCs w:val="18"/>
          <w:color w:val="51555C"/>
        </w:rPr>
        <w:t xml:space="preserve">, its annual technology conference, taking place in Columbus, Ohio, Sept. 29–Oct. 1 this year, with global events following in London and Sydney. </w:t>
      </w:r>
      <w:r>
        <w:rPr>
          <w:rFonts w:ascii="Arial" w:cs="Arial" w:eastAsia="Arial" w:hAnsi="Arial"/>
          <w:sz w:val="18"/>
          <w:szCs w:val="18"/>
          <w:color w:val="000000"/>
        </w:rPr>
        <w:t>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51555C"/>
        </w:rPr>
        <w:t xml:space="preserve">Visit </w:t>
      </w:r>
      <w:r>
        <w:rPr>
          <w:rFonts w:ascii="Arial" w:cs="Arial" w:eastAsia="Arial" w:hAnsi="Arial"/>
          <w:sz w:val="18"/>
          <w:szCs w:val="18"/>
          <w:u w:val="single" w:color="auto"/>
          <w:color w:val="7A04DD"/>
        </w:rPr>
        <w:t>www.blackbaud.com/newsroom</w:t>
      </w:r>
      <w:r>
        <w:rPr>
          <w:rFonts w:ascii="Arial" w:cs="Arial" w:eastAsia="Arial" w:hAnsi="Arial"/>
          <w:sz w:val="18"/>
          <w:szCs w:val="18"/>
          <w:color w:val="51555C"/>
        </w:rPr>
        <w:t xml:space="preserve"> for more information about Blackbaud’s recent highlights.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Financial Outlook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Blackbaud today reaffirmed its 2026 full year financial guidance:</w:t>
      </w:r>
    </w:p>
    <w:p>
      <w:pPr>
        <w:spacing w:after="0" w:line="117"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51555C"/>
        </w:rPr>
      </w:pPr>
      <w:r>
        <w:rPr>
          <w:rFonts w:ascii="Arial" w:cs="Arial" w:eastAsia="Arial" w:hAnsi="Arial"/>
          <w:sz w:val="18"/>
          <w:szCs w:val="18"/>
          <w:color w:val="51555C"/>
        </w:rPr>
        <w:t>GAAP revenue of $1.173 billion to $1.179 billion</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4"/>
        </w:numPr>
        <w:rPr>
          <w:rFonts w:ascii="Arial" w:cs="Arial" w:eastAsia="Arial" w:hAnsi="Arial"/>
          <w:sz w:val="18"/>
          <w:szCs w:val="18"/>
          <w:color w:val="51555C"/>
        </w:rPr>
      </w:pPr>
      <w:r>
        <w:rPr>
          <w:rFonts w:ascii="Arial" w:cs="Arial" w:eastAsia="Arial" w:hAnsi="Arial"/>
          <w:sz w:val="18"/>
          <w:szCs w:val="18"/>
          <w:color w:val="51555C"/>
        </w:rPr>
        <w:t>Non-GAAP adjusted EBITDA of $430 million to $438 million</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4"/>
        </w:numPr>
        <w:rPr>
          <w:rFonts w:ascii="Arial" w:cs="Arial" w:eastAsia="Arial" w:hAnsi="Arial"/>
          <w:sz w:val="18"/>
          <w:szCs w:val="18"/>
          <w:color w:val="51555C"/>
        </w:rPr>
      </w:pPr>
      <w:r>
        <w:rPr>
          <w:rFonts w:ascii="Arial" w:cs="Arial" w:eastAsia="Arial" w:hAnsi="Arial"/>
          <w:sz w:val="18"/>
          <w:szCs w:val="18"/>
          <w:color w:val="51555C"/>
        </w:rPr>
        <w:t>Non-GAAP diluted earnings per share of $5.15 to $5.25</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4"/>
        </w:numPr>
        <w:rPr>
          <w:rFonts w:ascii="Arial" w:cs="Arial" w:eastAsia="Arial" w:hAnsi="Arial"/>
          <w:sz w:val="18"/>
          <w:szCs w:val="18"/>
          <w:color w:val="51555C"/>
        </w:rPr>
      </w:pPr>
      <w:r>
        <w:rPr>
          <w:rFonts w:ascii="Arial" w:cs="Arial" w:eastAsia="Arial" w:hAnsi="Arial"/>
          <w:sz w:val="18"/>
          <w:szCs w:val="18"/>
          <w:color w:val="51555C"/>
        </w:rPr>
        <w:t>Non-GAAP free cash flow of $280 million to $290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51555C"/>
        </w:rPr>
        <w:t>Included in its 2026 full year financial guidance are the following updated assumptions:</w:t>
      </w:r>
    </w:p>
    <w:p>
      <w:pPr>
        <w:spacing w:after="0" w:line="11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Non-GAAP annualized effective tax rate is expected to be approximately 24.5%</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Interest expense for the year is expected to be approximately $62 million to $66 million</w:t>
      </w:r>
    </w:p>
    <w:p>
      <w:pPr>
        <w:spacing w:after="0" w:line="117" w:lineRule="exact"/>
        <w:rPr>
          <w:rFonts w:ascii="Arial" w:cs="Arial" w:eastAsia="Arial" w:hAnsi="Arial"/>
          <w:sz w:val="18"/>
          <w:szCs w:val="18"/>
          <w:color w:val="51555C"/>
        </w:rPr>
      </w:pPr>
    </w:p>
    <w:p>
      <w:pPr>
        <w:ind w:left="320" w:hanging="312"/>
        <w:spacing w:after="0"/>
        <w:tabs>
          <w:tab w:leader="none" w:pos="3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Diluted weighted average shares outstanding for the year are expected to be approximately 45.0 million to 46.0 million</w:t>
      </w:r>
    </w:p>
    <w:p>
      <w:pPr>
        <w:spacing w:after="0" w:line="117" w:lineRule="exact"/>
        <w:rPr>
          <w:rFonts w:ascii="Arial" w:cs="Arial" w:eastAsia="Arial" w:hAnsi="Arial"/>
          <w:sz w:val="18"/>
          <w:szCs w:val="18"/>
          <w:color w:val="51555C"/>
        </w:rPr>
      </w:pPr>
    </w:p>
    <w:p>
      <w:pPr>
        <w:ind w:left="340" w:hanging="332"/>
        <w:spacing w:after="0" w:line="287" w:lineRule="auto"/>
        <w:tabs>
          <w:tab w:leader="none" w:pos="335"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Capital expenditures for the year are expected to be approximately $60 million to $70 million, including approximately $52 million to $62 million of capitalized software development costs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Blackbaud has not reconciled forward-looking full-year non-GAAP financial measures contained in this news release to their most directly comparable GAAP measures, as permitted by Item 10(e)(1)(i)(B) of Regulation S-K. Such reconciliations would require unreasonable efforts at this time to estimate and quantify with a reasonable degree of certainty various necessary GAAP components, including for example those related to compensation, acquisition transactions and integration, tax items or others that may arise during the year. These components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5702935</wp:posOffset>
            </wp:positionH>
            <wp:positionV relativeFrom="page">
              <wp:posOffset>534670</wp:posOffset>
            </wp:positionV>
            <wp:extent cx="1628775"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89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9"/>
          <w:szCs w:val="29"/>
          <w:b w:val="1"/>
          <w:bCs w:val="1"/>
          <w:color w:val="006880"/>
        </w:rPr>
        <w:t>PRESS RELEASE</w:t>
      </w:r>
    </w:p>
    <w:p>
      <w:pPr>
        <w:spacing w:after="0" w:line="200" w:lineRule="exact"/>
        <w:rPr>
          <w:sz w:val="20"/>
          <w:szCs w:val="20"/>
          <w:color w:val="auto"/>
        </w:rPr>
      </w:pPr>
    </w:p>
    <w:p>
      <w:pPr>
        <w:spacing w:after="0" w:line="31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other factors could materially impact the amount of the future directly comparable GAAP measures, which may differ significantly from their non-GAAP counterparts.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Stock Repurchase Program</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As of March 31, 2026, Blackbaud had approximately $878 million remaining under its common stock repurchase program that was expanded, replenished and reauthorized in December 2025. Based on our current plans, we expect total repurchases during 2026 to represent between 5.0% and 10.0% of our outstanding common stock as of December 31, 2025.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Conference Call Details</w:t>
      </w:r>
    </w:p>
    <w:p>
      <w:pPr>
        <w:spacing w:after="0" w:line="18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51555C"/>
        </w:rPr>
        <w:t>What:</w:t>
        <w:tab/>
        <w:t>Blackbaud's 2026 First Quarter Conference Call</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51555C"/>
        </w:rPr>
        <w:t>When:</w:t>
      </w:r>
      <w:r>
        <w:rPr>
          <w:sz w:val="20"/>
          <w:szCs w:val="20"/>
          <w:color w:val="auto"/>
        </w:rPr>
        <w:tab/>
      </w:r>
      <w:r>
        <w:rPr>
          <w:rFonts w:ascii="Arial" w:cs="Arial" w:eastAsia="Arial" w:hAnsi="Arial"/>
          <w:sz w:val="17"/>
          <w:szCs w:val="17"/>
          <w:color w:val="51555C"/>
        </w:rPr>
        <w:t>April 29, 2026</w:t>
      </w:r>
    </w:p>
    <w:p>
      <w:pPr>
        <w:spacing w:after="0" w:line="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51555C"/>
        </w:rPr>
        <w:t>Time:</w:t>
        <w:tab/>
        <w:t>8:00 a.m. (Eastern Time)</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51555C"/>
        </w:rPr>
        <w:t>Live Call:</w:t>
      </w:r>
      <w:r>
        <w:rPr>
          <w:sz w:val="20"/>
          <w:szCs w:val="20"/>
          <w:color w:val="auto"/>
        </w:rPr>
        <w:tab/>
      </w:r>
      <w:r>
        <w:rPr>
          <w:rFonts w:ascii="Arial" w:cs="Arial" w:eastAsia="Arial" w:hAnsi="Arial"/>
          <w:sz w:val="17"/>
          <w:szCs w:val="17"/>
          <w:color w:val="51555C"/>
        </w:rPr>
        <w:t>1-877-407-3088 (US/Canada)</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51555C"/>
        </w:rPr>
        <w:t>Webcast:</w:t>
      </w:r>
      <w:r>
        <w:rPr>
          <w:sz w:val="20"/>
          <w:szCs w:val="20"/>
          <w:color w:val="auto"/>
        </w:rPr>
        <w:tab/>
      </w:r>
      <w:r>
        <w:rPr>
          <w:rFonts w:ascii="Arial" w:cs="Arial" w:eastAsia="Arial" w:hAnsi="Arial"/>
          <w:sz w:val="18"/>
          <w:szCs w:val="18"/>
          <w:u w:val="single" w:color="auto"/>
          <w:color w:val="7A04DD"/>
        </w:rPr>
        <w:t>Blackbaud's Investor Relations Webpage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About Blackbaud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 xml:space="preserve">Blackbaud (NASDAQ: BLKB) is the world's leading provider of AI-powered solutions for social impact. Serving nonprofits, educational institutions, companies committed to corporate social responsibility and individual change makers, Blackbaud propels impact at scale with the sector’s most intelligent solutions for fundraising and engagement, education solutions, financial management and CSR and grantmaking. With the deepest expertise powered by the world’s largest philanthropic data set, the most connected workflows, and the most powerful impact network, Blackbaud's solutions are building a future where resources are unleashed at the speed of need. Blackbaud has been recognized by Fast Company, Newsweek, Quartz, Forbes and more for AI innovation, responsible leadership and workplace excellence. Blackbaud has operations in the United States, Australia, Canada, Costa Rica, India and the United Kingdom, supporting users in 100+ countries. Learn more at </w:t>
      </w:r>
      <w:r>
        <w:rPr>
          <w:rFonts w:ascii="Arial" w:cs="Arial" w:eastAsia="Arial" w:hAnsi="Arial"/>
          <w:sz w:val="18"/>
          <w:szCs w:val="18"/>
          <w:u w:val="single" w:color="auto"/>
          <w:color w:val="7A04DD"/>
        </w:rPr>
        <w:t>www.blackbaud.com</w:t>
      </w:r>
      <w:r>
        <w:rPr>
          <w:rFonts w:ascii="Arial" w:cs="Arial" w:eastAsia="Arial" w:hAnsi="Arial"/>
          <w:sz w:val="18"/>
          <w:szCs w:val="18"/>
          <w:color w:val="51555C"/>
        </w:rPr>
        <w:t xml:space="preserve">, or follow us on </w:t>
      </w:r>
      <w:r>
        <w:rPr>
          <w:rFonts w:ascii="Arial" w:cs="Arial" w:eastAsia="Arial" w:hAnsi="Arial"/>
          <w:sz w:val="18"/>
          <w:szCs w:val="18"/>
          <w:u w:val="single" w:color="auto"/>
          <w:color w:val="7A04DD"/>
        </w:rPr>
        <w:t>X/Twitter</w:t>
      </w:r>
      <w:r>
        <w:rPr>
          <w:rFonts w:ascii="Arial" w:cs="Arial" w:eastAsia="Arial" w:hAnsi="Arial"/>
          <w:sz w:val="18"/>
          <w:szCs w:val="18"/>
          <w:color w:val="51555C"/>
        </w:rPr>
        <w:t xml:space="preserve">, </w:t>
      </w:r>
      <w:r>
        <w:rPr>
          <w:rFonts w:ascii="Arial" w:cs="Arial" w:eastAsia="Arial" w:hAnsi="Arial"/>
          <w:sz w:val="18"/>
          <w:szCs w:val="18"/>
          <w:u w:val="single" w:color="auto"/>
          <w:color w:val="7A04DD"/>
        </w:rPr>
        <w:t>LinkedIn</w:t>
      </w:r>
      <w:r>
        <w:rPr>
          <w:rFonts w:ascii="Arial" w:cs="Arial" w:eastAsia="Arial" w:hAnsi="Arial"/>
          <w:sz w:val="18"/>
          <w:szCs w:val="18"/>
          <w:color w:val="51555C"/>
        </w:rPr>
        <w:t xml:space="preserve">, </w:t>
      </w:r>
      <w:r>
        <w:rPr>
          <w:rFonts w:ascii="Arial" w:cs="Arial" w:eastAsia="Arial" w:hAnsi="Arial"/>
          <w:sz w:val="18"/>
          <w:szCs w:val="18"/>
          <w:u w:val="single" w:color="auto"/>
          <w:color w:val="7A04DD"/>
        </w:rPr>
        <w:t>Instagram</w:t>
      </w:r>
      <w:r>
        <w:rPr>
          <w:rFonts w:ascii="Arial" w:cs="Arial" w:eastAsia="Arial" w:hAnsi="Arial"/>
          <w:sz w:val="18"/>
          <w:szCs w:val="18"/>
          <w:color w:val="51555C"/>
        </w:rPr>
        <w:t xml:space="preserve">, and </w:t>
      </w:r>
      <w:r>
        <w:rPr>
          <w:rFonts w:ascii="Arial" w:cs="Arial" w:eastAsia="Arial" w:hAnsi="Arial"/>
          <w:sz w:val="18"/>
          <w:szCs w:val="18"/>
          <w:u w:val="single" w:color="auto"/>
          <w:color w:val="7A04DD"/>
        </w:rPr>
        <w:t>Facebook</w:t>
      </w:r>
      <w:r>
        <w:rPr>
          <w:rFonts w:ascii="Arial" w:cs="Arial" w:eastAsia="Arial" w:hAnsi="Arial"/>
          <w:sz w:val="18"/>
          <w:szCs w:val="18"/>
          <w:color w:val="373C3F"/>
        </w:rPr>
        <w: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Investor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7A04DD"/>
        </w:rPr>
        <w:t>IR@blackbaud.com</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Media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7A04DD"/>
        </w:rPr>
        <w:t>media@blackbaud.com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5702935</wp:posOffset>
            </wp:positionH>
            <wp:positionV relativeFrom="page">
              <wp:posOffset>534670</wp:posOffset>
            </wp:positionV>
            <wp:extent cx="1628775"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89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9"/>
          <w:szCs w:val="29"/>
          <w:b w:val="1"/>
          <w:bCs w:val="1"/>
          <w:color w:val="006880"/>
        </w:rPr>
        <w:t>PRESS RELEASE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Forward-Looking Statements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 xml:space="preserve">Except for historical information, all of the statements, expectations, and assumptions contained in this news release are forward-looking statements which are subject to the safe harbor provisions of the Private Securities Litigation Reform Act of 1995, including, but not limited to, statements regarding the predictability of our financial condition and results of operations. These statements involve a number of risks and uncertainties. Although Blackbaud attempts to be accurate in making these forward-looking statements, it is possible that future circumstances might differ from the assumptions on which such statements are based. In addition, other important factors that could cause results to differ materially include the following: management of integration of acquired companies; uncertainty regarding increased business and renewals from existing customers; a shifting revenue mix that may impact gross margin; continued success in sales growth; risks related to the development, deployment, regulation, security, market adoption and perception of artificial intelligence technologies; cybersecurity and data protection risks and related liabilities; potential litigation involving us; and the other risk factors set forth from time to time in the SEC filings for Blackbaud, copies of which are available free of charge at the SEC’s website at </w:t>
      </w:r>
      <w:r>
        <w:rPr>
          <w:rFonts w:ascii="Arial" w:cs="Arial" w:eastAsia="Arial" w:hAnsi="Arial"/>
          <w:sz w:val="18"/>
          <w:szCs w:val="18"/>
          <w:u w:val="single" w:color="auto"/>
          <w:color w:val="7A04DD"/>
        </w:rPr>
        <w:t>www.sec.gov</w:t>
      </w:r>
      <w:r>
        <w:rPr>
          <w:rFonts w:ascii="Arial" w:cs="Arial" w:eastAsia="Arial" w:hAnsi="Arial"/>
          <w:sz w:val="18"/>
          <w:szCs w:val="18"/>
          <w:color w:val="51555C"/>
        </w:rPr>
        <w:t xml:space="preserve"> or upon request from Blackbaud's investor relations department. Blackbaud assumes no obligation and does not intend to update these forward-looking statements, except as required by law.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Trademarks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All Blackbaud product names appearing herein are trademarks or registered trademarks of Blackbaud,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Non-GAAP Financial Measures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51555C"/>
        </w:rPr>
        <w:t>Blackbaud has provided in this release financial information that has not been prepared in accordance with GAAP. Blackbaud uses non-GAAP financial measures internally in analyzing its operational performance. Accordingly, Blackbaud believes these non-GAAP measures are useful to investors, as a supplement to GAAP measures, in evaluating its ongoing operational performance and trends and in comparing its financial results from period-to-period with other companies in Blackbaud's industry, many of which present similar non-GAAP financial measures to investors. However, these non-GAAP financial measures may not be completely comparable to similarly titled measures of other companies due to potential differences in the exact method of calculation between companies.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The non-GAAP financial measures discussed above exclude the impact of certain transactions that Blackbaud believes are not directly related to its operating performance in any particular period, but are for its long-term benefit over multiple periods. Blackbaud believes these non-GAAP financial measures reflect its ongoing business in a manner that allows for meaningful period-to-period comparisons and analysis of trends in its business.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51555C"/>
        </w:rPr>
        <w:t>While Blackbaud believes these non-GAAP measures provide useful supplemental information, non-GAAP financial measures should not be considered in isolation from, or as a substitute for, financial information prepared in accordance with GAAP. Investors are encouraged to review the reconciliations of these non-GAAP measures to their most directly comparable GAAP financial measures.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Non-GAAP free cash flow is defined as operating cash flow less capital expenditures, including costs required to be capitalized for software development, and capital expenditures for property and equipment. Blackbaud believes non-GAAP free cash flow provides a useful measure of the company's operating performance. Non-GAAP free cash flow is not intended to represent and should not be viewed as the amount of residual cash flow available for discretionary expenditures.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5702935</wp:posOffset>
            </wp:positionH>
            <wp:positionV relativeFrom="page">
              <wp:posOffset>534670</wp:posOffset>
            </wp:positionV>
            <wp:extent cx="162877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48920"/>
                    </a:xfrm>
                    <a:prstGeom prst="rect">
                      <a:avLst/>
                    </a:prstGeom>
                    <a:noFill/>
                  </pic:spPr>
                </pic:pic>
              </a:graphicData>
            </a:graphic>
          </wp:anchor>
        </w:drawing>
      </w:r>
    </w:p>
    <w:p>
      <w:pPr>
        <w:ind w:left="140"/>
        <w:spacing w:after="0"/>
        <w:rPr>
          <w:sz w:val="20"/>
          <w:szCs w:val="20"/>
          <w:color w:val="auto"/>
        </w:rPr>
      </w:pPr>
      <w:r>
        <w:rPr>
          <w:rFonts w:ascii="Arial" w:cs="Arial" w:eastAsia="Arial" w:hAnsi="Arial"/>
          <w:sz w:val="29"/>
          <w:szCs w:val="29"/>
          <w:b w:val="1"/>
          <w:bCs w:val="1"/>
          <w:color w:val="006880"/>
        </w:rPr>
        <w:t>PRESS RELEASE</w:t>
      </w:r>
    </w:p>
    <w:p>
      <w:pPr>
        <w:spacing w:after="0" w:line="200" w:lineRule="exact"/>
        <w:rPr>
          <w:sz w:val="20"/>
          <w:szCs w:val="20"/>
          <w:color w:val="auto"/>
        </w:rPr>
      </w:pPr>
    </w:p>
    <w:p>
      <w:pPr>
        <w:spacing w:after="0" w:line="3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In addition, Blackbaud uses non-GAAP organic revenue growth, non-GAAP organic revenue growth on a constant currency basis, non-GAAP organic recurring revenue growth and non-GAAP organic recurring revenue growth on a constant currency basis, in analyzing its operating performance. Blackbaud believes that these non-GAAP measures are useful to investors, as a supplement to GAAP measures, for evaluating the periodic growth of its business on a consistent basis. Each of these measures excludes incremental acquisition-related revenue attributable to companies, if any, acquired in the current fiscal year. For companies acquired in the immediately preceding fiscal year, each of these measures reflects presentation of full-year incremental non-GAAP revenue derived from such companies as if they were combined throughout the prior period. In addition, each of these measures excludes prior period revenue associated with divested businesses, if any. The exclusion of the prior period revenue is to present the results of the divested businesses within the results of the combined company for the same period of time in both the prior and current periods. Blackbaud believes this presentation provides a more comparable representation of its current business’ organic revenue growth and revenue run-rate.</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51555C"/>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expense; Global Capabilities Center ("GCC") workforce transition costs; acquisition and disposition-related costs; and Security Incident-related costs.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5</w:t>
      </w:r>
    </w:p>
    <w:p>
      <w:pPr>
        <w:sectPr>
          <w:pgSz w:w="11900" w:h="16838" w:orient="portrait"/>
          <w:cols w:equalWidth="0" w:num="1">
            <w:col w:w="11240"/>
          </w:cols>
          <w:pgMar w:left="320" w:top="144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138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December 31, 2025</w:t>
            </w:r>
          </w:p>
        </w:tc>
        <w:tc>
          <w:tcPr>
            <w:tcW w:w="0" w:type="dxa"/>
            <w:vAlign w:val="bottom"/>
          </w:tcPr>
          <w:p>
            <w:pPr>
              <w:spacing w:after="0"/>
              <w:rPr>
                <w:sz w:val="1"/>
                <w:szCs w:val="1"/>
                <w:color w:val="auto"/>
              </w:rPr>
            </w:pPr>
          </w:p>
        </w:tc>
      </w:tr>
      <w:tr>
        <w:trPr>
          <w:trHeight w:val="198"/>
        </w:trPr>
        <w:tc>
          <w:tcPr>
            <w:tcW w:w="8480" w:type="dxa"/>
            <w:vAlign w:val="bottom"/>
            <w:vMerge w:val="continue"/>
            <w:shd w:val="clear" w:color="auto" w:fill="004054"/>
          </w:tcPr>
          <w:p>
            <w:pPr>
              <w:spacing w:after="0"/>
              <w:rPr>
                <w:sz w:val="17"/>
                <w:szCs w:val="17"/>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1380" w:type="dxa"/>
            <w:vAlign w:val="bottom"/>
            <w:vMerge w:val="continue"/>
            <w:shd w:val="clear" w:color="auto" w:fill="004054"/>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b w:val="1"/>
          <w:bCs w:val="1"/>
          <w:color w:val="51555C"/>
        </w:rPr>
        <w:t>Assets</w:t>
      </w:r>
    </w:p>
    <w:p>
      <w:pPr>
        <w:sectPr>
          <w:pgSz w:w="11900" w:h="16838" w:orient="portrait"/>
          <w:cols w:equalWidth="0" w:num="1">
            <w:col w:w="11220"/>
          </w:cols>
          <w:pgMar w:left="320" w:top="121" w:right="359" w:bottom="1440" w:gutter="0" w:footer="0" w:header="0"/>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Current assets: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Restricted cash</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Accounts receivable, net of allowance of $5,924 and $5,876 at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Customer funds receivable</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51555C"/>
        </w:rPr>
        <w:t>Total current assets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Software development costs, net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Intangible assets, net</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51555C"/>
        </w:rPr>
        <w:t>Total assets</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5"/>
          <w:szCs w:val="15"/>
          <w:b w:val="1"/>
          <w:bCs w:val="1"/>
          <w:color w:val="51555C"/>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0628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Current liabilities:</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Accrued expenses and other current liabilities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6285" cy="128270"/>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Debt, current portion</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Deferred revenue,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51555C"/>
        </w:rPr>
        <w:t>Total current liabilities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Debt,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Deferred tax liability</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Other liabilities</w:t>
      </w:r>
    </w:p>
    <w:p>
      <w:pPr>
        <w:spacing w:after="0" w:line="28" w:lineRule="exact"/>
        <w:rPr>
          <w:sz w:val="20"/>
          <w:szCs w:val="20"/>
          <w:color w:val="auto"/>
        </w:rPr>
      </w:pPr>
    </w:p>
    <w:p>
      <w:pPr>
        <w:ind w:left="1120"/>
        <w:spacing w:after="0"/>
        <w:rPr>
          <w:sz w:val="20"/>
          <w:szCs w:val="20"/>
          <w:color w:val="auto"/>
        </w:rPr>
      </w:pPr>
      <w:r>
        <w:rPr>
          <w:rFonts w:ascii="Arial" w:cs="Arial" w:eastAsia="Arial" w:hAnsi="Arial"/>
          <w:sz w:val="15"/>
          <w:szCs w:val="15"/>
          <w:b w:val="1"/>
          <w:bCs w:val="1"/>
          <w:color w:val="51555C"/>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062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Commitments and contingencies</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5"/>
          <w:szCs w:val="15"/>
          <w:color w:val="51555C"/>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Preferred stock; 20,000,000 shares authorized, none outstanding</w:t>
      </w:r>
    </w:p>
    <w:p>
      <w:pPr>
        <w:spacing w:after="0" w:line="30" w:lineRule="exact"/>
        <w:rPr>
          <w:sz w:val="20"/>
          <w:szCs w:val="20"/>
          <w:color w:val="auto"/>
        </w:rPr>
      </w:pPr>
    </w:p>
    <w:p>
      <w:pPr>
        <w:ind w:left="560" w:right="80"/>
        <w:spacing w:after="0" w:line="225" w:lineRule="auto"/>
        <w:rPr>
          <w:sz w:val="20"/>
          <w:szCs w:val="20"/>
          <w:color w:val="auto"/>
        </w:rPr>
      </w:pPr>
      <w:r>
        <w:rPr>
          <w:rFonts w:ascii="Arial" w:cs="Arial" w:eastAsia="Arial" w:hAnsi="Arial"/>
          <w:sz w:val="15"/>
          <w:szCs w:val="15"/>
          <w:color w:val="51555C"/>
        </w:rPr>
        <w:t>Common stock, $0.001 par value; 180,000,000 shares authorized, 74,015,631 and 72,312,354 shares issued at March 31, 2026 and December 31, 2025, respectively; 46,297,968 and 46,705,325 shares outstanding at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06285"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6285" cy="32575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5"/>
          <w:szCs w:val="15"/>
          <w:color w:val="51555C"/>
        </w:rPr>
        <w:t>2026 and December 31, 2025, respectively</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Additional paid-in capital</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Treasury stock, at cost; 27,717,663 and 25,607,029 shares at March 31, 2026 and December 31,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Accumulated other comprehensive loss</w:t>
      </w:r>
    </w:p>
    <w:p>
      <w:pPr>
        <w:spacing w:after="0" w:line="30" w:lineRule="exact"/>
        <w:rPr>
          <w:sz w:val="20"/>
          <w:szCs w:val="20"/>
          <w:color w:val="auto"/>
        </w:rPr>
      </w:pPr>
    </w:p>
    <w:p>
      <w:pPr>
        <w:ind w:left="560"/>
        <w:spacing w:after="0"/>
        <w:rPr>
          <w:sz w:val="20"/>
          <w:szCs w:val="20"/>
          <w:color w:val="auto"/>
        </w:rPr>
      </w:pPr>
      <w:r>
        <w:rPr>
          <w:rFonts w:ascii="Arial" w:cs="Arial" w:eastAsia="Arial" w:hAnsi="Arial"/>
          <w:sz w:val="15"/>
          <w:szCs w:val="15"/>
          <w:color w:val="51555C"/>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0628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Pr>
          <w:p>
            <w:pPr>
              <w:jc w:val="right"/>
              <w:spacing w:after="0"/>
              <w:rPr>
                <w:sz w:val="20"/>
                <w:szCs w:val="20"/>
                <w:color w:val="auto"/>
              </w:rPr>
            </w:pPr>
            <w:r>
              <w:rPr>
                <w:rFonts w:ascii="Arial" w:cs="Arial" w:eastAsia="Arial" w:hAnsi="Arial"/>
                <w:sz w:val="15"/>
                <w:szCs w:val="15"/>
                <w:color w:val="51555C"/>
              </w:rPr>
              <w:t>34,096</w:t>
            </w:r>
          </w:p>
        </w:tc>
        <w:tc>
          <w:tcPr>
            <w:tcW w:w="380" w:type="dxa"/>
            <w:vAlign w:val="bottom"/>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38,914</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418,671</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720,061</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75,691</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80,517</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7,605</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1,308</w:t>
            </w:r>
          </w:p>
        </w:tc>
      </w:tr>
      <w:tr>
        <w:trPr>
          <w:trHeight w:val="205"/>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106,158</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89,290</w:t>
            </w:r>
          </w:p>
        </w:tc>
      </w:tr>
      <w:tr>
        <w:trPr>
          <w:trHeight w:val="195"/>
        </w:trPr>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642,221</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930,090</w:t>
            </w:r>
          </w:p>
        </w:tc>
      </w:tr>
      <w:tr>
        <w:trPr>
          <w:trHeight w:val="200"/>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85,053</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85,076</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156,628</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155,842</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1,055,777</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1,056,815</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99,279</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106,654</w:t>
            </w:r>
          </w:p>
        </w:tc>
      </w:tr>
      <w:tr>
        <w:trPr>
          <w:trHeight w:val="205"/>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70,340</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56,205</w:t>
            </w:r>
          </w:p>
        </w:tc>
      </w:tr>
      <w:tr>
        <w:trPr>
          <w:trHeight w:val="198"/>
        </w:trPr>
        <w:tc>
          <w:tcPr>
            <w:tcW w:w="36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2,109,298</w:t>
            </w:r>
          </w:p>
        </w:tc>
        <w:tc>
          <w:tcPr>
            <w:tcW w:w="38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2,390,682</w:t>
            </w:r>
          </w:p>
        </w:tc>
      </w:tr>
      <w:tr>
        <w:trPr>
          <w:trHeight w:val="583"/>
        </w:trPr>
        <w:tc>
          <w:tcPr>
            <w:tcW w:w="360" w:type="dxa"/>
            <w:vAlign w:val="bottom"/>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Pr>
          <w:p>
            <w:pPr>
              <w:jc w:val="right"/>
              <w:spacing w:after="0"/>
              <w:rPr>
                <w:sz w:val="20"/>
                <w:szCs w:val="20"/>
                <w:color w:val="auto"/>
              </w:rPr>
            </w:pPr>
            <w:r>
              <w:rPr>
                <w:rFonts w:ascii="Arial" w:cs="Arial" w:eastAsia="Arial" w:hAnsi="Arial"/>
                <w:sz w:val="15"/>
                <w:szCs w:val="15"/>
                <w:color w:val="51555C"/>
              </w:rPr>
              <w:t>46,884</w:t>
            </w:r>
          </w:p>
        </w:tc>
        <w:tc>
          <w:tcPr>
            <w:tcW w:w="380" w:type="dxa"/>
            <w:vAlign w:val="bottom"/>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27,344</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37,515</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43,272</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425,124</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719,833</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23,160</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22,660</w:t>
            </w:r>
          </w:p>
        </w:tc>
      </w:tr>
      <w:tr>
        <w:trPr>
          <w:trHeight w:val="205"/>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333,996</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368,986</w:t>
            </w:r>
          </w:p>
        </w:tc>
      </w:tr>
      <w:tr>
        <w:trPr>
          <w:trHeight w:val="195"/>
        </w:trPr>
        <w:tc>
          <w:tcPr>
            <w:tcW w:w="3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866,679</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1,182,095</w:t>
            </w:r>
          </w:p>
        </w:tc>
      </w:tr>
      <w:tr>
        <w:trPr>
          <w:trHeight w:val="200"/>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1,163,182</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1,087,037</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27,333</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21,981</w:t>
            </w:r>
          </w:p>
        </w:tc>
      </w:tr>
      <w:tr>
        <w:trPr>
          <w:trHeight w:val="203"/>
        </w:trPr>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6,054</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2,778</w:t>
            </w:r>
          </w:p>
        </w:tc>
      </w:tr>
      <w:tr>
        <w:trPr>
          <w:trHeight w:val="205"/>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11,496</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11,737</w:t>
            </w:r>
          </w:p>
        </w:tc>
      </w:tr>
      <w:tr>
        <w:trPr>
          <w:trHeight w:val="198"/>
        </w:trPr>
        <w:tc>
          <w:tcPr>
            <w:tcW w:w="36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2,074,744</w:t>
            </w:r>
          </w:p>
        </w:tc>
        <w:tc>
          <w:tcPr>
            <w:tcW w:w="38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2,305,628</w:t>
            </w:r>
          </w:p>
        </w:tc>
      </w:tr>
      <w:tr>
        <w:trPr>
          <w:trHeight w:val="583"/>
        </w:trPr>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w:t>
            </w:r>
          </w:p>
        </w:tc>
      </w:tr>
    </w:tbl>
    <w:p>
      <w:pPr>
        <w:spacing w:after="0" w:line="313" w:lineRule="exact"/>
        <w:rPr>
          <w:sz w:val="20"/>
          <w:szCs w:val="20"/>
          <w:color w:val="auto"/>
        </w:rPr>
      </w:pPr>
    </w:p>
    <w:p>
      <w:pPr>
        <w:ind w:left="2480" w:hanging="1363"/>
        <w:spacing w:after="0"/>
        <w:tabs>
          <w:tab w:leader="none" w:pos="2480" w:val="left"/>
        </w:tabs>
        <w:numPr>
          <w:ilvl w:val="0"/>
          <w:numId w:val="6"/>
        </w:numPr>
        <w:rPr>
          <w:rFonts w:ascii="Arial" w:cs="Arial" w:eastAsia="Arial" w:hAnsi="Arial"/>
          <w:sz w:val="15"/>
          <w:szCs w:val="15"/>
          <w:color w:val="51555C"/>
        </w:rPr>
      </w:pPr>
      <w:r>
        <w:rPr>
          <w:rFonts w:ascii="Arial" w:cs="Arial" w:eastAsia="Arial" w:hAnsi="Arial"/>
          <w:sz w:val="15"/>
          <w:szCs w:val="15"/>
          <w:color w:val="51555C"/>
        </w:rPr>
        <w:t>72</w:t>
      </w:r>
    </w:p>
    <w:p>
      <w:pPr>
        <w:spacing w:after="0" w:line="30" w:lineRule="exact"/>
        <w:rPr>
          <w:rFonts w:ascii="Arial" w:cs="Arial" w:eastAsia="Arial" w:hAnsi="Arial"/>
          <w:sz w:val="15"/>
          <w:szCs w:val="15"/>
          <w:color w:val="51555C"/>
        </w:rPr>
      </w:pPr>
    </w:p>
    <w:p>
      <w:pPr>
        <w:ind w:left="600"/>
        <w:spacing w:after="0"/>
        <w:rPr>
          <w:rFonts w:ascii="Arial" w:cs="Arial" w:eastAsia="Arial" w:hAnsi="Arial"/>
          <w:sz w:val="15"/>
          <w:szCs w:val="15"/>
          <w:color w:val="51555C"/>
        </w:rPr>
      </w:pPr>
      <w:r>
        <w:rPr>
          <w:rFonts w:ascii="Arial" w:cs="Arial" w:eastAsia="Arial" w:hAnsi="Arial"/>
          <w:sz w:val="15"/>
          <w:szCs w:val="15"/>
          <w:color w:val="51555C"/>
        </w:rPr>
        <w:t>1,415,5211,391,641</w:t>
      </w:r>
    </w:p>
    <w:p>
      <w:pPr>
        <w:spacing w:after="0" w:line="30" w:lineRule="exact"/>
        <w:rPr>
          <w:sz w:val="20"/>
          <w:szCs w:val="20"/>
          <w:color w:val="auto"/>
        </w:rPr>
      </w:pPr>
    </w:p>
    <w:p>
      <w:pPr>
        <w:ind w:left="540"/>
        <w:spacing w:after="0"/>
        <w:tabs>
          <w:tab w:leader="none" w:pos="1900" w:val="left"/>
        </w:tabs>
        <w:rPr>
          <w:sz w:val="20"/>
          <w:szCs w:val="20"/>
          <w:color w:val="auto"/>
        </w:rPr>
      </w:pPr>
      <w:r>
        <w:rPr>
          <w:rFonts w:ascii="Arial" w:cs="Arial" w:eastAsia="Arial" w:hAnsi="Arial"/>
          <w:sz w:val="15"/>
          <w:szCs w:val="15"/>
          <w:color w:val="51555C"/>
        </w:rPr>
        <w:t>(1,423,843)</w:t>
      </w:r>
      <w:r>
        <w:rPr>
          <w:sz w:val="20"/>
          <w:szCs w:val="20"/>
          <w:color w:val="auto"/>
        </w:rPr>
        <w:tab/>
      </w:r>
      <w:r>
        <w:rPr>
          <w:rFonts w:ascii="Arial" w:cs="Arial" w:eastAsia="Arial" w:hAnsi="Arial"/>
          <w:sz w:val="15"/>
          <w:szCs w:val="15"/>
          <w:color w:val="51555C"/>
        </w:rPr>
        <w:t>(1,316,224)</w:t>
      </w:r>
    </w:p>
    <w:p>
      <w:pPr>
        <w:spacing w:after="0" w:line="30" w:lineRule="exact"/>
        <w:rPr>
          <w:sz w:val="20"/>
          <w:szCs w:val="20"/>
          <w:color w:val="auto"/>
        </w:rPr>
      </w:pPr>
    </w:p>
    <w:p>
      <w:pPr>
        <w:ind w:left="840"/>
        <w:spacing w:after="0"/>
        <w:tabs>
          <w:tab w:leader="none" w:pos="2180" w:val="left"/>
        </w:tabs>
        <w:rPr>
          <w:sz w:val="20"/>
          <w:szCs w:val="20"/>
          <w:color w:val="auto"/>
        </w:rPr>
      </w:pPr>
      <w:r>
        <w:rPr>
          <w:rFonts w:ascii="Arial" w:cs="Arial" w:eastAsia="Arial" w:hAnsi="Arial"/>
          <w:sz w:val="15"/>
          <w:szCs w:val="15"/>
          <w:color w:val="51555C"/>
        </w:rPr>
        <w:t>(3,850)</w:t>
      </w:r>
      <w:r>
        <w:rPr>
          <w:sz w:val="20"/>
          <w:szCs w:val="20"/>
          <w:color w:val="auto"/>
        </w:rPr>
        <w:tab/>
      </w:r>
      <w:r>
        <w:rPr>
          <w:rFonts w:ascii="Arial" w:cs="Arial" w:eastAsia="Arial" w:hAnsi="Arial"/>
          <w:sz w:val="15"/>
          <w:szCs w:val="15"/>
          <w:color w:val="51555C"/>
        </w:rPr>
        <w:t>(5,948)</w:t>
      </w:r>
    </w:p>
    <w:p>
      <w:pPr>
        <w:spacing w:after="0" w:line="30" w:lineRule="exact"/>
        <w:rPr>
          <w:sz w:val="20"/>
          <w:szCs w:val="20"/>
          <w:color w:val="auto"/>
        </w:rPr>
      </w:pPr>
    </w:p>
    <w:p>
      <w:pPr>
        <w:ind w:left="820"/>
        <w:spacing w:after="0"/>
        <w:tabs>
          <w:tab w:leader="none" w:pos="2160" w:val="left"/>
        </w:tabs>
        <w:rPr>
          <w:sz w:val="20"/>
          <w:szCs w:val="20"/>
          <w:color w:val="auto"/>
        </w:rPr>
      </w:pPr>
      <w:r>
        <w:rPr>
          <w:rFonts w:ascii="Arial" w:cs="Arial" w:eastAsia="Arial" w:hAnsi="Arial"/>
          <w:sz w:val="15"/>
          <w:szCs w:val="15"/>
          <w:color w:val="51555C"/>
        </w:rPr>
        <w:t>46,652</w:t>
      </w:r>
      <w:r>
        <w:rPr>
          <w:sz w:val="20"/>
          <w:szCs w:val="20"/>
          <w:color w:val="auto"/>
        </w:rPr>
        <w:tab/>
      </w:r>
      <w:r>
        <w:rPr>
          <w:rFonts w:ascii="Arial" w:cs="Arial" w:eastAsia="Arial" w:hAnsi="Arial"/>
          <w:sz w:val="15"/>
          <w:szCs w:val="15"/>
          <w:color w:val="51555C"/>
        </w:rPr>
        <w:t>15,513</w:t>
      </w:r>
    </w:p>
    <w:p>
      <w:pPr>
        <w:spacing w:after="0" w:line="28" w:lineRule="exact"/>
        <w:rPr>
          <w:sz w:val="20"/>
          <w:szCs w:val="20"/>
          <w:color w:val="auto"/>
        </w:rPr>
      </w:pPr>
    </w:p>
    <w:p>
      <w:pPr>
        <w:sectPr>
          <w:pgSz w:w="11900" w:h="16838" w:orient="portrait"/>
          <w:cols w:equalWidth="0" w:num="2">
            <w:col w:w="8460" w:space="20"/>
            <w:col w:w="274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8480" w:type="dxa"/>
            <w:vAlign w:val="bottom"/>
            <w:tcBorders>
              <w:bottom w:val="single" w:sz="8" w:color="EBFBFF"/>
            </w:tcBorders>
          </w:tcPr>
          <w:p>
            <w:pPr>
              <w:ind w:left="1120"/>
              <w:spacing w:after="0"/>
              <w:rPr>
                <w:sz w:val="20"/>
                <w:szCs w:val="20"/>
                <w:color w:val="auto"/>
              </w:rPr>
            </w:pPr>
            <w:r>
              <w:rPr>
                <w:rFonts w:ascii="Arial" w:cs="Arial" w:eastAsia="Arial" w:hAnsi="Arial"/>
                <w:sz w:val="15"/>
                <w:szCs w:val="15"/>
                <w:b w:val="1"/>
                <w:bCs w:val="1"/>
                <w:color w:val="51555C"/>
              </w:rPr>
              <w:t>Total stockholders’ equity</w:t>
            </w:r>
          </w:p>
        </w:tc>
        <w:tc>
          <w:tcPr>
            <w:tcW w:w="360" w:type="dxa"/>
            <w:vAlign w:val="bottom"/>
            <w:tcBorders>
              <w:top w:val="single" w:sz="8" w:color="51555C"/>
              <w:bottom w:val="single" w:sz="8" w:color="51555C"/>
            </w:tcBorders>
          </w:tcPr>
          <w:p>
            <w:pPr>
              <w:spacing w:after="0"/>
              <w:rPr>
                <w:sz w:val="17"/>
                <w:szCs w:val="17"/>
                <w:color w:val="auto"/>
              </w:rPr>
            </w:pPr>
          </w:p>
        </w:tc>
        <w:tc>
          <w:tcPr>
            <w:tcW w:w="98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5"/>
                <w:szCs w:val="15"/>
                <w:color w:val="51555C"/>
              </w:rPr>
              <w:t>34,554</w:t>
            </w:r>
          </w:p>
        </w:tc>
        <w:tc>
          <w:tcPr>
            <w:tcW w:w="380" w:type="dxa"/>
            <w:vAlign w:val="bottom"/>
            <w:tcBorders>
              <w:top w:val="single" w:sz="8" w:color="51555C"/>
              <w:bottom w:val="single" w:sz="8" w:color="51555C"/>
            </w:tcBorders>
          </w:tcPr>
          <w:p>
            <w:pPr>
              <w:spacing w:after="0"/>
              <w:rPr>
                <w:sz w:val="17"/>
                <w:szCs w:val="17"/>
                <w:color w:val="auto"/>
              </w:rPr>
            </w:pPr>
          </w:p>
        </w:tc>
        <w:tc>
          <w:tcPr>
            <w:tcW w:w="1000" w:type="dxa"/>
            <w:vAlign w:val="bottom"/>
            <w:tcBorders>
              <w:top w:val="single" w:sz="8" w:color="51555C"/>
              <w:bottom w:val="single" w:sz="8" w:color="51555C"/>
            </w:tcBorders>
          </w:tcPr>
          <w:p>
            <w:pPr>
              <w:jc w:val="right"/>
              <w:spacing w:after="0"/>
              <w:rPr>
                <w:sz w:val="20"/>
                <w:szCs w:val="20"/>
                <w:color w:val="auto"/>
              </w:rPr>
            </w:pPr>
            <w:r>
              <w:rPr>
                <w:rFonts w:ascii="Arial" w:cs="Arial" w:eastAsia="Arial" w:hAnsi="Arial"/>
                <w:sz w:val="15"/>
                <w:szCs w:val="15"/>
                <w:color w:val="51555C"/>
              </w:rPr>
              <w:t>85,054</w:t>
            </w:r>
          </w:p>
        </w:tc>
      </w:tr>
      <w:tr>
        <w:trPr>
          <w:trHeight w:val="195"/>
        </w:trPr>
        <w:tc>
          <w:tcPr>
            <w:tcW w:w="8480" w:type="dxa"/>
            <w:vAlign w:val="bottom"/>
            <w:tcBorders>
              <w:bottom w:val="single" w:sz="8" w:color="0CD973"/>
            </w:tcBorders>
            <w:shd w:val="clear" w:color="auto" w:fill="EBFBFF"/>
          </w:tcPr>
          <w:p>
            <w:pPr>
              <w:ind w:left="1120"/>
              <w:spacing w:after="0"/>
              <w:rPr>
                <w:sz w:val="20"/>
                <w:szCs w:val="20"/>
                <w:color w:val="auto"/>
              </w:rPr>
            </w:pPr>
            <w:r>
              <w:rPr>
                <w:rFonts w:ascii="Arial" w:cs="Arial" w:eastAsia="Arial" w:hAnsi="Arial"/>
                <w:sz w:val="15"/>
                <w:szCs w:val="15"/>
                <w:b w:val="1"/>
                <w:bCs w:val="1"/>
                <w:color w:val="51555C"/>
              </w:rPr>
              <w:t>Total liabilities and stockholders’ equity</w:t>
            </w:r>
          </w:p>
        </w:tc>
        <w:tc>
          <w:tcPr>
            <w:tcW w:w="360" w:type="dxa"/>
            <w:vAlign w:val="bottom"/>
            <w:tcBorders>
              <w:bottom w:val="single" w:sz="8" w:color="0CD973"/>
            </w:tcBorders>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2,109,298</w:t>
            </w:r>
          </w:p>
        </w:tc>
        <w:tc>
          <w:tcPr>
            <w:tcW w:w="380" w:type="dxa"/>
            <w:vAlign w:val="bottom"/>
            <w:tcBorders>
              <w:bottom w:val="single" w:sz="8" w:color="0CD973"/>
            </w:tcBorders>
            <w:shd w:val="clear" w:color="auto" w:fill="EBFBFF"/>
          </w:tcPr>
          <w:p>
            <w:pPr>
              <w:jc w:val="right"/>
              <w:ind w:right="18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2,390,682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1555C"/>
        </w:rPr>
        <w:t>6</w:t>
      </w:r>
    </w:p>
    <w:p>
      <w:pPr>
        <w:sectPr>
          <w:pgSz w:w="11900" w:h="16838" w:orient="portrait"/>
          <w:cols w:equalWidth="0" w:num="1">
            <w:col w:w="11220"/>
          </w:cols>
          <w:pgMar w:left="320" w:top="121" w:right="35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40" w:type="dxa"/>
            <w:vAlign w:val="bottom"/>
            <w:shd w:val="clear" w:color="auto" w:fill="004054"/>
          </w:tcPr>
          <w:p>
            <w:pPr>
              <w:spacing w:after="0"/>
              <w:rPr>
                <w:sz w:val="15"/>
                <w:szCs w:val="15"/>
                <w:color w:val="auto"/>
              </w:rPr>
            </w:pPr>
          </w:p>
        </w:tc>
        <w:tc>
          <w:tcPr>
            <w:tcW w:w="300" w:type="dxa"/>
            <w:vAlign w:val="bottom"/>
            <w:shd w:val="clear" w:color="auto" w:fill="004054"/>
          </w:tcPr>
          <w:p>
            <w:pPr>
              <w:spacing w:after="0"/>
              <w:rPr>
                <w:sz w:val="15"/>
                <w:szCs w:val="15"/>
                <w:color w:val="auto"/>
              </w:rPr>
            </w:pPr>
          </w:p>
        </w:tc>
        <w:tc>
          <w:tcPr>
            <w:tcW w:w="23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5"/>
                <w:szCs w:val="15"/>
                <w:color w:val="auto"/>
              </w:rPr>
            </w:pPr>
          </w:p>
        </w:tc>
      </w:tr>
      <w:tr>
        <w:trPr>
          <w:trHeight w:val="185"/>
        </w:trPr>
        <w:tc>
          <w:tcPr>
            <w:tcW w:w="864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6"/>
                <w:szCs w:val="16"/>
                <w:color w:val="auto"/>
              </w:rPr>
            </w:pPr>
          </w:p>
        </w:tc>
      </w:tr>
      <w:tr>
        <w:trPr>
          <w:trHeight w:val="378"/>
        </w:trPr>
        <w:tc>
          <w:tcPr>
            <w:tcW w:w="86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00" w:type="dxa"/>
            <w:vAlign w:val="bottom"/>
            <w:shd w:val="clear" w:color="auto" w:fill="004054"/>
          </w:tcPr>
          <w:p>
            <w:pPr>
              <w:spacing w:after="0"/>
              <w:rPr>
                <w:sz w:val="24"/>
                <w:szCs w:val="24"/>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80" w:type="dxa"/>
            <w:vAlign w:val="bottom"/>
            <w:shd w:val="clear" w:color="auto" w:fill="004054"/>
          </w:tcPr>
          <w:p>
            <w:pPr>
              <w:spacing w:after="0"/>
              <w:rPr>
                <w:sz w:val="24"/>
                <w:szCs w:val="24"/>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shd w:val="clear" w:color="auto" w:fill="004054"/>
          </w:tcPr>
          <w:p>
            <w:pPr>
              <w:spacing w:after="0"/>
              <w:rPr>
                <w:sz w:val="24"/>
                <w:szCs w:val="24"/>
                <w:color w:val="auto"/>
              </w:rPr>
            </w:pPr>
          </w:p>
        </w:tc>
      </w:tr>
      <w:tr>
        <w:trPr>
          <w:trHeight w:val="203"/>
        </w:trPr>
        <w:tc>
          <w:tcPr>
            <w:tcW w:w="86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Revenue</w:t>
            </w: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281,140</w:t>
            </w:r>
          </w:p>
        </w:tc>
        <w:tc>
          <w:tcPr>
            <w:tcW w:w="28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269,936</w:t>
            </w:r>
          </w:p>
        </w:tc>
        <w:tc>
          <w:tcPr>
            <w:tcW w:w="20" w:type="dxa"/>
            <w:vAlign w:val="bottom"/>
          </w:tcPr>
          <w:p>
            <w:pPr>
              <w:spacing w:after="0"/>
              <w:rPr>
                <w:sz w:val="17"/>
                <w:szCs w:val="17"/>
                <w:color w:val="auto"/>
              </w:rPr>
            </w:pPr>
          </w:p>
        </w:tc>
      </w:tr>
      <w:tr>
        <w:trPr>
          <w:trHeight w:val="203"/>
        </w:trPr>
        <w:tc>
          <w:tcPr>
            <w:tcW w:w="8640" w:type="dxa"/>
            <w:vAlign w:val="bottom"/>
            <w:tcBorders>
              <w:bottom w:val="single" w:sz="8" w:color="EBFBFF"/>
            </w:tcBorders>
          </w:tcPr>
          <w:p>
            <w:pPr>
              <w:ind w:left="140"/>
              <w:spacing w:after="0"/>
              <w:rPr>
                <w:sz w:val="20"/>
                <w:szCs w:val="20"/>
                <w:color w:val="auto"/>
              </w:rPr>
            </w:pPr>
            <w:r>
              <w:rPr>
                <w:rFonts w:ascii="Arial" w:cs="Arial" w:eastAsia="Arial" w:hAnsi="Arial"/>
                <w:sz w:val="15"/>
                <w:szCs w:val="15"/>
                <w:b w:val="1"/>
                <w:bCs w:val="1"/>
                <w:color w:val="51555C"/>
              </w:rPr>
              <w:t>Cost of revenue</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114,581</w:t>
            </w:r>
          </w:p>
        </w:tc>
        <w:tc>
          <w:tcPr>
            <w:tcW w:w="2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114,815</w:t>
            </w:r>
          </w:p>
        </w:tc>
        <w:tc>
          <w:tcPr>
            <w:tcW w:w="20" w:type="dxa"/>
            <w:vAlign w:val="bottom"/>
          </w:tcPr>
          <w:p>
            <w:pPr>
              <w:spacing w:after="0"/>
              <w:rPr>
                <w:sz w:val="17"/>
                <w:szCs w:val="17"/>
                <w:color w:val="auto"/>
              </w:rPr>
            </w:pPr>
          </w:p>
        </w:tc>
      </w:tr>
      <w:tr>
        <w:trPr>
          <w:trHeight w:val="196"/>
        </w:trPr>
        <w:tc>
          <w:tcPr>
            <w:tcW w:w="86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Gross profit</w:t>
            </w: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166,559</w:t>
            </w:r>
          </w:p>
        </w:tc>
        <w:tc>
          <w:tcPr>
            <w:tcW w:w="28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155,121</w:t>
            </w:r>
          </w:p>
        </w:tc>
        <w:tc>
          <w:tcPr>
            <w:tcW w:w="20" w:type="dxa"/>
            <w:vAlign w:val="bottom"/>
          </w:tcPr>
          <w:p>
            <w:pPr>
              <w:spacing w:after="0"/>
              <w:rPr>
                <w:sz w:val="17"/>
                <w:szCs w:val="17"/>
                <w:color w:val="auto"/>
              </w:rPr>
            </w:pPr>
          </w:p>
        </w:tc>
      </w:tr>
      <w:tr>
        <w:trPr>
          <w:trHeight w:val="183"/>
        </w:trPr>
        <w:tc>
          <w:tcPr>
            <w:tcW w:w="8640" w:type="dxa"/>
            <w:vAlign w:val="bottom"/>
          </w:tcPr>
          <w:p>
            <w:pPr>
              <w:ind w:left="140"/>
              <w:spacing w:after="0"/>
              <w:rPr>
                <w:sz w:val="20"/>
                <w:szCs w:val="20"/>
                <w:color w:val="auto"/>
              </w:rPr>
            </w:pPr>
            <w:r>
              <w:rPr>
                <w:rFonts w:ascii="Arial" w:cs="Arial" w:eastAsia="Arial" w:hAnsi="Arial"/>
                <w:sz w:val="15"/>
                <w:szCs w:val="15"/>
                <w:b w:val="1"/>
                <w:bCs w:val="1"/>
                <w:color w:val="51555C"/>
              </w:rPr>
              <w:t>Operating expenses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86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Sales, marketing and customer success</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47,349</w:t>
            </w:r>
          </w:p>
        </w:tc>
        <w:tc>
          <w:tcPr>
            <w:tcW w:w="2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44,644</w:t>
            </w:r>
          </w:p>
        </w:tc>
        <w:tc>
          <w:tcPr>
            <w:tcW w:w="20" w:type="dxa"/>
            <w:vAlign w:val="bottom"/>
          </w:tcPr>
          <w:p>
            <w:pPr>
              <w:spacing w:after="0"/>
              <w:rPr>
                <w:sz w:val="17"/>
                <w:szCs w:val="17"/>
                <w:color w:val="auto"/>
              </w:rPr>
            </w:pPr>
          </w:p>
        </w:tc>
      </w:tr>
      <w:tr>
        <w:trPr>
          <w:trHeight w:val="201"/>
        </w:trPr>
        <w:tc>
          <w:tcPr>
            <w:tcW w:w="8640" w:type="dxa"/>
            <w:vAlign w:val="bottom"/>
          </w:tcPr>
          <w:p>
            <w:pPr>
              <w:ind w:left="360"/>
              <w:spacing w:after="0"/>
              <w:rPr>
                <w:sz w:val="20"/>
                <w:szCs w:val="20"/>
                <w:color w:val="auto"/>
              </w:rPr>
            </w:pPr>
            <w:r>
              <w:rPr>
                <w:rFonts w:ascii="Arial" w:cs="Arial" w:eastAsia="Arial" w:hAnsi="Arial"/>
                <w:sz w:val="15"/>
                <w:szCs w:val="15"/>
                <w:color w:val="51555C"/>
              </w:rPr>
              <w:t>Research and development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36,916</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51555C"/>
              </w:rPr>
              <w:t>33,559</w:t>
            </w:r>
          </w:p>
        </w:tc>
        <w:tc>
          <w:tcPr>
            <w:tcW w:w="20" w:type="dxa"/>
            <w:vAlign w:val="bottom"/>
          </w:tcPr>
          <w:p>
            <w:pPr>
              <w:spacing w:after="0"/>
              <w:rPr>
                <w:sz w:val="17"/>
                <w:szCs w:val="17"/>
                <w:color w:val="auto"/>
              </w:rPr>
            </w:pPr>
          </w:p>
        </w:tc>
      </w:tr>
      <w:tr>
        <w:trPr>
          <w:trHeight w:val="204"/>
        </w:trPr>
        <w:tc>
          <w:tcPr>
            <w:tcW w:w="86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General and administrative</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30,261</w:t>
            </w:r>
          </w:p>
        </w:tc>
        <w:tc>
          <w:tcPr>
            <w:tcW w:w="2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56,679</w:t>
            </w:r>
          </w:p>
        </w:tc>
        <w:tc>
          <w:tcPr>
            <w:tcW w:w="20" w:type="dxa"/>
            <w:vAlign w:val="bottom"/>
          </w:tcPr>
          <w:p>
            <w:pPr>
              <w:spacing w:after="0"/>
              <w:rPr>
                <w:sz w:val="17"/>
                <w:szCs w:val="17"/>
                <w:color w:val="auto"/>
              </w:rPr>
            </w:pPr>
          </w:p>
        </w:tc>
      </w:tr>
      <w:tr>
        <w:trPr>
          <w:trHeight w:val="201"/>
        </w:trPr>
        <w:tc>
          <w:tcPr>
            <w:tcW w:w="86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Amortization of intangible assets</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588</w:t>
            </w:r>
          </w:p>
        </w:tc>
        <w:tc>
          <w:tcPr>
            <w:tcW w:w="2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534</w:t>
            </w:r>
          </w:p>
        </w:tc>
        <w:tc>
          <w:tcPr>
            <w:tcW w:w="20" w:type="dxa"/>
            <w:vAlign w:val="bottom"/>
          </w:tcPr>
          <w:p>
            <w:pPr>
              <w:spacing w:after="0"/>
              <w:rPr>
                <w:sz w:val="17"/>
                <w:szCs w:val="17"/>
                <w:color w:val="auto"/>
              </w:rPr>
            </w:pPr>
          </w:p>
        </w:tc>
      </w:tr>
      <w:tr>
        <w:trPr>
          <w:trHeight w:val="197"/>
        </w:trPr>
        <w:tc>
          <w:tcPr>
            <w:tcW w:w="8640" w:type="dxa"/>
            <w:vAlign w:val="bottom"/>
            <w:shd w:val="clear" w:color="auto" w:fill="EBFBFF"/>
          </w:tcPr>
          <w:p>
            <w:pPr>
              <w:ind w:left="560"/>
              <w:spacing w:after="0"/>
              <w:rPr>
                <w:sz w:val="20"/>
                <w:szCs w:val="20"/>
                <w:color w:val="auto"/>
              </w:rPr>
            </w:pPr>
            <w:r>
              <w:rPr>
                <w:rFonts w:ascii="Arial" w:cs="Arial" w:eastAsia="Arial" w:hAnsi="Arial"/>
                <w:sz w:val="15"/>
                <w:szCs w:val="15"/>
                <w:b w:val="1"/>
                <w:bCs w:val="1"/>
                <w:color w:val="51555C"/>
              </w:rPr>
              <w:t>Total operating expenses</w:t>
            </w: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115,114</w:t>
            </w:r>
          </w:p>
        </w:tc>
        <w:tc>
          <w:tcPr>
            <w:tcW w:w="28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135,416</w:t>
            </w:r>
          </w:p>
        </w:tc>
        <w:tc>
          <w:tcPr>
            <w:tcW w:w="20" w:type="dxa"/>
            <w:vAlign w:val="bottom"/>
          </w:tcPr>
          <w:p>
            <w:pPr>
              <w:spacing w:after="0"/>
              <w:rPr>
                <w:sz w:val="17"/>
                <w:szCs w:val="17"/>
                <w:color w:val="auto"/>
              </w:rPr>
            </w:pPr>
          </w:p>
        </w:tc>
      </w:tr>
      <w:tr>
        <w:trPr>
          <w:trHeight w:val="195"/>
        </w:trPr>
        <w:tc>
          <w:tcPr>
            <w:tcW w:w="8640" w:type="dxa"/>
            <w:vAlign w:val="bottom"/>
            <w:tcBorders>
              <w:bottom w:val="single" w:sz="8" w:color="EBFBFF"/>
            </w:tcBorders>
          </w:tcPr>
          <w:p>
            <w:pPr>
              <w:ind w:left="140"/>
              <w:spacing w:after="0"/>
              <w:rPr>
                <w:sz w:val="20"/>
                <w:szCs w:val="20"/>
                <w:color w:val="auto"/>
              </w:rPr>
            </w:pPr>
            <w:r>
              <w:rPr>
                <w:rFonts w:ascii="Arial" w:cs="Arial" w:eastAsia="Arial" w:hAnsi="Arial"/>
                <w:sz w:val="15"/>
                <w:szCs w:val="15"/>
                <w:b w:val="1"/>
                <w:bCs w:val="1"/>
                <w:color w:val="51555C"/>
              </w:rPr>
              <w:t>Income from operations</w:t>
            </w:r>
          </w:p>
        </w:tc>
        <w:tc>
          <w:tcPr>
            <w:tcW w:w="300" w:type="dxa"/>
            <w:vAlign w:val="bottom"/>
            <w:tcBorders>
              <w:bottom w:val="single" w:sz="8" w:color="51555C"/>
            </w:tcBorders>
          </w:tcPr>
          <w:p>
            <w:pPr>
              <w:spacing w:after="0"/>
              <w:rPr>
                <w:sz w:val="16"/>
                <w:szCs w:val="16"/>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51,445</w:t>
            </w:r>
          </w:p>
        </w:tc>
        <w:tc>
          <w:tcPr>
            <w:tcW w:w="280" w:type="dxa"/>
            <w:vAlign w:val="bottom"/>
            <w:tcBorders>
              <w:bottom w:val="single" w:sz="8" w:color="51555C"/>
            </w:tcBorders>
          </w:tcPr>
          <w:p>
            <w:pPr>
              <w:spacing w:after="0"/>
              <w:rPr>
                <w:sz w:val="16"/>
                <w:szCs w:val="16"/>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19,705</w:t>
            </w:r>
          </w:p>
        </w:tc>
        <w:tc>
          <w:tcPr>
            <w:tcW w:w="20" w:type="dxa"/>
            <w:vAlign w:val="bottom"/>
          </w:tcPr>
          <w:p>
            <w:pPr>
              <w:spacing w:after="0"/>
              <w:rPr>
                <w:sz w:val="16"/>
                <w:szCs w:val="16"/>
                <w:color w:val="auto"/>
              </w:rPr>
            </w:pPr>
          </w:p>
        </w:tc>
      </w:tr>
      <w:tr>
        <w:trPr>
          <w:trHeight w:val="197"/>
        </w:trPr>
        <w:tc>
          <w:tcPr>
            <w:tcW w:w="86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Interest expense</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(16,036)</w:t>
            </w:r>
          </w:p>
        </w:tc>
        <w:tc>
          <w:tcPr>
            <w:tcW w:w="2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(16,945)</w:t>
            </w:r>
          </w:p>
        </w:tc>
        <w:tc>
          <w:tcPr>
            <w:tcW w:w="20" w:type="dxa"/>
            <w:vAlign w:val="bottom"/>
          </w:tcPr>
          <w:p>
            <w:pPr>
              <w:spacing w:after="0"/>
              <w:rPr>
                <w:sz w:val="17"/>
                <w:szCs w:val="17"/>
                <w:color w:val="auto"/>
              </w:rPr>
            </w:pPr>
          </w:p>
        </w:tc>
      </w:tr>
      <w:tr>
        <w:trPr>
          <w:trHeight w:val="201"/>
        </w:trPr>
        <w:tc>
          <w:tcPr>
            <w:tcW w:w="86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Other income, net</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2,396</w:t>
            </w:r>
          </w:p>
        </w:tc>
        <w:tc>
          <w:tcPr>
            <w:tcW w:w="2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2,105</w:t>
            </w:r>
          </w:p>
        </w:tc>
        <w:tc>
          <w:tcPr>
            <w:tcW w:w="20" w:type="dxa"/>
            <w:vAlign w:val="bottom"/>
          </w:tcPr>
          <w:p>
            <w:pPr>
              <w:spacing w:after="0"/>
              <w:rPr>
                <w:sz w:val="17"/>
                <w:szCs w:val="17"/>
                <w:color w:val="auto"/>
              </w:rPr>
            </w:pPr>
          </w:p>
        </w:tc>
      </w:tr>
      <w:tr>
        <w:trPr>
          <w:trHeight w:val="197"/>
        </w:trPr>
        <w:tc>
          <w:tcPr>
            <w:tcW w:w="86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Income before provision for income taxes</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37,805</w:t>
            </w:r>
          </w:p>
        </w:tc>
        <w:tc>
          <w:tcPr>
            <w:tcW w:w="2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4,865</w:t>
            </w:r>
          </w:p>
        </w:tc>
        <w:tc>
          <w:tcPr>
            <w:tcW w:w="20" w:type="dxa"/>
            <w:vAlign w:val="bottom"/>
          </w:tcPr>
          <w:p>
            <w:pPr>
              <w:spacing w:after="0"/>
              <w:rPr>
                <w:sz w:val="17"/>
                <w:szCs w:val="17"/>
                <w:color w:val="auto"/>
              </w:rPr>
            </w:pPr>
          </w:p>
        </w:tc>
      </w:tr>
      <w:tr>
        <w:trPr>
          <w:trHeight w:val="201"/>
        </w:trPr>
        <w:tc>
          <w:tcPr>
            <w:tcW w:w="864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Income tax provision</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6,666</w:t>
            </w:r>
          </w:p>
        </w:tc>
        <w:tc>
          <w:tcPr>
            <w:tcW w:w="2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542</w:t>
            </w:r>
          </w:p>
        </w:tc>
        <w:tc>
          <w:tcPr>
            <w:tcW w:w="20" w:type="dxa"/>
            <w:vAlign w:val="bottom"/>
          </w:tcPr>
          <w:p>
            <w:pPr>
              <w:spacing w:after="0"/>
              <w:rPr>
                <w:sz w:val="17"/>
                <w:szCs w:val="17"/>
                <w:color w:val="auto"/>
              </w:rPr>
            </w:pPr>
          </w:p>
        </w:tc>
      </w:tr>
      <w:tr>
        <w:trPr>
          <w:trHeight w:val="197"/>
        </w:trPr>
        <w:tc>
          <w:tcPr>
            <w:tcW w:w="86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Net income</w:t>
            </w:r>
          </w:p>
        </w:tc>
        <w:tc>
          <w:tcPr>
            <w:tcW w:w="300" w:type="dxa"/>
            <w:vAlign w:val="bottom"/>
            <w:tcBorders>
              <w:bottom w:val="single" w:sz="8" w:color="51555C"/>
            </w:tcBorders>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31,139</w:t>
            </w:r>
          </w:p>
        </w:tc>
        <w:tc>
          <w:tcPr>
            <w:tcW w:w="280" w:type="dxa"/>
            <w:vAlign w:val="bottom"/>
            <w:tcBorders>
              <w:bottom w:val="single" w:sz="8" w:color="51555C"/>
            </w:tcBorders>
            <w:shd w:val="clear" w:color="auto" w:fill="EBFBFF"/>
          </w:tcPr>
          <w:p>
            <w:pPr>
              <w:jc w:val="right"/>
              <w:ind w:right="10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4,323</w:t>
            </w:r>
          </w:p>
        </w:tc>
        <w:tc>
          <w:tcPr>
            <w:tcW w:w="20" w:type="dxa"/>
            <w:vAlign w:val="bottom"/>
          </w:tcPr>
          <w:p>
            <w:pPr>
              <w:spacing w:after="0"/>
              <w:rPr>
                <w:sz w:val="17"/>
                <w:szCs w:val="17"/>
                <w:color w:val="auto"/>
              </w:rPr>
            </w:pPr>
          </w:p>
        </w:tc>
      </w:tr>
      <w:tr>
        <w:trPr>
          <w:trHeight w:val="183"/>
        </w:trPr>
        <w:tc>
          <w:tcPr>
            <w:tcW w:w="8640" w:type="dxa"/>
            <w:vAlign w:val="bottom"/>
          </w:tcPr>
          <w:p>
            <w:pPr>
              <w:ind w:left="140"/>
              <w:spacing w:after="0"/>
              <w:rPr>
                <w:sz w:val="20"/>
                <w:szCs w:val="20"/>
                <w:color w:val="auto"/>
              </w:rPr>
            </w:pPr>
            <w:r>
              <w:rPr>
                <w:rFonts w:ascii="Arial" w:cs="Arial" w:eastAsia="Arial" w:hAnsi="Arial"/>
                <w:sz w:val="15"/>
                <w:szCs w:val="15"/>
                <w:b w:val="1"/>
                <w:bCs w:val="1"/>
                <w:color w:val="51555C"/>
              </w:rPr>
              <w:t>Earnings per share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86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Basic</w:t>
            </w: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0.68</w:t>
            </w:r>
          </w:p>
        </w:tc>
        <w:tc>
          <w:tcPr>
            <w:tcW w:w="28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0.09</w:t>
            </w:r>
          </w:p>
        </w:tc>
        <w:tc>
          <w:tcPr>
            <w:tcW w:w="20" w:type="dxa"/>
            <w:vAlign w:val="bottom"/>
          </w:tcPr>
          <w:p>
            <w:pPr>
              <w:spacing w:after="0"/>
              <w:rPr>
                <w:sz w:val="17"/>
                <w:szCs w:val="17"/>
                <w:color w:val="auto"/>
              </w:rPr>
            </w:pPr>
          </w:p>
        </w:tc>
      </w:tr>
      <w:tr>
        <w:trPr>
          <w:trHeight w:val="201"/>
        </w:trPr>
        <w:tc>
          <w:tcPr>
            <w:tcW w:w="8640" w:type="dxa"/>
            <w:vAlign w:val="bottom"/>
          </w:tcPr>
          <w:p>
            <w:pPr>
              <w:ind w:left="360"/>
              <w:spacing w:after="0"/>
              <w:rPr>
                <w:sz w:val="20"/>
                <w:szCs w:val="20"/>
                <w:color w:val="auto"/>
              </w:rPr>
            </w:pPr>
            <w:r>
              <w:rPr>
                <w:rFonts w:ascii="Arial" w:cs="Arial" w:eastAsia="Arial" w:hAnsi="Arial"/>
                <w:sz w:val="15"/>
                <w:szCs w:val="15"/>
                <w:color w:val="51555C"/>
              </w:rPr>
              <w:t>Diluted</w:t>
            </w:r>
          </w:p>
        </w:tc>
        <w:tc>
          <w:tcPr>
            <w:tcW w:w="300" w:type="dxa"/>
            <w:vAlign w:val="bottom"/>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Pr>
          <w:p>
            <w:pPr>
              <w:jc w:val="right"/>
              <w:spacing w:after="0"/>
              <w:rPr>
                <w:sz w:val="20"/>
                <w:szCs w:val="20"/>
                <w:color w:val="auto"/>
              </w:rPr>
            </w:pPr>
            <w:r>
              <w:rPr>
                <w:rFonts w:ascii="Arial" w:cs="Arial" w:eastAsia="Arial" w:hAnsi="Arial"/>
                <w:sz w:val="15"/>
                <w:szCs w:val="15"/>
                <w:color w:val="51555C"/>
              </w:rPr>
              <w:t>0.67</w:t>
            </w:r>
          </w:p>
        </w:tc>
        <w:tc>
          <w:tcPr>
            <w:tcW w:w="280" w:type="dxa"/>
            <w:vAlign w:val="bottom"/>
          </w:tcPr>
          <w:p>
            <w:pPr>
              <w:jc w:val="right"/>
              <w:ind w:right="104"/>
              <w:spacing w:after="0"/>
              <w:rPr>
                <w:sz w:val="20"/>
                <w:szCs w:val="20"/>
                <w:color w:val="auto"/>
              </w:rPr>
            </w:pPr>
            <w:r>
              <w:rPr>
                <w:rFonts w:ascii="Arial" w:cs="Arial" w:eastAsia="Arial" w:hAnsi="Arial"/>
                <w:sz w:val="15"/>
                <w:szCs w:val="15"/>
                <w:color w:val="51555C"/>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51555C"/>
              </w:rPr>
              <w:t>0.09</w:t>
            </w:r>
          </w:p>
        </w:tc>
        <w:tc>
          <w:tcPr>
            <w:tcW w:w="20" w:type="dxa"/>
            <w:vAlign w:val="bottom"/>
          </w:tcPr>
          <w:p>
            <w:pPr>
              <w:spacing w:after="0"/>
              <w:rPr>
                <w:sz w:val="17"/>
                <w:szCs w:val="17"/>
                <w:color w:val="auto"/>
              </w:rPr>
            </w:pPr>
          </w:p>
        </w:tc>
      </w:tr>
      <w:tr>
        <w:trPr>
          <w:trHeight w:val="204"/>
        </w:trPr>
        <w:tc>
          <w:tcPr>
            <w:tcW w:w="864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Common shares and equivalents outstanding</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spacing w:after="0"/>
              <w:rPr>
                <w:sz w:val="17"/>
                <w:szCs w:val="17"/>
                <w:color w:val="auto"/>
              </w:rPr>
            </w:pPr>
          </w:p>
        </w:tc>
        <w:tc>
          <w:tcPr>
            <w:tcW w:w="280" w:type="dxa"/>
            <w:vAlign w:val="bottom"/>
            <w:shd w:val="clear" w:color="auto" w:fill="EBFBFF"/>
          </w:tcPr>
          <w:p>
            <w:pPr>
              <w:spacing w:after="0"/>
              <w:rPr>
                <w:sz w:val="17"/>
                <w:szCs w:val="17"/>
                <w:color w:val="auto"/>
              </w:rPr>
            </w:pPr>
          </w:p>
        </w:tc>
        <w:tc>
          <w:tcPr>
            <w:tcW w:w="102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1"/>
        </w:trPr>
        <w:tc>
          <w:tcPr>
            <w:tcW w:w="8640" w:type="dxa"/>
            <w:vAlign w:val="bottom"/>
          </w:tcPr>
          <w:p>
            <w:pPr>
              <w:ind w:left="360"/>
              <w:spacing w:after="0"/>
              <w:rPr>
                <w:sz w:val="20"/>
                <w:szCs w:val="20"/>
                <w:color w:val="auto"/>
              </w:rPr>
            </w:pPr>
            <w:r>
              <w:rPr>
                <w:rFonts w:ascii="Arial" w:cs="Arial" w:eastAsia="Arial" w:hAnsi="Arial"/>
                <w:sz w:val="15"/>
                <w:szCs w:val="15"/>
                <w:color w:val="51555C"/>
              </w:rPr>
              <w:t>Basic weighted average shares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45,562,304</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51555C"/>
              </w:rPr>
              <w:t>48,429,061</w:t>
            </w:r>
          </w:p>
        </w:tc>
        <w:tc>
          <w:tcPr>
            <w:tcW w:w="20" w:type="dxa"/>
            <w:vAlign w:val="bottom"/>
          </w:tcPr>
          <w:p>
            <w:pPr>
              <w:spacing w:after="0"/>
              <w:rPr>
                <w:sz w:val="17"/>
                <w:szCs w:val="17"/>
                <w:color w:val="auto"/>
              </w:rPr>
            </w:pPr>
          </w:p>
        </w:tc>
      </w:tr>
      <w:tr>
        <w:trPr>
          <w:trHeight w:val="204"/>
        </w:trPr>
        <w:tc>
          <w:tcPr>
            <w:tcW w:w="864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Diluted weighted average shares</w:t>
            </w:r>
          </w:p>
        </w:tc>
        <w:tc>
          <w:tcPr>
            <w:tcW w:w="30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46,351,379</w:t>
            </w:r>
          </w:p>
        </w:tc>
        <w:tc>
          <w:tcPr>
            <w:tcW w:w="280" w:type="dxa"/>
            <w:vAlign w:val="bottom"/>
            <w:shd w:val="clear" w:color="auto" w:fill="EBFBFF"/>
          </w:tcPr>
          <w:p>
            <w:pPr>
              <w:spacing w:after="0"/>
              <w:rPr>
                <w:sz w:val="17"/>
                <w:szCs w:val="17"/>
                <w:color w:val="auto"/>
              </w:rPr>
            </w:pP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49,445,079</w:t>
            </w:r>
          </w:p>
        </w:tc>
        <w:tc>
          <w:tcPr>
            <w:tcW w:w="20" w:type="dxa"/>
            <w:vAlign w:val="bottom"/>
          </w:tcPr>
          <w:p>
            <w:pPr>
              <w:spacing w:after="0"/>
              <w:rPr>
                <w:sz w:val="17"/>
                <w:szCs w:val="17"/>
                <w:color w:val="auto"/>
              </w:rPr>
            </w:pPr>
          </w:p>
        </w:tc>
      </w:tr>
      <w:tr>
        <w:trPr>
          <w:trHeight w:val="203"/>
        </w:trPr>
        <w:tc>
          <w:tcPr>
            <w:tcW w:w="8640" w:type="dxa"/>
            <w:vAlign w:val="bottom"/>
          </w:tcPr>
          <w:p>
            <w:pPr>
              <w:ind w:left="140"/>
              <w:spacing w:after="0"/>
              <w:rPr>
                <w:sz w:val="20"/>
                <w:szCs w:val="20"/>
                <w:color w:val="auto"/>
              </w:rPr>
            </w:pPr>
            <w:r>
              <w:rPr>
                <w:rFonts w:ascii="Arial" w:cs="Arial" w:eastAsia="Arial" w:hAnsi="Arial"/>
                <w:sz w:val="15"/>
                <w:szCs w:val="15"/>
                <w:b w:val="1"/>
                <w:bCs w:val="1"/>
                <w:color w:val="51555C"/>
              </w:rPr>
              <w:t>Other comprehensive income (loss)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640" w:type="dxa"/>
            <w:vAlign w:val="bottom"/>
            <w:shd w:val="clear" w:color="auto" w:fill="EBFBFF"/>
          </w:tcPr>
          <w:p>
            <w:pPr>
              <w:ind w:left="400"/>
              <w:spacing w:after="0"/>
              <w:rPr>
                <w:sz w:val="20"/>
                <w:szCs w:val="20"/>
                <w:color w:val="auto"/>
              </w:rPr>
            </w:pPr>
            <w:r>
              <w:rPr>
                <w:rFonts w:ascii="Arial" w:cs="Arial" w:eastAsia="Arial" w:hAnsi="Arial"/>
                <w:sz w:val="15"/>
                <w:szCs w:val="15"/>
                <w:color w:val="51555C"/>
              </w:rPr>
              <w:t>Foreign currency translation adjustment</w:t>
            </w:r>
          </w:p>
        </w:tc>
        <w:tc>
          <w:tcPr>
            <w:tcW w:w="30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(1,480)</w:t>
            </w:r>
          </w:p>
        </w:tc>
        <w:tc>
          <w:tcPr>
            <w:tcW w:w="280" w:type="dxa"/>
            <w:vAlign w:val="bottom"/>
            <w:shd w:val="clear" w:color="auto" w:fill="EBFBFF"/>
          </w:tcPr>
          <w:p>
            <w:pPr>
              <w:jc w:val="right"/>
              <w:ind w:right="104"/>
              <w:spacing w:after="0"/>
              <w:rPr>
                <w:sz w:val="20"/>
                <w:szCs w:val="20"/>
                <w:color w:val="auto"/>
              </w:rPr>
            </w:pPr>
            <w:r>
              <w:rPr>
                <w:rFonts w:ascii="Arial" w:cs="Arial" w:eastAsia="Arial" w:hAnsi="Arial"/>
                <w:sz w:val="15"/>
                <w:szCs w:val="15"/>
                <w:color w:val="51555C"/>
                <w:w w:val="95"/>
              </w:rPr>
              <w:t>$</w:t>
            </w:r>
          </w:p>
        </w:tc>
        <w:tc>
          <w:tcPr>
            <w:tcW w:w="102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3,259</w:t>
            </w:r>
          </w:p>
        </w:tc>
        <w:tc>
          <w:tcPr>
            <w:tcW w:w="20" w:type="dxa"/>
            <w:vAlign w:val="bottom"/>
          </w:tcPr>
          <w:p>
            <w:pPr>
              <w:spacing w:after="0"/>
              <w:rPr>
                <w:sz w:val="17"/>
                <w:szCs w:val="17"/>
                <w:color w:val="auto"/>
              </w:rPr>
            </w:pPr>
          </w:p>
        </w:tc>
      </w:tr>
      <w:tr>
        <w:trPr>
          <w:trHeight w:val="201"/>
        </w:trPr>
        <w:tc>
          <w:tcPr>
            <w:tcW w:w="8640" w:type="dxa"/>
            <w:vAlign w:val="bottom"/>
            <w:tcBorders>
              <w:bottom w:val="single" w:sz="8" w:color="EBFBFF"/>
            </w:tcBorders>
          </w:tcPr>
          <w:p>
            <w:pPr>
              <w:ind w:left="400"/>
              <w:spacing w:after="0"/>
              <w:rPr>
                <w:sz w:val="20"/>
                <w:szCs w:val="20"/>
                <w:color w:val="auto"/>
              </w:rPr>
            </w:pPr>
            <w:r>
              <w:rPr>
                <w:rFonts w:ascii="Arial" w:cs="Arial" w:eastAsia="Arial" w:hAnsi="Arial"/>
                <w:sz w:val="15"/>
                <w:szCs w:val="15"/>
                <w:color w:val="51555C"/>
              </w:rPr>
              <w:t>Unrealized gain (loss) on derivative instruments, net of tax</w:t>
            </w:r>
          </w:p>
        </w:tc>
        <w:tc>
          <w:tcPr>
            <w:tcW w:w="30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3,578</w:t>
            </w:r>
          </w:p>
        </w:tc>
        <w:tc>
          <w:tcPr>
            <w:tcW w:w="280" w:type="dxa"/>
            <w:vAlign w:val="bottom"/>
            <w:tcBorders>
              <w:bottom w:val="single" w:sz="8" w:color="51555C"/>
            </w:tcBorders>
          </w:tcPr>
          <w:p>
            <w:pPr>
              <w:spacing w:after="0"/>
              <w:rPr>
                <w:sz w:val="17"/>
                <w:szCs w:val="17"/>
                <w:color w:val="auto"/>
              </w:rPr>
            </w:pPr>
          </w:p>
        </w:tc>
        <w:tc>
          <w:tcPr>
            <w:tcW w:w="102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(6,692)</w:t>
            </w:r>
          </w:p>
        </w:tc>
        <w:tc>
          <w:tcPr>
            <w:tcW w:w="20" w:type="dxa"/>
            <w:vAlign w:val="bottom"/>
          </w:tcPr>
          <w:p>
            <w:pPr>
              <w:spacing w:after="0"/>
              <w:rPr>
                <w:sz w:val="17"/>
                <w:szCs w:val="17"/>
                <w:color w:val="auto"/>
              </w:rPr>
            </w:pPr>
          </w:p>
        </w:tc>
      </w:tr>
      <w:tr>
        <w:trPr>
          <w:trHeight w:val="197"/>
        </w:trPr>
        <w:tc>
          <w:tcPr>
            <w:tcW w:w="8640" w:type="dxa"/>
            <w:vAlign w:val="bottom"/>
            <w:shd w:val="clear" w:color="auto" w:fill="EBFBFF"/>
          </w:tcPr>
          <w:p>
            <w:pPr>
              <w:ind w:left="560"/>
              <w:spacing w:after="0"/>
              <w:rPr>
                <w:sz w:val="20"/>
                <w:szCs w:val="20"/>
                <w:color w:val="auto"/>
              </w:rPr>
            </w:pPr>
            <w:r>
              <w:rPr>
                <w:rFonts w:ascii="Arial" w:cs="Arial" w:eastAsia="Arial" w:hAnsi="Arial"/>
                <w:sz w:val="15"/>
                <w:szCs w:val="15"/>
                <w:b w:val="1"/>
                <w:bCs w:val="1"/>
                <w:color w:val="51555C"/>
              </w:rPr>
              <w:t>Total other comprehensive income (loss)</w:t>
            </w:r>
          </w:p>
        </w:tc>
        <w:tc>
          <w:tcPr>
            <w:tcW w:w="30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2,098</w:t>
            </w:r>
          </w:p>
        </w:tc>
        <w:tc>
          <w:tcPr>
            <w:tcW w:w="280" w:type="dxa"/>
            <w:vAlign w:val="bottom"/>
            <w:tcBorders>
              <w:bottom w:val="single" w:sz="8" w:color="51555C"/>
            </w:tcBorders>
            <w:shd w:val="clear" w:color="auto" w:fill="EBFBFF"/>
          </w:tcPr>
          <w:p>
            <w:pPr>
              <w:spacing w:after="0"/>
              <w:rPr>
                <w:sz w:val="17"/>
                <w:szCs w:val="17"/>
                <w:color w:val="auto"/>
              </w:rPr>
            </w:pPr>
          </w:p>
        </w:tc>
        <w:tc>
          <w:tcPr>
            <w:tcW w:w="10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(3,433)</w:t>
            </w:r>
          </w:p>
        </w:tc>
        <w:tc>
          <w:tcPr>
            <w:tcW w:w="20" w:type="dxa"/>
            <w:vAlign w:val="bottom"/>
          </w:tcPr>
          <w:p>
            <w:pPr>
              <w:spacing w:after="0"/>
              <w:rPr>
                <w:sz w:val="17"/>
                <w:szCs w:val="17"/>
                <w:color w:val="auto"/>
              </w:rPr>
            </w:pPr>
          </w:p>
        </w:tc>
      </w:tr>
      <w:tr>
        <w:trPr>
          <w:trHeight w:val="195"/>
        </w:trPr>
        <w:tc>
          <w:tcPr>
            <w:tcW w:w="8640" w:type="dxa"/>
            <w:vAlign w:val="bottom"/>
            <w:tcBorders>
              <w:bottom w:val="single" w:sz="8" w:color="0CD973"/>
            </w:tcBorders>
          </w:tcPr>
          <w:p>
            <w:pPr>
              <w:ind w:left="140"/>
              <w:spacing w:after="0"/>
              <w:rPr>
                <w:sz w:val="20"/>
                <w:szCs w:val="20"/>
                <w:color w:val="auto"/>
              </w:rPr>
            </w:pPr>
            <w:r>
              <w:rPr>
                <w:rFonts w:ascii="Arial" w:cs="Arial" w:eastAsia="Arial" w:hAnsi="Arial"/>
                <w:sz w:val="15"/>
                <w:szCs w:val="15"/>
                <w:b w:val="1"/>
                <w:bCs w:val="1"/>
                <w:color w:val="51555C"/>
              </w:rPr>
              <w:t>Comprehensive income</w:t>
            </w:r>
          </w:p>
        </w:tc>
        <w:tc>
          <w:tcPr>
            <w:tcW w:w="300" w:type="dxa"/>
            <w:vAlign w:val="bottom"/>
            <w:tcBorders>
              <w:bottom w:val="single" w:sz="8" w:color="0CD973"/>
            </w:tcBorders>
          </w:tcPr>
          <w:p>
            <w:pPr>
              <w:jc w:val="right"/>
              <w:ind w:right="104"/>
              <w:spacing w:after="0"/>
              <w:rPr>
                <w:sz w:val="20"/>
                <w:szCs w:val="20"/>
                <w:color w:val="auto"/>
              </w:rPr>
            </w:pPr>
            <w:r>
              <w:rPr>
                <w:rFonts w:ascii="Arial" w:cs="Arial" w:eastAsia="Arial" w:hAnsi="Arial"/>
                <w:sz w:val="15"/>
                <w:szCs w:val="15"/>
                <w:color w:val="51555C"/>
              </w:rPr>
              <w:t>$</w:t>
            </w:r>
          </w:p>
        </w:tc>
        <w:tc>
          <w:tcPr>
            <w:tcW w:w="1000" w:type="dxa"/>
            <w:vAlign w:val="bottom"/>
            <w:tcBorders>
              <w:bottom w:val="single" w:sz="8" w:color="0CD973"/>
            </w:tcBorders>
          </w:tcPr>
          <w:p>
            <w:pPr>
              <w:jc w:val="right"/>
              <w:spacing w:after="0"/>
              <w:rPr>
                <w:sz w:val="20"/>
                <w:szCs w:val="20"/>
                <w:color w:val="auto"/>
              </w:rPr>
            </w:pPr>
            <w:r>
              <w:rPr>
                <w:rFonts w:ascii="Arial" w:cs="Arial" w:eastAsia="Arial" w:hAnsi="Arial"/>
                <w:sz w:val="15"/>
                <w:szCs w:val="15"/>
                <w:color w:val="51555C"/>
              </w:rPr>
              <w:t>33,237</w:t>
            </w:r>
          </w:p>
        </w:tc>
        <w:tc>
          <w:tcPr>
            <w:tcW w:w="280" w:type="dxa"/>
            <w:vAlign w:val="bottom"/>
            <w:tcBorders>
              <w:bottom w:val="single" w:sz="8" w:color="0CD973"/>
            </w:tcBorders>
          </w:tcPr>
          <w:p>
            <w:pPr>
              <w:jc w:val="right"/>
              <w:ind w:right="104"/>
              <w:spacing w:after="0"/>
              <w:rPr>
                <w:sz w:val="20"/>
                <w:szCs w:val="20"/>
                <w:color w:val="auto"/>
              </w:rPr>
            </w:pPr>
            <w:r>
              <w:rPr>
                <w:rFonts w:ascii="Arial" w:cs="Arial" w:eastAsia="Arial" w:hAnsi="Arial"/>
                <w:sz w:val="15"/>
                <w:szCs w:val="15"/>
                <w:color w:val="51555C"/>
                <w:w w:val="95"/>
              </w:rPr>
              <w:t>$</w:t>
            </w:r>
          </w:p>
        </w:tc>
        <w:tc>
          <w:tcPr>
            <w:tcW w:w="1020" w:type="dxa"/>
            <w:vAlign w:val="bottom"/>
            <w:tcBorders>
              <w:bottom w:val="single" w:sz="8" w:color="0CD973"/>
            </w:tcBorders>
          </w:tcPr>
          <w:p>
            <w:pPr>
              <w:jc w:val="right"/>
              <w:spacing w:after="0"/>
              <w:rPr>
                <w:sz w:val="20"/>
                <w:szCs w:val="20"/>
                <w:color w:val="auto"/>
              </w:rPr>
            </w:pPr>
            <w:r>
              <w:rPr>
                <w:rFonts w:ascii="Arial" w:cs="Arial" w:eastAsia="Arial" w:hAnsi="Arial"/>
                <w:sz w:val="15"/>
                <w:szCs w:val="15"/>
                <w:color w:val="51555C"/>
              </w:rPr>
              <w:t>890</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-3660140</wp:posOffset>
            </wp:positionV>
            <wp:extent cx="16541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7</w:t>
      </w:r>
    </w:p>
    <w:p>
      <w:pPr>
        <w:sectPr>
          <w:pgSz w:w="11900" w:h="16838" w:orient="portrait"/>
          <w:cols w:equalWidth="0" w:num="1">
            <w:col w:w="11260"/>
          </w:cols>
          <w:pgMar w:left="320" w:top="121"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480" w:type="dxa"/>
            <w:vAlign w:val="bottom"/>
            <w:shd w:val="clear" w:color="auto" w:fill="004054"/>
          </w:tcPr>
          <w:p>
            <w:pPr>
              <w:spacing w:after="0"/>
              <w:rPr>
                <w:sz w:val="14"/>
                <w:szCs w:val="14"/>
                <w:color w:val="auto"/>
              </w:rPr>
            </w:pPr>
          </w:p>
        </w:tc>
        <w:tc>
          <w:tcPr>
            <w:tcW w:w="400" w:type="dxa"/>
            <w:vAlign w:val="bottom"/>
            <w:shd w:val="clear" w:color="auto" w:fill="004054"/>
          </w:tcPr>
          <w:p>
            <w:pPr>
              <w:spacing w:after="0"/>
              <w:rPr>
                <w:sz w:val="14"/>
                <w:szCs w:val="14"/>
                <w:color w:val="auto"/>
              </w:rPr>
            </w:pPr>
          </w:p>
        </w:tc>
        <w:tc>
          <w:tcPr>
            <w:tcW w:w="23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85"/>
        </w:trPr>
        <w:tc>
          <w:tcPr>
            <w:tcW w:w="848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60" w:type="dxa"/>
            <w:vAlign w:val="bottom"/>
            <w:shd w:val="clear" w:color="auto" w:fill="004054"/>
          </w:tcPr>
          <w:p>
            <w:pPr>
              <w:spacing w:after="0"/>
              <w:rPr>
                <w:sz w:val="16"/>
                <w:szCs w:val="16"/>
                <w:color w:val="auto"/>
              </w:rPr>
            </w:pPr>
          </w:p>
        </w:tc>
        <w:tc>
          <w:tcPr>
            <w:tcW w:w="400" w:type="dxa"/>
            <w:vAlign w:val="bottom"/>
            <w:shd w:val="clear" w:color="auto" w:fill="004054"/>
          </w:tcPr>
          <w:p>
            <w:pPr>
              <w:spacing w:after="0"/>
              <w:rPr>
                <w:sz w:val="16"/>
                <w:szCs w:val="16"/>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30"/>
        </w:trPr>
        <w:tc>
          <w:tcPr>
            <w:tcW w:w="84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400" w:type="dxa"/>
            <w:vAlign w:val="bottom"/>
            <w:shd w:val="clear" w:color="auto" w:fill="004054"/>
          </w:tcPr>
          <w:p>
            <w:pPr>
              <w:spacing w:after="0"/>
              <w:rPr>
                <w:sz w:val="19"/>
                <w:szCs w:val="19"/>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03"/>
        </w:trPr>
        <w:tc>
          <w:tcPr>
            <w:tcW w:w="848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Cash flows from operating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r>
      <w:tr>
        <w:trPr>
          <w:trHeight w:val="201"/>
        </w:trPr>
        <w:tc>
          <w:tcPr>
            <w:tcW w:w="8480" w:type="dxa"/>
            <w:vAlign w:val="bottom"/>
          </w:tcPr>
          <w:p>
            <w:pPr>
              <w:ind w:left="220"/>
              <w:spacing w:after="0"/>
              <w:rPr>
                <w:sz w:val="20"/>
                <w:szCs w:val="20"/>
                <w:color w:val="auto"/>
              </w:rPr>
            </w:pPr>
            <w:r>
              <w:rPr>
                <w:rFonts w:ascii="Arial" w:cs="Arial" w:eastAsia="Arial" w:hAnsi="Arial"/>
                <w:sz w:val="15"/>
                <w:szCs w:val="15"/>
                <w:color w:val="51555C"/>
              </w:rPr>
              <w:t>Net income</w:t>
            </w:r>
          </w:p>
        </w:tc>
        <w:tc>
          <w:tcPr>
            <w:tcW w:w="400" w:type="dxa"/>
            <w:vAlign w:val="bottom"/>
          </w:tcPr>
          <w:p>
            <w:pPr>
              <w:jc w:val="right"/>
              <w:ind w:right="224"/>
              <w:spacing w:after="0"/>
              <w:rPr>
                <w:sz w:val="20"/>
                <w:szCs w:val="20"/>
                <w:color w:val="auto"/>
              </w:rPr>
            </w:pPr>
            <w:r>
              <w:rPr>
                <w:rFonts w:ascii="Arial" w:cs="Arial" w:eastAsia="Arial" w:hAnsi="Arial"/>
                <w:sz w:val="15"/>
                <w:szCs w:val="15"/>
                <w:color w:val="51555C"/>
                <w:w w:val="95"/>
              </w:rPr>
              <w:t>$</w:t>
            </w:r>
          </w:p>
        </w:tc>
        <w:tc>
          <w:tcPr>
            <w:tcW w:w="960" w:type="dxa"/>
            <w:vAlign w:val="bottom"/>
          </w:tcPr>
          <w:p>
            <w:pPr>
              <w:jc w:val="right"/>
              <w:spacing w:after="0"/>
              <w:rPr>
                <w:sz w:val="20"/>
                <w:szCs w:val="20"/>
                <w:color w:val="auto"/>
              </w:rPr>
            </w:pPr>
            <w:r>
              <w:rPr>
                <w:rFonts w:ascii="Arial" w:cs="Arial" w:eastAsia="Arial" w:hAnsi="Arial"/>
                <w:sz w:val="15"/>
                <w:szCs w:val="15"/>
                <w:color w:val="51555C"/>
              </w:rPr>
              <w:t>31,139</w:t>
            </w:r>
          </w:p>
        </w:tc>
        <w:tc>
          <w:tcPr>
            <w:tcW w:w="400" w:type="dxa"/>
            <w:vAlign w:val="bottom"/>
          </w:tcPr>
          <w:p>
            <w:pPr>
              <w:jc w:val="right"/>
              <w:ind w:right="204"/>
              <w:spacing w:after="0"/>
              <w:rPr>
                <w:sz w:val="20"/>
                <w:szCs w:val="20"/>
                <w:color w:val="auto"/>
              </w:rPr>
            </w:pPr>
            <w:r>
              <w:rPr>
                <w:rFonts w:ascii="Arial" w:cs="Arial" w:eastAsia="Arial" w:hAnsi="Arial"/>
                <w:sz w:val="15"/>
                <w:szCs w:val="15"/>
                <w:color w:val="51555C"/>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51555C"/>
              </w:rPr>
              <w:t>4,323</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Adjustments to reconcile net income to net cash provided by operating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Depreciation and amortization</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20,551</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51555C"/>
              </w:rPr>
              <w:t>21,647</w:t>
            </w:r>
          </w:p>
        </w:tc>
      </w:tr>
      <w:tr>
        <w:trPr>
          <w:trHeight w:val="204"/>
        </w:trPr>
        <w:tc>
          <w:tcPr>
            <w:tcW w:w="8480" w:type="dxa"/>
            <w:vAlign w:val="bottom"/>
            <w:shd w:val="clear" w:color="auto" w:fill="EBFBFF"/>
          </w:tcPr>
          <w:p>
            <w:pPr>
              <w:ind w:left="560"/>
              <w:spacing w:after="0"/>
              <w:rPr>
                <w:sz w:val="20"/>
                <w:szCs w:val="20"/>
                <w:color w:val="auto"/>
              </w:rPr>
            </w:pPr>
            <w:r>
              <w:rPr>
                <w:rFonts w:ascii="Arial" w:cs="Arial" w:eastAsia="Arial" w:hAnsi="Arial"/>
                <w:sz w:val="15"/>
                <w:szCs w:val="15"/>
                <w:color w:val="51555C"/>
              </w:rPr>
              <w:t>Net provision for credit losses and sales returns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1,128</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rPr>
              <w:t>788</w:t>
            </w: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Stock-based compensation expense</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23,880</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51555C"/>
              </w:rPr>
              <w:t>22,170</w:t>
            </w:r>
          </w:p>
        </w:tc>
      </w:tr>
      <w:tr>
        <w:trPr>
          <w:trHeight w:val="204"/>
        </w:trPr>
        <w:tc>
          <w:tcPr>
            <w:tcW w:w="8480" w:type="dxa"/>
            <w:vAlign w:val="bottom"/>
            <w:shd w:val="clear" w:color="auto" w:fill="EBFBFF"/>
          </w:tcPr>
          <w:p>
            <w:pPr>
              <w:ind w:left="560"/>
              <w:spacing w:after="0"/>
              <w:rPr>
                <w:sz w:val="20"/>
                <w:szCs w:val="20"/>
                <w:color w:val="auto"/>
              </w:rPr>
            </w:pPr>
            <w:r>
              <w:rPr>
                <w:rFonts w:ascii="Arial" w:cs="Arial" w:eastAsia="Arial" w:hAnsi="Arial"/>
                <w:sz w:val="15"/>
                <w:szCs w:val="15"/>
                <w:color w:val="51555C"/>
              </w:rPr>
              <w:t>Deferred taxes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4,257</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(221)</w:t>
            </w: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Amortization of deferred financing costs and discount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486</w:t>
            </w:r>
          </w:p>
        </w:tc>
        <w:tc>
          <w:tcPr>
            <w:tcW w:w="40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51555C"/>
              </w:rPr>
              <w:t>699</w:t>
            </w:r>
          </w:p>
        </w:tc>
      </w:tr>
      <w:tr>
        <w:trPr>
          <w:trHeight w:val="204"/>
        </w:trPr>
        <w:tc>
          <w:tcPr>
            <w:tcW w:w="8480" w:type="dxa"/>
            <w:vAlign w:val="bottom"/>
            <w:shd w:val="clear" w:color="auto" w:fill="EBFBFF"/>
          </w:tcPr>
          <w:p>
            <w:pPr>
              <w:ind w:left="560"/>
              <w:spacing w:after="0"/>
              <w:rPr>
                <w:sz w:val="20"/>
                <w:szCs w:val="20"/>
                <w:color w:val="auto"/>
              </w:rPr>
            </w:pPr>
            <w:r>
              <w:rPr>
                <w:rFonts w:ascii="Arial" w:cs="Arial" w:eastAsia="Arial" w:hAnsi="Arial"/>
                <w:sz w:val="15"/>
                <w:szCs w:val="15"/>
                <w:color w:val="51555C"/>
              </w:rPr>
              <w:t>Other non-cash adjustments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(5,384)</w:t>
            </w:r>
          </w:p>
        </w:tc>
      </w:tr>
      <w:tr>
        <w:trPr>
          <w:trHeight w:val="201"/>
        </w:trPr>
        <w:tc>
          <w:tcPr>
            <w:tcW w:w="8480" w:type="dxa"/>
            <w:vAlign w:val="bottom"/>
          </w:tcPr>
          <w:p>
            <w:pPr>
              <w:ind w:left="560"/>
              <w:spacing w:after="0"/>
              <w:rPr>
                <w:sz w:val="20"/>
                <w:szCs w:val="20"/>
                <w:color w:val="auto"/>
              </w:rPr>
            </w:pPr>
            <w:r>
              <w:rPr>
                <w:rFonts w:ascii="Arial" w:cs="Arial" w:eastAsia="Arial" w:hAnsi="Arial"/>
                <w:sz w:val="15"/>
                <w:szCs w:val="15"/>
                <w:color w:val="51555C"/>
              </w:rPr>
              <w:t>Changes in operating assets and liabilities, net of acquisition and disposal of businesses: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4"/>
        </w:trPr>
        <w:tc>
          <w:tcPr>
            <w:tcW w:w="8480" w:type="dxa"/>
            <w:vAlign w:val="bottom"/>
            <w:shd w:val="clear" w:color="auto" w:fill="EBFBFF"/>
          </w:tcPr>
          <w:p>
            <w:pPr>
              <w:ind w:left="680"/>
              <w:spacing w:after="0"/>
              <w:rPr>
                <w:sz w:val="20"/>
                <w:szCs w:val="20"/>
                <w:color w:val="auto"/>
              </w:rPr>
            </w:pPr>
            <w:r>
              <w:rPr>
                <w:rFonts w:ascii="Arial" w:cs="Arial" w:eastAsia="Arial" w:hAnsi="Arial"/>
                <w:sz w:val="15"/>
                <w:szCs w:val="15"/>
                <w:color w:val="51555C"/>
              </w:rPr>
              <w:t>Accounts receivable</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3,613</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rPr>
              <w:t>4,770</w:t>
            </w:r>
          </w:p>
        </w:tc>
      </w:tr>
      <w:tr>
        <w:trPr>
          <w:trHeight w:val="201"/>
        </w:trPr>
        <w:tc>
          <w:tcPr>
            <w:tcW w:w="8480" w:type="dxa"/>
            <w:vAlign w:val="bottom"/>
          </w:tcPr>
          <w:p>
            <w:pPr>
              <w:ind w:left="680"/>
              <w:spacing w:after="0"/>
              <w:rPr>
                <w:sz w:val="20"/>
                <w:szCs w:val="20"/>
                <w:color w:val="auto"/>
              </w:rPr>
            </w:pPr>
            <w:r>
              <w:rPr>
                <w:rFonts w:ascii="Arial" w:cs="Arial" w:eastAsia="Arial" w:hAnsi="Arial"/>
                <w:sz w:val="15"/>
                <w:szCs w:val="15"/>
                <w:color w:val="51555C"/>
              </w:rPr>
              <w:t>Prepaid expenses and other assets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(18,048)</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(5,192)</w:t>
            </w:r>
          </w:p>
        </w:tc>
      </w:tr>
      <w:tr>
        <w:trPr>
          <w:trHeight w:val="204"/>
        </w:trPr>
        <w:tc>
          <w:tcPr>
            <w:tcW w:w="8480" w:type="dxa"/>
            <w:vAlign w:val="bottom"/>
            <w:shd w:val="clear" w:color="auto" w:fill="EBFBFF"/>
          </w:tcPr>
          <w:p>
            <w:pPr>
              <w:ind w:left="680"/>
              <w:spacing w:after="0"/>
              <w:rPr>
                <w:sz w:val="20"/>
                <w:szCs w:val="20"/>
                <w:color w:val="auto"/>
              </w:rPr>
            </w:pPr>
            <w:r>
              <w:rPr>
                <w:rFonts w:ascii="Arial" w:cs="Arial" w:eastAsia="Arial" w:hAnsi="Arial"/>
                <w:sz w:val="15"/>
                <w:szCs w:val="15"/>
                <w:color w:val="51555C"/>
              </w:rPr>
              <w:t>Trade accounts payable</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19,258</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(4,651)</w:t>
            </w:r>
          </w:p>
        </w:tc>
      </w:tr>
      <w:tr>
        <w:trPr>
          <w:trHeight w:val="201"/>
        </w:trPr>
        <w:tc>
          <w:tcPr>
            <w:tcW w:w="8480" w:type="dxa"/>
            <w:vAlign w:val="bottom"/>
          </w:tcPr>
          <w:p>
            <w:pPr>
              <w:ind w:left="680"/>
              <w:spacing w:after="0"/>
              <w:rPr>
                <w:sz w:val="20"/>
                <w:szCs w:val="20"/>
                <w:color w:val="auto"/>
              </w:rPr>
            </w:pPr>
            <w:r>
              <w:rPr>
                <w:rFonts w:ascii="Arial" w:cs="Arial" w:eastAsia="Arial" w:hAnsi="Arial"/>
                <w:sz w:val="15"/>
                <w:szCs w:val="15"/>
                <w:color w:val="51555C"/>
              </w:rPr>
              <w:t>Accrued expenses and other liabilities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(3,186)</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(8,134)</w:t>
            </w:r>
          </w:p>
        </w:tc>
      </w:tr>
      <w:tr>
        <w:trPr>
          <w:trHeight w:val="204"/>
        </w:trPr>
        <w:tc>
          <w:tcPr>
            <w:tcW w:w="8480" w:type="dxa"/>
            <w:vAlign w:val="bottom"/>
            <w:shd w:val="clear" w:color="auto" w:fill="EBFBFF"/>
          </w:tcPr>
          <w:p>
            <w:pPr>
              <w:ind w:left="680"/>
              <w:spacing w:after="0"/>
              <w:rPr>
                <w:sz w:val="20"/>
                <w:szCs w:val="20"/>
                <w:color w:val="auto"/>
              </w:rPr>
            </w:pPr>
            <w:r>
              <w:rPr>
                <w:rFonts w:ascii="Arial" w:cs="Arial" w:eastAsia="Arial" w:hAnsi="Arial"/>
                <w:sz w:val="15"/>
                <w:szCs w:val="15"/>
                <w:color w:val="51555C"/>
              </w:rPr>
              <w:t>Deferred revenue</w:t>
            </w:r>
          </w:p>
        </w:tc>
        <w:tc>
          <w:tcPr>
            <w:tcW w:w="400" w:type="dxa"/>
            <w:vAlign w:val="bottom"/>
            <w:tcBorders>
              <w:bottom w:val="single" w:sz="8" w:color="51555C"/>
            </w:tcBorders>
            <w:shd w:val="clear" w:color="auto" w:fill="EBFBFF"/>
          </w:tcPr>
          <w:p>
            <w:pPr>
              <w:spacing w:after="0"/>
              <w:rPr>
                <w:sz w:val="17"/>
                <w:szCs w:val="17"/>
                <w:color w:val="auto"/>
              </w:rPr>
            </w:pPr>
          </w:p>
        </w:tc>
        <w:tc>
          <w:tcPr>
            <w:tcW w:w="9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(31,619)</w:t>
            </w:r>
          </w:p>
        </w:tc>
        <w:tc>
          <w:tcPr>
            <w:tcW w:w="400" w:type="dxa"/>
            <w:vAlign w:val="bottom"/>
            <w:tcBorders>
              <w:bottom w:val="single" w:sz="8" w:color="51555C"/>
            </w:tcBorders>
            <w:shd w:val="clear" w:color="auto" w:fill="EBFBFF"/>
          </w:tcPr>
          <w:p>
            <w:pPr>
              <w:spacing w:after="0"/>
              <w:rPr>
                <w:sz w:val="17"/>
                <w:szCs w:val="17"/>
                <w:color w:val="auto"/>
              </w:rPr>
            </w:pP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(29,427)</w:t>
            </w:r>
          </w:p>
        </w:tc>
      </w:tr>
      <w:tr>
        <w:trPr>
          <w:trHeight w:val="195"/>
        </w:trPr>
        <w:tc>
          <w:tcPr>
            <w:tcW w:w="8480" w:type="dxa"/>
            <w:vAlign w:val="bottom"/>
          </w:tcPr>
          <w:p>
            <w:pPr>
              <w:ind w:left="880"/>
              <w:spacing w:after="0"/>
              <w:rPr>
                <w:sz w:val="20"/>
                <w:szCs w:val="20"/>
                <w:color w:val="auto"/>
              </w:rPr>
            </w:pPr>
            <w:r>
              <w:rPr>
                <w:rFonts w:ascii="Arial" w:cs="Arial" w:eastAsia="Arial" w:hAnsi="Arial"/>
                <w:sz w:val="15"/>
                <w:szCs w:val="15"/>
                <w:b w:val="1"/>
                <w:bCs w:val="1"/>
                <w:color w:val="51555C"/>
              </w:rPr>
              <w:t>Net cash provided by operating activities</w:t>
            </w:r>
          </w:p>
        </w:tc>
        <w:tc>
          <w:tcPr>
            <w:tcW w:w="4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51,459</w:t>
            </w:r>
          </w:p>
        </w:tc>
        <w:tc>
          <w:tcPr>
            <w:tcW w:w="400" w:type="dxa"/>
            <w:vAlign w:val="bottom"/>
          </w:tcPr>
          <w:p>
            <w:pPr>
              <w:spacing w:after="0"/>
              <w:rPr>
                <w:sz w:val="16"/>
                <w:szCs w:val="16"/>
                <w:color w:val="auto"/>
              </w:rPr>
            </w:pPr>
          </w:p>
        </w:tc>
        <w:tc>
          <w:tcPr>
            <w:tcW w:w="980" w:type="dxa"/>
            <w:vAlign w:val="bottom"/>
          </w:tcPr>
          <w:p>
            <w:pPr>
              <w:jc w:val="right"/>
              <w:ind w:right="4"/>
              <w:spacing w:after="0"/>
              <w:rPr>
                <w:sz w:val="20"/>
                <w:szCs w:val="20"/>
                <w:color w:val="auto"/>
              </w:rPr>
            </w:pPr>
            <w:r>
              <w:rPr>
                <w:rFonts w:ascii="Arial" w:cs="Arial" w:eastAsia="Arial" w:hAnsi="Arial"/>
                <w:sz w:val="15"/>
                <w:szCs w:val="15"/>
                <w:color w:val="51555C"/>
              </w:rPr>
              <w:t>1,388</w:t>
            </w:r>
          </w:p>
        </w:tc>
      </w:tr>
      <w:tr>
        <w:trPr>
          <w:trHeight w:val="204"/>
        </w:trPr>
        <w:tc>
          <w:tcPr>
            <w:tcW w:w="8480" w:type="dxa"/>
            <w:vAlign w:val="bottom"/>
            <w:shd w:val="clear" w:color="auto" w:fill="EBFBFF"/>
          </w:tcPr>
          <w:p>
            <w:pPr>
              <w:ind w:left="140"/>
              <w:spacing w:after="0"/>
              <w:rPr>
                <w:sz w:val="20"/>
                <w:szCs w:val="20"/>
                <w:color w:val="auto"/>
              </w:rPr>
            </w:pPr>
            <w:r>
              <w:rPr>
                <w:rFonts w:ascii="Arial" w:cs="Arial" w:eastAsia="Arial" w:hAnsi="Arial"/>
                <w:sz w:val="15"/>
                <w:szCs w:val="15"/>
                <w:b w:val="1"/>
                <w:bCs w:val="1"/>
                <w:color w:val="51555C"/>
              </w:rPr>
              <w:t>Cash flows from investing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spacing w:after="0"/>
              <w:rPr>
                <w:sz w:val="17"/>
                <w:szCs w:val="17"/>
                <w:color w:val="auto"/>
              </w:rPr>
            </w:pP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spacing w:after="0"/>
              <w:rPr>
                <w:sz w:val="17"/>
                <w:szCs w:val="17"/>
                <w:color w:val="auto"/>
              </w:rPr>
            </w:pP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Purchase of property and equipment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(1,668)</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(688)</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Capitalized software development costs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(12,798)</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(12,970)</w:t>
            </w:r>
          </w:p>
        </w:tc>
      </w:tr>
      <w:tr>
        <w:trPr>
          <w:trHeight w:val="201"/>
        </w:trPr>
        <w:tc>
          <w:tcPr>
            <w:tcW w:w="848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Cash used in disposition of business</w:t>
            </w:r>
          </w:p>
        </w:tc>
        <w:tc>
          <w:tcPr>
            <w:tcW w:w="400" w:type="dxa"/>
            <w:vAlign w:val="bottom"/>
            <w:tcBorders>
              <w:bottom w:val="single" w:sz="8" w:color="51555C"/>
            </w:tcBorders>
          </w:tcPr>
          <w:p>
            <w:pPr>
              <w:spacing w:after="0"/>
              <w:rPr>
                <w:sz w:val="17"/>
                <w:szCs w:val="17"/>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w:t>
            </w:r>
          </w:p>
        </w:tc>
        <w:tc>
          <w:tcPr>
            <w:tcW w:w="40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(12,235)</w:t>
            </w:r>
          </w:p>
        </w:tc>
      </w:tr>
      <w:tr>
        <w:trPr>
          <w:trHeight w:val="197"/>
        </w:trPr>
        <w:tc>
          <w:tcPr>
            <w:tcW w:w="8480" w:type="dxa"/>
            <w:vAlign w:val="bottom"/>
            <w:shd w:val="clear" w:color="auto" w:fill="EBFBFF"/>
          </w:tcPr>
          <w:p>
            <w:pPr>
              <w:ind w:left="880"/>
              <w:spacing w:after="0"/>
              <w:rPr>
                <w:sz w:val="20"/>
                <w:szCs w:val="20"/>
                <w:color w:val="auto"/>
              </w:rPr>
            </w:pPr>
            <w:r>
              <w:rPr>
                <w:rFonts w:ascii="Arial" w:cs="Arial" w:eastAsia="Arial" w:hAnsi="Arial"/>
                <w:sz w:val="15"/>
                <w:szCs w:val="15"/>
                <w:b w:val="1"/>
                <w:bCs w:val="1"/>
                <w:color w:val="51555C"/>
              </w:rPr>
              <w:t>Net cash used in investing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(14,466)</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(25,893)</w:t>
            </w:r>
          </w:p>
        </w:tc>
      </w:tr>
      <w:tr>
        <w:trPr>
          <w:trHeight w:val="203"/>
        </w:trPr>
        <w:tc>
          <w:tcPr>
            <w:tcW w:w="8480" w:type="dxa"/>
            <w:vAlign w:val="bottom"/>
          </w:tcPr>
          <w:p>
            <w:pPr>
              <w:ind w:left="140"/>
              <w:spacing w:after="0"/>
              <w:rPr>
                <w:sz w:val="20"/>
                <w:szCs w:val="20"/>
                <w:color w:val="auto"/>
              </w:rPr>
            </w:pPr>
            <w:r>
              <w:rPr>
                <w:rFonts w:ascii="Arial" w:cs="Arial" w:eastAsia="Arial" w:hAnsi="Arial"/>
                <w:sz w:val="15"/>
                <w:szCs w:val="15"/>
                <w:b w:val="1"/>
                <w:bCs w:val="1"/>
                <w:color w:val="51555C"/>
              </w:rPr>
              <w:t>Cash flows from financing activities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Proceeds from issuance of debt</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139,900</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ind w:right="4"/>
              <w:spacing w:after="0"/>
              <w:rPr>
                <w:sz w:val="20"/>
                <w:szCs w:val="20"/>
                <w:color w:val="auto"/>
              </w:rPr>
            </w:pPr>
            <w:r>
              <w:rPr>
                <w:rFonts w:ascii="Arial" w:cs="Arial" w:eastAsia="Arial" w:hAnsi="Arial"/>
                <w:sz w:val="15"/>
                <w:szCs w:val="15"/>
                <w:color w:val="51555C"/>
              </w:rPr>
              <w:t>216,200</w:t>
            </w: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Payments on debt</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(74,968)</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(85,523)</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Employee taxes paid for withheld shares upon equity award settlement</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(25,112)</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(37,948)</w:t>
            </w:r>
          </w:p>
        </w:tc>
      </w:tr>
      <w:tr>
        <w:trPr>
          <w:trHeight w:val="201"/>
        </w:trPr>
        <w:tc>
          <w:tcPr>
            <w:tcW w:w="8480" w:type="dxa"/>
            <w:vAlign w:val="bottom"/>
          </w:tcPr>
          <w:p>
            <w:pPr>
              <w:ind w:left="360"/>
              <w:spacing w:after="0"/>
              <w:rPr>
                <w:sz w:val="20"/>
                <w:szCs w:val="20"/>
                <w:color w:val="auto"/>
              </w:rPr>
            </w:pPr>
            <w:r>
              <w:rPr>
                <w:rFonts w:ascii="Arial" w:cs="Arial" w:eastAsia="Arial" w:hAnsi="Arial"/>
                <w:sz w:val="15"/>
                <w:szCs w:val="15"/>
                <w:color w:val="51555C"/>
              </w:rPr>
              <w:t>Change in due to customers</w:t>
            </w: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51555C"/>
              </w:rPr>
              <w:t>(294,090)</w:t>
            </w:r>
          </w:p>
        </w:tc>
        <w:tc>
          <w:tcPr>
            <w:tcW w:w="4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51555C"/>
              </w:rPr>
              <w:t>(320,248)</w:t>
            </w:r>
          </w:p>
        </w:tc>
      </w:tr>
      <w:tr>
        <w:trPr>
          <w:trHeight w:val="204"/>
        </w:trPr>
        <w:tc>
          <w:tcPr>
            <w:tcW w:w="848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Change in customer funds receivable</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(6,395)</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(2,483)</w:t>
            </w:r>
          </w:p>
        </w:tc>
      </w:tr>
      <w:tr>
        <w:trPr>
          <w:trHeight w:val="201"/>
        </w:trPr>
        <w:tc>
          <w:tcPr>
            <w:tcW w:w="848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Purchase of treasury stock, including excise tax payments</w:t>
            </w:r>
          </w:p>
        </w:tc>
        <w:tc>
          <w:tcPr>
            <w:tcW w:w="400" w:type="dxa"/>
            <w:vAlign w:val="bottom"/>
            <w:tcBorders>
              <w:bottom w:val="single" w:sz="8" w:color="51555C"/>
            </w:tcBorders>
          </w:tcPr>
          <w:p>
            <w:pPr>
              <w:spacing w:after="0"/>
              <w:rPr>
                <w:sz w:val="17"/>
                <w:szCs w:val="17"/>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(82,103)</w:t>
            </w:r>
          </w:p>
        </w:tc>
        <w:tc>
          <w:tcPr>
            <w:tcW w:w="40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(100,030)</w:t>
            </w:r>
          </w:p>
        </w:tc>
      </w:tr>
      <w:tr>
        <w:trPr>
          <w:trHeight w:val="197"/>
        </w:trPr>
        <w:tc>
          <w:tcPr>
            <w:tcW w:w="8480" w:type="dxa"/>
            <w:vAlign w:val="bottom"/>
            <w:shd w:val="clear" w:color="auto" w:fill="EBFBFF"/>
          </w:tcPr>
          <w:p>
            <w:pPr>
              <w:ind w:left="880"/>
              <w:spacing w:after="0"/>
              <w:rPr>
                <w:sz w:val="20"/>
                <w:szCs w:val="20"/>
                <w:color w:val="auto"/>
              </w:rPr>
            </w:pPr>
            <w:r>
              <w:rPr>
                <w:rFonts w:ascii="Arial" w:cs="Arial" w:eastAsia="Arial" w:hAnsi="Arial"/>
                <w:sz w:val="15"/>
                <w:szCs w:val="15"/>
                <w:b w:val="1"/>
                <w:bCs w:val="1"/>
                <w:color w:val="51555C"/>
              </w:rPr>
              <w:t>Net cash used in financing activities</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(342,768)</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(330,032)</w:t>
            </w:r>
          </w:p>
        </w:tc>
      </w:tr>
      <w:tr>
        <w:trPr>
          <w:trHeight w:val="201"/>
        </w:trPr>
        <w:tc>
          <w:tcPr>
            <w:tcW w:w="8480" w:type="dxa"/>
            <w:vAlign w:val="bottom"/>
            <w:tcBorders>
              <w:bottom w:val="single" w:sz="8" w:color="EBFBFF"/>
            </w:tcBorders>
          </w:tcPr>
          <w:p>
            <w:pPr>
              <w:ind w:left="20"/>
              <w:spacing w:after="0"/>
              <w:rPr>
                <w:sz w:val="20"/>
                <w:szCs w:val="20"/>
                <w:color w:val="auto"/>
              </w:rPr>
            </w:pPr>
            <w:r>
              <w:rPr>
                <w:rFonts w:ascii="Arial" w:cs="Arial" w:eastAsia="Arial" w:hAnsi="Arial"/>
                <w:sz w:val="15"/>
                <w:szCs w:val="15"/>
                <w:color w:val="51555C"/>
              </w:rPr>
              <w:t>Effect of exchange rate on cash, cash equivalents and restricted cash</w:t>
            </w:r>
          </w:p>
        </w:tc>
        <w:tc>
          <w:tcPr>
            <w:tcW w:w="400" w:type="dxa"/>
            <w:vAlign w:val="bottom"/>
            <w:tcBorders>
              <w:bottom w:val="single" w:sz="8" w:color="51555C"/>
            </w:tcBorders>
          </w:tcPr>
          <w:p>
            <w:pPr>
              <w:spacing w:after="0"/>
              <w:rPr>
                <w:sz w:val="17"/>
                <w:szCs w:val="17"/>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(433)</w:t>
            </w:r>
          </w:p>
        </w:tc>
        <w:tc>
          <w:tcPr>
            <w:tcW w:w="40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1,668</w:t>
            </w:r>
          </w:p>
        </w:tc>
      </w:tr>
      <w:tr>
        <w:trPr>
          <w:trHeight w:val="197"/>
        </w:trPr>
        <w:tc>
          <w:tcPr>
            <w:tcW w:w="848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Net decrease in cash, cash equivalents and restricted cash</w:t>
            </w:r>
          </w:p>
        </w:tc>
        <w:tc>
          <w:tcPr>
            <w:tcW w:w="400" w:type="dxa"/>
            <w:vAlign w:val="bottom"/>
            <w:shd w:val="clear" w:color="auto" w:fill="EBFBFF"/>
          </w:tcPr>
          <w:p>
            <w:pPr>
              <w:spacing w:after="0"/>
              <w:rPr>
                <w:sz w:val="17"/>
                <w:szCs w:val="17"/>
                <w:color w:val="auto"/>
              </w:rPr>
            </w:pP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(306,208)</w:t>
            </w:r>
          </w:p>
        </w:tc>
        <w:tc>
          <w:tcPr>
            <w:tcW w:w="400" w:type="dxa"/>
            <w:vAlign w:val="bottom"/>
            <w:shd w:val="clear" w:color="auto" w:fill="EBFBFF"/>
          </w:tcPr>
          <w:p>
            <w:pPr>
              <w:spacing w:after="0"/>
              <w:rPr>
                <w:sz w:val="17"/>
                <w:szCs w:val="17"/>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(352,869)</w:t>
            </w:r>
          </w:p>
        </w:tc>
      </w:tr>
      <w:tr>
        <w:trPr>
          <w:trHeight w:val="203"/>
        </w:trPr>
        <w:tc>
          <w:tcPr>
            <w:tcW w:w="8480" w:type="dxa"/>
            <w:vAlign w:val="bottom"/>
            <w:tcBorders>
              <w:bottom w:val="single" w:sz="8" w:color="EBFBFF"/>
            </w:tcBorders>
          </w:tcPr>
          <w:p>
            <w:pPr>
              <w:ind w:left="20"/>
              <w:spacing w:after="0"/>
              <w:rPr>
                <w:sz w:val="20"/>
                <w:szCs w:val="20"/>
                <w:color w:val="auto"/>
              </w:rPr>
            </w:pPr>
            <w:r>
              <w:rPr>
                <w:rFonts w:ascii="Arial" w:cs="Arial" w:eastAsia="Arial" w:hAnsi="Arial"/>
                <w:sz w:val="15"/>
                <w:szCs w:val="15"/>
                <w:b w:val="1"/>
                <w:bCs w:val="1"/>
                <w:color w:val="51555C"/>
              </w:rPr>
              <w:t>Cash, cash equivalents and restricted cash, beginning of period</w:t>
            </w:r>
          </w:p>
        </w:tc>
        <w:tc>
          <w:tcPr>
            <w:tcW w:w="400" w:type="dxa"/>
            <w:vAlign w:val="bottom"/>
            <w:tcBorders>
              <w:bottom w:val="single" w:sz="8" w:color="51555C"/>
            </w:tcBorders>
          </w:tcPr>
          <w:p>
            <w:pPr>
              <w:spacing w:after="0"/>
              <w:rPr>
                <w:sz w:val="17"/>
                <w:szCs w:val="17"/>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758,975</w:t>
            </w:r>
          </w:p>
        </w:tc>
        <w:tc>
          <w:tcPr>
            <w:tcW w:w="400" w:type="dxa"/>
            <w:vAlign w:val="bottom"/>
            <w:tcBorders>
              <w:bottom w:val="single" w:sz="8" w:color="51555C"/>
            </w:tcBorders>
          </w:tcPr>
          <w:p>
            <w:pPr>
              <w:spacing w:after="0"/>
              <w:rPr>
                <w:sz w:val="17"/>
                <w:szCs w:val="17"/>
                <w:color w:val="auto"/>
              </w:rPr>
            </w:pPr>
          </w:p>
        </w:tc>
        <w:tc>
          <w:tcPr>
            <w:tcW w:w="980" w:type="dxa"/>
            <w:vAlign w:val="bottom"/>
            <w:tcBorders>
              <w:bottom w:val="single" w:sz="8" w:color="51555C"/>
            </w:tcBorders>
          </w:tcPr>
          <w:p>
            <w:pPr>
              <w:jc w:val="right"/>
              <w:ind w:right="4"/>
              <w:spacing w:after="0"/>
              <w:rPr>
                <w:sz w:val="20"/>
                <w:szCs w:val="20"/>
                <w:color w:val="auto"/>
              </w:rPr>
            </w:pPr>
            <w:r>
              <w:rPr>
                <w:rFonts w:ascii="Arial" w:cs="Arial" w:eastAsia="Arial" w:hAnsi="Arial"/>
                <w:sz w:val="15"/>
                <w:szCs w:val="15"/>
                <w:color w:val="51555C"/>
              </w:rPr>
              <w:t>809,512</w:t>
            </w:r>
          </w:p>
        </w:tc>
      </w:tr>
      <w:tr>
        <w:trPr>
          <w:trHeight w:val="195"/>
        </w:trPr>
        <w:tc>
          <w:tcPr>
            <w:tcW w:w="848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5"/>
                <w:szCs w:val="15"/>
                <w:b w:val="1"/>
                <w:bCs w:val="1"/>
                <w:color w:val="51555C"/>
              </w:rPr>
              <w:t>Cash, cash equivalents and restricted cash, end of period</w:t>
            </w:r>
          </w:p>
        </w:tc>
        <w:tc>
          <w:tcPr>
            <w:tcW w:w="400" w:type="dxa"/>
            <w:vAlign w:val="bottom"/>
            <w:tcBorders>
              <w:bottom w:val="single" w:sz="8" w:color="0CD973"/>
            </w:tcBorders>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9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452,767</w:t>
            </w:r>
          </w:p>
        </w:tc>
        <w:tc>
          <w:tcPr>
            <w:tcW w:w="400" w:type="dxa"/>
            <w:vAlign w:val="bottom"/>
            <w:tcBorders>
              <w:bottom w:val="single" w:sz="8" w:color="0CD973"/>
            </w:tcBorders>
            <w:shd w:val="clear" w:color="auto" w:fill="EBFBFF"/>
          </w:tcPr>
          <w:p>
            <w:pPr>
              <w:jc w:val="right"/>
              <w:ind w:right="204"/>
              <w:spacing w:after="0"/>
              <w:rPr>
                <w:sz w:val="20"/>
                <w:szCs w:val="20"/>
                <w:color w:val="auto"/>
              </w:rPr>
            </w:pPr>
            <w:r>
              <w:rPr>
                <w:rFonts w:ascii="Arial" w:cs="Arial" w:eastAsia="Arial" w:hAnsi="Arial"/>
                <w:sz w:val="15"/>
                <w:szCs w:val="15"/>
                <w:color w:val="51555C"/>
              </w:rPr>
              <w:t>$</w:t>
            </w:r>
          </w:p>
        </w:tc>
        <w:tc>
          <w:tcPr>
            <w:tcW w:w="980" w:type="dxa"/>
            <w:vAlign w:val="bottom"/>
            <w:tcBorders>
              <w:bottom w:val="single" w:sz="8" w:color="0CD973"/>
            </w:tcBorders>
            <w:shd w:val="clear" w:color="auto" w:fill="EBFBFF"/>
          </w:tcPr>
          <w:p>
            <w:pPr>
              <w:jc w:val="right"/>
              <w:ind w:right="4"/>
              <w:spacing w:after="0"/>
              <w:rPr>
                <w:sz w:val="20"/>
                <w:szCs w:val="20"/>
                <w:color w:val="auto"/>
              </w:rPr>
            </w:pPr>
            <w:r>
              <w:rPr>
                <w:rFonts w:ascii="Arial" w:cs="Arial" w:eastAsia="Arial" w:hAnsi="Arial"/>
                <w:sz w:val="15"/>
                <w:szCs w:val="15"/>
                <w:color w:val="51555C"/>
              </w:rPr>
              <w:t>456,643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-4439920</wp:posOffset>
            </wp:positionV>
            <wp:extent cx="17399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6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51555C"/>
        </w:rPr>
        <w:t>The following table provides a reconciliation of cash and cash equivalents and restricted cash reported within the consolidated balance sheets that sum to the total of the same such amounts shown above in the consolidated statements of cash flows: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844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shd w:val="clear" w:color="auto" w:fill="004054"/>
          </w:tcPr>
          <w:p>
            <w:pPr>
              <w:spacing w:after="0"/>
              <w:rPr>
                <w:sz w:val="14"/>
                <w:szCs w:val="14"/>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60" w:type="dxa"/>
            <w:vAlign w:val="bottom"/>
            <w:shd w:val="clear" w:color="auto" w:fill="004054"/>
          </w:tcPr>
          <w:p>
            <w:pPr>
              <w:spacing w:after="0"/>
              <w:rPr>
                <w:sz w:val="14"/>
                <w:szCs w:val="1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203"/>
        </w:trPr>
        <w:tc>
          <w:tcPr>
            <w:tcW w:w="8440" w:type="dxa"/>
            <w:vAlign w:val="bottom"/>
            <w:vMerge w:val="continue"/>
            <w:shd w:val="clear" w:color="auto" w:fill="004054"/>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26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0" w:type="dxa"/>
            <w:vAlign w:val="bottom"/>
          </w:tcPr>
          <w:p>
            <w:pPr>
              <w:spacing w:after="0"/>
              <w:rPr>
                <w:sz w:val="1"/>
                <w:szCs w:val="1"/>
                <w:color w:val="auto"/>
              </w:rPr>
            </w:pPr>
          </w:p>
        </w:tc>
      </w:tr>
      <w:tr>
        <w:trPr>
          <w:trHeight w:val="203"/>
        </w:trPr>
        <w:tc>
          <w:tcPr>
            <w:tcW w:w="8440" w:type="dxa"/>
            <w:vAlign w:val="bottom"/>
            <w:shd w:val="clear" w:color="auto" w:fill="EBFBFF"/>
          </w:tcPr>
          <w:p>
            <w:pPr>
              <w:ind w:left="20"/>
              <w:spacing w:after="0"/>
              <w:rPr>
                <w:sz w:val="20"/>
                <w:szCs w:val="20"/>
                <w:color w:val="auto"/>
              </w:rPr>
            </w:pPr>
            <w:r>
              <w:rPr>
                <w:rFonts w:ascii="Arial" w:cs="Arial" w:eastAsia="Arial" w:hAnsi="Arial"/>
                <w:sz w:val="15"/>
                <w:szCs w:val="15"/>
                <w:color w:val="51555C"/>
              </w:rPr>
              <w:t>Cash and cash equivalents</w:t>
            </w:r>
          </w:p>
        </w:tc>
        <w:tc>
          <w:tcPr>
            <w:tcW w:w="400" w:type="dxa"/>
            <w:vAlign w:val="bottom"/>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96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34,096</w:t>
            </w:r>
          </w:p>
        </w:tc>
        <w:tc>
          <w:tcPr>
            <w:tcW w:w="260" w:type="dxa"/>
            <w:vAlign w:val="bottom"/>
            <w:shd w:val="clear" w:color="auto" w:fill="EBFBFF"/>
          </w:tcPr>
          <w:p>
            <w:pPr>
              <w:jc w:val="right"/>
              <w:ind w:right="84"/>
              <w:spacing w:after="0"/>
              <w:rPr>
                <w:sz w:val="20"/>
                <w:szCs w:val="20"/>
                <w:color w:val="auto"/>
              </w:rPr>
            </w:pPr>
            <w:r>
              <w:rPr>
                <w:rFonts w:ascii="Arial" w:cs="Arial" w:eastAsia="Arial" w:hAnsi="Arial"/>
                <w:sz w:val="15"/>
                <w:szCs w:val="15"/>
                <w:color w:val="51555C"/>
                <w:w w:val="95"/>
              </w:rPr>
              <w:t>$</w:t>
            </w:r>
          </w:p>
        </w:tc>
        <w:tc>
          <w:tcPr>
            <w:tcW w:w="1120" w:type="dxa"/>
            <w:vAlign w:val="bottom"/>
            <w:shd w:val="clear" w:color="auto" w:fill="EBFBFF"/>
          </w:tcPr>
          <w:p>
            <w:pPr>
              <w:jc w:val="right"/>
              <w:ind w:right="5"/>
              <w:spacing w:after="0"/>
              <w:rPr>
                <w:sz w:val="20"/>
                <w:szCs w:val="20"/>
                <w:color w:val="auto"/>
              </w:rPr>
            </w:pPr>
            <w:r>
              <w:rPr>
                <w:rFonts w:ascii="Arial" w:cs="Arial" w:eastAsia="Arial" w:hAnsi="Arial"/>
                <w:sz w:val="15"/>
                <w:szCs w:val="15"/>
                <w:color w:val="51555C"/>
              </w:rPr>
              <w:t>38,914</w:t>
            </w:r>
          </w:p>
        </w:tc>
        <w:tc>
          <w:tcPr>
            <w:tcW w:w="0" w:type="dxa"/>
            <w:vAlign w:val="bottom"/>
          </w:tcPr>
          <w:p>
            <w:pPr>
              <w:spacing w:after="0"/>
              <w:rPr>
                <w:sz w:val="1"/>
                <w:szCs w:val="1"/>
                <w:color w:val="auto"/>
              </w:rPr>
            </w:pPr>
          </w:p>
        </w:tc>
      </w:tr>
      <w:tr>
        <w:trPr>
          <w:trHeight w:val="201"/>
        </w:trPr>
        <w:tc>
          <w:tcPr>
            <w:tcW w:w="8440" w:type="dxa"/>
            <w:vAlign w:val="bottom"/>
            <w:tcBorders>
              <w:bottom w:val="single" w:sz="8" w:color="EBFBFF"/>
            </w:tcBorders>
          </w:tcPr>
          <w:p>
            <w:pPr>
              <w:ind w:left="20"/>
              <w:spacing w:after="0"/>
              <w:rPr>
                <w:sz w:val="20"/>
                <w:szCs w:val="20"/>
                <w:color w:val="auto"/>
              </w:rPr>
            </w:pPr>
            <w:r>
              <w:rPr>
                <w:rFonts w:ascii="Arial" w:cs="Arial" w:eastAsia="Arial" w:hAnsi="Arial"/>
                <w:sz w:val="15"/>
                <w:szCs w:val="15"/>
                <w:color w:val="51555C"/>
              </w:rPr>
              <w:t>Restricted cash</w:t>
            </w:r>
          </w:p>
        </w:tc>
        <w:tc>
          <w:tcPr>
            <w:tcW w:w="400" w:type="dxa"/>
            <w:vAlign w:val="bottom"/>
            <w:tcBorders>
              <w:bottom w:val="single" w:sz="8" w:color="51555C"/>
            </w:tcBorders>
          </w:tcPr>
          <w:p>
            <w:pPr>
              <w:spacing w:after="0"/>
              <w:rPr>
                <w:sz w:val="17"/>
                <w:szCs w:val="17"/>
                <w:color w:val="auto"/>
              </w:rPr>
            </w:pPr>
          </w:p>
        </w:tc>
        <w:tc>
          <w:tcPr>
            <w:tcW w:w="96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418,671</w:t>
            </w:r>
          </w:p>
        </w:tc>
        <w:tc>
          <w:tcPr>
            <w:tcW w:w="26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5"/>
              <w:spacing w:after="0"/>
              <w:rPr>
                <w:sz w:val="20"/>
                <w:szCs w:val="20"/>
                <w:color w:val="auto"/>
              </w:rPr>
            </w:pPr>
            <w:r>
              <w:rPr>
                <w:rFonts w:ascii="Arial" w:cs="Arial" w:eastAsia="Arial" w:hAnsi="Arial"/>
                <w:sz w:val="15"/>
                <w:szCs w:val="15"/>
                <w:color w:val="51555C"/>
              </w:rPr>
              <w:t>720,061</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5"/>
                <w:szCs w:val="15"/>
                <w:color w:val="51555C"/>
              </w:rPr>
              <w:t>Total cash, cash equivalents and restricted cash in the statement of cash flows</w:t>
            </w:r>
          </w:p>
        </w:tc>
        <w:tc>
          <w:tcPr>
            <w:tcW w:w="400" w:type="dxa"/>
            <w:vAlign w:val="bottom"/>
            <w:tcBorders>
              <w:bottom w:val="single" w:sz="8" w:color="0CD973"/>
            </w:tcBorders>
            <w:shd w:val="clear" w:color="auto" w:fill="EBFBFF"/>
          </w:tcPr>
          <w:p>
            <w:pPr>
              <w:jc w:val="right"/>
              <w:ind w:right="224"/>
              <w:spacing w:after="0"/>
              <w:rPr>
                <w:sz w:val="20"/>
                <w:szCs w:val="20"/>
                <w:color w:val="auto"/>
              </w:rPr>
            </w:pPr>
            <w:r>
              <w:rPr>
                <w:rFonts w:ascii="Arial" w:cs="Arial" w:eastAsia="Arial" w:hAnsi="Arial"/>
                <w:sz w:val="15"/>
                <w:szCs w:val="15"/>
                <w:color w:val="51555C"/>
                <w:w w:val="95"/>
              </w:rPr>
              <w:t>$</w:t>
            </w:r>
          </w:p>
        </w:tc>
        <w:tc>
          <w:tcPr>
            <w:tcW w:w="9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452,767</w:t>
            </w:r>
          </w:p>
        </w:tc>
        <w:tc>
          <w:tcPr>
            <w:tcW w:w="260" w:type="dxa"/>
            <w:vAlign w:val="bottom"/>
            <w:tcBorders>
              <w:bottom w:val="single" w:sz="8" w:color="0CD973"/>
            </w:tcBorders>
            <w:shd w:val="clear" w:color="auto" w:fill="EBFBFF"/>
          </w:tcPr>
          <w:p>
            <w:pPr>
              <w:jc w:val="right"/>
              <w:ind w:right="84"/>
              <w:spacing w:after="0"/>
              <w:rPr>
                <w:sz w:val="20"/>
                <w:szCs w:val="20"/>
                <w:color w:val="auto"/>
              </w:rPr>
            </w:pPr>
            <w:r>
              <w:rPr>
                <w:rFonts w:ascii="Arial" w:cs="Arial" w:eastAsia="Arial" w:hAnsi="Arial"/>
                <w:sz w:val="15"/>
                <w:szCs w:val="15"/>
                <w:color w:val="51555C"/>
                <w:w w:val="95"/>
              </w:rPr>
              <w:t>$</w:t>
            </w:r>
          </w:p>
        </w:tc>
        <w:tc>
          <w:tcPr>
            <w:tcW w:w="1120" w:type="dxa"/>
            <w:vAlign w:val="bottom"/>
            <w:tcBorders>
              <w:bottom w:val="single" w:sz="8" w:color="0CD973"/>
            </w:tcBorders>
            <w:shd w:val="clear" w:color="auto" w:fill="EBFBFF"/>
          </w:tcPr>
          <w:p>
            <w:pPr>
              <w:jc w:val="right"/>
              <w:ind w:right="5"/>
              <w:spacing w:after="0"/>
              <w:rPr>
                <w:sz w:val="20"/>
                <w:szCs w:val="20"/>
                <w:color w:val="auto"/>
              </w:rPr>
            </w:pPr>
            <w:r>
              <w:rPr>
                <w:rFonts w:ascii="Arial" w:cs="Arial" w:eastAsia="Arial" w:hAnsi="Arial"/>
                <w:sz w:val="15"/>
                <w:szCs w:val="15"/>
                <w:color w:val="51555C"/>
              </w:rPr>
              <w:t>758,975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51555C"/>
        </w:rPr>
        <w:t>8</w:t>
      </w:r>
    </w:p>
    <w:p>
      <w:pPr>
        <w:sectPr>
          <w:pgSz w:w="11900" w:h="16838" w:orient="portrait"/>
          <w:cols w:equalWidth="0" w:num="1">
            <w:col w:w="11220"/>
          </w:cols>
          <w:pgMar w:left="320" w:top="122"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2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80" w:type="dxa"/>
            <w:vAlign w:val="bottom"/>
            <w:shd w:val="clear" w:color="auto" w:fill="004054"/>
          </w:tcPr>
          <w:p>
            <w:pPr>
              <w:spacing w:after="0"/>
              <w:rPr>
                <w:sz w:val="16"/>
                <w:szCs w:val="16"/>
                <w:color w:val="auto"/>
              </w:rPr>
            </w:pPr>
          </w:p>
        </w:tc>
        <w:tc>
          <w:tcPr>
            <w:tcW w:w="14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6"/>
                <w:szCs w:val="16"/>
                <w:color w:val="auto"/>
              </w:rPr>
            </w:pPr>
          </w:p>
        </w:tc>
      </w:tr>
      <w:tr>
        <w:trPr>
          <w:trHeight w:val="185"/>
        </w:trPr>
        <w:tc>
          <w:tcPr>
            <w:tcW w:w="842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08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6"/>
                <w:szCs w:val="16"/>
                <w:color w:val="auto"/>
              </w:rPr>
            </w:pPr>
          </w:p>
        </w:tc>
      </w:tr>
      <w:tr>
        <w:trPr>
          <w:trHeight w:val="284"/>
        </w:trPr>
        <w:tc>
          <w:tcPr>
            <w:tcW w:w="84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00" w:type="dxa"/>
            <w:vAlign w:val="bottom"/>
            <w:shd w:val="clear" w:color="auto" w:fill="004054"/>
          </w:tcPr>
          <w:p>
            <w:pPr>
              <w:spacing w:after="0"/>
              <w:rPr>
                <w:sz w:val="24"/>
                <w:szCs w:val="24"/>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20" w:type="dxa"/>
            <w:vAlign w:val="bottom"/>
            <w:shd w:val="clear" w:color="auto" w:fill="004054"/>
          </w:tcPr>
          <w:p>
            <w:pPr>
              <w:spacing w:after="0"/>
              <w:rPr>
                <w:sz w:val="24"/>
                <w:szCs w:val="24"/>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shd w:val="clear" w:color="auto" w:fill="004054"/>
          </w:tcPr>
          <w:p>
            <w:pPr>
              <w:spacing w:after="0"/>
              <w:rPr>
                <w:sz w:val="24"/>
                <w:szCs w:val="24"/>
                <w:color w:val="auto"/>
              </w:rPr>
            </w:pPr>
          </w:p>
        </w:tc>
      </w:tr>
      <w:tr>
        <w:trPr>
          <w:trHeight w:val="202"/>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30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281,140</w:t>
            </w:r>
          </w:p>
        </w:tc>
        <w:tc>
          <w:tcPr>
            <w:tcW w:w="32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269,936</w:t>
            </w:r>
          </w:p>
        </w:tc>
        <w:tc>
          <w:tcPr>
            <w:tcW w:w="20" w:type="dxa"/>
            <w:vAlign w:val="bottom"/>
          </w:tcPr>
          <w:p>
            <w:pPr>
              <w:spacing w:after="0"/>
              <w:rPr>
                <w:sz w:val="17"/>
                <w:szCs w:val="17"/>
                <w:color w:val="auto"/>
              </w:rPr>
            </w:pPr>
          </w:p>
        </w:tc>
      </w:tr>
      <w:tr>
        <w:trPr>
          <w:trHeight w:val="34"/>
        </w:trPr>
        <w:tc>
          <w:tcPr>
            <w:tcW w:w="8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profit</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166,559</w:t>
            </w:r>
          </w:p>
        </w:tc>
        <w:tc>
          <w:tcPr>
            <w:tcW w:w="3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155,121</w:t>
            </w:r>
          </w:p>
        </w:tc>
        <w:tc>
          <w:tcPr>
            <w:tcW w:w="20" w:type="dxa"/>
            <w:vAlign w:val="bottom"/>
          </w:tcPr>
          <w:p>
            <w:pPr>
              <w:spacing w:after="0"/>
              <w:rPr>
                <w:sz w:val="17"/>
                <w:szCs w:val="17"/>
                <w:color w:val="auto"/>
              </w:rPr>
            </w:pPr>
          </w:p>
        </w:tc>
      </w:tr>
      <w:tr>
        <w:trPr>
          <w:trHeight w:val="201"/>
        </w:trPr>
        <w:tc>
          <w:tcPr>
            <w:tcW w:w="8420" w:type="dxa"/>
            <w:vAlign w:val="bottom"/>
          </w:tcPr>
          <w:p>
            <w:pPr>
              <w:ind w:left="140"/>
              <w:spacing w:after="0"/>
              <w:rPr>
                <w:sz w:val="20"/>
                <w:szCs w:val="20"/>
                <w:color w:val="auto"/>
              </w:rPr>
            </w:pPr>
            <w:r>
              <w:rPr>
                <w:rFonts w:ascii="Arial" w:cs="Arial" w:eastAsia="Arial" w:hAnsi="Arial"/>
                <w:sz w:val="14"/>
                <w:szCs w:val="14"/>
                <w:b w:val="1"/>
                <w:bCs w:val="1"/>
                <w:color w:val="51555C"/>
              </w:rPr>
              <w:t>GAAP gross margin</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59.2 %</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51555C"/>
              </w:rPr>
              <w:t>57.5 %</w:t>
            </w:r>
          </w:p>
        </w:tc>
        <w:tc>
          <w:tcPr>
            <w:tcW w:w="20" w:type="dxa"/>
            <w:vAlign w:val="bottom"/>
          </w:tcPr>
          <w:p>
            <w:pPr>
              <w:spacing w:after="0"/>
              <w:rPr>
                <w:sz w:val="17"/>
                <w:szCs w:val="17"/>
                <w:color w:val="auto"/>
              </w:rPr>
            </w:pPr>
          </w:p>
        </w:tc>
      </w:tr>
      <w:tr>
        <w:trPr>
          <w:trHeight w:val="204"/>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spacing w:after="0"/>
              <w:rPr>
                <w:sz w:val="17"/>
                <w:szCs w:val="17"/>
                <w:color w:val="auto"/>
              </w:rPr>
            </w:pP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842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3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51555C"/>
              </w:rPr>
              <w:t>3,087</w:t>
            </w: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2,698</w:t>
            </w:r>
          </w:p>
        </w:tc>
        <w:tc>
          <w:tcPr>
            <w:tcW w:w="20" w:type="dxa"/>
            <w:vAlign w:val="bottom"/>
          </w:tcPr>
          <w:p>
            <w:pPr>
              <w:spacing w:after="0"/>
              <w:rPr>
                <w:sz w:val="17"/>
                <w:szCs w:val="17"/>
                <w:color w:val="auto"/>
              </w:rPr>
            </w:pPr>
          </w:p>
        </w:tc>
      </w:tr>
      <w:tr>
        <w:trPr>
          <w:trHeight w:val="207"/>
        </w:trPr>
        <w:tc>
          <w:tcPr>
            <w:tcW w:w="84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6,267</w:t>
            </w: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7,052</w:t>
            </w:r>
          </w:p>
        </w:tc>
        <w:tc>
          <w:tcPr>
            <w:tcW w:w="20" w:type="dxa"/>
            <w:vAlign w:val="bottom"/>
          </w:tcPr>
          <w:p>
            <w:pPr>
              <w:spacing w:after="0"/>
              <w:rPr>
                <w:sz w:val="17"/>
                <w:szCs w:val="17"/>
                <w:color w:val="auto"/>
              </w:rPr>
            </w:pPr>
          </w:p>
        </w:tc>
      </w:tr>
      <w:tr>
        <w:trPr>
          <w:trHeight w:val="203"/>
        </w:trPr>
        <w:tc>
          <w:tcPr>
            <w:tcW w:w="8420" w:type="dxa"/>
            <w:vAlign w:val="bottom"/>
            <w:tcBorders>
              <w:bottom w:val="single" w:sz="8" w:color="EBFBFF"/>
            </w:tcBorders>
          </w:tcPr>
          <w:p>
            <w:pPr>
              <w:ind w:left="140"/>
              <w:spacing w:after="0" w:line="202" w:lineRule="exact"/>
              <w:rPr>
                <w:sz w:val="20"/>
                <w:szCs w:val="20"/>
                <w:color w:val="auto"/>
              </w:rPr>
            </w:pPr>
            <w:r>
              <w:rPr>
                <w:rFonts w:ascii="Arial" w:cs="Arial" w:eastAsia="Arial" w:hAnsi="Arial"/>
                <w:sz w:val="14"/>
                <w:szCs w:val="14"/>
                <w:color w:val="51555C"/>
              </w:rPr>
              <w:t>Add: GCC workforce transition costs</w:t>
            </w:r>
            <w:r>
              <w:rPr>
                <w:rFonts w:ascii="Arial" w:cs="Arial" w:eastAsia="Arial" w:hAnsi="Arial"/>
                <w:sz w:val="18"/>
                <w:szCs w:val="18"/>
                <w:color w:val="51555C"/>
                <w:vertAlign w:val="superscript"/>
              </w:rPr>
              <w:t>(1)</w:t>
            </w:r>
          </w:p>
        </w:tc>
        <w:tc>
          <w:tcPr>
            <w:tcW w:w="300" w:type="dxa"/>
            <w:vAlign w:val="bottom"/>
            <w:tcBorders>
              <w:bottom w:val="single" w:sz="8" w:color="51555C"/>
            </w:tcBorders>
          </w:tcPr>
          <w:p>
            <w:pPr>
              <w:spacing w:after="0"/>
              <w:rPr>
                <w:sz w:val="17"/>
                <w:szCs w:val="17"/>
                <w:color w:val="auto"/>
              </w:rPr>
            </w:pPr>
          </w:p>
        </w:tc>
        <w:tc>
          <w:tcPr>
            <w:tcW w:w="108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275</w:t>
            </w:r>
          </w:p>
        </w:tc>
        <w:tc>
          <w:tcPr>
            <w:tcW w:w="32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196"/>
        </w:trPr>
        <w:tc>
          <w:tcPr>
            <w:tcW w:w="8420" w:type="dxa"/>
            <w:vAlign w:val="bottom"/>
            <w:shd w:val="clear" w:color="auto" w:fill="EBFBFF"/>
          </w:tcPr>
          <w:p>
            <w:pPr>
              <w:ind w:left="360"/>
              <w:spacing w:after="0"/>
              <w:rPr>
                <w:sz w:val="20"/>
                <w:szCs w:val="20"/>
                <w:color w:val="auto"/>
              </w:rPr>
            </w:pPr>
            <w:r>
              <w:rPr>
                <w:rFonts w:ascii="Arial" w:cs="Arial" w:eastAsia="Arial" w:hAnsi="Arial"/>
                <w:sz w:val="14"/>
                <w:szCs w:val="14"/>
                <w:color w:val="51555C"/>
              </w:rPr>
              <w:t>Subtotal</w:t>
            </w:r>
          </w:p>
        </w:tc>
        <w:tc>
          <w:tcPr>
            <w:tcW w:w="300" w:type="dxa"/>
            <w:vAlign w:val="bottom"/>
            <w:tcBorders>
              <w:bottom w:val="single" w:sz="8" w:color="51555C"/>
            </w:tcBorders>
            <w:shd w:val="clear" w:color="auto" w:fill="EBFBFF"/>
          </w:tcPr>
          <w:p>
            <w:pPr>
              <w:spacing w:after="0"/>
              <w:rPr>
                <w:sz w:val="17"/>
                <w:szCs w:val="17"/>
                <w:color w:val="auto"/>
              </w:rPr>
            </w:pPr>
          </w:p>
        </w:tc>
        <w:tc>
          <w:tcPr>
            <w:tcW w:w="108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9,629</w:t>
            </w:r>
          </w:p>
        </w:tc>
        <w:tc>
          <w:tcPr>
            <w:tcW w:w="32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9,750</w:t>
            </w:r>
          </w:p>
        </w:tc>
        <w:tc>
          <w:tcPr>
            <w:tcW w:w="20" w:type="dxa"/>
            <w:vAlign w:val="bottom"/>
          </w:tcPr>
          <w:p>
            <w:pPr>
              <w:spacing w:after="0"/>
              <w:rPr>
                <w:sz w:val="17"/>
                <w:szCs w:val="17"/>
                <w:color w:val="auto"/>
              </w:rPr>
            </w:pPr>
          </w:p>
        </w:tc>
      </w:tr>
      <w:tr>
        <w:trPr>
          <w:trHeight w:val="195"/>
        </w:trPr>
        <w:tc>
          <w:tcPr>
            <w:tcW w:w="84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gross profit</w:t>
            </w:r>
          </w:p>
        </w:tc>
        <w:tc>
          <w:tcPr>
            <w:tcW w:w="3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176,188</w:t>
            </w:r>
          </w:p>
        </w:tc>
        <w:tc>
          <w:tcPr>
            <w:tcW w:w="32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164,871</w:t>
            </w:r>
          </w:p>
        </w:tc>
        <w:tc>
          <w:tcPr>
            <w:tcW w:w="20" w:type="dxa"/>
            <w:vAlign w:val="bottom"/>
          </w:tcPr>
          <w:p>
            <w:pPr>
              <w:spacing w:after="0"/>
              <w:rPr>
                <w:sz w:val="16"/>
                <w:szCs w:val="16"/>
                <w:color w:val="auto"/>
              </w:rPr>
            </w:pPr>
          </w:p>
        </w:tc>
      </w:tr>
      <w:tr>
        <w:trPr>
          <w:trHeight w:val="197"/>
        </w:trPr>
        <w:tc>
          <w:tcPr>
            <w:tcW w:w="842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gross margin</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62.7 %</w:t>
            </w: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61.1 %</w:t>
            </w:r>
          </w:p>
        </w:tc>
        <w:tc>
          <w:tcPr>
            <w:tcW w:w="20" w:type="dxa"/>
            <w:vAlign w:val="bottom"/>
          </w:tcPr>
          <w:p>
            <w:pPr>
              <w:spacing w:after="0"/>
              <w:rPr>
                <w:sz w:val="17"/>
                <w:szCs w:val="17"/>
                <w:color w:val="auto"/>
              </w:rPr>
            </w:pPr>
          </w:p>
        </w:tc>
      </w:tr>
      <w:tr>
        <w:trPr>
          <w:trHeight w:val="54"/>
        </w:trPr>
        <w:tc>
          <w:tcPr>
            <w:tcW w:w="8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income from operations</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51,445</w:t>
            </w:r>
          </w:p>
        </w:tc>
        <w:tc>
          <w:tcPr>
            <w:tcW w:w="3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19,705</w:t>
            </w:r>
          </w:p>
        </w:tc>
        <w:tc>
          <w:tcPr>
            <w:tcW w:w="20" w:type="dxa"/>
            <w:vAlign w:val="bottom"/>
          </w:tcPr>
          <w:p>
            <w:pPr>
              <w:spacing w:after="0"/>
              <w:rPr>
                <w:sz w:val="17"/>
                <w:szCs w:val="17"/>
                <w:color w:val="auto"/>
              </w:rPr>
            </w:pPr>
          </w:p>
        </w:tc>
      </w:tr>
      <w:tr>
        <w:trPr>
          <w:trHeight w:val="201"/>
        </w:trPr>
        <w:tc>
          <w:tcPr>
            <w:tcW w:w="8420" w:type="dxa"/>
            <w:vAlign w:val="bottom"/>
          </w:tcPr>
          <w:p>
            <w:pPr>
              <w:ind w:left="140"/>
              <w:spacing w:after="0"/>
              <w:rPr>
                <w:sz w:val="20"/>
                <w:szCs w:val="20"/>
                <w:color w:val="auto"/>
              </w:rPr>
            </w:pPr>
            <w:r>
              <w:rPr>
                <w:rFonts w:ascii="Arial" w:cs="Arial" w:eastAsia="Arial" w:hAnsi="Arial"/>
                <w:sz w:val="14"/>
                <w:szCs w:val="14"/>
                <w:b w:val="1"/>
                <w:bCs w:val="1"/>
                <w:color w:val="51555C"/>
              </w:rPr>
              <w:t>GAAP operating margin</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18.3 %</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51555C"/>
              </w:rPr>
              <w:t>7.3 %</w:t>
            </w:r>
          </w:p>
        </w:tc>
        <w:tc>
          <w:tcPr>
            <w:tcW w:w="20" w:type="dxa"/>
            <w:vAlign w:val="bottom"/>
          </w:tcPr>
          <w:p>
            <w:pPr>
              <w:spacing w:after="0"/>
              <w:rPr>
                <w:sz w:val="17"/>
                <w:szCs w:val="17"/>
                <w:color w:val="auto"/>
              </w:rPr>
            </w:pPr>
          </w:p>
        </w:tc>
      </w:tr>
      <w:tr>
        <w:trPr>
          <w:trHeight w:val="204"/>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spacing w:after="0"/>
              <w:rPr>
                <w:sz w:val="17"/>
                <w:szCs w:val="17"/>
                <w:color w:val="auto"/>
              </w:rPr>
            </w:pP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842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3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51555C"/>
              </w:rPr>
              <w:t>23,880</w:t>
            </w: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22,170</w:t>
            </w:r>
          </w:p>
        </w:tc>
        <w:tc>
          <w:tcPr>
            <w:tcW w:w="20" w:type="dxa"/>
            <w:vAlign w:val="bottom"/>
          </w:tcPr>
          <w:p>
            <w:pPr>
              <w:spacing w:after="0"/>
              <w:rPr>
                <w:sz w:val="17"/>
                <w:szCs w:val="17"/>
                <w:color w:val="auto"/>
              </w:rPr>
            </w:pPr>
          </w:p>
        </w:tc>
      </w:tr>
      <w:tr>
        <w:trPr>
          <w:trHeight w:val="207"/>
        </w:trPr>
        <w:tc>
          <w:tcPr>
            <w:tcW w:w="84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6,855</w:t>
            </w: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7,586</w:t>
            </w:r>
          </w:p>
        </w:tc>
        <w:tc>
          <w:tcPr>
            <w:tcW w:w="20" w:type="dxa"/>
            <w:vAlign w:val="bottom"/>
          </w:tcPr>
          <w:p>
            <w:pPr>
              <w:spacing w:after="0"/>
              <w:rPr>
                <w:sz w:val="17"/>
                <w:szCs w:val="17"/>
                <w:color w:val="auto"/>
              </w:rPr>
            </w:pPr>
          </w:p>
        </w:tc>
      </w:tr>
      <w:tr>
        <w:trPr>
          <w:trHeight w:val="203"/>
        </w:trPr>
        <w:tc>
          <w:tcPr>
            <w:tcW w:w="8420" w:type="dxa"/>
            <w:vAlign w:val="bottom"/>
          </w:tcPr>
          <w:p>
            <w:pPr>
              <w:ind w:left="140"/>
              <w:spacing w:after="0" w:line="202" w:lineRule="exact"/>
              <w:rPr>
                <w:sz w:val="20"/>
                <w:szCs w:val="20"/>
                <w:color w:val="auto"/>
              </w:rPr>
            </w:pPr>
            <w:r>
              <w:rPr>
                <w:rFonts w:ascii="Arial" w:cs="Arial" w:eastAsia="Arial" w:hAnsi="Arial"/>
                <w:sz w:val="14"/>
                <w:szCs w:val="14"/>
                <w:color w:val="51555C"/>
              </w:rPr>
              <w:t>Add: GCC workforce transition costs</w:t>
            </w:r>
            <w:r>
              <w:rPr>
                <w:rFonts w:ascii="Arial" w:cs="Arial" w:eastAsia="Arial" w:hAnsi="Arial"/>
                <w:sz w:val="18"/>
                <w:szCs w:val="18"/>
                <w:color w:val="51555C"/>
                <w:vertAlign w:val="superscript"/>
              </w:rPr>
              <w:t>(1)</w:t>
            </w:r>
          </w:p>
        </w:tc>
        <w:tc>
          <w:tcPr>
            <w:tcW w:w="3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51555C"/>
              </w:rPr>
              <w:t>1,026</w:t>
            </w: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203"/>
        </w:trPr>
        <w:tc>
          <w:tcPr>
            <w:tcW w:w="8420" w:type="dxa"/>
            <w:vAlign w:val="bottom"/>
            <w:shd w:val="clear" w:color="auto" w:fill="EBFBFF"/>
          </w:tcPr>
          <w:p>
            <w:pPr>
              <w:ind w:left="140"/>
              <w:spacing w:after="0" w:line="202" w:lineRule="exact"/>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(2)</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147</w:t>
            </w: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25,132</w:t>
            </w:r>
          </w:p>
        </w:tc>
        <w:tc>
          <w:tcPr>
            <w:tcW w:w="20" w:type="dxa"/>
            <w:vAlign w:val="bottom"/>
          </w:tcPr>
          <w:p>
            <w:pPr>
              <w:spacing w:after="0"/>
              <w:rPr>
                <w:sz w:val="17"/>
                <w:szCs w:val="17"/>
                <w:color w:val="auto"/>
              </w:rPr>
            </w:pPr>
          </w:p>
        </w:tc>
      </w:tr>
      <w:tr>
        <w:trPr>
          <w:trHeight w:val="198"/>
        </w:trPr>
        <w:tc>
          <w:tcPr>
            <w:tcW w:w="842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Add: Security Incident-related costs</w:t>
            </w:r>
          </w:p>
        </w:tc>
        <w:tc>
          <w:tcPr>
            <w:tcW w:w="300" w:type="dxa"/>
            <w:vAlign w:val="bottom"/>
            <w:tcBorders>
              <w:bottom w:val="single" w:sz="8" w:color="51555C"/>
            </w:tcBorders>
          </w:tcPr>
          <w:p>
            <w:pPr>
              <w:spacing w:after="0"/>
              <w:rPr>
                <w:sz w:val="17"/>
                <w:szCs w:val="17"/>
                <w:color w:val="auto"/>
              </w:rPr>
            </w:pPr>
          </w:p>
        </w:tc>
        <w:tc>
          <w:tcPr>
            <w:tcW w:w="108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w:t>
            </w:r>
          </w:p>
        </w:tc>
        <w:tc>
          <w:tcPr>
            <w:tcW w:w="320" w:type="dxa"/>
            <w:vAlign w:val="bottom"/>
            <w:tcBorders>
              <w:bottom w:val="single" w:sz="8" w:color="51555C"/>
            </w:tcBorders>
          </w:tcPr>
          <w:p>
            <w:pPr>
              <w:spacing w:after="0"/>
              <w:rPr>
                <w:sz w:val="17"/>
                <w:szCs w:val="17"/>
                <w:color w:val="auto"/>
              </w:rPr>
            </w:pP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2,180</w:t>
            </w:r>
          </w:p>
        </w:tc>
        <w:tc>
          <w:tcPr>
            <w:tcW w:w="20" w:type="dxa"/>
            <w:vAlign w:val="bottom"/>
          </w:tcPr>
          <w:p>
            <w:pPr>
              <w:spacing w:after="0"/>
              <w:rPr>
                <w:sz w:val="17"/>
                <w:szCs w:val="17"/>
                <w:color w:val="auto"/>
              </w:rPr>
            </w:pPr>
          </w:p>
        </w:tc>
      </w:tr>
      <w:tr>
        <w:trPr>
          <w:trHeight w:val="200"/>
        </w:trPr>
        <w:tc>
          <w:tcPr>
            <w:tcW w:w="8420" w:type="dxa"/>
            <w:vAlign w:val="bottom"/>
            <w:shd w:val="clear" w:color="auto" w:fill="EBFBFF"/>
          </w:tcPr>
          <w:p>
            <w:pPr>
              <w:ind w:left="360"/>
              <w:spacing w:after="0"/>
              <w:rPr>
                <w:sz w:val="20"/>
                <w:szCs w:val="20"/>
                <w:color w:val="auto"/>
              </w:rPr>
            </w:pPr>
            <w:r>
              <w:rPr>
                <w:rFonts w:ascii="Arial" w:cs="Arial" w:eastAsia="Arial" w:hAnsi="Arial"/>
                <w:sz w:val="14"/>
                <w:szCs w:val="14"/>
                <w:color w:val="51555C"/>
              </w:rPr>
              <w:t>Subtotal</w:t>
            </w:r>
          </w:p>
        </w:tc>
        <w:tc>
          <w:tcPr>
            <w:tcW w:w="300" w:type="dxa"/>
            <w:vAlign w:val="bottom"/>
            <w:tcBorders>
              <w:bottom w:val="single" w:sz="8" w:color="51555C"/>
            </w:tcBorders>
            <w:shd w:val="clear" w:color="auto" w:fill="EBFBFF"/>
          </w:tcPr>
          <w:p>
            <w:pPr>
              <w:spacing w:after="0"/>
              <w:rPr>
                <w:sz w:val="17"/>
                <w:szCs w:val="17"/>
                <w:color w:val="auto"/>
              </w:rPr>
            </w:pPr>
          </w:p>
        </w:tc>
        <w:tc>
          <w:tcPr>
            <w:tcW w:w="108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31,908</w:t>
            </w:r>
          </w:p>
        </w:tc>
        <w:tc>
          <w:tcPr>
            <w:tcW w:w="32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57,068</w:t>
            </w:r>
          </w:p>
        </w:tc>
        <w:tc>
          <w:tcPr>
            <w:tcW w:w="20" w:type="dxa"/>
            <w:vAlign w:val="bottom"/>
          </w:tcPr>
          <w:p>
            <w:pPr>
              <w:spacing w:after="0"/>
              <w:rPr>
                <w:sz w:val="17"/>
                <w:szCs w:val="17"/>
                <w:color w:val="auto"/>
              </w:rPr>
            </w:pPr>
          </w:p>
        </w:tc>
      </w:tr>
      <w:tr>
        <w:trPr>
          <w:trHeight w:val="195"/>
        </w:trPr>
        <w:tc>
          <w:tcPr>
            <w:tcW w:w="84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income from operations</w:t>
            </w:r>
          </w:p>
        </w:tc>
        <w:tc>
          <w:tcPr>
            <w:tcW w:w="3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83,353</w:t>
            </w:r>
          </w:p>
        </w:tc>
        <w:tc>
          <w:tcPr>
            <w:tcW w:w="32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76,773</w:t>
            </w:r>
          </w:p>
        </w:tc>
        <w:tc>
          <w:tcPr>
            <w:tcW w:w="20" w:type="dxa"/>
            <w:vAlign w:val="bottom"/>
          </w:tcPr>
          <w:p>
            <w:pPr>
              <w:spacing w:after="0"/>
              <w:rPr>
                <w:sz w:val="16"/>
                <w:szCs w:val="16"/>
                <w:color w:val="auto"/>
              </w:rPr>
            </w:pPr>
          </w:p>
        </w:tc>
      </w:tr>
      <w:tr>
        <w:trPr>
          <w:trHeight w:val="197"/>
        </w:trPr>
        <w:tc>
          <w:tcPr>
            <w:tcW w:w="842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operating margin</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29.6 %</w:t>
            </w: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28.4 %</w:t>
            </w:r>
          </w:p>
        </w:tc>
        <w:tc>
          <w:tcPr>
            <w:tcW w:w="20" w:type="dxa"/>
            <w:vAlign w:val="bottom"/>
          </w:tcPr>
          <w:p>
            <w:pPr>
              <w:spacing w:after="0"/>
              <w:rPr>
                <w:sz w:val="17"/>
                <w:szCs w:val="17"/>
                <w:color w:val="auto"/>
              </w:rPr>
            </w:pPr>
          </w:p>
        </w:tc>
      </w:tr>
      <w:tr>
        <w:trPr>
          <w:trHeight w:val="54"/>
        </w:trPr>
        <w:tc>
          <w:tcPr>
            <w:tcW w:w="8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GAAP income before provision for income taxes</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37,805</w:t>
            </w:r>
          </w:p>
        </w:tc>
        <w:tc>
          <w:tcPr>
            <w:tcW w:w="3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4,865</w:t>
            </w:r>
          </w:p>
        </w:tc>
        <w:tc>
          <w:tcPr>
            <w:tcW w:w="20" w:type="dxa"/>
            <w:vAlign w:val="bottom"/>
          </w:tcPr>
          <w:p>
            <w:pPr>
              <w:spacing w:after="0"/>
              <w:rPr>
                <w:sz w:val="17"/>
                <w:szCs w:val="17"/>
                <w:color w:val="auto"/>
              </w:rPr>
            </w:pPr>
          </w:p>
        </w:tc>
      </w:tr>
      <w:tr>
        <w:trPr>
          <w:trHeight w:val="237"/>
        </w:trPr>
        <w:tc>
          <w:tcPr>
            <w:tcW w:w="84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GAAP net income</w:t>
            </w:r>
          </w:p>
        </w:tc>
        <w:tc>
          <w:tcPr>
            <w:tcW w:w="300" w:type="dxa"/>
            <w:vAlign w:val="bottom"/>
            <w:tcBorders>
              <w:bottom w:val="single" w:sz="8" w:color="EBFBFF"/>
            </w:tcBorders>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tcPr>
          <w:p>
            <w:pPr>
              <w:jc w:val="right"/>
              <w:ind w:right="88"/>
              <w:spacing w:after="0"/>
              <w:rPr>
                <w:sz w:val="20"/>
                <w:szCs w:val="20"/>
                <w:color w:val="auto"/>
              </w:rPr>
            </w:pPr>
            <w:r>
              <w:rPr>
                <w:rFonts w:ascii="Arial" w:cs="Arial" w:eastAsia="Arial" w:hAnsi="Arial"/>
                <w:sz w:val="14"/>
                <w:szCs w:val="14"/>
                <w:color w:val="51555C"/>
              </w:rPr>
              <w:t>31,139</w:t>
            </w:r>
          </w:p>
        </w:tc>
        <w:tc>
          <w:tcPr>
            <w:tcW w:w="320" w:type="dxa"/>
            <w:vAlign w:val="bottom"/>
            <w:tcBorders>
              <w:bottom w:val="single" w:sz="8" w:color="EBFBFF"/>
            </w:tcBorders>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EBFBFF"/>
            </w:tcBorders>
          </w:tcPr>
          <w:p>
            <w:pPr>
              <w:jc w:val="right"/>
              <w:ind w:right="108"/>
              <w:spacing w:after="0"/>
              <w:rPr>
                <w:sz w:val="20"/>
                <w:szCs w:val="20"/>
                <w:color w:val="auto"/>
              </w:rPr>
            </w:pPr>
            <w:r>
              <w:rPr>
                <w:rFonts w:ascii="Arial" w:cs="Arial" w:eastAsia="Arial" w:hAnsi="Arial"/>
                <w:sz w:val="14"/>
                <w:szCs w:val="14"/>
                <w:color w:val="51555C"/>
              </w:rPr>
              <w:t>4,323</w:t>
            </w:r>
          </w:p>
        </w:tc>
        <w:tc>
          <w:tcPr>
            <w:tcW w:w="20" w:type="dxa"/>
            <w:vAlign w:val="bottom"/>
          </w:tcPr>
          <w:p>
            <w:pPr>
              <w:spacing w:after="0"/>
              <w:rPr>
                <w:sz w:val="20"/>
                <w:szCs w:val="20"/>
                <w:color w:val="auto"/>
              </w:rPr>
            </w:pPr>
          </w:p>
        </w:tc>
      </w:tr>
      <w:tr>
        <w:trPr>
          <w:trHeight w:val="198"/>
        </w:trPr>
        <w:tc>
          <w:tcPr>
            <w:tcW w:w="8420" w:type="dxa"/>
            <w:vAlign w:val="bottom"/>
          </w:tcPr>
          <w:p>
            <w:pPr>
              <w:ind w:left="20"/>
              <w:spacing w:after="0"/>
              <w:rPr>
                <w:sz w:val="20"/>
                <w:szCs w:val="20"/>
                <w:color w:val="auto"/>
              </w:rPr>
            </w:pPr>
            <w:r>
              <w:rPr>
                <w:rFonts w:ascii="Arial" w:cs="Arial" w:eastAsia="Arial" w:hAnsi="Arial"/>
                <w:sz w:val="14"/>
                <w:szCs w:val="14"/>
                <w:color w:val="51555C"/>
              </w:rPr>
              <w:t>Shares used in computing GAAP diluted earnings per share</w:t>
            </w:r>
          </w:p>
        </w:tc>
        <w:tc>
          <w:tcPr>
            <w:tcW w:w="3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51555C"/>
              </w:rPr>
              <w:t>46,351,379</w:t>
            </w: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49,445,079</w:t>
            </w:r>
          </w:p>
        </w:tc>
        <w:tc>
          <w:tcPr>
            <w:tcW w:w="20" w:type="dxa"/>
            <w:vAlign w:val="bottom"/>
          </w:tcPr>
          <w:p>
            <w:pPr>
              <w:spacing w:after="0"/>
              <w:rPr>
                <w:sz w:val="17"/>
                <w:szCs w:val="17"/>
                <w:color w:val="auto"/>
              </w:rPr>
            </w:pPr>
          </w:p>
        </w:tc>
      </w:tr>
      <w:tr>
        <w:trPr>
          <w:trHeight w:val="206"/>
        </w:trPr>
        <w:tc>
          <w:tcPr>
            <w:tcW w:w="8420" w:type="dxa"/>
            <w:vAlign w:val="bottom"/>
            <w:shd w:val="clear" w:color="auto" w:fill="EBFBFF"/>
          </w:tcPr>
          <w:p>
            <w:pPr>
              <w:ind w:left="140"/>
              <w:spacing w:after="0"/>
              <w:rPr>
                <w:sz w:val="20"/>
                <w:szCs w:val="20"/>
                <w:color w:val="auto"/>
              </w:rPr>
            </w:pPr>
            <w:r>
              <w:rPr>
                <w:rFonts w:ascii="Arial" w:cs="Arial" w:eastAsia="Arial" w:hAnsi="Arial"/>
                <w:sz w:val="14"/>
                <w:szCs w:val="14"/>
                <w:b w:val="1"/>
                <w:bCs w:val="1"/>
                <w:color w:val="51555C"/>
              </w:rPr>
              <w:t>GAAP diluted earnings per share</w:t>
            </w:r>
          </w:p>
        </w:tc>
        <w:tc>
          <w:tcPr>
            <w:tcW w:w="30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shd w:val="clear" w:color="auto" w:fill="EBFBFF"/>
          </w:tcPr>
          <w:p>
            <w:pPr>
              <w:jc w:val="right"/>
              <w:ind w:right="88"/>
              <w:spacing w:after="0"/>
              <w:rPr>
                <w:sz w:val="20"/>
                <w:szCs w:val="20"/>
                <w:color w:val="auto"/>
              </w:rPr>
            </w:pPr>
            <w:r>
              <w:rPr>
                <w:rFonts w:ascii="Arial" w:cs="Arial" w:eastAsia="Arial" w:hAnsi="Arial"/>
                <w:sz w:val="14"/>
                <w:szCs w:val="14"/>
                <w:color w:val="51555C"/>
              </w:rPr>
              <w:t>0.67</w:t>
            </w:r>
          </w:p>
        </w:tc>
        <w:tc>
          <w:tcPr>
            <w:tcW w:w="3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0.09</w:t>
            </w:r>
          </w:p>
        </w:tc>
        <w:tc>
          <w:tcPr>
            <w:tcW w:w="20" w:type="dxa"/>
            <w:vAlign w:val="bottom"/>
          </w:tcPr>
          <w:p>
            <w:pPr>
              <w:spacing w:after="0"/>
              <w:rPr>
                <w:sz w:val="17"/>
                <w:szCs w:val="17"/>
                <w:color w:val="auto"/>
              </w:rPr>
            </w:pPr>
          </w:p>
        </w:tc>
      </w:tr>
      <w:tr>
        <w:trPr>
          <w:trHeight w:val="54"/>
        </w:trPr>
        <w:tc>
          <w:tcPr>
            <w:tcW w:w="8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2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300" w:type="dxa"/>
            <w:vAlign w:val="bottom"/>
            <w:shd w:val="clear" w:color="auto" w:fill="EBFBFF"/>
          </w:tcPr>
          <w:p>
            <w:pPr>
              <w:spacing w:after="0"/>
              <w:rPr>
                <w:sz w:val="17"/>
                <w:szCs w:val="17"/>
                <w:color w:val="auto"/>
              </w:rPr>
            </w:pPr>
          </w:p>
        </w:tc>
        <w:tc>
          <w:tcPr>
            <w:tcW w:w="1080" w:type="dxa"/>
            <w:vAlign w:val="bottom"/>
            <w:shd w:val="clear" w:color="auto" w:fill="EBFBFF"/>
          </w:tcPr>
          <w:p>
            <w:pPr>
              <w:spacing w:after="0"/>
              <w:rPr>
                <w:sz w:val="17"/>
                <w:szCs w:val="17"/>
                <w:color w:val="auto"/>
              </w:rPr>
            </w:pPr>
          </w:p>
        </w:tc>
        <w:tc>
          <w:tcPr>
            <w:tcW w:w="320" w:type="dxa"/>
            <w:vAlign w:val="bottom"/>
            <w:shd w:val="clear" w:color="auto" w:fill="EBFBFF"/>
          </w:tcPr>
          <w:p>
            <w:pPr>
              <w:spacing w:after="0"/>
              <w:rPr>
                <w:sz w:val="17"/>
                <w:szCs w:val="17"/>
                <w:color w:val="auto"/>
              </w:rPr>
            </w:pPr>
          </w:p>
        </w:tc>
        <w:tc>
          <w:tcPr>
            <w:tcW w:w="112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8"/>
        </w:trPr>
        <w:tc>
          <w:tcPr>
            <w:tcW w:w="8420" w:type="dxa"/>
            <w:vAlign w:val="bottom"/>
          </w:tcPr>
          <w:p>
            <w:pPr>
              <w:ind w:left="140"/>
              <w:spacing w:after="0"/>
              <w:rPr>
                <w:sz w:val="20"/>
                <w:szCs w:val="20"/>
                <w:color w:val="auto"/>
              </w:rPr>
            </w:pPr>
            <w:r>
              <w:rPr>
                <w:rFonts w:ascii="Arial" w:cs="Arial" w:eastAsia="Arial" w:hAnsi="Arial"/>
                <w:sz w:val="14"/>
                <w:szCs w:val="14"/>
                <w:color w:val="51555C"/>
              </w:rPr>
              <w:t>Add: GAAP income tax provision</w:t>
            </w:r>
          </w:p>
        </w:tc>
        <w:tc>
          <w:tcPr>
            <w:tcW w:w="300" w:type="dxa"/>
            <w:vAlign w:val="bottom"/>
          </w:tcPr>
          <w:p>
            <w:pPr>
              <w:spacing w:after="0"/>
              <w:rPr>
                <w:sz w:val="17"/>
                <w:szCs w:val="17"/>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51555C"/>
              </w:rPr>
              <w:t>6,666</w:t>
            </w: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542</w:t>
            </w:r>
          </w:p>
        </w:tc>
        <w:tc>
          <w:tcPr>
            <w:tcW w:w="20" w:type="dxa"/>
            <w:vAlign w:val="bottom"/>
          </w:tcPr>
          <w:p>
            <w:pPr>
              <w:spacing w:after="0"/>
              <w:rPr>
                <w:sz w:val="17"/>
                <w:szCs w:val="17"/>
                <w:color w:val="auto"/>
              </w:rPr>
            </w:pPr>
          </w:p>
        </w:tc>
      </w:tr>
      <w:tr>
        <w:trPr>
          <w:trHeight w:val="207"/>
        </w:trPr>
        <w:tc>
          <w:tcPr>
            <w:tcW w:w="84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Total non-GAAP adjustments affecting income from operations</w:t>
            </w:r>
          </w:p>
        </w:tc>
        <w:tc>
          <w:tcPr>
            <w:tcW w:w="300" w:type="dxa"/>
            <w:vAlign w:val="bottom"/>
            <w:tcBorders>
              <w:bottom w:val="single" w:sz="8" w:color="51555C"/>
            </w:tcBorders>
            <w:shd w:val="clear" w:color="auto" w:fill="EBFBFF"/>
          </w:tcPr>
          <w:p>
            <w:pPr>
              <w:spacing w:after="0"/>
              <w:rPr>
                <w:sz w:val="17"/>
                <w:szCs w:val="17"/>
                <w:color w:val="auto"/>
              </w:rPr>
            </w:pPr>
          </w:p>
        </w:tc>
        <w:tc>
          <w:tcPr>
            <w:tcW w:w="108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31,908</w:t>
            </w:r>
          </w:p>
        </w:tc>
        <w:tc>
          <w:tcPr>
            <w:tcW w:w="32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57,068</w:t>
            </w:r>
          </w:p>
        </w:tc>
        <w:tc>
          <w:tcPr>
            <w:tcW w:w="20" w:type="dxa"/>
            <w:vAlign w:val="bottom"/>
          </w:tcPr>
          <w:p>
            <w:pPr>
              <w:spacing w:after="0"/>
              <w:rPr>
                <w:sz w:val="17"/>
                <w:szCs w:val="17"/>
                <w:color w:val="auto"/>
              </w:rPr>
            </w:pPr>
          </w:p>
        </w:tc>
      </w:tr>
      <w:tr>
        <w:trPr>
          <w:trHeight w:val="195"/>
        </w:trPr>
        <w:tc>
          <w:tcPr>
            <w:tcW w:w="8420" w:type="dxa"/>
            <w:vAlign w:val="bottom"/>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p>
        </w:tc>
        <w:tc>
          <w:tcPr>
            <w:tcW w:w="30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4"/>
                <w:szCs w:val="14"/>
                <w:color w:val="51555C"/>
              </w:rPr>
              <w:t>69,713</w:t>
            </w:r>
          </w:p>
        </w:tc>
        <w:tc>
          <w:tcPr>
            <w:tcW w:w="3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51555C"/>
              </w:rPr>
              <w:t>61,933</w:t>
            </w:r>
          </w:p>
        </w:tc>
        <w:tc>
          <w:tcPr>
            <w:tcW w:w="20" w:type="dxa"/>
            <w:vAlign w:val="bottom"/>
          </w:tcPr>
          <w:p>
            <w:pPr>
              <w:spacing w:after="0"/>
              <w:rPr>
                <w:sz w:val="16"/>
                <w:szCs w:val="16"/>
                <w:color w:val="auto"/>
              </w:rPr>
            </w:pPr>
          </w:p>
        </w:tc>
      </w:tr>
      <w:tr>
        <w:trPr>
          <w:trHeight w:val="203"/>
        </w:trPr>
        <w:tc>
          <w:tcPr>
            <w:tcW w:w="8420" w:type="dxa"/>
            <w:vAlign w:val="bottom"/>
            <w:shd w:val="clear" w:color="auto" w:fill="EBFBFF"/>
          </w:tcPr>
          <w:p>
            <w:pPr>
              <w:ind w:left="140"/>
              <w:spacing w:after="0" w:line="203" w:lineRule="exact"/>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(3)</w:t>
            </w:r>
          </w:p>
        </w:tc>
        <w:tc>
          <w:tcPr>
            <w:tcW w:w="300" w:type="dxa"/>
            <w:vAlign w:val="bottom"/>
            <w:tcBorders>
              <w:bottom w:val="single" w:sz="8" w:color="51555C"/>
            </w:tcBorders>
            <w:shd w:val="clear" w:color="auto" w:fill="EBFBFF"/>
          </w:tcPr>
          <w:p>
            <w:pPr>
              <w:spacing w:after="0"/>
              <w:rPr>
                <w:sz w:val="17"/>
                <w:szCs w:val="17"/>
                <w:color w:val="auto"/>
              </w:rPr>
            </w:pPr>
          </w:p>
        </w:tc>
        <w:tc>
          <w:tcPr>
            <w:tcW w:w="1080" w:type="dxa"/>
            <w:vAlign w:val="bottom"/>
            <w:tcBorders>
              <w:bottom w:val="single" w:sz="8" w:color="51555C"/>
            </w:tcBorders>
            <w:shd w:val="clear" w:color="auto" w:fill="EBFBFF"/>
          </w:tcPr>
          <w:p>
            <w:pPr>
              <w:jc w:val="right"/>
              <w:ind w:right="88"/>
              <w:spacing w:after="0"/>
              <w:rPr>
                <w:sz w:val="20"/>
                <w:szCs w:val="20"/>
                <w:color w:val="auto"/>
              </w:rPr>
            </w:pPr>
            <w:r>
              <w:rPr>
                <w:rFonts w:ascii="Arial" w:cs="Arial" w:eastAsia="Arial" w:hAnsi="Arial"/>
                <w:sz w:val="14"/>
                <w:szCs w:val="14"/>
                <w:color w:val="51555C"/>
              </w:rPr>
              <w:t>17,080</w:t>
            </w:r>
          </w:p>
        </w:tc>
        <w:tc>
          <w:tcPr>
            <w:tcW w:w="320" w:type="dxa"/>
            <w:vAlign w:val="bottom"/>
            <w:tcBorders>
              <w:bottom w:val="single" w:sz="8" w:color="51555C"/>
            </w:tcBorders>
            <w:shd w:val="clear" w:color="auto" w:fill="EBFBFF"/>
          </w:tcPr>
          <w:p>
            <w:pPr>
              <w:spacing w:after="0"/>
              <w:rPr>
                <w:sz w:val="17"/>
                <w:szCs w:val="17"/>
                <w:color w:val="auto"/>
              </w:rPr>
            </w:pPr>
          </w:p>
        </w:tc>
        <w:tc>
          <w:tcPr>
            <w:tcW w:w="112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15,174</w:t>
            </w:r>
          </w:p>
        </w:tc>
        <w:tc>
          <w:tcPr>
            <w:tcW w:w="20" w:type="dxa"/>
            <w:vAlign w:val="bottom"/>
          </w:tcPr>
          <w:p>
            <w:pPr>
              <w:spacing w:after="0"/>
              <w:rPr>
                <w:sz w:val="17"/>
                <w:szCs w:val="17"/>
                <w:color w:val="auto"/>
              </w:rPr>
            </w:pPr>
          </w:p>
        </w:tc>
      </w:tr>
      <w:tr>
        <w:trPr>
          <w:trHeight w:val="235"/>
        </w:trPr>
        <w:tc>
          <w:tcPr>
            <w:tcW w:w="8420" w:type="dxa"/>
            <w:vAlign w:val="bottom"/>
            <w:tcBorders>
              <w:bottom w:val="single" w:sz="8" w:color="EBFBFF"/>
            </w:tcBorders>
          </w:tcPr>
          <w:p>
            <w:pPr>
              <w:ind w:left="20"/>
              <w:spacing w:after="0"/>
              <w:rPr>
                <w:sz w:val="20"/>
                <w:szCs w:val="20"/>
                <w:color w:val="auto"/>
              </w:rPr>
            </w:pPr>
            <w:r>
              <w:rPr>
                <w:rFonts w:ascii="Arial" w:cs="Arial" w:eastAsia="Arial" w:hAnsi="Arial"/>
                <w:sz w:val="14"/>
                <w:szCs w:val="14"/>
                <w:b w:val="1"/>
                <w:bCs w:val="1"/>
                <w:color w:val="51555C"/>
              </w:rPr>
              <w:t>Non-GAAP net income</w:t>
            </w:r>
          </w:p>
        </w:tc>
        <w:tc>
          <w:tcPr>
            <w:tcW w:w="30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51555C"/>
            </w:tcBorders>
          </w:tcPr>
          <w:p>
            <w:pPr>
              <w:jc w:val="right"/>
              <w:ind w:right="88"/>
              <w:spacing w:after="0"/>
              <w:rPr>
                <w:sz w:val="20"/>
                <w:szCs w:val="20"/>
                <w:color w:val="auto"/>
              </w:rPr>
            </w:pPr>
            <w:r>
              <w:rPr>
                <w:rFonts w:ascii="Arial" w:cs="Arial" w:eastAsia="Arial" w:hAnsi="Arial"/>
                <w:sz w:val="14"/>
                <w:szCs w:val="14"/>
                <w:color w:val="51555C"/>
              </w:rPr>
              <w:t>52,633</w:t>
            </w:r>
          </w:p>
        </w:tc>
        <w:tc>
          <w:tcPr>
            <w:tcW w:w="32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51555C"/>
            </w:tcBorders>
          </w:tcPr>
          <w:p>
            <w:pPr>
              <w:jc w:val="right"/>
              <w:ind w:right="108"/>
              <w:spacing w:after="0"/>
              <w:rPr>
                <w:sz w:val="20"/>
                <w:szCs w:val="20"/>
                <w:color w:val="auto"/>
              </w:rPr>
            </w:pPr>
            <w:r>
              <w:rPr>
                <w:rFonts w:ascii="Arial" w:cs="Arial" w:eastAsia="Arial" w:hAnsi="Arial"/>
                <w:sz w:val="14"/>
                <w:szCs w:val="14"/>
                <w:color w:val="51555C"/>
              </w:rPr>
              <w:t>46,759</w:t>
            </w:r>
          </w:p>
        </w:tc>
        <w:tc>
          <w:tcPr>
            <w:tcW w:w="20" w:type="dxa"/>
            <w:vAlign w:val="bottom"/>
          </w:tcPr>
          <w:p>
            <w:pPr>
              <w:spacing w:after="0"/>
              <w:rPr>
                <w:sz w:val="20"/>
                <w:szCs w:val="20"/>
                <w:color w:val="auto"/>
              </w:rPr>
            </w:pPr>
          </w:p>
        </w:tc>
      </w:tr>
      <w:tr>
        <w:trPr>
          <w:trHeight w:val="199"/>
        </w:trPr>
        <w:tc>
          <w:tcPr>
            <w:tcW w:w="8420" w:type="dxa"/>
            <w:vAlign w:val="bottom"/>
            <w:tcBorders>
              <w:top w:val="single" w:sz="8" w:color="EBFBFF"/>
            </w:tcBorders>
          </w:tcPr>
          <w:p>
            <w:pPr>
              <w:ind w:left="20"/>
              <w:spacing w:after="0"/>
              <w:rPr>
                <w:sz w:val="20"/>
                <w:szCs w:val="20"/>
                <w:color w:val="auto"/>
              </w:rPr>
            </w:pPr>
            <w:r>
              <w:rPr>
                <w:rFonts w:ascii="Arial" w:cs="Arial" w:eastAsia="Arial" w:hAnsi="Arial"/>
                <w:sz w:val="14"/>
                <w:szCs w:val="14"/>
                <w:color w:val="51555C"/>
              </w:rPr>
              <w:t>Shares used in computing non-GAAP diluted earnings per share</w:t>
            </w:r>
          </w:p>
        </w:tc>
        <w:tc>
          <w:tcPr>
            <w:tcW w:w="300" w:type="dxa"/>
            <w:vAlign w:val="bottom"/>
            <w:tcBorders>
              <w:top w:val="single" w:sz="8" w:color="EBFBFF"/>
            </w:tcBorders>
          </w:tcPr>
          <w:p>
            <w:pPr>
              <w:spacing w:after="0"/>
              <w:rPr>
                <w:sz w:val="17"/>
                <w:szCs w:val="17"/>
                <w:color w:val="auto"/>
              </w:rPr>
            </w:pPr>
          </w:p>
        </w:tc>
        <w:tc>
          <w:tcPr>
            <w:tcW w:w="1080" w:type="dxa"/>
            <w:vAlign w:val="bottom"/>
            <w:tcBorders>
              <w:top w:val="single" w:sz="8" w:color="EBFBFF"/>
            </w:tcBorders>
          </w:tcPr>
          <w:p>
            <w:pPr>
              <w:jc w:val="right"/>
              <w:ind w:right="88"/>
              <w:spacing w:after="0"/>
              <w:rPr>
                <w:sz w:val="20"/>
                <w:szCs w:val="20"/>
                <w:color w:val="auto"/>
              </w:rPr>
            </w:pPr>
            <w:r>
              <w:rPr>
                <w:rFonts w:ascii="Arial" w:cs="Arial" w:eastAsia="Arial" w:hAnsi="Arial"/>
                <w:sz w:val="14"/>
                <w:szCs w:val="14"/>
                <w:color w:val="51555C"/>
              </w:rPr>
              <w:t>46,351,379</w:t>
            </w:r>
          </w:p>
        </w:tc>
        <w:tc>
          <w:tcPr>
            <w:tcW w:w="320" w:type="dxa"/>
            <w:vAlign w:val="bottom"/>
            <w:tcBorders>
              <w:top w:val="single" w:sz="8" w:color="EBFBFF"/>
            </w:tcBorders>
          </w:tcPr>
          <w:p>
            <w:pPr>
              <w:spacing w:after="0"/>
              <w:rPr>
                <w:sz w:val="17"/>
                <w:szCs w:val="17"/>
                <w:color w:val="auto"/>
              </w:rPr>
            </w:pPr>
          </w:p>
        </w:tc>
        <w:tc>
          <w:tcPr>
            <w:tcW w:w="1120" w:type="dxa"/>
            <w:vAlign w:val="bottom"/>
            <w:tcBorders>
              <w:top w:val="single" w:sz="8" w:color="EBFBFF"/>
            </w:tcBorders>
          </w:tcPr>
          <w:p>
            <w:pPr>
              <w:jc w:val="right"/>
              <w:ind w:right="108"/>
              <w:spacing w:after="0"/>
              <w:rPr>
                <w:sz w:val="20"/>
                <w:szCs w:val="20"/>
                <w:color w:val="auto"/>
              </w:rPr>
            </w:pPr>
            <w:r>
              <w:rPr>
                <w:rFonts w:ascii="Arial" w:cs="Arial" w:eastAsia="Arial" w:hAnsi="Arial"/>
                <w:sz w:val="14"/>
                <w:szCs w:val="14"/>
                <w:color w:val="51555C"/>
              </w:rPr>
              <w:t>49,445,079</w:t>
            </w:r>
          </w:p>
        </w:tc>
        <w:tc>
          <w:tcPr>
            <w:tcW w:w="20" w:type="dxa"/>
            <w:vAlign w:val="bottom"/>
          </w:tcPr>
          <w:p>
            <w:pPr>
              <w:spacing w:after="0"/>
              <w:rPr>
                <w:sz w:val="17"/>
                <w:szCs w:val="17"/>
                <w:color w:val="auto"/>
              </w:rPr>
            </w:pPr>
          </w:p>
        </w:tc>
      </w:tr>
      <w:tr>
        <w:trPr>
          <w:trHeight w:val="205"/>
        </w:trPr>
        <w:tc>
          <w:tcPr>
            <w:tcW w:w="842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diluted earnings per share</w:t>
            </w:r>
          </w:p>
        </w:tc>
        <w:tc>
          <w:tcPr>
            <w:tcW w:w="300" w:type="dxa"/>
            <w:vAlign w:val="bottom"/>
            <w:tcBorders>
              <w:bottom w:val="single" w:sz="8" w:color="0CD973"/>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0CD973"/>
            </w:tcBorders>
            <w:shd w:val="clear" w:color="auto" w:fill="EBFBFF"/>
          </w:tcPr>
          <w:p>
            <w:pPr>
              <w:jc w:val="right"/>
              <w:ind w:right="88"/>
              <w:spacing w:after="0"/>
              <w:rPr>
                <w:sz w:val="20"/>
                <w:szCs w:val="20"/>
                <w:color w:val="auto"/>
              </w:rPr>
            </w:pPr>
            <w:r>
              <w:rPr>
                <w:rFonts w:ascii="Arial" w:cs="Arial" w:eastAsia="Arial" w:hAnsi="Arial"/>
                <w:sz w:val="14"/>
                <w:szCs w:val="14"/>
                <w:color w:val="51555C"/>
              </w:rPr>
              <w:t>1.14</w:t>
            </w:r>
          </w:p>
        </w:tc>
        <w:tc>
          <w:tcPr>
            <w:tcW w:w="320" w:type="dxa"/>
            <w:vAlign w:val="bottom"/>
            <w:tcBorders>
              <w:bottom w:val="single" w:sz="8" w:color="0CD973"/>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0CD973"/>
            </w:tcBorders>
            <w:shd w:val="clear" w:color="auto" w:fill="EBFBFF"/>
          </w:tcPr>
          <w:p>
            <w:pPr>
              <w:jc w:val="right"/>
              <w:ind w:right="108"/>
              <w:spacing w:after="0"/>
              <w:rPr>
                <w:sz w:val="20"/>
                <w:szCs w:val="20"/>
                <w:color w:val="auto"/>
              </w:rPr>
            </w:pPr>
            <w:r>
              <w:rPr>
                <w:rFonts w:ascii="Arial" w:cs="Arial" w:eastAsia="Arial" w:hAnsi="Arial"/>
                <w:sz w:val="14"/>
                <w:szCs w:val="14"/>
                <w:color w:val="51555C"/>
              </w:rPr>
              <w:t>0.95</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-4705350</wp:posOffset>
            </wp:positionV>
            <wp:extent cx="18002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65" w:lineRule="exact"/>
        <w:rPr>
          <w:sz w:val="20"/>
          <w:szCs w:val="20"/>
          <w:color w:val="auto"/>
        </w:rPr>
      </w:pPr>
    </w:p>
    <w:p>
      <w:pPr>
        <w:ind w:left="340" w:right="60" w:hanging="332"/>
        <w:spacing w:after="0" w:line="271" w:lineRule="auto"/>
        <w:tabs>
          <w:tab w:leader="none" w:pos="327"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GCC workforce transition costs represent severance and other costs incurred in connection with the transition of certain roles to our Global Capability Center in Hyderabad, India.</w:t>
      </w:r>
    </w:p>
    <w:p>
      <w:pPr>
        <w:ind w:left="320" w:hanging="312"/>
        <w:spacing w:after="0"/>
        <w:tabs>
          <w:tab w:leader="none" w:pos="320"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Includes charges of $24.3 million incurred during the three months ended March 31, 2025 related to the release from our lease for office space in Washington, DC.</w:t>
      </w:r>
    </w:p>
    <w:p>
      <w:pPr>
        <w:spacing w:after="0" w:line="29" w:lineRule="exact"/>
        <w:rPr>
          <w:rFonts w:ascii="Arial" w:cs="Arial" w:eastAsia="Arial" w:hAnsi="Arial"/>
          <w:sz w:val="14"/>
          <w:szCs w:val="14"/>
          <w:color w:val="51555C"/>
        </w:rPr>
      </w:pPr>
    </w:p>
    <w:p>
      <w:pPr>
        <w:jc w:val="both"/>
        <w:ind w:left="340" w:right="20" w:hanging="332"/>
        <w:spacing w:after="0" w:line="265" w:lineRule="auto"/>
        <w:tabs>
          <w:tab w:leader="none" w:pos="327" w:val="left"/>
        </w:tabs>
        <w:numPr>
          <w:ilvl w:val="0"/>
          <w:numId w:val="7"/>
        </w:numPr>
        <w:rPr>
          <w:rFonts w:ascii="Arial" w:cs="Arial" w:eastAsia="Arial" w:hAnsi="Arial"/>
          <w:sz w:val="14"/>
          <w:szCs w:val="14"/>
          <w:color w:val="51555C"/>
        </w:rPr>
      </w:pPr>
      <w:r>
        <w:rPr>
          <w:rFonts w:ascii="Arial" w:cs="Arial" w:eastAsia="Arial" w:hAnsi="Arial"/>
          <w:sz w:val="14"/>
          <w:szCs w:val="14"/>
          <w:color w:val="51555C"/>
        </w:rPr>
        <w:t>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w:t>
      </w: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9</w:t>
      </w:r>
    </w:p>
    <w:p>
      <w:pPr>
        <w:sectPr>
          <w:pgSz w:w="11900" w:h="16838" w:orient="portrait"/>
          <w:cols w:equalWidth="0" w:num="1">
            <w:col w:w="11260"/>
          </w:cols>
          <w:pgMar w:left="320" w:top="122" w:right="3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20" w:type="dxa"/>
            <w:vAlign w:val="bottom"/>
            <w:shd w:val="clear" w:color="auto" w:fill="004054"/>
          </w:tcPr>
          <w:p>
            <w:pPr>
              <w:spacing w:after="0"/>
              <w:rPr>
                <w:sz w:val="15"/>
                <w:szCs w:val="15"/>
                <w:color w:val="auto"/>
              </w:rPr>
            </w:pPr>
          </w:p>
        </w:tc>
        <w:tc>
          <w:tcPr>
            <w:tcW w:w="380" w:type="dxa"/>
            <w:vAlign w:val="bottom"/>
            <w:shd w:val="clear" w:color="auto" w:fill="004054"/>
          </w:tcPr>
          <w:p>
            <w:pPr>
              <w:spacing w:after="0"/>
              <w:rPr>
                <w:sz w:val="15"/>
                <w:szCs w:val="15"/>
                <w:color w:val="auto"/>
              </w:rPr>
            </w:pPr>
          </w:p>
        </w:tc>
        <w:tc>
          <w:tcPr>
            <w:tcW w:w="23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5"/>
                <w:szCs w:val="15"/>
                <w:color w:val="auto"/>
              </w:rPr>
            </w:pPr>
          </w:p>
        </w:tc>
      </w:tr>
      <w:tr>
        <w:trPr>
          <w:trHeight w:val="185"/>
        </w:trPr>
        <w:tc>
          <w:tcPr>
            <w:tcW w:w="8520" w:type="dxa"/>
            <w:vAlign w:val="bottom"/>
            <w:shd w:val="clear" w:color="auto" w:fill="004054"/>
          </w:tcPr>
          <w:p>
            <w:pPr>
              <w:spacing w:after="0"/>
              <w:rPr>
                <w:sz w:val="16"/>
                <w:szCs w:val="16"/>
                <w:color w:val="auto"/>
              </w:rPr>
            </w:pPr>
          </w:p>
        </w:tc>
        <w:tc>
          <w:tcPr>
            <w:tcW w:w="38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6"/>
                <w:szCs w:val="16"/>
                <w:color w:val="auto"/>
              </w:rPr>
            </w:pPr>
          </w:p>
        </w:tc>
      </w:tr>
      <w:tr>
        <w:trPr>
          <w:trHeight w:val="230"/>
        </w:trPr>
        <w:tc>
          <w:tcPr>
            <w:tcW w:w="85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004054"/>
          </w:tcPr>
          <w:p>
            <w:pPr>
              <w:spacing w:after="0"/>
              <w:rPr>
                <w:sz w:val="19"/>
                <w:szCs w:val="19"/>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6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shd w:val="clear" w:color="auto" w:fill="004054"/>
          </w:tcPr>
          <w:p>
            <w:pPr>
              <w:spacing w:after="0"/>
              <w:rPr>
                <w:sz w:val="19"/>
                <w:szCs w:val="19"/>
                <w:color w:val="auto"/>
              </w:rPr>
            </w:pPr>
          </w:p>
        </w:tc>
      </w:tr>
      <w:tr>
        <w:trPr>
          <w:trHeight w:val="203"/>
        </w:trPr>
        <w:tc>
          <w:tcPr>
            <w:tcW w:w="8520" w:type="dxa"/>
            <w:vAlign w:val="bottom"/>
            <w:shd w:val="clear" w:color="auto" w:fill="EBFBFF"/>
          </w:tcPr>
          <w:p>
            <w:pPr>
              <w:ind w:left="20"/>
              <w:spacing w:after="0"/>
              <w:rPr>
                <w:sz w:val="20"/>
                <w:szCs w:val="20"/>
                <w:color w:val="auto"/>
              </w:rPr>
            </w:pPr>
            <w:r>
              <w:rPr>
                <w:rFonts w:ascii="Arial" w:cs="Arial" w:eastAsia="Arial" w:hAnsi="Arial"/>
                <w:sz w:val="15"/>
                <w:szCs w:val="15"/>
                <w:color w:val="51555C"/>
              </w:rPr>
              <w:t>GAAP revenue</w:t>
            </w:r>
          </w:p>
        </w:tc>
        <w:tc>
          <w:tcPr>
            <w:tcW w:w="380" w:type="dxa"/>
            <w:vAlign w:val="bottom"/>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281,140</w:t>
            </w:r>
          </w:p>
        </w:tc>
        <w:tc>
          <w:tcPr>
            <w:tcW w:w="360" w:type="dxa"/>
            <w:vAlign w:val="bottom"/>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269,936</w:t>
            </w:r>
          </w:p>
        </w:tc>
        <w:tc>
          <w:tcPr>
            <w:tcW w:w="20" w:type="dxa"/>
            <w:vAlign w:val="bottom"/>
          </w:tcPr>
          <w:p>
            <w:pPr>
              <w:spacing w:after="0"/>
              <w:rPr>
                <w:sz w:val="17"/>
                <w:szCs w:val="17"/>
                <w:color w:val="auto"/>
              </w:rPr>
            </w:pPr>
          </w:p>
        </w:tc>
      </w:tr>
      <w:tr>
        <w:trPr>
          <w:trHeight w:val="203"/>
        </w:trPr>
        <w:tc>
          <w:tcPr>
            <w:tcW w:w="8520" w:type="dxa"/>
            <w:vAlign w:val="bottom"/>
          </w:tcPr>
          <w:p>
            <w:pPr>
              <w:ind w:left="20"/>
              <w:spacing w:after="0"/>
              <w:rPr>
                <w:sz w:val="20"/>
                <w:szCs w:val="20"/>
                <w:color w:val="auto"/>
              </w:rPr>
            </w:pPr>
            <w:r>
              <w:rPr>
                <w:rFonts w:ascii="Arial" w:cs="Arial" w:eastAsia="Arial" w:hAnsi="Arial"/>
                <w:sz w:val="15"/>
                <w:szCs w:val="15"/>
                <w:b w:val="1"/>
                <w:bCs w:val="1"/>
                <w:color w:val="51555C"/>
              </w:rPr>
              <w:t>GAAP revenue growth</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4.2 %</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20" w:type="dxa"/>
            <w:vAlign w:val="bottom"/>
            <w:shd w:val="clear" w:color="auto" w:fill="EBFBFF"/>
          </w:tcPr>
          <w:p>
            <w:pPr>
              <w:ind w:left="140"/>
              <w:spacing w:after="0" w:line="203" w:lineRule="exact"/>
              <w:rPr>
                <w:sz w:val="20"/>
                <w:szCs w:val="20"/>
                <w:color w:val="auto"/>
              </w:rPr>
            </w:pPr>
            <w:r>
              <w:rPr>
                <w:rFonts w:ascii="Arial" w:cs="Arial" w:eastAsia="Arial" w:hAnsi="Arial"/>
                <w:sz w:val="15"/>
                <w:szCs w:val="15"/>
                <w:color w:val="51555C"/>
              </w:rPr>
              <w:t>Less: Non-GAAP revenue from divested businesses</w:t>
            </w:r>
            <w:r>
              <w:rPr>
                <w:rFonts w:ascii="Arial" w:cs="Arial" w:eastAsia="Arial" w:hAnsi="Arial"/>
                <w:sz w:val="19"/>
                <w:szCs w:val="19"/>
                <w:color w:val="51555C"/>
                <w:vertAlign w:val="superscript"/>
              </w:rPr>
              <w:t>(1)</w:t>
            </w:r>
          </w:p>
        </w:tc>
        <w:tc>
          <w:tcPr>
            <w:tcW w:w="38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w:t>
            </w:r>
          </w:p>
        </w:tc>
        <w:tc>
          <w:tcPr>
            <w:tcW w:w="360" w:type="dxa"/>
            <w:vAlign w:val="bottom"/>
            <w:tcBorders>
              <w:bottom w:val="single" w:sz="8" w:color="51555C"/>
            </w:tcBorders>
            <w:shd w:val="clear" w:color="auto" w:fill="EBFBFF"/>
          </w:tcPr>
          <w:p>
            <w:pPr>
              <w:spacing w:after="0"/>
              <w:rPr>
                <w:sz w:val="17"/>
                <w:szCs w:val="17"/>
                <w:color w:val="auto"/>
              </w:rPr>
            </w:pP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8520" w:type="dxa"/>
            <w:vAlign w:val="bottom"/>
            <w:tcBorders>
              <w:bottom w:val="single" w:sz="8" w:color="EBFBFF"/>
            </w:tcBorders>
          </w:tcPr>
          <w:p>
            <w:pPr>
              <w:ind w:left="20"/>
              <w:spacing w:after="0" w:line="196" w:lineRule="exact"/>
              <w:rPr>
                <w:sz w:val="20"/>
                <w:szCs w:val="20"/>
                <w:color w:val="auto"/>
              </w:rPr>
            </w:pPr>
            <w:r>
              <w:rPr>
                <w:rFonts w:ascii="Arial" w:cs="Arial" w:eastAsia="Arial" w:hAnsi="Arial"/>
                <w:sz w:val="15"/>
                <w:szCs w:val="15"/>
                <w:color w:val="51555C"/>
              </w:rPr>
              <w:t>Non-GAAP organic revenue</w:t>
            </w:r>
            <w:r>
              <w:rPr>
                <w:rFonts w:ascii="Arial" w:cs="Arial" w:eastAsia="Arial" w:hAnsi="Arial"/>
                <w:sz w:val="19"/>
                <w:szCs w:val="19"/>
                <w:color w:val="51555C"/>
                <w:vertAlign w:val="superscript"/>
              </w:rPr>
              <w:t>(2)</w:t>
            </w: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281,140</w:t>
            </w:r>
          </w:p>
        </w:tc>
        <w:tc>
          <w:tcPr>
            <w:tcW w:w="36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269,936</w:t>
            </w:r>
          </w:p>
        </w:tc>
        <w:tc>
          <w:tcPr>
            <w:tcW w:w="20" w:type="dxa"/>
            <w:vAlign w:val="bottom"/>
          </w:tcPr>
          <w:p>
            <w:pPr>
              <w:spacing w:after="0"/>
              <w:rPr>
                <w:sz w:val="17"/>
                <w:szCs w:val="17"/>
                <w:color w:val="auto"/>
              </w:rPr>
            </w:pPr>
          </w:p>
        </w:tc>
      </w:tr>
      <w:tr>
        <w:trPr>
          <w:trHeight w:val="196"/>
        </w:trPr>
        <w:tc>
          <w:tcPr>
            <w:tcW w:w="852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Non-GAAP organic revenue growth</w:t>
            </w: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4.2 %</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8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8520" w:type="dxa"/>
            <w:vAlign w:val="bottom"/>
            <w:shd w:val="clear" w:color="auto" w:fill="EBFBFF"/>
          </w:tcPr>
          <w:p>
            <w:pPr>
              <w:ind w:left="20"/>
              <w:spacing w:after="0" w:line="203" w:lineRule="exact"/>
              <w:rPr>
                <w:sz w:val="20"/>
                <w:szCs w:val="20"/>
                <w:color w:val="auto"/>
              </w:rPr>
            </w:pPr>
            <w:r>
              <w:rPr>
                <w:rFonts w:ascii="Arial" w:cs="Arial" w:eastAsia="Arial" w:hAnsi="Arial"/>
                <w:sz w:val="15"/>
                <w:szCs w:val="15"/>
                <w:color w:val="51555C"/>
              </w:rPr>
              <w:t>Non-GAAP organic revenue</w:t>
            </w:r>
            <w:r>
              <w:rPr>
                <w:rFonts w:ascii="Arial" w:cs="Arial" w:eastAsia="Arial" w:hAnsi="Arial"/>
                <w:sz w:val="19"/>
                <w:szCs w:val="19"/>
                <w:color w:val="51555C"/>
                <w:vertAlign w:val="superscript"/>
              </w:rPr>
              <w:t>(2)</w:t>
            </w:r>
          </w:p>
        </w:tc>
        <w:tc>
          <w:tcPr>
            <w:tcW w:w="380" w:type="dxa"/>
            <w:vAlign w:val="bottom"/>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281,140</w:t>
            </w:r>
          </w:p>
        </w:tc>
        <w:tc>
          <w:tcPr>
            <w:tcW w:w="360" w:type="dxa"/>
            <w:vAlign w:val="bottom"/>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269,936</w:t>
            </w:r>
          </w:p>
        </w:tc>
        <w:tc>
          <w:tcPr>
            <w:tcW w:w="20" w:type="dxa"/>
            <w:vAlign w:val="bottom"/>
          </w:tcPr>
          <w:p>
            <w:pPr>
              <w:spacing w:after="0"/>
              <w:rPr>
                <w:sz w:val="17"/>
                <w:szCs w:val="17"/>
                <w:color w:val="auto"/>
              </w:rPr>
            </w:pPr>
          </w:p>
        </w:tc>
      </w:tr>
      <w:tr>
        <w:trPr>
          <w:trHeight w:val="203"/>
        </w:trPr>
        <w:tc>
          <w:tcPr>
            <w:tcW w:w="8520" w:type="dxa"/>
            <w:vAlign w:val="bottom"/>
            <w:tcBorders>
              <w:bottom w:val="single" w:sz="8" w:color="EBFBFF"/>
            </w:tcBorders>
          </w:tcPr>
          <w:p>
            <w:pPr>
              <w:ind w:left="20"/>
              <w:spacing w:after="0" w:line="203" w:lineRule="exact"/>
              <w:rPr>
                <w:sz w:val="20"/>
                <w:szCs w:val="20"/>
                <w:color w:val="auto"/>
              </w:rPr>
            </w:pPr>
            <w:r>
              <w:rPr>
                <w:rFonts w:ascii="Arial" w:cs="Arial" w:eastAsia="Arial" w:hAnsi="Arial"/>
                <w:sz w:val="15"/>
                <w:szCs w:val="15"/>
                <w:color w:val="51555C"/>
              </w:rPr>
              <w:t>Foreign currency impact on non-GAAP organic revenue</w:t>
            </w:r>
            <w:r>
              <w:rPr>
                <w:rFonts w:ascii="Arial" w:cs="Arial" w:eastAsia="Arial" w:hAnsi="Arial"/>
                <w:sz w:val="19"/>
                <w:szCs w:val="19"/>
                <w:color w:val="51555C"/>
                <w:vertAlign w:val="superscript"/>
              </w:rPr>
              <w:t>(3)</w:t>
            </w:r>
          </w:p>
        </w:tc>
        <w:tc>
          <w:tcPr>
            <w:tcW w:w="380" w:type="dxa"/>
            <w:vAlign w:val="bottom"/>
            <w:tcBorders>
              <w:bottom w:val="single" w:sz="8" w:color="51555C"/>
            </w:tcBorders>
          </w:tcPr>
          <w:p>
            <w:pPr>
              <w:spacing w:after="0"/>
              <w:rPr>
                <w:sz w:val="17"/>
                <w:szCs w:val="17"/>
                <w:color w:val="auto"/>
              </w:rPr>
            </w:pPr>
          </w:p>
        </w:tc>
        <w:tc>
          <w:tcPr>
            <w:tcW w:w="1040" w:type="dxa"/>
            <w:vAlign w:val="bottom"/>
            <w:tcBorders>
              <w:bottom w:val="single" w:sz="8" w:color="51555C"/>
            </w:tcBorders>
          </w:tcPr>
          <w:p>
            <w:pPr>
              <w:jc w:val="right"/>
              <w:ind w:right="84"/>
              <w:spacing w:after="0"/>
              <w:rPr>
                <w:sz w:val="20"/>
                <w:szCs w:val="20"/>
                <w:color w:val="auto"/>
              </w:rPr>
            </w:pPr>
            <w:r>
              <w:rPr>
                <w:rFonts w:ascii="Arial" w:cs="Arial" w:eastAsia="Arial" w:hAnsi="Arial"/>
                <w:sz w:val="15"/>
                <w:szCs w:val="15"/>
                <w:color w:val="51555C"/>
              </w:rPr>
              <w:t>(2,240)</w:t>
            </w:r>
          </w:p>
        </w:tc>
        <w:tc>
          <w:tcPr>
            <w:tcW w:w="360" w:type="dxa"/>
            <w:vAlign w:val="bottom"/>
            <w:tcBorders>
              <w:bottom w:val="single" w:sz="8" w:color="51555C"/>
            </w:tcBorders>
          </w:tcPr>
          <w:p>
            <w:pPr>
              <w:spacing w:after="0"/>
              <w:rPr>
                <w:sz w:val="17"/>
                <w:szCs w:val="17"/>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8520" w:type="dxa"/>
            <w:vAlign w:val="bottom"/>
            <w:shd w:val="clear" w:color="auto" w:fill="EBFBFF"/>
          </w:tcPr>
          <w:p>
            <w:pPr>
              <w:ind w:left="20"/>
              <w:spacing w:after="0" w:line="196" w:lineRule="exact"/>
              <w:rPr>
                <w:sz w:val="20"/>
                <w:szCs w:val="20"/>
                <w:color w:val="auto"/>
              </w:rPr>
            </w:pPr>
            <w:r>
              <w:rPr>
                <w:rFonts w:ascii="Arial" w:cs="Arial" w:eastAsia="Arial" w:hAnsi="Arial"/>
                <w:sz w:val="15"/>
                <w:szCs w:val="15"/>
                <w:color w:val="51555C"/>
              </w:rPr>
              <w:t>Non-GAAP organic revenue on constant currency basis</w:t>
            </w:r>
            <w:r>
              <w:rPr>
                <w:rFonts w:ascii="Arial" w:cs="Arial" w:eastAsia="Arial" w:hAnsi="Arial"/>
                <w:sz w:val="19"/>
                <w:szCs w:val="19"/>
                <w:color w:val="51555C"/>
                <w:vertAlign w:val="superscript"/>
              </w:rPr>
              <w:t>(3)</w:t>
            </w: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278,900</w:t>
            </w:r>
          </w:p>
        </w:tc>
        <w:tc>
          <w:tcPr>
            <w:tcW w:w="360" w:type="dxa"/>
            <w:vAlign w:val="bottom"/>
            <w:tcBorders>
              <w:bottom w:val="single" w:sz="8" w:color="51555C"/>
            </w:tcBorders>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269,936</w:t>
            </w:r>
          </w:p>
        </w:tc>
        <w:tc>
          <w:tcPr>
            <w:tcW w:w="20" w:type="dxa"/>
            <w:vAlign w:val="bottom"/>
          </w:tcPr>
          <w:p>
            <w:pPr>
              <w:spacing w:after="0"/>
              <w:rPr>
                <w:sz w:val="17"/>
                <w:szCs w:val="17"/>
                <w:color w:val="auto"/>
              </w:rPr>
            </w:pPr>
          </w:p>
        </w:tc>
      </w:tr>
      <w:tr>
        <w:trPr>
          <w:trHeight w:val="196"/>
        </w:trPr>
        <w:tc>
          <w:tcPr>
            <w:tcW w:w="8520" w:type="dxa"/>
            <w:vAlign w:val="bottom"/>
          </w:tcPr>
          <w:p>
            <w:pPr>
              <w:ind w:left="20"/>
              <w:spacing w:after="0"/>
              <w:rPr>
                <w:sz w:val="20"/>
                <w:szCs w:val="20"/>
                <w:color w:val="auto"/>
              </w:rPr>
            </w:pPr>
            <w:r>
              <w:rPr>
                <w:rFonts w:ascii="Arial" w:cs="Arial" w:eastAsia="Arial" w:hAnsi="Arial"/>
                <w:sz w:val="15"/>
                <w:szCs w:val="15"/>
                <w:b w:val="1"/>
                <w:bCs w:val="1"/>
                <w:color w:val="51555C"/>
              </w:rPr>
              <w:t>Non-GAAP organic revenue growth on constant currency basis</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3.3 %</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852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360" w:type="dxa"/>
            <w:vAlign w:val="bottom"/>
            <w:shd w:val="clear" w:color="auto" w:fill="EBFBFF"/>
          </w:tcPr>
          <w:p>
            <w:pPr>
              <w:spacing w:after="0"/>
              <w:rPr>
                <w:sz w:val="23"/>
                <w:szCs w:val="23"/>
                <w:color w:val="auto"/>
              </w:rPr>
            </w:pPr>
          </w:p>
        </w:tc>
        <w:tc>
          <w:tcPr>
            <w:tcW w:w="94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01"/>
        </w:trPr>
        <w:tc>
          <w:tcPr>
            <w:tcW w:w="8520" w:type="dxa"/>
            <w:vAlign w:val="bottom"/>
          </w:tcPr>
          <w:p>
            <w:pPr>
              <w:ind w:left="20"/>
              <w:spacing w:after="0"/>
              <w:rPr>
                <w:sz w:val="20"/>
                <w:szCs w:val="20"/>
                <w:color w:val="auto"/>
              </w:rPr>
            </w:pPr>
            <w:r>
              <w:rPr>
                <w:rFonts w:ascii="Arial" w:cs="Arial" w:eastAsia="Arial" w:hAnsi="Arial"/>
                <w:sz w:val="15"/>
                <w:szCs w:val="15"/>
                <w:color w:val="51555C"/>
              </w:rPr>
              <w:t>GAAP recurring revenue</w:t>
            </w:r>
          </w:p>
        </w:tc>
        <w:tc>
          <w:tcPr>
            <w:tcW w:w="380" w:type="dxa"/>
            <w:vAlign w:val="bottom"/>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276,485</w:t>
            </w:r>
          </w:p>
        </w:tc>
        <w:tc>
          <w:tcPr>
            <w:tcW w:w="360" w:type="dxa"/>
            <w:vAlign w:val="bottom"/>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Pr>
          <w:p>
            <w:pPr>
              <w:jc w:val="right"/>
              <w:spacing w:after="0"/>
              <w:rPr>
                <w:sz w:val="20"/>
                <w:szCs w:val="20"/>
                <w:color w:val="auto"/>
              </w:rPr>
            </w:pPr>
            <w:r>
              <w:rPr>
                <w:rFonts w:ascii="Arial" w:cs="Arial" w:eastAsia="Arial" w:hAnsi="Arial"/>
                <w:sz w:val="15"/>
                <w:szCs w:val="15"/>
                <w:color w:val="51555C"/>
              </w:rPr>
              <w:t>263,325</w:t>
            </w:r>
          </w:p>
        </w:tc>
        <w:tc>
          <w:tcPr>
            <w:tcW w:w="20" w:type="dxa"/>
            <w:vAlign w:val="bottom"/>
          </w:tcPr>
          <w:p>
            <w:pPr>
              <w:spacing w:after="0"/>
              <w:rPr>
                <w:sz w:val="17"/>
                <w:szCs w:val="17"/>
                <w:color w:val="auto"/>
              </w:rPr>
            </w:pPr>
          </w:p>
        </w:tc>
      </w:tr>
      <w:tr>
        <w:trPr>
          <w:trHeight w:val="204"/>
        </w:trPr>
        <w:tc>
          <w:tcPr>
            <w:tcW w:w="852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GAAP recurring revenue growth</w:t>
            </w:r>
          </w:p>
        </w:tc>
        <w:tc>
          <w:tcPr>
            <w:tcW w:w="380" w:type="dxa"/>
            <w:vAlign w:val="bottom"/>
            <w:shd w:val="clear" w:color="auto" w:fill="EBFBFF"/>
          </w:tcPr>
          <w:p>
            <w:pPr>
              <w:spacing w:after="0"/>
              <w:rPr>
                <w:sz w:val="17"/>
                <w:szCs w:val="17"/>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5.0 %</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20" w:type="dxa"/>
            <w:vAlign w:val="bottom"/>
            <w:tcBorders>
              <w:bottom w:val="single" w:sz="8" w:color="EBFBFF"/>
            </w:tcBorders>
          </w:tcPr>
          <w:p>
            <w:pPr>
              <w:ind w:left="140"/>
              <w:spacing w:after="0" w:line="203" w:lineRule="exact"/>
              <w:rPr>
                <w:sz w:val="20"/>
                <w:szCs w:val="20"/>
                <w:color w:val="auto"/>
              </w:rPr>
            </w:pPr>
            <w:r>
              <w:rPr>
                <w:rFonts w:ascii="Arial" w:cs="Arial" w:eastAsia="Arial" w:hAnsi="Arial"/>
                <w:sz w:val="15"/>
                <w:szCs w:val="15"/>
                <w:color w:val="51555C"/>
              </w:rPr>
              <w:t>Less: Non-GAAP recurring revenue from divested businesses</w:t>
            </w:r>
            <w:r>
              <w:rPr>
                <w:rFonts w:ascii="Arial" w:cs="Arial" w:eastAsia="Arial" w:hAnsi="Arial"/>
                <w:sz w:val="19"/>
                <w:szCs w:val="19"/>
                <w:color w:val="51555C"/>
                <w:vertAlign w:val="superscript"/>
              </w:rPr>
              <w:t>(1)</w:t>
            </w:r>
          </w:p>
        </w:tc>
        <w:tc>
          <w:tcPr>
            <w:tcW w:w="380" w:type="dxa"/>
            <w:vAlign w:val="bottom"/>
            <w:tcBorders>
              <w:bottom w:val="single" w:sz="8" w:color="51555C"/>
            </w:tcBorders>
          </w:tcPr>
          <w:p>
            <w:pPr>
              <w:spacing w:after="0"/>
              <w:rPr>
                <w:sz w:val="17"/>
                <w:szCs w:val="17"/>
                <w:color w:val="auto"/>
              </w:rPr>
            </w:pP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w:t>
            </w:r>
          </w:p>
        </w:tc>
        <w:tc>
          <w:tcPr>
            <w:tcW w:w="360" w:type="dxa"/>
            <w:vAlign w:val="bottom"/>
            <w:tcBorders>
              <w:bottom w:val="single" w:sz="8" w:color="51555C"/>
            </w:tcBorders>
          </w:tcPr>
          <w:p>
            <w:pPr>
              <w:spacing w:after="0"/>
              <w:rPr>
                <w:sz w:val="17"/>
                <w:szCs w:val="17"/>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8520" w:type="dxa"/>
            <w:vAlign w:val="bottom"/>
            <w:shd w:val="clear" w:color="auto" w:fill="EBFBFF"/>
          </w:tcPr>
          <w:p>
            <w:pPr>
              <w:ind w:left="20"/>
              <w:spacing w:after="0" w:line="196" w:lineRule="exact"/>
              <w:rPr>
                <w:sz w:val="20"/>
                <w:szCs w:val="20"/>
                <w:color w:val="auto"/>
              </w:rPr>
            </w:pPr>
            <w:r>
              <w:rPr>
                <w:rFonts w:ascii="Arial" w:cs="Arial" w:eastAsia="Arial" w:hAnsi="Arial"/>
                <w:sz w:val="15"/>
                <w:szCs w:val="15"/>
                <w:color w:val="51555C"/>
              </w:rPr>
              <w:t>Non-GAAP organic recurring revenue</w:t>
            </w:r>
            <w:r>
              <w:rPr>
                <w:rFonts w:ascii="Arial" w:cs="Arial" w:eastAsia="Arial" w:hAnsi="Arial"/>
                <w:sz w:val="19"/>
                <w:szCs w:val="19"/>
                <w:color w:val="51555C"/>
                <w:vertAlign w:val="superscript"/>
              </w:rPr>
              <w:t>(2)</w:t>
            </w:r>
          </w:p>
        </w:tc>
        <w:tc>
          <w:tcPr>
            <w:tcW w:w="380" w:type="dxa"/>
            <w:vAlign w:val="bottom"/>
            <w:tcBorders>
              <w:bottom w:val="single" w:sz="8" w:color="51555C"/>
            </w:tcBorders>
            <w:shd w:val="clear" w:color="auto" w:fill="EBFBFF"/>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276,485</w:t>
            </w:r>
          </w:p>
        </w:tc>
        <w:tc>
          <w:tcPr>
            <w:tcW w:w="360" w:type="dxa"/>
            <w:vAlign w:val="bottom"/>
            <w:tcBorders>
              <w:bottom w:val="single" w:sz="8" w:color="51555C"/>
            </w:tcBorders>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263,325</w:t>
            </w:r>
          </w:p>
        </w:tc>
        <w:tc>
          <w:tcPr>
            <w:tcW w:w="20" w:type="dxa"/>
            <w:vAlign w:val="bottom"/>
          </w:tcPr>
          <w:p>
            <w:pPr>
              <w:spacing w:after="0"/>
              <w:rPr>
                <w:sz w:val="17"/>
                <w:szCs w:val="17"/>
                <w:color w:val="auto"/>
              </w:rPr>
            </w:pPr>
          </w:p>
        </w:tc>
      </w:tr>
      <w:tr>
        <w:trPr>
          <w:trHeight w:val="196"/>
        </w:trPr>
        <w:tc>
          <w:tcPr>
            <w:tcW w:w="8520" w:type="dxa"/>
            <w:vAlign w:val="bottom"/>
          </w:tcPr>
          <w:p>
            <w:pPr>
              <w:ind w:left="20"/>
              <w:spacing w:after="0"/>
              <w:rPr>
                <w:sz w:val="20"/>
                <w:szCs w:val="20"/>
                <w:color w:val="auto"/>
              </w:rPr>
            </w:pPr>
            <w:r>
              <w:rPr>
                <w:rFonts w:ascii="Arial" w:cs="Arial" w:eastAsia="Arial" w:hAnsi="Arial"/>
                <w:sz w:val="15"/>
                <w:szCs w:val="15"/>
                <w:b w:val="1"/>
                <w:bCs w:val="1"/>
                <w:color w:val="51555C"/>
              </w:rPr>
              <w:t>Non-GAAP organic recurring revenue growth</w:t>
            </w:r>
          </w:p>
        </w:tc>
        <w:tc>
          <w:tcPr>
            <w:tcW w:w="3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51555C"/>
              </w:rPr>
              <w:t>5.0 %</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8520" w:type="dxa"/>
            <w:vAlign w:val="bottom"/>
            <w:shd w:val="clear" w:color="auto" w:fill="EBFBFF"/>
          </w:tcPr>
          <w:p>
            <w:pPr>
              <w:spacing w:after="0"/>
              <w:rPr>
                <w:sz w:val="23"/>
                <w:szCs w:val="23"/>
                <w:color w:val="auto"/>
              </w:rPr>
            </w:pPr>
          </w:p>
        </w:tc>
        <w:tc>
          <w:tcPr>
            <w:tcW w:w="380" w:type="dxa"/>
            <w:vAlign w:val="bottom"/>
            <w:shd w:val="clear" w:color="auto" w:fill="EBFBFF"/>
          </w:tcPr>
          <w:p>
            <w:pPr>
              <w:spacing w:after="0"/>
              <w:rPr>
                <w:sz w:val="23"/>
                <w:szCs w:val="23"/>
                <w:color w:val="auto"/>
              </w:rPr>
            </w:pPr>
          </w:p>
        </w:tc>
        <w:tc>
          <w:tcPr>
            <w:tcW w:w="1040" w:type="dxa"/>
            <w:vAlign w:val="bottom"/>
            <w:shd w:val="clear" w:color="auto" w:fill="EBFBFF"/>
          </w:tcPr>
          <w:p>
            <w:pPr>
              <w:spacing w:after="0"/>
              <w:rPr>
                <w:sz w:val="23"/>
                <w:szCs w:val="23"/>
                <w:color w:val="auto"/>
              </w:rPr>
            </w:pPr>
          </w:p>
        </w:tc>
        <w:tc>
          <w:tcPr>
            <w:tcW w:w="360" w:type="dxa"/>
            <w:vAlign w:val="bottom"/>
            <w:shd w:val="clear" w:color="auto" w:fill="EBFBFF"/>
          </w:tcPr>
          <w:p>
            <w:pPr>
              <w:spacing w:after="0"/>
              <w:rPr>
                <w:sz w:val="23"/>
                <w:szCs w:val="23"/>
                <w:color w:val="auto"/>
              </w:rPr>
            </w:pPr>
          </w:p>
        </w:tc>
        <w:tc>
          <w:tcPr>
            <w:tcW w:w="94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03"/>
        </w:trPr>
        <w:tc>
          <w:tcPr>
            <w:tcW w:w="8520" w:type="dxa"/>
            <w:vAlign w:val="bottom"/>
          </w:tcPr>
          <w:p>
            <w:pPr>
              <w:ind w:left="20"/>
              <w:spacing w:after="0" w:line="203" w:lineRule="exact"/>
              <w:rPr>
                <w:sz w:val="20"/>
                <w:szCs w:val="20"/>
                <w:color w:val="auto"/>
              </w:rPr>
            </w:pPr>
            <w:r>
              <w:rPr>
                <w:rFonts w:ascii="Arial" w:cs="Arial" w:eastAsia="Arial" w:hAnsi="Arial"/>
                <w:sz w:val="15"/>
                <w:szCs w:val="15"/>
                <w:color w:val="51555C"/>
              </w:rPr>
              <w:t>Non-GAAP organic recurring revenue</w:t>
            </w:r>
            <w:r>
              <w:rPr>
                <w:rFonts w:ascii="Arial" w:cs="Arial" w:eastAsia="Arial" w:hAnsi="Arial"/>
                <w:sz w:val="19"/>
                <w:szCs w:val="19"/>
                <w:color w:val="51555C"/>
                <w:vertAlign w:val="superscript"/>
              </w:rPr>
              <w:t>(2)</w:t>
            </w:r>
          </w:p>
        </w:tc>
        <w:tc>
          <w:tcPr>
            <w:tcW w:w="380" w:type="dxa"/>
            <w:vAlign w:val="bottom"/>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Pr>
          <w:p>
            <w:pPr>
              <w:jc w:val="right"/>
              <w:ind w:right="124"/>
              <w:spacing w:after="0"/>
              <w:rPr>
                <w:sz w:val="20"/>
                <w:szCs w:val="20"/>
                <w:color w:val="auto"/>
              </w:rPr>
            </w:pPr>
            <w:r>
              <w:rPr>
                <w:rFonts w:ascii="Arial" w:cs="Arial" w:eastAsia="Arial" w:hAnsi="Arial"/>
                <w:sz w:val="15"/>
                <w:szCs w:val="15"/>
                <w:color w:val="51555C"/>
              </w:rPr>
              <w:t>276,485</w:t>
            </w:r>
          </w:p>
        </w:tc>
        <w:tc>
          <w:tcPr>
            <w:tcW w:w="360" w:type="dxa"/>
            <w:vAlign w:val="bottom"/>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Pr>
          <w:p>
            <w:pPr>
              <w:jc w:val="right"/>
              <w:spacing w:after="0"/>
              <w:rPr>
                <w:sz w:val="20"/>
                <w:szCs w:val="20"/>
                <w:color w:val="auto"/>
              </w:rPr>
            </w:pPr>
            <w:r>
              <w:rPr>
                <w:rFonts w:ascii="Arial" w:cs="Arial" w:eastAsia="Arial" w:hAnsi="Arial"/>
                <w:sz w:val="15"/>
                <w:szCs w:val="15"/>
                <w:color w:val="51555C"/>
              </w:rPr>
              <w:t>263,325</w:t>
            </w:r>
          </w:p>
        </w:tc>
        <w:tc>
          <w:tcPr>
            <w:tcW w:w="20" w:type="dxa"/>
            <w:vAlign w:val="bottom"/>
          </w:tcPr>
          <w:p>
            <w:pPr>
              <w:spacing w:after="0"/>
              <w:rPr>
                <w:sz w:val="17"/>
                <w:szCs w:val="17"/>
                <w:color w:val="auto"/>
              </w:rPr>
            </w:pPr>
          </w:p>
        </w:tc>
      </w:tr>
      <w:tr>
        <w:trPr>
          <w:trHeight w:val="203"/>
        </w:trPr>
        <w:tc>
          <w:tcPr>
            <w:tcW w:w="8520" w:type="dxa"/>
            <w:vAlign w:val="bottom"/>
            <w:shd w:val="clear" w:color="auto" w:fill="EBFBFF"/>
          </w:tcPr>
          <w:p>
            <w:pPr>
              <w:ind w:left="20"/>
              <w:spacing w:after="0" w:line="203" w:lineRule="exact"/>
              <w:rPr>
                <w:sz w:val="20"/>
                <w:szCs w:val="20"/>
                <w:color w:val="auto"/>
              </w:rPr>
            </w:pPr>
            <w:r>
              <w:rPr>
                <w:rFonts w:ascii="Arial" w:cs="Arial" w:eastAsia="Arial" w:hAnsi="Arial"/>
                <w:sz w:val="15"/>
                <w:szCs w:val="15"/>
                <w:color w:val="51555C"/>
              </w:rPr>
              <w:t>Foreign currency impact on non-GAAP organic recurring revenue</w:t>
            </w:r>
            <w:r>
              <w:rPr>
                <w:rFonts w:ascii="Arial" w:cs="Arial" w:eastAsia="Arial" w:hAnsi="Arial"/>
                <w:sz w:val="19"/>
                <w:szCs w:val="19"/>
                <w:color w:val="51555C"/>
                <w:vertAlign w:val="superscript"/>
              </w:rPr>
              <w:t>(3)</w:t>
            </w:r>
          </w:p>
        </w:tc>
        <w:tc>
          <w:tcPr>
            <w:tcW w:w="38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84"/>
              <w:spacing w:after="0"/>
              <w:rPr>
                <w:sz w:val="20"/>
                <w:szCs w:val="20"/>
                <w:color w:val="auto"/>
              </w:rPr>
            </w:pPr>
            <w:r>
              <w:rPr>
                <w:rFonts w:ascii="Arial" w:cs="Arial" w:eastAsia="Arial" w:hAnsi="Arial"/>
                <w:sz w:val="15"/>
                <w:szCs w:val="15"/>
                <w:color w:val="51555C"/>
              </w:rPr>
              <w:t>(2,198)</w:t>
            </w:r>
          </w:p>
        </w:tc>
        <w:tc>
          <w:tcPr>
            <w:tcW w:w="360" w:type="dxa"/>
            <w:vAlign w:val="bottom"/>
            <w:tcBorders>
              <w:bottom w:val="single" w:sz="8" w:color="51555C"/>
            </w:tcBorders>
            <w:shd w:val="clear" w:color="auto" w:fill="EBFBFF"/>
          </w:tcPr>
          <w:p>
            <w:pPr>
              <w:spacing w:after="0"/>
              <w:rPr>
                <w:sz w:val="17"/>
                <w:szCs w:val="17"/>
                <w:color w:val="auto"/>
              </w:rPr>
            </w:pP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196"/>
        </w:trPr>
        <w:tc>
          <w:tcPr>
            <w:tcW w:w="8520" w:type="dxa"/>
            <w:vAlign w:val="bottom"/>
            <w:tcBorders>
              <w:bottom w:val="single" w:sz="8" w:color="EBFBFF"/>
            </w:tcBorders>
          </w:tcPr>
          <w:p>
            <w:pPr>
              <w:ind w:left="20"/>
              <w:spacing w:after="0" w:line="196" w:lineRule="exact"/>
              <w:rPr>
                <w:sz w:val="20"/>
                <w:szCs w:val="20"/>
                <w:color w:val="auto"/>
              </w:rPr>
            </w:pPr>
            <w:r>
              <w:rPr>
                <w:rFonts w:ascii="Arial" w:cs="Arial" w:eastAsia="Arial" w:hAnsi="Arial"/>
                <w:sz w:val="15"/>
                <w:szCs w:val="15"/>
                <w:color w:val="51555C"/>
              </w:rPr>
              <w:t>Non-GAAP organic recurring revenue on constant currency basis</w:t>
            </w:r>
            <w:r>
              <w:rPr>
                <w:rFonts w:ascii="Arial" w:cs="Arial" w:eastAsia="Arial" w:hAnsi="Arial"/>
                <w:sz w:val="19"/>
                <w:szCs w:val="19"/>
                <w:color w:val="51555C"/>
                <w:vertAlign w:val="superscript"/>
              </w:rPr>
              <w:t>(3)</w:t>
            </w:r>
          </w:p>
        </w:tc>
        <w:tc>
          <w:tcPr>
            <w:tcW w:w="380" w:type="dxa"/>
            <w:vAlign w:val="bottom"/>
            <w:tcBorders>
              <w:bottom w:val="single" w:sz="8" w:color="51555C"/>
            </w:tcBorders>
          </w:tcPr>
          <w:p>
            <w:pPr>
              <w:jc w:val="right"/>
              <w:ind w:right="204"/>
              <w:spacing w:after="0"/>
              <w:rPr>
                <w:sz w:val="20"/>
                <w:szCs w:val="20"/>
                <w:color w:val="auto"/>
              </w:rPr>
            </w:pPr>
            <w:r>
              <w:rPr>
                <w:rFonts w:ascii="Arial" w:cs="Arial" w:eastAsia="Arial" w:hAnsi="Arial"/>
                <w:sz w:val="15"/>
                <w:szCs w:val="15"/>
                <w:color w:val="51555C"/>
                <w:w w:val="95"/>
              </w:rPr>
              <w:t>$</w:t>
            </w: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274,287</w:t>
            </w:r>
          </w:p>
        </w:tc>
        <w:tc>
          <w:tcPr>
            <w:tcW w:w="36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263,325</w:t>
            </w:r>
          </w:p>
        </w:tc>
        <w:tc>
          <w:tcPr>
            <w:tcW w:w="20" w:type="dxa"/>
            <w:vAlign w:val="bottom"/>
          </w:tcPr>
          <w:p>
            <w:pPr>
              <w:spacing w:after="0"/>
              <w:rPr>
                <w:sz w:val="17"/>
                <w:szCs w:val="17"/>
                <w:color w:val="auto"/>
              </w:rPr>
            </w:pPr>
          </w:p>
        </w:tc>
      </w:tr>
      <w:tr>
        <w:trPr>
          <w:trHeight w:val="196"/>
        </w:trPr>
        <w:tc>
          <w:tcPr>
            <w:tcW w:w="852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5"/>
                <w:szCs w:val="15"/>
                <w:b w:val="1"/>
                <w:bCs w:val="1"/>
                <w:color w:val="51555C"/>
              </w:rPr>
              <w:t>Non-GAAP organic recurring revenue growth on constant currency basis</w:t>
            </w:r>
          </w:p>
        </w:tc>
        <w:tc>
          <w:tcPr>
            <w:tcW w:w="380" w:type="dxa"/>
            <w:vAlign w:val="bottom"/>
            <w:tcBorders>
              <w:bottom w:val="single" w:sz="8" w:color="0CD973"/>
            </w:tcBorders>
            <w:shd w:val="clear" w:color="auto" w:fill="EBFBFF"/>
          </w:tcPr>
          <w:p>
            <w:pPr>
              <w:spacing w:after="0"/>
              <w:rPr>
                <w:sz w:val="17"/>
                <w:szCs w:val="17"/>
                <w:color w:val="auto"/>
              </w:rPr>
            </w:pP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b w:val="1"/>
                <w:bCs w:val="1"/>
                <w:color w:val="51555C"/>
              </w:rPr>
              <w:t>4.2 %</w:t>
            </w:r>
          </w:p>
        </w:tc>
        <w:tc>
          <w:tcPr>
            <w:tcW w:w="360" w:type="dxa"/>
            <w:vAlign w:val="bottom"/>
            <w:tcBorders>
              <w:bottom w:val="single" w:sz="8" w:color="0CD973"/>
            </w:tcBorders>
            <w:shd w:val="clear" w:color="auto" w:fill="EBFBFF"/>
          </w:tcPr>
          <w:p>
            <w:pPr>
              <w:spacing w:after="0"/>
              <w:rPr>
                <w:sz w:val="17"/>
                <w:szCs w:val="17"/>
                <w:color w:val="auto"/>
              </w:rPr>
            </w:pPr>
          </w:p>
        </w:tc>
        <w:tc>
          <w:tcPr>
            <w:tcW w:w="940" w:type="dxa"/>
            <w:vAlign w:val="bottom"/>
            <w:tcBorders>
              <w:bottom w:val="single" w:sz="8" w:color="0CD973"/>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-3051175</wp:posOffset>
            </wp:positionV>
            <wp:extent cx="17399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65" w:lineRule="exact"/>
        <w:rPr>
          <w:sz w:val="20"/>
          <w:szCs w:val="20"/>
          <w:color w:val="auto"/>
        </w:rPr>
      </w:pPr>
    </w:p>
    <w:p>
      <w:pPr>
        <w:ind w:left="340" w:right="20" w:hanging="332"/>
        <w:spacing w:after="0" w:line="261" w:lineRule="auto"/>
        <w:tabs>
          <w:tab w:leader="none" w:pos="327"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27"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right="20" w:hanging="332"/>
        <w:spacing w:after="0" w:line="262" w:lineRule="auto"/>
        <w:tabs>
          <w:tab w:leader="none" w:pos="327" w:val="left"/>
        </w:tabs>
        <w:numPr>
          <w:ilvl w:val="0"/>
          <w:numId w:val="8"/>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10</w:t>
      </w:r>
    </w:p>
    <w:p>
      <w:pPr>
        <w:sectPr>
          <w:pgSz w:w="11900" w:h="16838" w:orient="portrait"/>
          <w:cols w:equalWidth="0" w:num="1">
            <w:col w:w="11260"/>
          </w:cols>
          <w:pgMar w:left="320" w:top="122" w:right="3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Reconciliation of GAAP to Non-GAAP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20" w:type="dxa"/>
            <w:vAlign w:val="bottom"/>
            <w:shd w:val="clear" w:color="auto" w:fill="004054"/>
          </w:tcPr>
          <w:p>
            <w:pPr>
              <w:spacing w:after="0"/>
              <w:rPr>
                <w:sz w:val="15"/>
                <w:szCs w:val="15"/>
                <w:color w:val="auto"/>
              </w:rPr>
            </w:pPr>
          </w:p>
        </w:tc>
        <w:tc>
          <w:tcPr>
            <w:tcW w:w="420" w:type="dxa"/>
            <w:vAlign w:val="bottom"/>
            <w:shd w:val="clear" w:color="auto" w:fill="004054"/>
          </w:tcPr>
          <w:p>
            <w:pPr>
              <w:spacing w:after="0"/>
              <w:rPr>
                <w:sz w:val="15"/>
                <w:szCs w:val="15"/>
                <w:color w:val="auto"/>
              </w:rPr>
            </w:pPr>
          </w:p>
        </w:tc>
        <w:tc>
          <w:tcPr>
            <w:tcW w:w="23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004054"/>
          </w:tcPr>
          <w:p>
            <w:pPr>
              <w:spacing w:after="0"/>
              <w:rPr>
                <w:sz w:val="15"/>
                <w:szCs w:val="15"/>
                <w:color w:val="auto"/>
              </w:rPr>
            </w:pPr>
          </w:p>
        </w:tc>
      </w:tr>
      <w:tr>
        <w:trPr>
          <w:trHeight w:val="189"/>
        </w:trPr>
        <w:tc>
          <w:tcPr>
            <w:tcW w:w="852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1000" w:type="dxa"/>
            <w:vAlign w:val="bottom"/>
            <w:shd w:val="clear" w:color="auto" w:fill="004054"/>
          </w:tcPr>
          <w:p>
            <w:pPr>
              <w:spacing w:after="0"/>
              <w:rPr>
                <w:sz w:val="16"/>
                <w:szCs w:val="16"/>
                <w:color w:val="auto"/>
              </w:rPr>
            </w:pPr>
          </w:p>
        </w:tc>
        <w:tc>
          <w:tcPr>
            <w:tcW w:w="360" w:type="dxa"/>
            <w:vAlign w:val="bottom"/>
            <w:shd w:val="clear" w:color="auto" w:fill="004054"/>
          </w:tcPr>
          <w:p>
            <w:pPr>
              <w:spacing w:after="0"/>
              <w:rPr>
                <w:sz w:val="16"/>
                <w:szCs w:val="16"/>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004054"/>
          </w:tcPr>
          <w:p>
            <w:pPr>
              <w:spacing w:after="0"/>
              <w:rPr>
                <w:sz w:val="16"/>
                <w:szCs w:val="16"/>
                <w:color w:val="auto"/>
              </w:rPr>
            </w:pPr>
          </w:p>
        </w:tc>
      </w:tr>
      <w:tr>
        <w:trPr>
          <w:trHeight w:val="230"/>
        </w:trPr>
        <w:tc>
          <w:tcPr>
            <w:tcW w:w="85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004054"/>
          </w:tcPr>
          <w:p>
            <w:pPr>
              <w:spacing w:after="0"/>
              <w:rPr>
                <w:sz w:val="19"/>
                <w:szCs w:val="19"/>
                <w:color w:val="auto"/>
              </w:rPr>
            </w:pPr>
          </w:p>
        </w:tc>
        <w:tc>
          <w:tcPr>
            <w:tcW w:w="10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36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c>
          <w:tcPr>
            <w:tcW w:w="20" w:type="dxa"/>
            <w:vAlign w:val="bottom"/>
            <w:shd w:val="clear" w:color="auto" w:fill="004054"/>
          </w:tcPr>
          <w:p>
            <w:pPr>
              <w:spacing w:after="0"/>
              <w:rPr>
                <w:sz w:val="19"/>
                <w:szCs w:val="19"/>
                <w:color w:val="auto"/>
              </w:rPr>
            </w:pPr>
          </w:p>
        </w:tc>
      </w:tr>
      <w:tr>
        <w:trPr>
          <w:trHeight w:val="202"/>
        </w:trPr>
        <w:tc>
          <w:tcPr>
            <w:tcW w:w="852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GAAP net income</w:t>
            </w:r>
          </w:p>
        </w:tc>
        <w:tc>
          <w:tcPr>
            <w:tcW w:w="420" w:type="dxa"/>
            <w:vAlign w:val="bottom"/>
            <w:shd w:val="clear" w:color="auto" w:fill="EBFBFF"/>
          </w:tcPr>
          <w:p>
            <w:pPr>
              <w:jc w:val="right"/>
              <w:ind w:right="244"/>
              <w:spacing w:after="0"/>
              <w:rPr>
                <w:sz w:val="20"/>
                <w:szCs w:val="20"/>
                <w:color w:val="auto"/>
              </w:rPr>
            </w:pPr>
            <w:r>
              <w:rPr>
                <w:rFonts w:ascii="Arial" w:cs="Arial" w:eastAsia="Arial" w:hAnsi="Arial"/>
                <w:sz w:val="15"/>
                <w:szCs w:val="15"/>
                <w:color w:val="51555C"/>
                <w:w w:val="95"/>
              </w:rPr>
              <w:t>$</w:t>
            </w:r>
          </w:p>
        </w:tc>
        <w:tc>
          <w:tcPr>
            <w:tcW w:w="100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31,139</w:t>
            </w:r>
          </w:p>
        </w:tc>
        <w:tc>
          <w:tcPr>
            <w:tcW w:w="360" w:type="dxa"/>
            <w:vAlign w:val="bottom"/>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4,323</w:t>
            </w:r>
          </w:p>
        </w:tc>
        <w:tc>
          <w:tcPr>
            <w:tcW w:w="20" w:type="dxa"/>
            <w:vAlign w:val="bottom"/>
          </w:tcPr>
          <w:p>
            <w:pPr>
              <w:spacing w:after="0"/>
              <w:rPr>
                <w:sz w:val="17"/>
                <w:szCs w:val="17"/>
                <w:color w:val="auto"/>
              </w:rPr>
            </w:pPr>
          </w:p>
        </w:tc>
      </w:tr>
      <w:tr>
        <w:trPr>
          <w:trHeight w:val="203"/>
        </w:trPr>
        <w:tc>
          <w:tcPr>
            <w:tcW w:w="8520" w:type="dxa"/>
            <w:vAlign w:val="bottom"/>
          </w:tcPr>
          <w:p>
            <w:pPr>
              <w:ind w:left="20"/>
              <w:spacing w:after="0"/>
              <w:rPr>
                <w:sz w:val="20"/>
                <w:szCs w:val="20"/>
                <w:color w:val="auto"/>
              </w:rPr>
            </w:pPr>
            <w:r>
              <w:rPr>
                <w:rFonts w:ascii="Arial" w:cs="Arial" w:eastAsia="Arial" w:hAnsi="Arial"/>
                <w:sz w:val="15"/>
                <w:szCs w:val="15"/>
                <w:b w:val="1"/>
                <w:bCs w:val="1"/>
                <w:color w:val="51555C"/>
              </w:rPr>
              <w:t>Non-GAAP adjustments: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2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Interest, net</w:t>
            </w:r>
          </w:p>
        </w:tc>
        <w:tc>
          <w:tcPr>
            <w:tcW w:w="420" w:type="dxa"/>
            <w:vAlign w:val="bottom"/>
            <w:shd w:val="clear" w:color="auto" w:fill="EBFBFF"/>
          </w:tcPr>
          <w:p>
            <w:pPr>
              <w:spacing w:after="0"/>
              <w:rPr>
                <w:sz w:val="17"/>
                <w:szCs w:val="17"/>
                <w:color w:val="auto"/>
              </w:rPr>
            </w:pPr>
          </w:p>
        </w:tc>
        <w:tc>
          <w:tcPr>
            <w:tcW w:w="100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14,357</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15,290</w:t>
            </w:r>
          </w:p>
        </w:tc>
        <w:tc>
          <w:tcPr>
            <w:tcW w:w="20" w:type="dxa"/>
            <w:vAlign w:val="bottom"/>
          </w:tcPr>
          <w:p>
            <w:pPr>
              <w:spacing w:after="0"/>
              <w:rPr>
                <w:sz w:val="17"/>
                <w:szCs w:val="17"/>
                <w:color w:val="auto"/>
              </w:rPr>
            </w:pPr>
          </w:p>
        </w:tc>
      </w:tr>
      <w:tr>
        <w:trPr>
          <w:trHeight w:val="201"/>
        </w:trPr>
        <w:tc>
          <w:tcPr>
            <w:tcW w:w="8520" w:type="dxa"/>
            <w:vAlign w:val="bottom"/>
          </w:tcPr>
          <w:p>
            <w:pPr>
              <w:ind w:left="140"/>
              <w:spacing w:after="0"/>
              <w:rPr>
                <w:sz w:val="20"/>
                <w:szCs w:val="20"/>
                <w:color w:val="auto"/>
              </w:rPr>
            </w:pPr>
            <w:r>
              <w:rPr>
                <w:rFonts w:ascii="Arial" w:cs="Arial" w:eastAsia="Arial" w:hAnsi="Arial"/>
                <w:sz w:val="15"/>
                <w:szCs w:val="15"/>
                <w:color w:val="51555C"/>
              </w:rPr>
              <w:t>Add: GAAP income tax provision</w:t>
            </w:r>
          </w:p>
        </w:tc>
        <w:tc>
          <w:tcPr>
            <w:tcW w:w="42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51555C"/>
              </w:rPr>
              <w:t>6,666</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51555C"/>
              </w:rPr>
              <w:t>542</w:t>
            </w:r>
          </w:p>
        </w:tc>
        <w:tc>
          <w:tcPr>
            <w:tcW w:w="20" w:type="dxa"/>
            <w:vAlign w:val="bottom"/>
          </w:tcPr>
          <w:p>
            <w:pPr>
              <w:spacing w:after="0"/>
              <w:rPr>
                <w:sz w:val="17"/>
                <w:szCs w:val="17"/>
                <w:color w:val="auto"/>
              </w:rPr>
            </w:pPr>
          </w:p>
        </w:tc>
      </w:tr>
      <w:tr>
        <w:trPr>
          <w:trHeight w:val="204"/>
        </w:trPr>
        <w:tc>
          <w:tcPr>
            <w:tcW w:w="852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Depreciation</w:t>
            </w:r>
          </w:p>
        </w:tc>
        <w:tc>
          <w:tcPr>
            <w:tcW w:w="420" w:type="dxa"/>
            <w:vAlign w:val="bottom"/>
            <w:shd w:val="clear" w:color="auto" w:fill="EBFBFF"/>
          </w:tcPr>
          <w:p>
            <w:pPr>
              <w:spacing w:after="0"/>
              <w:rPr>
                <w:sz w:val="17"/>
                <w:szCs w:val="17"/>
                <w:color w:val="auto"/>
              </w:rPr>
            </w:pPr>
          </w:p>
        </w:tc>
        <w:tc>
          <w:tcPr>
            <w:tcW w:w="100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2,206</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2,975</w:t>
            </w:r>
          </w:p>
        </w:tc>
        <w:tc>
          <w:tcPr>
            <w:tcW w:w="20" w:type="dxa"/>
            <w:vAlign w:val="bottom"/>
          </w:tcPr>
          <w:p>
            <w:pPr>
              <w:spacing w:after="0"/>
              <w:rPr>
                <w:sz w:val="17"/>
                <w:szCs w:val="17"/>
                <w:color w:val="auto"/>
              </w:rPr>
            </w:pPr>
          </w:p>
        </w:tc>
      </w:tr>
      <w:tr>
        <w:trPr>
          <w:trHeight w:val="201"/>
        </w:trPr>
        <w:tc>
          <w:tcPr>
            <w:tcW w:w="8520" w:type="dxa"/>
            <w:vAlign w:val="bottom"/>
          </w:tcPr>
          <w:p>
            <w:pPr>
              <w:ind w:left="140"/>
              <w:spacing w:after="0"/>
              <w:rPr>
                <w:sz w:val="20"/>
                <w:szCs w:val="20"/>
                <w:color w:val="auto"/>
              </w:rPr>
            </w:pPr>
            <w:r>
              <w:rPr>
                <w:rFonts w:ascii="Arial" w:cs="Arial" w:eastAsia="Arial" w:hAnsi="Arial"/>
                <w:sz w:val="15"/>
                <w:szCs w:val="15"/>
                <w:color w:val="51555C"/>
              </w:rPr>
              <w:t>Add: Amortization of intangibles from business combinations</w:t>
            </w:r>
          </w:p>
        </w:tc>
        <w:tc>
          <w:tcPr>
            <w:tcW w:w="42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51555C"/>
              </w:rPr>
              <w:t>6,855</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51555C"/>
              </w:rPr>
              <w:t>7,586</w:t>
            </w:r>
          </w:p>
        </w:tc>
        <w:tc>
          <w:tcPr>
            <w:tcW w:w="20" w:type="dxa"/>
            <w:vAlign w:val="bottom"/>
          </w:tcPr>
          <w:p>
            <w:pPr>
              <w:spacing w:after="0"/>
              <w:rPr>
                <w:sz w:val="17"/>
                <w:szCs w:val="17"/>
                <w:color w:val="auto"/>
              </w:rPr>
            </w:pPr>
          </w:p>
        </w:tc>
      </w:tr>
      <w:tr>
        <w:trPr>
          <w:trHeight w:val="204"/>
        </w:trPr>
        <w:tc>
          <w:tcPr>
            <w:tcW w:w="8520" w:type="dxa"/>
            <w:vAlign w:val="bottom"/>
            <w:shd w:val="clear" w:color="auto" w:fill="EBFBFF"/>
          </w:tcPr>
          <w:p>
            <w:pPr>
              <w:ind w:left="140"/>
              <w:spacing w:after="0" w:line="204" w:lineRule="exact"/>
              <w:rPr>
                <w:sz w:val="20"/>
                <w:szCs w:val="20"/>
                <w:color w:val="auto"/>
              </w:rPr>
            </w:pPr>
            <w:r>
              <w:rPr>
                <w:rFonts w:ascii="Arial" w:cs="Arial" w:eastAsia="Arial" w:hAnsi="Arial"/>
                <w:sz w:val="15"/>
                <w:szCs w:val="15"/>
                <w:color w:val="51555C"/>
              </w:rPr>
              <w:t>Add: Amortization of software development costs</w:t>
            </w:r>
            <w:r>
              <w:rPr>
                <w:rFonts w:ascii="Arial" w:cs="Arial" w:eastAsia="Arial" w:hAnsi="Arial"/>
                <w:sz w:val="19"/>
                <w:szCs w:val="19"/>
                <w:color w:val="51555C"/>
                <w:vertAlign w:val="superscript"/>
              </w:rPr>
              <w:t>(1)</w:t>
            </w:r>
          </w:p>
        </w:tc>
        <w:tc>
          <w:tcPr>
            <w:tcW w:w="42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12,421</w:t>
            </w:r>
          </w:p>
        </w:tc>
        <w:tc>
          <w:tcPr>
            <w:tcW w:w="360" w:type="dxa"/>
            <w:vAlign w:val="bottom"/>
            <w:tcBorders>
              <w:bottom w:val="single" w:sz="8" w:color="51555C"/>
            </w:tcBorders>
            <w:shd w:val="clear" w:color="auto" w:fill="EBFBFF"/>
          </w:tcPr>
          <w:p>
            <w:pPr>
              <w:spacing w:after="0"/>
              <w:rPr>
                <w:sz w:val="17"/>
                <w:szCs w:val="17"/>
                <w:color w:val="auto"/>
              </w:rPr>
            </w:pP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11,872</w:t>
            </w:r>
          </w:p>
        </w:tc>
        <w:tc>
          <w:tcPr>
            <w:tcW w:w="20" w:type="dxa"/>
            <w:vAlign w:val="bottom"/>
          </w:tcPr>
          <w:p>
            <w:pPr>
              <w:spacing w:after="0"/>
              <w:rPr>
                <w:sz w:val="17"/>
                <w:szCs w:val="17"/>
                <w:color w:val="auto"/>
              </w:rPr>
            </w:pPr>
          </w:p>
        </w:tc>
      </w:tr>
      <w:tr>
        <w:trPr>
          <w:trHeight w:val="195"/>
        </w:trPr>
        <w:tc>
          <w:tcPr>
            <w:tcW w:w="8520" w:type="dxa"/>
            <w:vAlign w:val="bottom"/>
            <w:tcBorders>
              <w:bottom w:val="single" w:sz="8" w:color="EBFBFF"/>
            </w:tcBorders>
          </w:tcPr>
          <w:p>
            <w:pPr>
              <w:ind w:left="360"/>
              <w:spacing w:after="0"/>
              <w:rPr>
                <w:sz w:val="20"/>
                <w:szCs w:val="20"/>
                <w:color w:val="auto"/>
              </w:rPr>
            </w:pPr>
            <w:r>
              <w:rPr>
                <w:rFonts w:ascii="Arial" w:cs="Arial" w:eastAsia="Arial" w:hAnsi="Arial"/>
                <w:sz w:val="15"/>
                <w:szCs w:val="15"/>
                <w:color w:val="51555C"/>
              </w:rPr>
              <w:t>Subtotal</w:t>
            </w:r>
          </w:p>
        </w:tc>
        <w:tc>
          <w:tcPr>
            <w:tcW w:w="420" w:type="dxa"/>
            <w:vAlign w:val="bottom"/>
            <w:tcBorders>
              <w:bottom w:val="single" w:sz="8" w:color="51555C"/>
            </w:tcBorders>
          </w:tcPr>
          <w:p>
            <w:pPr>
              <w:spacing w:after="0"/>
              <w:rPr>
                <w:sz w:val="16"/>
                <w:szCs w:val="16"/>
                <w:color w:val="auto"/>
              </w:rPr>
            </w:pPr>
          </w:p>
        </w:tc>
        <w:tc>
          <w:tcPr>
            <w:tcW w:w="100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42,505</w:t>
            </w:r>
          </w:p>
        </w:tc>
        <w:tc>
          <w:tcPr>
            <w:tcW w:w="360" w:type="dxa"/>
            <w:vAlign w:val="bottom"/>
            <w:tcBorders>
              <w:bottom w:val="single" w:sz="8" w:color="51555C"/>
            </w:tcBorders>
          </w:tcPr>
          <w:p>
            <w:pPr>
              <w:spacing w:after="0"/>
              <w:rPr>
                <w:sz w:val="16"/>
                <w:szCs w:val="16"/>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38,265</w:t>
            </w:r>
          </w:p>
        </w:tc>
        <w:tc>
          <w:tcPr>
            <w:tcW w:w="20" w:type="dxa"/>
            <w:vAlign w:val="bottom"/>
          </w:tcPr>
          <w:p>
            <w:pPr>
              <w:spacing w:after="0"/>
              <w:rPr>
                <w:sz w:val="16"/>
                <w:szCs w:val="16"/>
                <w:color w:val="auto"/>
              </w:rPr>
            </w:pPr>
          </w:p>
        </w:tc>
      </w:tr>
      <w:tr>
        <w:trPr>
          <w:trHeight w:val="197"/>
        </w:trPr>
        <w:tc>
          <w:tcPr>
            <w:tcW w:w="852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Non-GAAP EBITDA</w:t>
            </w:r>
          </w:p>
        </w:tc>
        <w:tc>
          <w:tcPr>
            <w:tcW w:w="420" w:type="dxa"/>
            <w:vAlign w:val="bottom"/>
            <w:tcBorders>
              <w:bottom w:val="single" w:sz="8" w:color="51555C"/>
            </w:tcBorders>
            <w:shd w:val="clear" w:color="auto" w:fill="EBFBFF"/>
          </w:tcPr>
          <w:p>
            <w:pPr>
              <w:jc w:val="right"/>
              <w:ind w:right="244"/>
              <w:spacing w:after="0"/>
              <w:rPr>
                <w:sz w:val="20"/>
                <w:szCs w:val="20"/>
                <w:color w:val="auto"/>
              </w:rPr>
            </w:pPr>
            <w:r>
              <w:rPr>
                <w:rFonts w:ascii="Arial" w:cs="Arial" w:eastAsia="Arial" w:hAnsi="Arial"/>
                <w:sz w:val="15"/>
                <w:szCs w:val="15"/>
                <w:color w:val="51555C"/>
                <w:w w:val="95"/>
              </w:rPr>
              <w:t>$</w:t>
            </w:r>
          </w:p>
        </w:tc>
        <w:tc>
          <w:tcPr>
            <w:tcW w:w="100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73,644</w:t>
            </w:r>
          </w:p>
        </w:tc>
        <w:tc>
          <w:tcPr>
            <w:tcW w:w="360" w:type="dxa"/>
            <w:vAlign w:val="bottom"/>
            <w:tcBorders>
              <w:bottom w:val="single" w:sz="8" w:color="51555C"/>
            </w:tcBorders>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42,588</w:t>
            </w:r>
          </w:p>
        </w:tc>
        <w:tc>
          <w:tcPr>
            <w:tcW w:w="20" w:type="dxa"/>
            <w:vAlign w:val="bottom"/>
          </w:tcPr>
          <w:p>
            <w:pPr>
              <w:spacing w:after="0"/>
              <w:rPr>
                <w:sz w:val="17"/>
                <w:szCs w:val="17"/>
                <w:color w:val="auto"/>
              </w:rPr>
            </w:pPr>
          </w:p>
        </w:tc>
      </w:tr>
      <w:tr>
        <w:trPr>
          <w:trHeight w:val="196"/>
        </w:trPr>
        <w:tc>
          <w:tcPr>
            <w:tcW w:w="8520" w:type="dxa"/>
            <w:vAlign w:val="bottom"/>
          </w:tcPr>
          <w:p>
            <w:pPr>
              <w:ind w:left="140"/>
              <w:spacing w:after="0" w:line="196" w:lineRule="exact"/>
              <w:rPr>
                <w:sz w:val="20"/>
                <w:szCs w:val="20"/>
                <w:color w:val="auto"/>
              </w:rPr>
            </w:pPr>
            <w:r>
              <w:rPr>
                <w:rFonts w:ascii="Arial" w:cs="Arial" w:eastAsia="Arial" w:hAnsi="Arial"/>
                <w:sz w:val="15"/>
                <w:szCs w:val="15"/>
                <w:b w:val="1"/>
                <w:bCs w:val="1"/>
                <w:color w:val="51555C"/>
              </w:rPr>
              <w:t>Non-GAAP EBITDA margin</w:t>
            </w:r>
            <w:r>
              <w:rPr>
                <w:rFonts w:ascii="Arial" w:cs="Arial" w:eastAsia="Arial" w:hAnsi="Arial"/>
                <w:sz w:val="19"/>
                <w:szCs w:val="19"/>
                <w:b w:val="1"/>
                <w:bCs w:val="1"/>
                <w:color w:val="51555C"/>
                <w:vertAlign w:val="superscript"/>
              </w:rPr>
              <w:t>(2)</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51555C"/>
              </w:rPr>
              <w:t>26.2 %</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520" w:type="dxa"/>
            <w:vAlign w:val="bottom"/>
            <w:shd w:val="clear" w:color="auto" w:fill="EBFBFF"/>
          </w:tcPr>
          <w:p>
            <w:pPr>
              <w:spacing w:after="0"/>
              <w:rPr>
                <w:sz w:val="18"/>
                <w:szCs w:val="18"/>
                <w:color w:val="auto"/>
              </w:rPr>
            </w:pPr>
          </w:p>
        </w:tc>
        <w:tc>
          <w:tcPr>
            <w:tcW w:w="420" w:type="dxa"/>
            <w:vAlign w:val="bottom"/>
            <w:shd w:val="clear" w:color="auto" w:fill="EBFBFF"/>
          </w:tcPr>
          <w:p>
            <w:pPr>
              <w:spacing w:after="0"/>
              <w:rPr>
                <w:sz w:val="18"/>
                <w:szCs w:val="18"/>
                <w:color w:val="auto"/>
              </w:rPr>
            </w:pPr>
          </w:p>
        </w:tc>
        <w:tc>
          <w:tcPr>
            <w:tcW w:w="1000" w:type="dxa"/>
            <w:vAlign w:val="bottom"/>
            <w:shd w:val="clear" w:color="auto" w:fill="EBFBFF"/>
          </w:tcPr>
          <w:p>
            <w:pPr>
              <w:spacing w:after="0"/>
              <w:rPr>
                <w:sz w:val="18"/>
                <w:szCs w:val="18"/>
                <w:color w:val="auto"/>
              </w:rPr>
            </w:pPr>
          </w:p>
        </w:tc>
        <w:tc>
          <w:tcPr>
            <w:tcW w:w="360" w:type="dxa"/>
            <w:vAlign w:val="bottom"/>
            <w:shd w:val="clear" w:color="auto" w:fill="EBFBFF"/>
          </w:tcPr>
          <w:p>
            <w:pPr>
              <w:spacing w:after="0"/>
              <w:rPr>
                <w:sz w:val="18"/>
                <w:szCs w:val="18"/>
                <w:color w:val="auto"/>
              </w:rPr>
            </w:pPr>
          </w:p>
        </w:tc>
        <w:tc>
          <w:tcPr>
            <w:tcW w:w="940" w:type="dxa"/>
            <w:vAlign w:val="bottom"/>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8520" w:type="dxa"/>
            <w:vAlign w:val="bottom"/>
          </w:tcPr>
          <w:p>
            <w:pPr>
              <w:ind w:left="20"/>
              <w:spacing w:after="0"/>
              <w:rPr>
                <w:sz w:val="20"/>
                <w:szCs w:val="20"/>
                <w:color w:val="auto"/>
              </w:rPr>
            </w:pPr>
            <w:r>
              <w:rPr>
                <w:rFonts w:ascii="Arial" w:cs="Arial" w:eastAsia="Arial" w:hAnsi="Arial"/>
                <w:sz w:val="15"/>
                <w:szCs w:val="15"/>
                <w:b w:val="1"/>
                <w:bCs w:val="1"/>
                <w:color w:val="51555C"/>
              </w:rPr>
              <w:t>Non-GAAP adjustments: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852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Add: Stock-based compensation expense</w:t>
            </w:r>
          </w:p>
        </w:tc>
        <w:tc>
          <w:tcPr>
            <w:tcW w:w="420" w:type="dxa"/>
            <w:vAlign w:val="bottom"/>
            <w:shd w:val="clear" w:color="auto" w:fill="EBFBFF"/>
          </w:tcPr>
          <w:p>
            <w:pPr>
              <w:jc w:val="right"/>
              <w:ind w:right="244"/>
              <w:spacing w:after="0"/>
              <w:rPr>
                <w:sz w:val="20"/>
                <w:szCs w:val="20"/>
                <w:color w:val="auto"/>
              </w:rPr>
            </w:pPr>
            <w:r>
              <w:rPr>
                <w:rFonts w:ascii="Arial" w:cs="Arial" w:eastAsia="Arial" w:hAnsi="Arial"/>
                <w:sz w:val="15"/>
                <w:szCs w:val="15"/>
                <w:color w:val="51555C"/>
                <w:w w:val="95"/>
              </w:rPr>
              <w:t>$</w:t>
            </w:r>
          </w:p>
        </w:tc>
        <w:tc>
          <w:tcPr>
            <w:tcW w:w="100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23,880</w:t>
            </w:r>
          </w:p>
        </w:tc>
        <w:tc>
          <w:tcPr>
            <w:tcW w:w="360" w:type="dxa"/>
            <w:vAlign w:val="bottom"/>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22,170</w:t>
            </w:r>
          </w:p>
        </w:tc>
        <w:tc>
          <w:tcPr>
            <w:tcW w:w="20" w:type="dxa"/>
            <w:vAlign w:val="bottom"/>
          </w:tcPr>
          <w:p>
            <w:pPr>
              <w:spacing w:after="0"/>
              <w:rPr>
                <w:sz w:val="17"/>
                <w:szCs w:val="17"/>
                <w:color w:val="auto"/>
              </w:rPr>
            </w:pPr>
          </w:p>
        </w:tc>
      </w:tr>
      <w:tr>
        <w:trPr>
          <w:trHeight w:val="203"/>
        </w:trPr>
        <w:tc>
          <w:tcPr>
            <w:tcW w:w="8520" w:type="dxa"/>
            <w:vAlign w:val="bottom"/>
          </w:tcPr>
          <w:p>
            <w:pPr>
              <w:ind w:left="140"/>
              <w:spacing w:after="0" w:line="203" w:lineRule="exact"/>
              <w:rPr>
                <w:sz w:val="20"/>
                <w:szCs w:val="20"/>
                <w:color w:val="auto"/>
              </w:rPr>
            </w:pPr>
            <w:r>
              <w:rPr>
                <w:rFonts w:ascii="Arial" w:cs="Arial" w:eastAsia="Arial" w:hAnsi="Arial"/>
                <w:sz w:val="15"/>
                <w:szCs w:val="15"/>
                <w:color w:val="51555C"/>
              </w:rPr>
              <w:t>Add: GCC workforce transition costs</w:t>
            </w:r>
            <w:r>
              <w:rPr>
                <w:rFonts w:ascii="Arial" w:cs="Arial" w:eastAsia="Arial" w:hAnsi="Arial"/>
                <w:sz w:val="19"/>
                <w:szCs w:val="19"/>
                <w:color w:val="51555C"/>
                <w:vertAlign w:val="superscript"/>
              </w:rPr>
              <w:t>(3)</w:t>
            </w:r>
          </w:p>
        </w:tc>
        <w:tc>
          <w:tcPr>
            <w:tcW w:w="42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Arial" w:cs="Arial" w:eastAsia="Arial" w:hAnsi="Arial"/>
                <w:sz w:val="15"/>
                <w:szCs w:val="15"/>
                <w:color w:val="51555C"/>
              </w:rPr>
              <w:t>1,026</w:t>
            </w: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51555C"/>
              </w:rPr>
              <w:t>—</w:t>
            </w:r>
          </w:p>
        </w:tc>
        <w:tc>
          <w:tcPr>
            <w:tcW w:w="20" w:type="dxa"/>
            <w:vAlign w:val="bottom"/>
          </w:tcPr>
          <w:p>
            <w:pPr>
              <w:spacing w:after="0"/>
              <w:rPr>
                <w:sz w:val="17"/>
                <w:szCs w:val="17"/>
                <w:color w:val="auto"/>
              </w:rPr>
            </w:pPr>
          </w:p>
        </w:tc>
      </w:tr>
      <w:tr>
        <w:trPr>
          <w:trHeight w:val="203"/>
        </w:trPr>
        <w:tc>
          <w:tcPr>
            <w:tcW w:w="8520" w:type="dxa"/>
            <w:vAlign w:val="bottom"/>
            <w:shd w:val="clear" w:color="auto" w:fill="EBFBFF"/>
          </w:tcPr>
          <w:p>
            <w:pPr>
              <w:ind w:left="140"/>
              <w:spacing w:after="0" w:line="203" w:lineRule="exact"/>
              <w:rPr>
                <w:sz w:val="20"/>
                <w:szCs w:val="20"/>
                <w:color w:val="auto"/>
              </w:rPr>
            </w:pPr>
            <w:r>
              <w:rPr>
                <w:rFonts w:ascii="Arial" w:cs="Arial" w:eastAsia="Arial" w:hAnsi="Arial"/>
                <w:sz w:val="15"/>
                <w:szCs w:val="15"/>
                <w:color w:val="51555C"/>
              </w:rPr>
              <w:t>Add: Acquisition and disposition-related costs</w:t>
            </w:r>
            <w:r>
              <w:rPr>
                <w:rFonts w:ascii="Arial" w:cs="Arial" w:eastAsia="Arial" w:hAnsi="Arial"/>
                <w:sz w:val="19"/>
                <w:szCs w:val="19"/>
                <w:color w:val="51555C"/>
                <w:vertAlign w:val="superscript"/>
              </w:rPr>
              <w:t>(3)</w:t>
            </w:r>
          </w:p>
        </w:tc>
        <w:tc>
          <w:tcPr>
            <w:tcW w:w="420" w:type="dxa"/>
            <w:vAlign w:val="bottom"/>
            <w:shd w:val="clear" w:color="auto" w:fill="EBFBFF"/>
          </w:tcPr>
          <w:p>
            <w:pPr>
              <w:spacing w:after="0"/>
              <w:rPr>
                <w:sz w:val="17"/>
                <w:szCs w:val="17"/>
                <w:color w:val="auto"/>
              </w:rPr>
            </w:pPr>
          </w:p>
        </w:tc>
        <w:tc>
          <w:tcPr>
            <w:tcW w:w="100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147</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25,132</w:t>
            </w:r>
          </w:p>
        </w:tc>
        <w:tc>
          <w:tcPr>
            <w:tcW w:w="20" w:type="dxa"/>
            <w:vAlign w:val="bottom"/>
          </w:tcPr>
          <w:p>
            <w:pPr>
              <w:spacing w:after="0"/>
              <w:rPr>
                <w:sz w:val="17"/>
                <w:szCs w:val="17"/>
                <w:color w:val="auto"/>
              </w:rPr>
            </w:pPr>
          </w:p>
        </w:tc>
      </w:tr>
      <w:tr>
        <w:trPr>
          <w:trHeight w:val="201"/>
        </w:trPr>
        <w:tc>
          <w:tcPr>
            <w:tcW w:w="8520" w:type="dxa"/>
            <w:vAlign w:val="bottom"/>
            <w:tcBorders>
              <w:bottom w:val="single" w:sz="8" w:color="EBFBFF"/>
            </w:tcBorders>
          </w:tcPr>
          <w:p>
            <w:pPr>
              <w:ind w:left="140"/>
              <w:spacing w:after="0"/>
              <w:rPr>
                <w:sz w:val="20"/>
                <w:szCs w:val="20"/>
                <w:color w:val="auto"/>
              </w:rPr>
            </w:pPr>
            <w:r>
              <w:rPr>
                <w:rFonts w:ascii="Arial" w:cs="Arial" w:eastAsia="Arial" w:hAnsi="Arial"/>
                <w:sz w:val="15"/>
                <w:szCs w:val="15"/>
                <w:color w:val="51555C"/>
              </w:rPr>
              <w:t>Add: Security Incident-related costs</w:t>
            </w:r>
          </w:p>
        </w:tc>
        <w:tc>
          <w:tcPr>
            <w:tcW w:w="42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w:t>
            </w:r>
          </w:p>
        </w:tc>
        <w:tc>
          <w:tcPr>
            <w:tcW w:w="360" w:type="dxa"/>
            <w:vAlign w:val="bottom"/>
            <w:tcBorders>
              <w:bottom w:val="single" w:sz="8" w:color="51555C"/>
            </w:tcBorders>
          </w:tcPr>
          <w:p>
            <w:pPr>
              <w:spacing w:after="0"/>
              <w:rPr>
                <w:sz w:val="17"/>
                <w:szCs w:val="17"/>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2,180</w:t>
            </w:r>
          </w:p>
        </w:tc>
        <w:tc>
          <w:tcPr>
            <w:tcW w:w="20" w:type="dxa"/>
            <w:vAlign w:val="bottom"/>
          </w:tcPr>
          <w:p>
            <w:pPr>
              <w:spacing w:after="0"/>
              <w:rPr>
                <w:sz w:val="17"/>
                <w:szCs w:val="17"/>
                <w:color w:val="auto"/>
              </w:rPr>
            </w:pPr>
          </w:p>
        </w:tc>
      </w:tr>
      <w:tr>
        <w:trPr>
          <w:trHeight w:val="197"/>
        </w:trPr>
        <w:tc>
          <w:tcPr>
            <w:tcW w:w="8520" w:type="dxa"/>
            <w:vAlign w:val="bottom"/>
            <w:shd w:val="clear" w:color="auto" w:fill="EBFBFF"/>
          </w:tcPr>
          <w:p>
            <w:pPr>
              <w:ind w:left="360"/>
              <w:spacing w:after="0"/>
              <w:rPr>
                <w:sz w:val="20"/>
                <w:szCs w:val="20"/>
                <w:color w:val="auto"/>
              </w:rPr>
            </w:pPr>
            <w:r>
              <w:rPr>
                <w:rFonts w:ascii="Arial" w:cs="Arial" w:eastAsia="Arial" w:hAnsi="Arial"/>
                <w:sz w:val="15"/>
                <w:szCs w:val="15"/>
                <w:color w:val="51555C"/>
              </w:rPr>
              <w:t>Subtotal</w:t>
            </w:r>
          </w:p>
        </w:tc>
        <w:tc>
          <w:tcPr>
            <w:tcW w:w="420" w:type="dxa"/>
            <w:vAlign w:val="bottom"/>
            <w:tcBorders>
              <w:bottom w:val="single" w:sz="8" w:color="51555C"/>
            </w:tcBorders>
            <w:shd w:val="clear" w:color="auto" w:fill="EBFBFF"/>
          </w:tcPr>
          <w:p>
            <w:pPr>
              <w:spacing w:after="0"/>
              <w:rPr>
                <w:sz w:val="17"/>
                <w:szCs w:val="17"/>
                <w:color w:val="auto"/>
              </w:rPr>
            </w:pPr>
          </w:p>
        </w:tc>
        <w:tc>
          <w:tcPr>
            <w:tcW w:w="100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25,053</w:t>
            </w:r>
          </w:p>
        </w:tc>
        <w:tc>
          <w:tcPr>
            <w:tcW w:w="360" w:type="dxa"/>
            <w:vAlign w:val="bottom"/>
            <w:tcBorders>
              <w:bottom w:val="single" w:sz="8" w:color="51555C"/>
            </w:tcBorders>
            <w:shd w:val="clear" w:color="auto" w:fill="EBFBFF"/>
          </w:tcPr>
          <w:p>
            <w:pPr>
              <w:spacing w:after="0"/>
              <w:rPr>
                <w:sz w:val="17"/>
                <w:szCs w:val="17"/>
                <w:color w:val="auto"/>
              </w:rPr>
            </w:pP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49,482</w:t>
            </w:r>
          </w:p>
        </w:tc>
        <w:tc>
          <w:tcPr>
            <w:tcW w:w="20" w:type="dxa"/>
            <w:vAlign w:val="bottom"/>
          </w:tcPr>
          <w:p>
            <w:pPr>
              <w:spacing w:after="0"/>
              <w:rPr>
                <w:sz w:val="17"/>
                <w:szCs w:val="17"/>
                <w:color w:val="auto"/>
              </w:rPr>
            </w:pPr>
          </w:p>
        </w:tc>
      </w:tr>
      <w:tr>
        <w:trPr>
          <w:trHeight w:val="196"/>
        </w:trPr>
        <w:tc>
          <w:tcPr>
            <w:tcW w:w="8520" w:type="dxa"/>
            <w:vAlign w:val="bottom"/>
            <w:tcBorders>
              <w:bottom w:val="single" w:sz="8" w:color="EBFBFF"/>
            </w:tcBorders>
          </w:tcPr>
          <w:p>
            <w:pPr>
              <w:ind w:left="20"/>
              <w:spacing w:after="0"/>
              <w:rPr>
                <w:sz w:val="20"/>
                <w:szCs w:val="20"/>
                <w:color w:val="auto"/>
              </w:rPr>
            </w:pPr>
            <w:r>
              <w:rPr>
                <w:rFonts w:ascii="Arial" w:cs="Arial" w:eastAsia="Arial" w:hAnsi="Arial"/>
                <w:sz w:val="15"/>
                <w:szCs w:val="15"/>
                <w:b w:val="1"/>
                <w:bCs w:val="1"/>
                <w:color w:val="51555C"/>
              </w:rPr>
              <w:t>Non-GAAP adjusted EBITDA</w:t>
            </w:r>
          </w:p>
        </w:tc>
        <w:tc>
          <w:tcPr>
            <w:tcW w:w="420" w:type="dxa"/>
            <w:vAlign w:val="bottom"/>
            <w:tcBorders>
              <w:bottom w:val="single" w:sz="8" w:color="51555C"/>
            </w:tcBorders>
          </w:tcPr>
          <w:p>
            <w:pPr>
              <w:jc w:val="right"/>
              <w:ind w:right="244"/>
              <w:spacing w:after="0"/>
              <w:rPr>
                <w:sz w:val="20"/>
                <w:szCs w:val="20"/>
                <w:color w:val="auto"/>
              </w:rPr>
            </w:pPr>
            <w:r>
              <w:rPr>
                <w:rFonts w:ascii="Arial" w:cs="Arial" w:eastAsia="Arial" w:hAnsi="Arial"/>
                <w:sz w:val="15"/>
                <w:szCs w:val="15"/>
                <w:color w:val="51555C"/>
                <w:w w:val="95"/>
              </w:rPr>
              <w:t>$</w:t>
            </w:r>
          </w:p>
        </w:tc>
        <w:tc>
          <w:tcPr>
            <w:tcW w:w="100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98,697</w:t>
            </w:r>
          </w:p>
        </w:tc>
        <w:tc>
          <w:tcPr>
            <w:tcW w:w="360" w:type="dxa"/>
            <w:vAlign w:val="bottom"/>
            <w:tcBorders>
              <w:bottom w:val="single" w:sz="8" w:color="51555C"/>
            </w:tcBorders>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92,070</w:t>
            </w:r>
          </w:p>
        </w:tc>
        <w:tc>
          <w:tcPr>
            <w:tcW w:w="20" w:type="dxa"/>
            <w:vAlign w:val="bottom"/>
          </w:tcPr>
          <w:p>
            <w:pPr>
              <w:spacing w:after="0"/>
              <w:rPr>
                <w:sz w:val="17"/>
                <w:szCs w:val="17"/>
                <w:color w:val="auto"/>
              </w:rPr>
            </w:pPr>
          </w:p>
        </w:tc>
      </w:tr>
      <w:tr>
        <w:trPr>
          <w:trHeight w:val="196"/>
        </w:trPr>
        <w:tc>
          <w:tcPr>
            <w:tcW w:w="8520" w:type="dxa"/>
            <w:vAlign w:val="bottom"/>
            <w:shd w:val="clear" w:color="auto" w:fill="EBFBFF"/>
          </w:tcPr>
          <w:p>
            <w:pPr>
              <w:ind w:left="140"/>
              <w:spacing w:after="0" w:line="196" w:lineRule="exact"/>
              <w:rPr>
                <w:sz w:val="20"/>
                <w:szCs w:val="20"/>
                <w:color w:val="auto"/>
              </w:rPr>
            </w:pPr>
            <w:r>
              <w:rPr>
                <w:rFonts w:ascii="Arial" w:cs="Arial" w:eastAsia="Arial" w:hAnsi="Arial"/>
                <w:sz w:val="15"/>
                <w:szCs w:val="15"/>
                <w:b w:val="1"/>
                <w:bCs w:val="1"/>
                <w:color w:val="51555C"/>
              </w:rPr>
              <w:t>Non-GAAP adjusted EBITDA margin</w:t>
            </w:r>
            <w:r>
              <w:rPr>
                <w:rFonts w:ascii="Arial" w:cs="Arial" w:eastAsia="Arial" w:hAnsi="Arial"/>
                <w:sz w:val="19"/>
                <w:szCs w:val="19"/>
                <w:b w:val="1"/>
                <w:bCs w:val="1"/>
                <w:color w:val="51555C"/>
                <w:vertAlign w:val="superscript"/>
              </w:rPr>
              <w:t>(4)</w:t>
            </w:r>
          </w:p>
        </w:tc>
        <w:tc>
          <w:tcPr>
            <w:tcW w:w="42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35.1 %</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8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8520" w:type="dxa"/>
            <w:vAlign w:val="bottom"/>
            <w:shd w:val="clear" w:color="auto" w:fill="EBFBFF"/>
          </w:tcPr>
          <w:p>
            <w:pPr>
              <w:ind w:left="20"/>
              <w:spacing w:after="0" w:line="203" w:lineRule="exact"/>
              <w:rPr>
                <w:sz w:val="20"/>
                <w:szCs w:val="20"/>
                <w:color w:val="auto"/>
              </w:rPr>
            </w:pPr>
            <w:r>
              <w:rPr>
                <w:rFonts w:ascii="Arial" w:cs="Arial" w:eastAsia="Arial" w:hAnsi="Arial"/>
                <w:sz w:val="15"/>
                <w:szCs w:val="15"/>
                <w:b w:val="1"/>
                <w:bCs w:val="1"/>
                <w:color w:val="51555C"/>
              </w:rPr>
              <w:t>Rule of 40</w:t>
            </w:r>
            <w:r>
              <w:rPr>
                <w:rFonts w:ascii="Arial" w:cs="Arial" w:eastAsia="Arial" w:hAnsi="Arial"/>
                <w:sz w:val="19"/>
                <w:szCs w:val="19"/>
                <w:b w:val="1"/>
                <w:bCs w:val="1"/>
                <w:color w:val="51555C"/>
                <w:vertAlign w:val="superscript"/>
              </w:rPr>
              <w:t>(5)</w:t>
            </w:r>
          </w:p>
        </w:tc>
        <w:tc>
          <w:tcPr>
            <w:tcW w:w="420" w:type="dxa"/>
            <w:vAlign w:val="bottom"/>
            <w:shd w:val="clear" w:color="auto" w:fill="EBFBFF"/>
          </w:tcPr>
          <w:p>
            <w:pPr>
              <w:spacing w:after="0"/>
              <w:rPr>
                <w:sz w:val="17"/>
                <w:szCs w:val="17"/>
                <w:color w:val="auto"/>
              </w:rPr>
            </w:pPr>
          </w:p>
        </w:tc>
        <w:tc>
          <w:tcPr>
            <w:tcW w:w="1000" w:type="dxa"/>
            <w:vAlign w:val="bottom"/>
            <w:shd w:val="clear" w:color="auto" w:fill="EBFBFF"/>
          </w:tcPr>
          <w:p>
            <w:pPr>
              <w:jc w:val="right"/>
              <w:spacing w:after="0"/>
              <w:rPr>
                <w:sz w:val="20"/>
                <w:szCs w:val="20"/>
                <w:color w:val="auto"/>
              </w:rPr>
            </w:pPr>
            <w:r>
              <w:rPr>
                <w:rFonts w:ascii="Arial" w:cs="Arial" w:eastAsia="Arial" w:hAnsi="Arial"/>
                <w:sz w:val="15"/>
                <w:szCs w:val="15"/>
                <w:b w:val="1"/>
                <w:bCs w:val="1"/>
                <w:color w:val="51555C"/>
              </w:rPr>
              <w:t>39.3 %</w:t>
            </w:r>
          </w:p>
        </w:tc>
        <w:tc>
          <w:tcPr>
            <w:tcW w:w="360" w:type="dxa"/>
            <w:vAlign w:val="bottom"/>
            <w:shd w:val="clear" w:color="auto" w:fill="EBFBFF"/>
          </w:tcPr>
          <w:p>
            <w:pPr>
              <w:spacing w:after="0"/>
              <w:rPr>
                <w:sz w:val="17"/>
                <w:szCs w:val="17"/>
                <w:color w:val="auto"/>
              </w:rPr>
            </w:pPr>
          </w:p>
        </w:tc>
        <w:tc>
          <w:tcPr>
            <w:tcW w:w="94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852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Non-GAAP adjusted EBITDA</w:t>
            </w:r>
          </w:p>
        </w:tc>
        <w:tc>
          <w:tcPr>
            <w:tcW w:w="420" w:type="dxa"/>
            <w:vAlign w:val="bottom"/>
            <w:shd w:val="clear" w:color="auto" w:fill="EBFBFF"/>
          </w:tcPr>
          <w:p>
            <w:pPr>
              <w:jc w:val="right"/>
              <w:ind w:right="244"/>
              <w:spacing w:after="0"/>
              <w:rPr>
                <w:sz w:val="20"/>
                <w:szCs w:val="20"/>
                <w:color w:val="auto"/>
              </w:rPr>
            </w:pPr>
            <w:r>
              <w:rPr>
                <w:rFonts w:ascii="Arial" w:cs="Arial" w:eastAsia="Arial" w:hAnsi="Arial"/>
                <w:sz w:val="15"/>
                <w:szCs w:val="15"/>
                <w:color w:val="51555C"/>
                <w:w w:val="95"/>
              </w:rPr>
              <w:t>$</w:t>
            </w:r>
          </w:p>
        </w:tc>
        <w:tc>
          <w:tcPr>
            <w:tcW w:w="100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98,697</w:t>
            </w:r>
          </w:p>
        </w:tc>
        <w:tc>
          <w:tcPr>
            <w:tcW w:w="360" w:type="dxa"/>
            <w:vAlign w:val="bottom"/>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shd w:val="clear" w:color="auto" w:fill="EBFBFF"/>
          </w:tcPr>
          <w:p>
            <w:pPr>
              <w:jc w:val="right"/>
              <w:spacing w:after="0"/>
              <w:rPr>
                <w:sz w:val="20"/>
                <w:szCs w:val="20"/>
                <w:color w:val="auto"/>
              </w:rPr>
            </w:pPr>
            <w:r>
              <w:rPr>
                <w:rFonts w:ascii="Arial" w:cs="Arial" w:eastAsia="Arial" w:hAnsi="Arial"/>
                <w:sz w:val="15"/>
                <w:szCs w:val="15"/>
                <w:color w:val="51555C"/>
              </w:rPr>
              <w:t>92,070</w:t>
            </w:r>
          </w:p>
        </w:tc>
        <w:tc>
          <w:tcPr>
            <w:tcW w:w="20" w:type="dxa"/>
            <w:vAlign w:val="bottom"/>
          </w:tcPr>
          <w:p>
            <w:pPr>
              <w:spacing w:after="0"/>
              <w:rPr>
                <w:sz w:val="17"/>
                <w:szCs w:val="17"/>
                <w:color w:val="auto"/>
              </w:rPr>
            </w:pPr>
          </w:p>
        </w:tc>
      </w:tr>
      <w:tr>
        <w:trPr>
          <w:trHeight w:val="202"/>
        </w:trPr>
        <w:tc>
          <w:tcPr>
            <w:tcW w:w="8520" w:type="dxa"/>
            <w:vAlign w:val="bottom"/>
            <w:tcBorders>
              <w:bottom w:val="single" w:sz="8" w:color="EBFBFF"/>
            </w:tcBorders>
          </w:tcPr>
          <w:p>
            <w:pPr>
              <w:ind w:left="140"/>
              <w:spacing w:after="0" w:line="203" w:lineRule="exact"/>
              <w:rPr>
                <w:sz w:val="20"/>
                <w:szCs w:val="20"/>
                <w:color w:val="auto"/>
              </w:rPr>
            </w:pPr>
            <w:r>
              <w:rPr>
                <w:rFonts w:ascii="Arial" w:cs="Arial" w:eastAsia="Arial" w:hAnsi="Arial"/>
                <w:sz w:val="15"/>
                <w:szCs w:val="15"/>
                <w:color w:val="51555C"/>
              </w:rPr>
              <w:t>Foreign currency impact on Non-GAAP adjusted EBITDA</w:t>
            </w:r>
            <w:r>
              <w:rPr>
                <w:rFonts w:ascii="Arial" w:cs="Arial" w:eastAsia="Arial" w:hAnsi="Arial"/>
                <w:sz w:val="19"/>
                <w:szCs w:val="19"/>
                <w:color w:val="51555C"/>
                <w:vertAlign w:val="superscript"/>
              </w:rPr>
              <w:t>(6)</w:t>
            </w:r>
          </w:p>
        </w:tc>
        <w:tc>
          <w:tcPr>
            <w:tcW w:w="420" w:type="dxa"/>
            <w:vAlign w:val="bottom"/>
            <w:tcBorders>
              <w:bottom w:val="single" w:sz="8" w:color="51555C"/>
            </w:tcBorders>
          </w:tcPr>
          <w:p>
            <w:pPr>
              <w:spacing w:after="0"/>
              <w:rPr>
                <w:sz w:val="17"/>
                <w:szCs w:val="17"/>
                <w:color w:val="auto"/>
              </w:rPr>
            </w:pPr>
          </w:p>
        </w:tc>
        <w:tc>
          <w:tcPr>
            <w:tcW w:w="1000" w:type="dxa"/>
            <w:vAlign w:val="bottom"/>
            <w:tcBorders>
              <w:bottom w:val="single" w:sz="8" w:color="51555C"/>
            </w:tcBorders>
          </w:tcPr>
          <w:p>
            <w:pPr>
              <w:jc w:val="right"/>
              <w:ind w:right="84"/>
              <w:spacing w:after="0"/>
              <w:rPr>
                <w:sz w:val="20"/>
                <w:szCs w:val="20"/>
                <w:color w:val="auto"/>
              </w:rPr>
            </w:pPr>
            <w:r>
              <w:rPr>
                <w:rFonts w:ascii="Arial" w:cs="Arial" w:eastAsia="Arial" w:hAnsi="Arial"/>
                <w:sz w:val="15"/>
                <w:szCs w:val="15"/>
                <w:color w:val="51555C"/>
              </w:rPr>
              <w:t>(1,029)</w:t>
            </w:r>
          </w:p>
        </w:tc>
        <w:tc>
          <w:tcPr>
            <w:tcW w:w="360" w:type="dxa"/>
            <w:vAlign w:val="bottom"/>
            <w:tcBorders>
              <w:bottom w:val="single" w:sz="8" w:color="51555C"/>
            </w:tcBorders>
          </w:tcPr>
          <w:p>
            <w:pPr>
              <w:spacing w:after="0"/>
              <w:rPr>
                <w:sz w:val="17"/>
                <w:szCs w:val="17"/>
                <w:color w:val="auto"/>
              </w:rPr>
            </w:pPr>
          </w:p>
        </w:tc>
        <w:tc>
          <w:tcPr>
            <w:tcW w:w="940" w:type="dxa"/>
            <w:vAlign w:val="bottom"/>
            <w:tcBorders>
              <w:bottom w:val="single" w:sz="8" w:color="51555C"/>
            </w:tcBorders>
          </w:tcPr>
          <w:p>
            <w:pPr>
              <w:jc w:val="right"/>
              <w:spacing w:after="0"/>
              <w:rPr>
                <w:sz w:val="20"/>
                <w:szCs w:val="20"/>
                <w:color w:val="auto"/>
              </w:rPr>
            </w:pPr>
            <w:r>
              <w:rPr>
                <w:rFonts w:ascii="Arial" w:cs="Arial" w:eastAsia="Arial" w:hAnsi="Arial"/>
                <w:sz w:val="15"/>
                <w:szCs w:val="15"/>
                <w:color w:val="51555C"/>
              </w:rPr>
              <w:t>205</w:t>
            </w:r>
          </w:p>
        </w:tc>
        <w:tc>
          <w:tcPr>
            <w:tcW w:w="20" w:type="dxa"/>
            <w:vAlign w:val="bottom"/>
          </w:tcPr>
          <w:p>
            <w:pPr>
              <w:spacing w:after="0"/>
              <w:rPr>
                <w:sz w:val="17"/>
                <w:szCs w:val="17"/>
                <w:color w:val="auto"/>
              </w:rPr>
            </w:pPr>
          </w:p>
        </w:tc>
      </w:tr>
      <w:tr>
        <w:trPr>
          <w:trHeight w:val="196"/>
        </w:trPr>
        <w:tc>
          <w:tcPr>
            <w:tcW w:w="8520" w:type="dxa"/>
            <w:vAlign w:val="bottom"/>
            <w:shd w:val="clear" w:color="auto" w:fill="EBFBFF"/>
          </w:tcPr>
          <w:p>
            <w:pPr>
              <w:ind w:left="20"/>
              <w:spacing w:after="0" w:line="196" w:lineRule="exact"/>
              <w:rPr>
                <w:sz w:val="20"/>
                <w:szCs w:val="20"/>
                <w:color w:val="auto"/>
              </w:rPr>
            </w:pPr>
            <w:r>
              <w:rPr>
                <w:rFonts w:ascii="Arial" w:cs="Arial" w:eastAsia="Arial" w:hAnsi="Arial"/>
                <w:sz w:val="15"/>
                <w:szCs w:val="15"/>
                <w:b w:val="1"/>
                <w:bCs w:val="1"/>
                <w:color w:val="51555C"/>
              </w:rPr>
              <w:t>Non-GAAP adjusted EBITDA on constant currency basis</w:t>
            </w:r>
            <w:r>
              <w:rPr>
                <w:rFonts w:ascii="Arial" w:cs="Arial" w:eastAsia="Arial" w:hAnsi="Arial"/>
                <w:sz w:val="19"/>
                <w:szCs w:val="19"/>
                <w:b w:val="1"/>
                <w:bCs w:val="1"/>
                <w:color w:val="51555C"/>
                <w:vertAlign w:val="superscript"/>
              </w:rPr>
              <w:t>(6)</w:t>
            </w:r>
          </w:p>
        </w:tc>
        <w:tc>
          <w:tcPr>
            <w:tcW w:w="420" w:type="dxa"/>
            <w:vAlign w:val="bottom"/>
            <w:tcBorders>
              <w:bottom w:val="single" w:sz="8" w:color="51555C"/>
            </w:tcBorders>
            <w:shd w:val="clear" w:color="auto" w:fill="EBFBFF"/>
          </w:tcPr>
          <w:p>
            <w:pPr>
              <w:jc w:val="right"/>
              <w:ind w:right="244"/>
              <w:spacing w:after="0"/>
              <w:rPr>
                <w:sz w:val="20"/>
                <w:szCs w:val="20"/>
                <w:color w:val="auto"/>
              </w:rPr>
            </w:pPr>
            <w:r>
              <w:rPr>
                <w:rFonts w:ascii="Arial" w:cs="Arial" w:eastAsia="Arial" w:hAnsi="Arial"/>
                <w:sz w:val="15"/>
                <w:szCs w:val="15"/>
                <w:color w:val="51555C"/>
                <w:w w:val="95"/>
              </w:rPr>
              <w:t>$</w:t>
            </w:r>
          </w:p>
        </w:tc>
        <w:tc>
          <w:tcPr>
            <w:tcW w:w="1000" w:type="dxa"/>
            <w:vAlign w:val="bottom"/>
            <w:tcBorders>
              <w:bottom w:val="single" w:sz="8" w:color="51555C"/>
            </w:tcBorders>
            <w:shd w:val="clear" w:color="auto" w:fill="EBFBFF"/>
          </w:tcPr>
          <w:p>
            <w:pPr>
              <w:jc w:val="right"/>
              <w:ind w:right="124"/>
              <w:spacing w:after="0"/>
              <w:rPr>
                <w:sz w:val="20"/>
                <w:szCs w:val="20"/>
                <w:color w:val="auto"/>
              </w:rPr>
            </w:pPr>
            <w:r>
              <w:rPr>
                <w:rFonts w:ascii="Arial" w:cs="Arial" w:eastAsia="Arial" w:hAnsi="Arial"/>
                <w:sz w:val="15"/>
                <w:szCs w:val="15"/>
                <w:color w:val="51555C"/>
              </w:rPr>
              <w:t>97,668</w:t>
            </w:r>
          </w:p>
        </w:tc>
        <w:tc>
          <w:tcPr>
            <w:tcW w:w="360" w:type="dxa"/>
            <w:vAlign w:val="bottom"/>
            <w:tcBorders>
              <w:bottom w:val="single" w:sz="8" w:color="51555C"/>
            </w:tcBorders>
            <w:shd w:val="clear" w:color="auto" w:fill="EBFBFF"/>
          </w:tcPr>
          <w:p>
            <w:pPr>
              <w:jc w:val="right"/>
              <w:ind w:right="184"/>
              <w:spacing w:after="0"/>
              <w:rPr>
                <w:sz w:val="20"/>
                <w:szCs w:val="20"/>
                <w:color w:val="auto"/>
              </w:rPr>
            </w:pPr>
            <w:r>
              <w:rPr>
                <w:rFonts w:ascii="Arial" w:cs="Arial" w:eastAsia="Arial" w:hAnsi="Arial"/>
                <w:sz w:val="15"/>
                <w:szCs w:val="15"/>
                <w:color w:val="51555C"/>
                <w:w w:val="95"/>
              </w:rPr>
              <w:t>$</w:t>
            </w:r>
          </w:p>
        </w:tc>
        <w:tc>
          <w:tcPr>
            <w:tcW w:w="9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5"/>
                <w:szCs w:val="15"/>
                <w:color w:val="51555C"/>
              </w:rPr>
              <w:t>92,275</w:t>
            </w:r>
          </w:p>
        </w:tc>
        <w:tc>
          <w:tcPr>
            <w:tcW w:w="20" w:type="dxa"/>
            <w:vAlign w:val="bottom"/>
          </w:tcPr>
          <w:p>
            <w:pPr>
              <w:spacing w:after="0"/>
              <w:rPr>
                <w:sz w:val="17"/>
                <w:szCs w:val="17"/>
                <w:color w:val="auto"/>
              </w:rPr>
            </w:pPr>
          </w:p>
        </w:tc>
      </w:tr>
      <w:tr>
        <w:trPr>
          <w:trHeight w:val="196"/>
        </w:trPr>
        <w:tc>
          <w:tcPr>
            <w:tcW w:w="8520" w:type="dxa"/>
            <w:vAlign w:val="bottom"/>
          </w:tcPr>
          <w:p>
            <w:pPr>
              <w:ind w:left="140"/>
              <w:spacing w:after="0"/>
              <w:rPr>
                <w:sz w:val="20"/>
                <w:szCs w:val="20"/>
                <w:color w:val="auto"/>
              </w:rPr>
            </w:pPr>
            <w:r>
              <w:rPr>
                <w:rFonts w:ascii="Arial" w:cs="Arial" w:eastAsia="Arial" w:hAnsi="Arial"/>
                <w:sz w:val="15"/>
                <w:szCs w:val="15"/>
                <w:b w:val="1"/>
                <w:bCs w:val="1"/>
                <w:color w:val="51555C"/>
              </w:rPr>
              <w:t>Non-GAAP adjusted EBITDA margin on constant currency basis</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51555C"/>
              </w:rPr>
              <w:t>35.0 %</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8520" w:type="dxa"/>
            <w:vAlign w:val="bottom"/>
            <w:shd w:val="clear" w:color="auto" w:fill="EBFBFF"/>
          </w:tcPr>
          <w:p>
            <w:pPr>
              <w:spacing w:after="0"/>
              <w:rPr>
                <w:sz w:val="12"/>
                <w:szCs w:val="12"/>
                <w:color w:val="auto"/>
              </w:rPr>
            </w:pPr>
          </w:p>
        </w:tc>
        <w:tc>
          <w:tcPr>
            <w:tcW w:w="420" w:type="dxa"/>
            <w:vAlign w:val="bottom"/>
            <w:shd w:val="clear" w:color="auto" w:fill="EBFBFF"/>
          </w:tcPr>
          <w:p>
            <w:pPr>
              <w:spacing w:after="0"/>
              <w:rPr>
                <w:sz w:val="12"/>
                <w:szCs w:val="12"/>
                <w:color w:val="auto"/>
              </w:rPr>
            </w:pPr>
          </w:p>
        </w:tc>
        <w:tc>
          <w:tcPr>
            <w:tcW w:w="1000" w:type="dxa"/>
            <w:vAlign w:val="bottom"/>
            <w:shd w:val="clear" w:color="auto" w:fill="EBFBFF"/>
          </w:tcPr>
          <w:p>
            <w:pPr>
              <w:spacing w:after="0"/>
              <w:rPr>
                <w:sz w:val="12"/>
                <w:szCs w:val="12"/>
                <w:color w:val="auto"/>
              </w:rPr>
            </w:pPr>
          </w:p>
        </w:tc>
        <w:tc>
          <w:tcPr>
            <w:tcW w:w="360" w:type="dxa"/>
            <w:vAlign w:val="bottom"/>
            <w:shd w:val="clear" w:color="auto" w:fill="EBFBFF"/>
          </w:tcPr>
          <w:p>
            <w:pPr>
              <w:spacing w:after="0"/>
              <w:rPr>
                <w:sz w:val="12"/>
                <w:szCs w:val="12"/>
                <w:color w:val="auto"/>
              </w:rPr>
            </w:pPr>
          </w:p>
        </w:tc>
        <w:tc>
          <w:tcPr>
            <w:tcW w:w="94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03"/>
        </w:trPr>
        <w:tc>
          <w:tcPr>
            <w:tcW w:w="8520" w:type="dxa"/>
            <w:vAlign w:val="bottom"/>
            <w:tcBorders>
              <w:bottom w:val="single" w:sz="8" w:color="0CD973"/>
            </w:tcBorders>
          </w:tcPr>
          <w:p>
            <w:pPr>
              <w:ind w:left="20"/>
              <w:spacing w:after="0" w:line="203" w:lineRule="exact"/>
              <w:rPr>
                <w:sz w:val="20"/>
                <w:szCs w:val="20"/>
                <w:color w:val="auto"/>
              </w:rPr>
            </w:pPr>
            <w:r>
              <w:rPr>
                <w:rFonts w:ascii="Arial" w:cs="Arial" w:eastAsia="Arial" w:hAnsi="Arial"/>
                <w:sz w:val="15"/>
                <w:szCs w:val="15"/>
                <w:b w:val="1"/>
                <w:bCs w:val="1"/>
                <w:color w:val="51555C"/>
              </w:rPr>
              <w:t>Rule of 40 on constant currency basis</w:t>
            </w:r>
            <w:r>
              <w:rPr>
                <w:rFonts w:ascii="Arial" w:cs="Arial" w:eastAsia="Arial" w:hAnsi="Arial"/>
                <w:sz w:val="19"/>
                <w:szCs w:val="19"/>
                <w:b w:val="1"/>
                <w:bCs w:val="1"/>
                <w:color w:val="51555C"/>
                <w:vertAlign w:val="superscript"/>
              </w:rPr>
              <w:t>(7)</w:t>
            </w:r>
          </w:p>
        </w:tc>
        <w:tc>
          <w:tcPr>
            <w:tcW w:w="420" w:type="dxa"/>
            <w:vAlign w:val="bottom"/>
            <w:tcBorders>
              <w:bottom w:val="single" w:sz="8" w:color="0CD973"/>
            </w:tcBorders>
          </w:tcPr>
          <w:p>
            <w:pPr>
              <w:spacing w:after="0"/>
              <w:rPr>
                <w:sz w:val="17"/>
                <w:szCs w:val="17"/>
                <w:color w:val="auto"/>
              </w:rPr>
            </w:pPr>
          </w:p>
        </w:tc>
        <w:tc>
          <w:tcPr>
            <w:tcW w:w="1000" w:type="dxa"/>
            <w:vAlign w:val="bottom"/>
            <w:tcBorders>
              <w:bottom w:val="single" w:sz="8" w:color="0CD973"/>
            </w:tcBorders>
          </w:tcPr>
          <w:p>
            <w:pPr>
              <w:jc w:val="right"/>
              <w:spacing w:after="0"/>
              <w:rPr>
                <w:sz w:val="20"/>
                <w:szCs w:val="20"/>
                <w:color w:val="auto"/>
              </w:rPr>
            </w:pPr>
            <w:r>
              <w:rPr>
                <w:rFonts w:ascii="Arial" w:cs="Arial" w:eastAsia="Arial" w:hAnsi="Arial"/>
                <w:sz w:val="15"/>
                <w:szCs w:val="15"/>
                <w:b w:val="1"/>
                <w:bCs w:val="1"/>
                <w:color w:val="51555C"/>
              </w:rPr>
              <w:t>38.3 %</w:t>
            </w:r>
          </w:p>
        </w:tc>
        <w:tc>
          <w:tcPr>
            <w:tcW w:w="360" w:type="dxa"/>
            <w:vAlign w:val="bottom"/>
            <w:tcBorders>
              <w:bottom w:val="single" w:sz="8" w:color="0CD973"/>
            </w:tcBorders>
          </w:tcPr>
          <w:p>
            <w:pPr>
              <w:spacing w:after="0"/>
              <w:rPr>
                <w:sz w:val="17"/>
                <w:szCs w:val="17"/>
                <w:color w:val="auto"/>
              </w:rPr>
            </w:pPr>
          </w:p>
        </w:tc>
        <w:tc>
          <w:tcPr>
            <w:tcW w:w="940" w:type="dxa"/>
            <w:vAlign w:val="bottom"/>
            <w:tcBorders>
              <w:bottom w:val="single" w:sz="8" w:color="0CD973"/>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-3771265</wp:posOffset>
            </wp:positionV>
            <wp:extent cx="17399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52"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development costs, and amortization expense from capitalized cloud computing implementation costs.</w:t>
      </w:r>
    </w:p>
    <w:p>
      <w:pPr>
        <w:spacing w:after="0" w:line="28"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GAAP revenue divided by non-GAAP EBITDA.</w:t>
      </w:r>
    </w:p>
    <w:p>
      <w:pPr>
        <w:spacing w:after="0" w:line="14"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See additional details in the reconciliation of GAAP to Non-GAAP operating income above.</w:t>
      </w:r>
    </w:p>
    <w:p>
      <w:pPr>
        <w:spacing w:after="0" w:line="14"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organic revenue divided by non-GAAP adjusted EBITDA.</w:t>
      </w:r>
    </w:p>
    <w:p>
      <w:pPr>
        <w:spacing w:after="0" w:line="14"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27"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20" w:hanging="312"/>
        <w:spacing w:after="0"/>
        <w:tabs>
          <w:tab w:leader="none" w:pos="320" w:val="left"/>
        </w:tabs>
        <w:numPr>
          <w:ilvl w:val="0"/>
          <w:numId w:val="9"/>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1480" w:type="dxa"/>
            <w:vAlign w:val="bottom"/>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Three months ended</w:t>
            </w:r>
          </w:p>
        </w:tc>
      </w:tr>
      <w:tr>
        <w:trPr>
          <w:trHeight w:val="185"/>
        </w:trPr>
        <w:tc>
          <w:tcPr>
            <w:tcW w:w="8260" w:type="dxa"/>
            <w:vAlign w:val="bottom"/>
            <w:shd w:val="clear" w:color="auto" w:fill="004054"/>
          </w:tcPr>
          <w:p>
            <w:pPr>
              <w:spacing w:after="0"/>
              <w:rPr>
                <w:sz w:val="16"/>
                <w:szCs w:val="16"/>
                <w:color w:val="auto"/>
              </w:rPr>
            </w:pPr>
          </w:p>
        </w:tc>
        <w:tc>
          <w:tcPr>
            <w:tcW w:w="44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83"/>
        </w:trPr>
        <w:tc>
          <w:tcPr>
            <w:tcW w:w="826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004054"/>
          </w:tcPr>
          <w:p>
            <w:pPr>
              <w:spacing w:after="0"/>
              <w:rPr>
                <w:sz w:val="24"/>
                <w:szCs w:val="24"/>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2026</w:t>
            </w:r>
          </w:p>
        </w:tc>
        <w:tc>
          <w:tcPr>
            <w:tcW w:w="420" w:type="dxa"/>
            <w:vAlign w:val="bottom"/>
            <w:shd w:val="clear" w:color="auto" w:fill="004054"/>
          </w:tcPr>
          <w:p>
            <w:pPr>
              <w:spacing w:after="0"/>
              <w:rPr>
                <w:sz w:val="24"/>
                <w:szCs w:val="24"/>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2025</w:t>
            </w:r>
          </w:p>
        </w:tc>
      </w:tr>
      <w:tr>
        <w:trPr>
          <w:trHeight w:val="203"/>
        </w:trPr>
        <w:tc>
          <w:tcPr>
            <w:tcW w:w="826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GAAP net cash provided by operating activities</w:t>
            </w:r>
          </w:p>
        </w:tc>
        <w:tc>
          <w:tcPr>
            <w:tcW w:w="440" w:type="dxa"/>
            <w:vAlign w:val="bottom"/>
            <w:shd w:val="clear" w:color="auto" w:fill="EBFBFF"/>
          </w:tcPr>
          <w:p>
            <w:pPr>
              <w:jc w:val="right"/>
              <w:ind w:right="244"/>
              <w:spacing w:after="0"/>
              <w:rPr>
                <w:sz w:val="20"/>
                <w:szCs w:val="20"/>
                <w:color w:val="auto"/>
              </w:rPr>
            </w:pPr>
            <w:r>
              <w:rPr>
                <w:rFonts w:ascii="Arial" w:cs="Arial" w:eastAsia="Arial" w:hAnsi="Arial"/>
                <w:sz w:val="15"/>
                <w:szCs w:val="15"/>
                <w:color w:val="51555C"/>
              </w:rPr>
              <w:t>$</w:t>
            </w:r>
          </w:p>
        </w:tc>
        <w:tc>
          <w:tcPr>
            <w:tcW w:w="1040" w:type="dxa"/>
            <w:vAlign w:val="bottom"/>
            <w:shd w:val="clear" w:color="auto" w:fill="EBFBFF"/>
          </w:tcPr>
          <w:p>
            <w:pPr>
              <w:jc w:val="right"/>
              <w:ind w:right="124"/>
              <w:spacing w:after="0"/>
              <w:rPr>
                <w:sz w:val="20"/>
                <w:szCs w:val="20"/>
                <w:color w:val="auto"/>
              </w:rPr>
            </w:pPr>
            <w:r>
              <w:rPr>
                <w:rFonts w:ascii="Arial" w:cs="Arial" w:eastAsia="Arial" w:hAnsi="Arial"/>
                <w:sz w:val="15"/>
                <w:szCs w:val="15"/>
                <w:color w:val="51555C"/>
              </w:rPr>
              <w:t>51,459</w:t>
            </w:r>
          </w:p>
        </w:tc>
        <w:tc>
          <w:tcPr>
            <w:tcW w:w="420" w:type="dxa"/>
            <w:vAlign w:val="bottom"/>
            <w:shd w:val="clear" w:color="auto" w:fill="EBFBFF"/>
          </w:tcPr>
          <w:p>
            <w:pPr>
              <w:ind w:left="20"/>
              <w:spacing w:after="0"/>
              <w:rPr>
                <w:sz w:val="20"/>
                <w:szCs w:val="20"/>
                <w:color w:val="auto"/>
              </w:rPr>
            </w:pPr>
            <w:r>
              <w:rPr>
                <w:rFonts w:ascii="Arial" w:cs="Arial" w:eastAsia="Arial" w:hAnsi="Arial"/>
                <w:sz w:val="15"/>
                <w:szCs w:val="15"/>
                <w:color w:val="51555C"/>
              </w:rPr>
              <w:t>$</w:t>
            </w:r>
          </w:p>
        </w:tc>
        <w:tc>
          <w:tcPr>
            <w:tcW w:w="1060" w:type="dxa"/>
            <w:vAlign w:val="bottom"/>
            <w:shd w:val="clear" w:color="auto" w:fill="EBFBFF"/>
          </w:tcPr>
          <w:p>
            <w:pPr>
              <w:jc w:val="right"/>
              <w:ind w:right="145"/>
              <w:spacing w:after="0"/>
              <w:rPr>
                <w:sz w:val="20"/>
                <w:szCs w:val="20"/>
                <w:color w:val="auto"/>
              </w:rPr>
            </w:pPr>
            <w:r>
              <w:rPr>
                <w:rFonts w:ascii="Arial" w:cs="Arial" w:eastAsia="Arial" w:hAnsi="Arial"/>
                <w:sz w:val="15"/>
                <w:szCs w:val="15"/>
                <w:color w:val="51555C"/>
              </w:rPr>
              <w:t>1,388</w:t>
            </w:r>
          </w:p>
        </w:tc>
      </w:tr>
      <w:tr>
        <w:trPr>
          <w:trHeight w:val="203"/>
        </w:trPr>
        <w:tc>
          <w:tcPr>
            <w:tcW w:w="8260" w:type="dxa"/>
            <w:vAlign w:val="bottom"/>
          </w:tcPr>
          <w:p>
            <w:pPr>
              <w:ind w:left="140"/>
              <w:spacing w:after="0"/>
              <w:rPr>
                <w:sz w:val="20"/>
                <w:szCs w:val="20"/>
                <w:color w:val="auto"/>
              </w:rPr>
            </w:pPr>
            <w:r>
              <w:rPr>
                <w:rFonts w:ascii="Arial" w:cs="Arial" w:eastAsia="Arial" w:hAnsi="Arial"/>
                <w:sz w:val="15"/>
                <w:szCs w:val="15"/>
                <w:b w:val="1"/>
                <w:bCs w:val="1"/>
                <w:color w:val="51555C"/>
              </w:rPr>
              <w:t>GAAP operating cash flow margin</w:t>
            </w: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51555C"/>
              </w:rPr>
              <w:t>18.3 %</w:t>
            </w:r>
          </w:p>
        </w:tc>
        <w:tc>
          <w:tcPr>
            <w:tcW w:w="4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51555C"/>
              </w:rPr>
              <w:t>0.5 %</w:t>
            </w:r>
          </w:p>
        </w:tc>
      </w:tr>
      <w:tr>
        <w:trPr>
          <w:trHeight w:val="203"/>
        </w:trPr>
        <w:tc>
          <w:tcPr>
            <w:tcW w:w="8260" w:type="dxa"/>
            <w:vAlign w:val="bottom"/>
            <w:shd w:val="clear" w:color="auto" w:fill="EBFBFF"/>
          </w:tcPr>
          <w:p>
            <w:pPr>
              <w:ind w:left="20"/>
              <w:spacing w:after="0"/>
              <w:rPr>
                <w:sz w:val="20"/>
                <w:szCs w:val="20"/>
                <w:color w:val="auto"/>
              </w:rPr>
            </w:pPr>
            <w:r>
              <w:rPr>
                <w:rFonts w:ascii="Arial" w:cs="Arial" w:eastAsia="Arial" w:hAnsi="Arial"/>
                <w:sz w:val="15"/>
                <w:szCs w:val="15"/>
                <w:b w:val="1"/>
                <w:bCs w:val="1"/>
                <w:color w:val="51555C"/>
              </w:rPr>
              <w:t>Non-GAAP adjustments:</w:t>
            </w:r>
          </w:p>
        </w:tc>
        <w:tc>
          <w:tcPr>
            <w:tcW w:w="440" w:type="dxa"/>
            <w:vAlign w:val="bottom"/>
            <w:shd w:val="clear" w:color="auto" w:fill="EBFBFF"/>
          </w:tcPr>
          <w:p>
            <w:pPr>
              <w:spacing w:after="0"/>
              <w:rPr>
                <w:sz w:val="17"/>
                <w:szCs w:val="17"/>
                <w:color w:val="auto"/>
              </w:rPr>
            </w:pPr>
          </w:p>
        </w:tc>
        <w:tc>
          <w:tcPr>
            <w:tcW w:w="1040" w:type="dxa"/>
            <w:vAlign w:val="bottom"/>
            <w:shd w:val="clear" w:color="auto" w:fill="EBFBFF"/>
          </w:tcPr>
          <w:p>
            <w:pPr>
              <w:spacing w:after="0"/>
              <w:rPr>
                <w:sz w:val="17"/>
                <w:szCs w:val="17"/>
                <w:color w:val="auto"/>
              </w:rPr>
            </w:pPr>
          </w:p>
        </w:tc>
        <w:tc>
          <w:tcPr>
            <w:tcW w:w="420" w:type="dxa"/>
            <w:vAlign w:val="bottom"/>
            <w:shd w:val="clear" w:color="auto" w:fill="EBFBFF"/>
          </w:tcPr>
          <w:p>
            <w:pPr>
              <w:spacing w:after="0"/>
              <w:rPr>
                <w:sz w:val="17"/>
                <w:szCs w:val="17"/>
                <w:color w:val="auto"/>
              </w:rPr>
            </w:pPr>
          </w:p>
        </w:tc>
        <w:tc>
          <w:tcPr>
            <w:tcW w:w="1060" w:type="dxa"/>
            <w:vAlign w:val="bottom"/>
            <w:shd w:val="clear" w:color="auto" w:fill="EBFBFF"/>
          </w:tcPr>
          <w:p>
            <w:pPr>
              <w:spacing w:after="0"/>
              <w:rPr>
                <w:sz w:val="17"/>
                <w:szCs w:val="17"/>
                <w:color w:val="auto"/>
              </w:rPr>
            </w:pPr>
          </w:p>
        </w:tc>
      </w:tr>
      <w:tr>
        <w:trPr>
          <w:trHeight w:val="201"/>
        </w:trPr>
        <w:tc>
          <w:tcPr>
            <w:tcW w:w="8260" w:type="dxa"/>
            <w:vAlign w:val="bottom"/>
          </w:tcPr>
          <w:p>
            <w:pPr>
              <w:ind w:left="140"/>
              <w:spacing w:after="0"/>
              <w:rPr>
                <w:sz w:val="20"/>
                <w:szCs w:val="20"/>
                <w:color w:val="auto"/>
              </w:rPr>
            </w:pPr>
            <w:r>
              <w:rPr>
                <w:rFonts w:ascii="Arial" w:cs="Arial" w:eastAsia="Arial" w:hAnsi="Arial"/>
                <w:sz w:val="15"/>
                <w:szCs w:val="15"/>
                <w:color w:val="51555C"/>
              </w:rPr>
              <w:t>Less: purchase of property and equipment</w:t>
            </w:r>
          </w:p>
        </w:tc>
        <w:tc>
          <w:tcPr>
            <w:tcW w:w="440" w:type="dxa"/>
            <w:vAlign w:val="bottom"/>
          </w:tcPr>
          <w:p>
            <w:pPr>
              <w:spacing w:after="0"/>
              <w:rPr>
                <w:sz w:val="17"/>
                <w:szCs w:val="17"/>
                <w:color w:val="auto"/>
              </w:rPr>
            </w:pPr>
          </w:p>
        </w:tc>
        <w:tc>
          <w:tcPr>
            <w:tcW w:w="1040" w:type="dxa"/>
            <w:vAlign w:val="bottom"/>
          </w:tcPr>
          <w:p>
            <w:pPr>
              <w:jc w:val="right"/>
              <w:ind w:right="84"/>
              <w:spacing w:after="0"/>
              <w:rPr>
                <w:sz w:val="20"/>
                <w:szCs w:val="20"/>
                <w:color w:val="auto"/>
              </w:rPr>
            </w:pPr>
            <w:r>
              <w:rPr>
                <w:rFonts w:ascii="Arial" w:cs="Arial" w:eastAsia="Arial" w:hAnsi="Arial"/>
                <w:sz w:val="15"/>
                <w:szCs w:val="15"/>
                <w:color w:val="51555C"/>
              </w:rPr>
              <w:t>(1,668)</w:t>
            </w:r>
          </w:p>
        </w:tc>
        <w:tc>
          <w:tcPr>
            <w:tcW w:w="420" w:type="dxa"/>
            <w:vAlign w:val="bottom"/>
          </w:tcPr>
          <w:p>
            <w:pPr>
              <w:spacing w:after="0"/>
              <w:rPr>
                <w:sz w:val="17"/>
                <w:szCs w:val="17"/>
                <w:color w:val="auto"/>
              </w:rPr>
            </w:pPr>
          </w:p>
        </w:tc>
        <w:tc>
          <w:tcPr>
            <w:tcW w:w="1060" w:type="dxa"/>
            <w:vAlign w:val="bottom"/>
          </w:tcPr>
          <w:p>
            <w:pPr>
              <w:jc w:val="right"/>
              <w:ind w:right="85"/>
              <w:spacing w:after="0"/>
              <w:rPr>
                <w:sz w:val="20"/>
                <w:szCs w:val="20"/>
                <w:color w:val="auto"/>
              </w:rPr>
            </w:pPr>
            <w:r>
              <w:rPr>
                <w:rFonts w:ascii="Arial" w:cs="Arial" w:eastAsia="Arial" w:hAnsi="Arial"/>
                <w:sz w:val="15"/>
                <w:szCs w:val="15"/>
                <w:color w:val="51555C"/>
              </w:rPr>
              <w:t>(688)</w:t>
            </w:r>
          </w:p>
        </w:tc>
      </w:tr>
      <w:tr>
        <w:trPr>
          <w:trHeight w:val="204"/>
        </w:trPr>
        <w:tc>
          <w:tcPr>
            <w:tcW w:w="8260" w:type="dxa"/>
            <w:vAlign w:val="bottom"/>
            <w:shd w:val="clear" w:color="auto" w:fill="EBFBFF"/>
          </w:tcPr>
          <w:p>
            <w:pPr>
              <w:ind w:left="140"/>
              <w:spacing w:after="0"/>
              <w:rPr>
                <w:sz w:val="20"/>
                <w:szCs w:val="20"/>
                <w:color w:val="auto"/>
              </w:rPr>
            </w:pPr>
            <w:r>
              <w:rPr>
                <w:rFonts w:ascii="Arial" w:cs="Arial" w:eastAsia="Arial" w:hAnsi="Arial"/>
                <w:sz w:val="15"/>
                <w:szCs w:val="15"/>
                <w:color w:val="51555C"/>
              </w:rPr>
              <w:t>Less: capitalized software development costs</w:t>
            </w:r>
          </w:p>
        </w:tc>
        <w:tc>
          <w:tcPr>
            <w:tcW w:w="440" w:type="dxa"/>
            <w:vAlign w:val="bottom"/>
            <w:tcBorders>
              <w:bottom w:val="single" w:sz="8" w:color="51555C"/>
            </w:tcBorders>
            <w:shd w:val="clear" w:color="auto" w:fill="EBFBFF"/>
          </w:tcPr>
          <w:p>
            <w:pPr>
              <w:spacing w:after="0"/>
              <w:rPr>
                <w:sz w:val="17"/>
                <w:szCs w:val="17"/>
                <w:color w:val="auto"/>
              </w:rPr>
            </w:pPr>
          </w:p>
        </w:tc>
        <w:tc>
          <w:tcPr>
            <w:tcW w:w="1040" w:type="dxa"/>
            <w:vAlign w:val="bottom"/>
            <w:tcBorders>
              <w:bottom w:val="single" w:sz="8" w:color="51555C"/>
            </w:tcBorders>
            <w:shd w:val="clear" w:color="auto" w:fill="EBFBFF"/>
          </w:tcPr>
          <w:p>
            <w:pPr>
              <w:jc w:val="right"/>
              <w:ind w:right="84"/>
              <w:spacing w:after="0"/>
              <w:rPr>
                <w:sz w:val="20"/>
                <w:szCs w:val="20"/>
                <w:color w:val="auto"/>
              </w:rPr>
            </w:pPr>
            <w:r>
              <w:rPr>
                <w:rFonts w:ascii="Arial" w:cs="Arial" w:eastAsia="Arial" w:hAnsi="Arial"/>
                <w:sz w:val="15"/>
                <w:szCs w:val="15"/>
                <w:color w:val="51555C"/>
              </w:rPr>
              <w:t>(12,798)</w:t>
            </w:r>
          </w:p>
        </w:tc>
        <w:tc>
          <w:tcPr>
            <w:tcW w:w="420" w:type="dxa"/>
            <w:vAlign w:val="bottom"/>
            <w:tcBorders>
              <w:bottom w:val="single" w:sz="8" w:color="51555C"/>
            </w:tcBorders>
            <w:shd w:val="clear" w:color="auto" w:fill="EBFBFF"/>
          </w:tcPr>
          <w:p>
            <w:pPr>
              <w:spacing w:after="0"/>
              <w:rPr>
                <w:sz w:val="17"/>
                <w:szCs w:val="17"/>
                <w:color w:val="auto"/>
              </w:rPr>
            </w:pPr>
          </w:p>
        </w:tc>
        <w:tc>
          <w:tcPr>
            <w:tcW w:w="1060" w:type="dxa"/>
            <w:vAlign w:val="bottom"/>
            <w:tcBorders>
              <w:bottom w:val="single" w:sz="8" w:color="51555C"/>
            </w:tcBorders>
            <w:shd w:val="clear" w:color="auto" w:fill="EBFBFF"/>
          </w:tcPr>
          <w:p>
            <w:pPr>
              <w:jc w:val="right"/>
              <w:ind w:right="85"/>
              <w:spacing w:after="0"/>
              <w:rPr>
                <w:sz w:val="20"/>
                <w:szCs w:val="20"/>
                <w:color w:val="auto"/>
              </w:rPr>
            </w:pPr>
            <w:r>
              <w:rPr>
                <w:rFonts w:ascii="Arial" w:cs="Arial" w:eastAsia="Arial" w:hAnsi="Arial"/>
                <w:sz w:val="15"/>
                <w:szCs w:val="15"/>
                <w:color w:val="51555C"/>
              </w:rPr>
              <w:t>(12,970)</w:t>
            </w:r>
          </w:p>
        </w:tc>
      </w:tr>
      <w:tr>
        <w:trPr>
          <w:trHeight w:val="196"/>
        </w:trPr>
        <w:tc>
          <w:tcPr>
            <w:tcW w:w="8260" w:type="dxa"/>
            <w:vAlign w:val="bottom"/>
            <w:tcBorders>
              <w:bottom w:val="single" w:sz="8" w:color="EBFBFF"/>
            </w:tcBorders>
          </w:tcPr>
          <w:p>
            <w:pPr>
              <w:ind w:left="20"/>
              <w:spacing w:after="0"/>
              <w:rPr>
                <w:sz w:val="20"/>
                <w:szCs w:val="20"/>
                <w:color w:val="auto"/>
              </w:rPr>
            </w:pPr>
            <w:r>
              <w:rPr>
                <w:rFonts w:ascii="Arial" w:cs="Arial" w:eastAsia="Arial" w:hAnsi="Arial"/>
                <w:sz w:val="15"/>
                <w:szCs w:val="15"/>
                <w:b w:val="1"/>
                <w:bCs w:val="1"/>
                <w:color w:val="51555C"/>
              </w:rPr>
              <w:t>Non-GAAP free cash flow</w:t>
            </w:r>
          </w:p>
        </w:tc>
        <w:tc>
          <w:tcPr>
            <w:tcW w:w="440" w:type="dxa"/>
            <w:vAlign w:val="bottom"/>
            <w:tcBorders>
              <w:bottom w:val="single" w:sz="8" w:color="51555C"/>
            </w:tcBorders>
          </w:tcPr>
          <w:p>
            <w:pPr>
              <w:jc w:val="right"/>
              <w:ind w:right="244"/>
              <w:spacing w:after="0"/>
              <w:rPr>
                <w:sz w:val="20"/>
                <w:szCs w:val="20"/>
                <w:color w:val="auto"/>
              </w:rPr>
            </w:pPr>
            <w:r>
              <w:rPr>
                <w:rFonts w:ascii="Arial" w:cs="Arial" w:eastAsia="Arial" w:hAnsi="Arial"/>
                <w:sz w:val="15"/>
                <w:szCs w:val="15"/>
                <w:color w:val="51555C"/>
              </w:rPr>
              <w:t>$</w:t>
            </w:r>
          </w:p>
        </w:tc>
        <w:tc>
          <w:tcPr>
            <w:tcW w:w="1040" w:type="dxa"/>
            <w:vAlign w:val="bottom"/>
            <w:tcBorders>
              <w:bottom w:val="single" w:sz="8" w:color="51555C"/>
            </w:tcBorders>
          </w:tcPr>
          <w:p>
            <w:pPr>
              <w:jc w:val="right"/>
              <w:ind w:right="124"/>
              <w:spacing w:after="0"/>
              <w:rPr>
                <w:sz w:val="20"/>
                <w:szCs w:val="20"/>
                <w:color w:val="auto"/>
              </w:rPr>
            </w:pPr>
            <w:r>
              <w:rPr>
                <w:rFonts w:ascii="Arial" w:cs="Arial" w:eastAsia="Arial" w:hAnsi="Arial"/>
                <w:sz w:val="15"/>
                <w:szCs w:val="15"/>
                <w:color w:val="51555C"/>
              </w:rPr>
              <w:t>36,993</w:t>
            </w:r>
          </w:p>
        </w:tc>
        <w:tc>
          <w:tcPr>
            <w:tcW w:w="420" w:type="dxa"/>
            <w:vAlign w:val="bottom"/>
            <w:tcBorders>
              <w:bottom w:val="single" w:sz="8" w:color="51555C"/>
            </w:tcBorders>
          </w:tcPr>
          <w:p>
            <w:pPr>
              <w:ind w:left="20"/>
              <w:spacing w:after="0"/>
              <w:rPr>
                <w:sz w:val="20"/>
                <w:szCs w:val="20"/>
                <w:color w:val="auto"/>
              </w:rPr>
            </w:pPr>
            <w:r>
              <w:rPr>
                <w:rFonts w:ascii="Arial" w:cs="Arial" w:eastAsia="Arial" w:hAnsi="Arial"/>
                <w:sz w:val="15"/>
                <w:szCs w:val="15"/>
                <w:color w:val="51555C"/>
              </w:rPr>
              <w:t>$</w:t>
            </w:r>
          </w:p>
        </w:tc>
        <w:tc>
          <w:tcPr>
            <w:tcW w:w="1060" w:type="dxa"/>
            <w:vAlign w:val="bottom"/>
            <w:tcBorders>
              <w:bottom w:val="single" w:sz="8" w:color="51555C"/>
            </w:tcBorders>
          </w:tcPr>
          <w:p>
            <w:pPr>
              <w:jc w:val="right"/>
              <w:ind w:right="85"/>
              <w:spacing w:after="0"/>
              <w:rPr>
                <w:sz w:val="20"/>
                <w:szCs w:val="20"/>
                <w:color w:val="auto"/>
              </w:rPr>
            </w:pPr>
            <w:r>
              <w:rPr>
                <w:rFonts w:ascii="Arial" w:cs="Arial" w:eastAsia="Arial" w:hAnsi="Arial"/>
                <w:sz w:val="15"/>
                <w:szCs w:val="15"/>
                <w:color w:val="51555C"/>
              </w:rPr>
              <w:t>(12,270)</w:t>
            </w:r>
          </w:p>
        </w:tc>
      </w:tr>
      <w:tr>
        <w:trPr>
          <w:trHeight w:val="196"/>
        </w:trPr>
        <w:tc>
          <w:tcPr>
            <w:tcW w:w="826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5"/>
                <w:szCs w:val="15"/>
                <w:b w:val="1"/>
                <w:bCs w:val="1"/>
                <w:color w:val="51555C"/>
              </w:rPr>
              <w:t>Non-GAAP free cash flow margin</w:t>
            </w:r>
          </w:p>
        </w:tc>
        <w:tc>
          <w:tcPr>
            <w:tcW w:w="440" w:type="dxa"/>
            <w:vAlign w:val="bottom"/>
            <w:tcBorders>
              <w:bottom w:val="single" w:sz="8" w:color="0CD973"/>
            </w:tcBorders>
            <w:shd w:val="clear" w:color="auto" w:fill="EBFBFF"/>
          </w:tcPr>
          <w:p>
            <w:pPr>
              <w:spacing w:after="0"/>
              <w:rPr>
                <w:sz w:val="17"/>
                <w:szCs w:val="17"/>
                <w:color w:val="auto"/>
              </w:rPr>
            </w:pP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13.2 %</w:t>
            </w:r>
          </w:p>
        </w:tc>
        <w:tc>
          <w:tcPr>
            <w:tcW w:w="420" w:type="dxa"/>
            <w:vAlign w:val="bottom"/>
            <w:tcBorders>
              <w:bottom w:val="single" w:sz="8" w:color="0CD973"/>
            </w:tcBorders>
            <w:shd w:val="clear" w:color="auto" w:fill="EBFBFF"/>
          </w:tcPr>
          <w:p>
            <w:pPr>
              <w:spacing w:after="0"/>
              <w:rPr>
                <w:sz w:val="17"/>
                <w:szCs w:val="17"/>
                <w:color w:val="auto"/>
              </w:rPr>
            </w:pP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5"/>
                <w:szCs w:val="15"/>
                <w:color w:val="51555C"/>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-1104900</wp:posOffset>
            </wp:positionV>
            <wp:extent cx="18776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51555C"/>
        </w:rPr>
        <w:t>11</w:t>
      </w:r>
    </w:p>
    <w:sectPr>
      <w:pgSz w:w="11900" w:h="16838" w:orient="portrait"/>
      <w:cols w:equalWidth="0" w:num="1">
        <w:col w:w="11260"/>
      </w:cols>
      <w:pgMar w:left="32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7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2026-04-29T06:10:28Z</dcterms:created>
  <dcterms:modified xsi:type="dcterms:W3CDTF">2026-04-29T06:10:28Z</dcterms:modified>
</cp:coreProperties>
</file>