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80"/>
        <w:spacing w:after="0"/>
        <w:rPr>
          <w:sz w:val="20"/>
          <w:szCs w:val="20"/>
          <w:color w:val="auto"/>
        </w:rPr>
      </w:pPr>
      <w:r>
        <w:rPr>
          <w:rFonts w:ascii="Arial" w:cs="Arial" w:eastAsia="Arial" w:hAnsi="Arial"/>
          <w:sz w:val="20"/>
          <w:szCs w:val="20"/>
          <w:b w:val="1"/>
          <w:bCs w:val="1"/>
          <w:color w:val="51555C"/>
        </w:rPr>
        <w:t>UNITED STATES</w:t>
      </w:r>
    </w:p>
    <w:p>
      <w:pPr>
        <w:spacing w:after="0" w:line="31"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51555C"/>
        </w:rPr>
        <w:t>SECURITIES AND EXCHANGE COMMISSION</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51555C"/>
        </w:rPr>
        <w:t>Washington, D.C. 20549</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51555C"/>
        </w:rPr>
        <w:t>FORM 10-Q</w:t>
      </w:r>
    </w:p>
    <w:p>
      <w:pPr>
        <w:spacing w:after="0" w:line="224" w:lineRule="exact"/>
        <w:rPr>
          <w:sz w:val="24"/>
          <w:szCs w:val="24"/>
          <w:color w:val="auto"/>
        </w:rPr>
      </w:pPr>
    </w:p>
    <w:p>
      <w:pPr>
        <w:ind w:left="700" w:right="2440" w:hanging="550"/>
        <w:spacing w:after="0" w:line="349" w:lineRule="auto"/>
        <w:tabs>
          <w:tab w:leader="none" w:pos="484" w:val="left"/>
        </w:tabs>
        <w:numPr>
          <w:ilvl w:val="0"/>
          <w:numId w:val="1"/>
        </w:numPr>
        <w:rPr>
          <w:rFonts w:ascii="MS PGothic" w:cs="MS PGothic" w:eastAsia="MS PGothic" w:hAnsi="MS PGothic"/>
          <w:sz w:val="20"/>
          <w:szCs w:val="20"/>
          <w:color w:val="51555C"/>
        </w:rPr>
      </w:pPr>
      <w:r>
        <w:rPr>
          <w:rFonts w:ascii="Arial" w:cs="Arial" w:eastAsia="Arial" w:hAnsi="Arial"/>
          <w:sz w:val="16"/>
          <w:szCs w:val="16"/>
          <w:b w:val="1"/>
          <w:bCs w:val="1"/>
          <w:color w:val="51555C"/>
        </w:rPr>
        <w:t xml:space="preserve">QUARTERLY REPORT PURSUANT TO SECTION 13 OR 15(d) OF THE SECURITIES EXCHANGE ACT OF 1934 </w:t>
      </w:r>
      <w:r>
        <w:rPr>
          <w:rFonts w:ascii="Arial" w:cs="Arial" w:eastAsia="Arial" w:hAnsi="Arial"/>
          <w:sz w:val="16"/>
          <w:szCs w:val="16"/>
          <w:color w:val="51555C"/>
        </w:rPr>
        <w:t>For the quarterly period ended September 30, 2022</w:t>
      </w:r>
    </w:p>
    <w:p>
      <w:pPr>
        <w:jc w:val="center"/>
        <w:ind w:right="-19"/>
        <w:spacing w:after="0"/>
        <w:rPr>
          <w:sz w:val="20"/>
          <w:szCs w:val="20"/>
          <w:color w:val="auto"/>
        </w:rPr>
      </w:pPr>
      <w:r>
        <w:rPr>
          <w:rFonts w:ascii="Arial" w:cs="Arial" w:eastAsia="Arial" w:hAnsi="Arial"/>
          <w:sz w:val="16"/>
          <w:szCs w:val="16"/>
          <w:b w:val="1"/>
          <w:bCs w:val="1"/>
          <w:color w:val="51555C"/>
        </w:rPr>
        <w:t>or</w:t>
      </w:r>
    </w:p>
    <w:p>
      <w:pPr>
        <w:spacing w:after="0" w:line="154" w:lineRule="exact"/>
        <w:rPr>
          <w:sz w:val="24"/>
          <w:szCs w:val="24"/>
          <w:color w:val="auto"/>
        </w:rPr>
      </w:pPr>
    </w:p>
    <w:p>
      <w:pPr>
        <w:ind w:left="480" w:hanging="330"/>
        <w:spacing w:after="0"/>
        <w:tabs>
          <w:tab w:leader="none" w:pos="480" w:val="left"/>
        </w:tabs>
        <w:numPr>
          <w:ilvl w:val="0"/>
          <w:numId w:val="2"/>
        </w:numPr>
        <w:rPr>
          <w:rFonts w:ascii="MS PGothic" w:cs="MS PGothic" w:eastAsia="MS PGothic" w:hAnsi="MS PGothic"/>
          <w:sz w:val="20"/>
          <w:szCs w:val="20"/>
          <w:color w:val="51555C"/>
        </w:rPr>
      </w:pPr>
      <w:r>
        <w:rPr>
          <w:rFonts w:ascii="Arial" w:cs="Arial" w:eastAsia="Arial" w:hAnsi="Arial"/>
          <w:sz w:val="16"/>
          <w:szCs w:val="16"/>
          <w:b w:val="1"/>
          <w:bCs w:val="1"/>
          <w:color w:val="51555C"/>
        </w:rPr>
        <w:t>TRANSITION REPORT PURSUANT TO SECTION 13 OR 15(d) OF THE SECURITIES EXCHANGE ACT OF 1934</w:t>
      </w:r>
    </w:p>
    <w:p>
      <w:pPr>
        <w:spacing w:after="0" w:line="84" w:lineRule="exact"/>
        <w:rPr>
          <w:sz w:val="24"/>
          <w:szCs w:val="24"/>
          <w:color w:val="auto"/>
        </w:rPr>
      </w:pPr>
    </w:p>
    <w:p>
      <w:pPr>
        <w:ind w:left="700"/>
        <w:spacing w:after="0"/>
        <w:tabs>
          <w:tab w:leader="none" w:pos="3700" w:val="left"/>
          <w:tab w:leader="none" w:pos="4780" w:val="left"/>
        </w:tabs>
        <w:rPr>
          <w:sz w:val="20"/>
          <w:szCs w:val="20"/>
          <w:color w:val="auto"/>
        </w:rPr>
      </w:pPr>
      <w:r>
        <w:rPr>
          <w:rFonts w:ascii="Arial" w:cs="Arial" w:eastAsia="Arial" w:hAnsi="Arial"/>
          <w:sz w:val="16"/>
          <w:szCs w:val="16"/>
          <w:color w:val="51555C"/>
        </w:rPr>
        <w:t>For the transition period from</w:t>
      </w:r>
      <w:r>
        <w:rPr>
          <w:sz w:val="20"/>
          <w:szCs w:val="20"/>
          <w:color w:val="auto"/>
        </w:rPr>
        <w:tab/>
      </w:r>
      <w:r>
        <w:rPr>
          <w:rFonts w:ascii="Arial" w:cs="Arial" w:eastAsia="Arial" w:hAnsi="Arial"/>
          <w:sz w:val="16"/>
          <w:szCs w:val="16"/>
          <w:color w:val="51555C"/>
        </w:rPr>
        <w:t>to</w:t>
      </w:r>
      <w:r>
        <w:rPr>
          <w:sz w:val="20"/>
          <w:szCs w:val="20"/>
          <w:color w:val="auto"/>
        </w:rPr>
        <w:tab/>
      </w:r>
      <w:r>
        <w:rPr>
          <w:rFonts w:ascii="Arial" w:cs="Arial" w:eastAsia="Arial" w:hAnsi="Arial"/>
          <w:sz w:val="16"/>
          <w:szCs w:val="16"/>
          <w:color w:val="51555C"/>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1794510</wp:posOffset>
            </wp:positionH>
            <wp:positionV relativeFrom="paragraph">
              <wp:posOffset>-14605</wp:posOffset>
            </wp:positionV>
            <wp:extent cx="1257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51555C"/>
        </w:rPr>
        <w:t xml:space="preserve">Commission file number: </w:t>
      </w:r>
      <w:r>
        <w:rPr>
          <w:rFonts w:ascii="Arial" w:cs="Arial" w:eastAsia="Arial" w:hAnsi="Arial"/>
          <w:sz w:val="16"/>
          <w:szCs w:val="16"/>
          <w:b w:val="1"/>
          <w:bCs w:val="1"/>
          <w:color w:val="51555C"/>
        </w:rPr>
        <w:t>000-50600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177800</wp:posOffset>
            </wp:positionV>
            <wp:extent cx="2451735"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5173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51555C"/>
        </w:rPr>
        <w:t>Blackbaud,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51555C"/>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p>
      <w:pPr>
        <w:spacing w:after="0" w:line="16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51555C"/>
        </w:rPr>
        <w:t>Delaware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6"/>
          <w:szCs w:val="16"/>
          <w:b w:val="1"/>
          <w:bCs w:val="1"/>
          <w:color w:val="51555C"/>
        </w:rPr>
        <w:t>11-2617163</w:t>
      </w:r>
    </w:p>
    <w:p>
      <w:pPr>
        <w:spacing w:after="0" w:line="79" w:lineRule="exact"/>
        <w:rPr>
          <w:sz w:val="24"/>
          <w:szCs w:val="24"/>
          <w:color w:val="auto"/>
        </w:rPr>
      </w:pPr>
    </w:p>
    <w:p>
      <w:pPr>
        <w:sectPr>
          <w:pgSz w:w="11900" w:h="16838" w:orient="portrait"/>
          <w:cols w:equalWidth="0" w:num="2">
            <w:col w:w="7320" w:space="720"/>
            <w:col w:w="3200"/>
          </w:cols>
          <w:pgMar w:left="320" w:top="922" w:right="339" w:bottom="1440" w:gutter="0" w:footer="0" w:header="0"/>
          <w:type w:val="continuous"/>
        </w:sectPr>
      </w:pPr>
    </w:p>
    <w:p>
      <w:pPr>
        <w:ind w:left="780"/>
        <w:spacing w:after="0"/>
        <w:rPr>
          <w:sz w:val="20"/>
          <w:szCs w:val="20"/>
          <w:color w:val="auto"/>
        </w:rPr>
      </w:pPr>
      <w:r>
        <w:rPr>
          <w:rFonts w:ascii="Arial" w:cs="Arial" w:eastAsia="Arial" w:hAnsi="Arial"/>
          <w:sz w:val="16"/>
          <w:szCs w:val="16"/>
          <w:color w:val="51555C"/>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51555C"/>
        </w:rPr>
        <w:t>(I.R.S. Employer Identification No.)</w:t>
      </w:r>
    </w:p>
    <w:p>
      <w:pPr>
        <w:spacing w:after="0" w:line="93" w:lineRule="exact"/>
        <w:rPr>
          <w:sz w:val="24"/>
          <w:szCs w:val="24"/>
          <w:color w:val="auto"/>
        </w:rPr>
      </w:pPr>
    </w:p>
    <w:p>
      <w:pPr>
        <w:sectPr>
          <w:pgSz w:w="11900" w:h="16838" w:orient="portrait"/>
          <w:cols w:equalWidth="0" w:num="2">
            <w:col w:w="6520" w:space="720"/>
            <w:col w:w="4000"/>
          </w:cols>
          <w:pgMar w:left="320" w:top="922" w:right="339" w:bottom="1440" w:gutter="0" w:footer="0" w:header="0"/>
          <w:type w:val="continuous"/>
        </w:sectPr>
      </w:pPr>
    </w:p>
    <w:p>
      <w:pPr>
        <w:ind w:left="4920"/>
        <w:spacing w:after="0"/>
        <w:rPr>
          <w:sz w:val="20"/>
          <w:szCs w:val="20"/>
          <w:color w:val="auto"/>
        </w:rPr>
      </w:pPr>
      <w:r>
        <w:rPr>
          <w:rFonts w:ascii="Arial" w:cs="Arial" w:eastAsia="Arial" w:hAnsi="Arial"/>
          <w:sz w:val="16"/>
          <w:szCs w:val="16"/>
          <w:b w:val="1"/>
          <w:bCs w:val="1"/>
          <w:color w:val="51555C"/>
        </w:rPr>
        <w:t>65 Fairchild Street</w:t>
      </w:r>
    </w:p>
    <w:p>
      <w:pPr>
        <w:spacing w:after="0" w:line="31"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51555C"/>
        </w:rPr>
        <w:t>Charleston, South Carolina 29492</w:t>
      </w:r>
    </w:p>
    <w:p>
      <w:pPr>
        <w:spacing w:after="0" w:line="13" w:lineRule="exact"/>
        <w:rPr>
          <w:sz w:val="24"/>
          <w:szCs w:val="24"/>
          <w:color w:val="auto"/>
        </w:rPr>
      </w:pPr>
    </w:p>
    <w:p>
      <w:pPr>
        <w:ind w:left="3540"/>
        <w:spacing w:after="0"/>
        <w:rPr>
          <w:sz w:val="20"/>
          <w:szCs w:val="20"/>
          <w:color w:val="auto"/>
        </w:rPr>
      </w:pPr>
      <w:r>
        <w:rPr>
          <w:rFonts w:ascii="Arial" w:cs="Arial" w:eastAsia="Arial" w:hAnsi="Arial"/>
          <w:sz w:val="16"/>
          <w:szCs w:val="16"/>
          <w:color w:val="51555C"/>
        </w:rPr>
        <w:t>(Address of principal executive offices, including zip code)</w:t>
      </w:r>
    </w:p>
    <w:p>
      <w:pPr>
        <w:spacing w:after="0" w:line="11" w:lineRule="exact"/>
        <w:rPr>
          <w:sz w:val="24"/>
          <w:szCs w:val="24"/>
          <w:color w:val="auto"/>
        </w:rPr>
      </w:pPr>
    </w:p>
    <w:p>
      <w:pPr>
        <w:ind w:left="5080"/>
        <w:spacing w:after="0"/>
        <w:rPr>
          <w:sz w:val="20"/>
          <w:szCs w:val="20"/>
          <w:color w:val="auto"/>
        </w:rPr>
      </w:pPr>
      <w:r>
        <w:rPr>
          <w:rFonts w:ascii="Arial" w:cs="Arial" w:eastAsia="Arial" w:hAnsi="Arial"/>
          <w:sz w:val="16"/>
          <w:szCs w:val="16"/>
          <w:b w:val="1"/>
          <w:bCs w:val="1"/>
          <w:color w:val="51555C"/>
        </w:rPr>
        <w:t>(843) 216-6200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color w:val="51555C"/>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620" w:type="dxa"/>
            <w:vAlign w:val="bottom"/>
            <w:gridSpan w:val="3"/>
          </w:tcPr>
          <w:p>
            <w:pPr>
              <w:jc w:val="center"/>
              <w:ind w:right="380"/>
              <w:spacing w:after="0"/>
              <w:rPr>
                <w:sz w:val="20"/>
                <w:szCs w:val="20"/>
                <w:color w:val="auto"/>
              </w:rPr>
            </w:pPr>
            <w:r>
              <w:rPr>
                <w:rFonts w:ascii="Arial" w:cs="Arial" w:eastAsia="Arial" w:hAnsi="Arial"/>
                <w:sz w:val="16"/>
                <w:szCs w:val="16"/>
                <w:color w:val="51555C"/>
              </w:rPr>
              <w:t>Securities Registered Pursuant to Section 12(b) of the Act:</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8"/>
        </w:trPr>
        <w:tc>
          <w:tcPr>
            <w:tcW w:w="1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51555C"/>
              </w:rPr>
              <w:t>Title of Each Class</w:t>
            </w:r>
          </w:p>
        </w:tc>
        <w:tc>
          <w:tcPr>
            <w:tcW w:w="1800" w:type="dxa"/>
            <w:vAlign w:val="bottom"/>
          </w:tcPr>
          <w:p>
            <w:pPr>
              <w:spacing w:after="0"/>
              <w:rPr>
                <w:sz w:val="18"/>
                <w:szCs w:val="18"/>
                <w:color w:val="auto"/>
              </w:rPr>
            </w:pPr>
          </w:p>
        </w:tc>
        <w:tc>
          <w:tcPr>
            <w:tcW w:w="1720" w:type="dxa"/>
            <w:vAlign w:val="bottom"/>
            <w:gridSpan w:val="2"/>
          </w:tcPr>
          <w:p>
            <w:pPr>
              <w:jc w:val="center"/>
              <w:ind w:left="319"/>
              <w:spacing w:after="0"/>
              <w:rPr>
                <w:sz w:val="20"/>
                <w:szCs w:val="20"/>
                <w:color w:val="auto"/>
              </w:rPr>
            </w:pPr>
            <w:r>
              <w:rPr>
                <w:rFonts w:ascii="Arial" w:cs="Arial" w:eastAsia="Arial" w:hAnsi="Arial"/>
                <w:sz w:val="16"/>
                <w:szCs w:val="16"/>
                <w:color w:val="51555C"/>
              </w:rPr>
              <w:t>Trading Symbol(s)</w:t>
            </w:r>
          </w:p>
        </w:tc>
        <w:tc>
          <w:tcPr>
            <w:tcW w:w="1160" w:type="dxa"/>
            <w:vAlign w:val="bottom"/>
          </w:tcPr>
          <w:p>
            <w:pPr>
              <w:spacing w:after="0"/>
              <w:rPr>
                <w:sz w:val="18"/>
                <w:szCs w:val="18"/>
                <w:color w:val="auto"/>
              </w:rPr>
            </w:pPr>
          </w:p>
        </w:tc>
        <w:tc>
          <w:tcPr>
            <w:tcW w:w="3740" w:type="dxa"/>
            <w:vAlign w:val="bottom"/>
            <w:gridSpan w:val="2"/>
          </w:tcPr>
          <w:p>
            <w:pPr>
              <w:jc w:val="center"/>
              <w:ind w:right="420"/>
              <w:spacing w:after="0"/>
              <w:rPr>
                <w:sz w:val="20"/>
                <w:szCs w:val="20"/>
                <w:color w:val="auto"/>
              </w:rPr>
            </w:pPr>
            <w:r>
              <w:rPr>
                <w:rFonts w:ascii="Arial" w:cs="Arial" w:eastAsia="Arial" w:hAnsi="Arial"/>
                <w:sz w:val="16"/>
                <w:szCs w:val="16"/>
                <w:color w:val="51555C"/>
              </w:rPr>
              <w:t>Name of Each Exchange on which Registered</w:t>
            </w:r>
          </w:p>
        </w:tc>
      </w:tr>
      <w:tr>
        <w:trPr>
          <w:trHeight w:val="20"/>
        </w:trPr>
        <w:tc>
          <w:tcPr>
            <w:tcW w:w="1460" w:type="dxa"/>
            <w:vAlign w:val="bottom"/>
          </w:tcPr>
          <w:p>
            <w:pPr>
              <w:spacing w:after="0" w:line="20" w:lineRule="exact"/>
              <w:rPr>
                <w:sz w:val="1"/>
                <w:szCs w:val="1"/>
                <w:color w:val="auto"/>
              </w:rPr>
            </w:pPr>
          </w:p>
        </w:tc>
        <w:tc>
          <w:tcPr>
            <w:tcW w:w="1360" w:type="dxa"/>
            <w:vAlign w:val="bottom"/>
            <w:shd w:val="clear" w:color="auto" w:fill="51555C"/>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shd w:val="clear" w:color="auto" w:fill="51555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20" w:type="dxa"/>
            <w:vAlign w:val="bottom"/>
            <w:shd w:val="clear" w:color="auto" w:fill="51555C"/>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8"/>
        </w:trPr>
        <w:tc>
          <w:tcPr>
            <w:tcW w:w="46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51555C"/>
              </w:rPr>
              <w:t>Common Stock, $0.001 Par Value</w:t>
            </w:r>
          </w:p>
        </w:tc>
        <w:tc>
          <w:tcPr>
            <w:tcW w:w="4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51555C"/>
                <w:w w:val="98"/>
              </w:rPr>
              <w:t>BLKB</w:t>
            </w:r>
          </w:p>
        </w:tc>
        <w:tc>
          <w:tcPr>
            <w:tcW w:w="1160" w:type="dxa"/>
            <w:vAlign w:val="bottom"/>
          </w:tcPr>
          <w:p>
            <w:pPr>
              <w:spacing w:after="0"/>
              <w:rPr>
                <w:sz w:val="22"/>
                <w:szCs w:val="22"/>
                <w:color w:val="auto"/>
              </w:rPr>
            </w:pPr>
          </w:p>
        </w:tc>
        <w:tc>
          <w:tcPr>
            <w:tcW w:w="3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51555C"/>
              </w:rPr>
              <w:t>Nasdaq Global Select Market</w:t>
            </w:r>
          </w:p>
        </w:tc>
      </w:tr>
      <w:tr>
        <w:trPr>
          <w:trHeight w:val="243"/>
        </w:trPr>
        <w:tc>
          <w:tcPr>
            <w:tcW w:w="46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51555C"/>
              </w:rPr>
              <w:t>Preferred Stock Purchase Rights</w:t>
            </w:r>
          </w:p>
        </w:tc>
        <w:tc>
          <w:tcPr>
            <w:tcW w:w="4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51555C"/>
              </w:rPr>
              <w:t>N/A</w:t>
            </w:r>
          </w:p>
        </w:tc>
        <w:tc>
          <w:tcPr>
            <w:tcW w:w="1160" w:type="dxa"/>
            <w:vAlign w:val="bottom"/>
          </w:tcPr>
          <w:p>
            <w:pPr>
              <w:spacing w:after="0"/>
              <w:rPr>
                <w:sz w:val="21"/>
                <w:szCs w:val="21"/>
                <w:color w:val="auto"/>
              </w:rPr>
            </w:pPr>
          </w:p>
        </w:tc>
        <w:tc>
          <w:tcPr>
            <w:tcW w:w="3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51555C"/>
              </w:rPr>
              <w:t>Nasdaq Global Select Market</w:t>
            </w:r>
          </w:p>
        </w:tc>
      </w:tr>
      <w:tr>
        <w:trPr>
          <w:trHeight w:val="74"/>
        </w:trPr>
        <w:tc>
          <w:tcPr>
            <w:tcW w:w="14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3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r>
    </w:tbl>
    <w:p>
      <w:pPr>
        <w:spacing w:after="0" w:line="200" w:lineRule="exact"/>
        <w:rPr>
          <w:sz w:val="24"/>
          <w:szCs w:val="24"/>
          <w:color w:val="auto"/>
        </w:rPr>
      </w:pPr>
    </w:p>
    <w:p>
      <w:pPr>
        <w:spacing w:after="0" w:line="301" w:lineRule="exact"/>
        <w:rPr>
          <w:sz w:val="24"/>
          <w:szCs w:val="24"/>
          <w:color w:val="auto"/>
        </w:rPr>
      </w:pPr>
    </w:p>
    <w:p>
      <w:pPr>
        <w:jc w:val="both"/>
        <w:spacing w:after="0" w:line="260" w:lineRule="auto"/>
        <w:rPr>
          <w:sz w:val="20"/>
          <w:szCs w:val="20"/>
          <w:color w:val="auto"/>
        </w:rPr>
      </w:pPr>
      <w:r>
        <w:rPr>
          <w:rFonts w:ascii="Arial" w:cs="Arial" w:eastAsia="Arial" w:hAnsi="Arial"/>
          <w:sz w:val="16"/>
          <w:szCs w:val="16"/>
          <w:color w:val="51555C"/>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51555C"/>
        </w:rPr>
        <w:t>requirements for the past 90 days.</w:t>
      </w:r>
    </w:p>
    <w:p>
      <w:pPr>
        <w:spacing w:after="0" w:line="11" w:lineRule="exact"/>
        <w:rPr>
          <w:sz w:val="24"/>
          <w:szCs w:val="24"/>
          <w:color w:val="auto"/>
        </w:rPr>
      </w:pPr>
    </w:p>
    <w:p>
      <w:pPr>
        <w:spacing w:after="0" w:line="219" w:lineRule="exact"/>
        <w:tabs>
          <w:tab w:leader="none" w:pos="680" w:val="left"/>
        </w:tabs>
        <w:rPr>
          <w:sz w:val="20"/>
          <w:szCs w:val="20"/>
          <w:color w:val="auto"/>
        </w:rPr>
      </w:pPr>
      <w:r>
        <w:rPr>
          <w:rFonts w:ascii="Arial" w:cs="Arial" w:eastAsia="Arial" w:hAnsi="Arial"/>
          <w:sz w:val="16"/>
          <w:szCs w:val="16"/>
          <w:color w:val="51555C"/>
        </w:rPr>
        <w:t xml:space="preserve">Yes </w:t>
      </w:r>
      <w:r>
        <w:rPr>
          <w:rFonts w:ascii="MS PGothic" w:cs="MS PGothic" w:eastAsia="MS PGothic" w:hAnsi="MS PGothic"/>
          <w:sz w:val="19"/>
          <w:szCs w:val="19"/>
          <w:color w:val="51555C"/>
        </w:rPr>
        <w:t>☑</w:t>
      </w:r>
      <w:r>
        <w:rPr>
          <w:rFonts w:ascii="Arial" w:cs="Arial" w:eastAsia="Arial" w:hAnsi="Arial"/>
          <w:sz w:val="16"/>
          <w:szCs w:val="16"/>
          <w:color w:val="51555C"/>
        </w:rPr>
        <w:tab/>
        <w:t xml:space="preserve">No </w:t>
      </w:r>
      <w:r>
        <w:rPr>
          <w:rFonts w:ascii="MS PGothic" w:cs="MS PGothic" w:eastAsia="MS PGothic" w:hAnsi="MS PGothic"/>
          <w:sz w:val="19"/>
          <w:szCs w:val="19"/>
          <w:color w:val="51555C"/>
        </w:rPr>
        <w:t>☐</w:t>
      </w:r>
    </w:p>
    <w:p>
      <w:pPr>
        <w:spacing w:after="0" w:line="127"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51555C"/>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19" w:lineRule="exact"/>
        <w:tabs>
          <w:tab w:leader="none" w:pos="680" w:val="left"/>
        </w:tabs>
        <w:rPr>
          <w:sz w:val="20"/>
          <w:szCs w:val="20"/>
          <w:color w:val="auto"/>
        </w:rPr>
      </w:pPr>
      <w:r>
        <w:rPr>
          <w:rFonts w:ascii="Arial" w:cs="Arial" w:eastAsia="Arial" w:hAnsi="Arial"/>
          <w:sz w:val="16"/>
          <w:szCs w:val="16"/>
          <w:color w:val="51555C"/>
        </w:rPr>
        <w:t xml:space="preserve">Yes </w:t>
      </w:r>
      <w:r>
        <w:rPr>
          <w:rFonts w:ascii="MS PGothic" w:cs="MS PGothic" w:eastAsia="MS PGothic" w:hAnsi="MS PGothic"/>
          <w:sz w:val="19"/>
          <w:szCs w:val="19"/>
          <w:color w:val="51555C"/>
        </w:rPr>
        <w:t>☑</w:t>
      </w:r>
      <w:r>
        <w:rPr>
          <w:rFonts w:ascii="Arial" w:cs="Arial" w:eastAsia="Arial" w:hAnsi="Arial"/>
          <w:sz w:val="16"/>
          <w:szCs w:val="16"/>
          <w:color w:val="51555C"/>
        </w:rPr>
        <w:tab/>
        <w:t xml:space="preserve">No </w:t>
      </w:r>
      <w:r>
        <w:rPr>
          <w:rFonts w:ascii="MS PGothic" w:cs="MS PGothic" w:eastAsia="MS PGothic" w:hAnsi="MS PGothic"/>
          <w:sz w:val="19"/>
          <w:szCs w:val="19"/>
          <w:color w:val="51555C"/>
        </w:rPr>
        <w:t>☐</w:t>
      </w:r>
    </w:p>
    <w:p>
      <w:pPr>
        <w:spacing w:after="0" w:line="129" w:lineRule="exact"/>
        <w:rPr>
          <w:sz w:val="24"/>
          <w:szCs w:val="24"/>
          <w:color w:val="auto"/>
        </w:rPr>
      </w:pPr>
    </w:p>
    <w:p>
      <w:pPr>
        <w:jc w:val="both"/>
        <w:spacing w:after="0" w:line="262" w:lineRule="auto"/>
        <w:rPr>
          <w:sz w:val="20"/>
          <w:szCs w:val="20"/>
          <w:color w:val="auto"/>
        </w:rPr>
      </w:pPr>
      <w:r>
        <w:rPr>
          <w:rFonts w:ascii="Arial" w:cs="Arial" w:eastAsia="Arial" w:hAnsi="Arial"/>
          <w:sz w:val="16"/>
          <w:szCs w:val="16"/>
          <w:color w:val="51555C"/>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20" w:type="dxa"/>
        <w:tblCellMar>
          <w:top w:w="0" w:type="dxa"/>
          <w:left w:w="0" w:type="dxa"/>
          <w:bottom w:w="0" w:type="dxa"/>
          <w:right w:w="0" w:type="dxa"/>
        </w:tblCellMar>
      </w:tblPr>
      <w:tr>
        <w:trPr>
          <w:trHeight w:val="297"/>
        </w:trPr>
        <w:tc>
          <w:tcPr>
            <w:tcW w:w="2040" w:type="dxa"/>
            <w:vAlign w:val="bottom"/>
          </w:tcPr>
          <w:p>
            <w:pPr>
              <w:spacing w:after="0"/>
              <w:rPr>
                <w:sz w:val="20"/>
                <w:szCs w:val="20"/>
                <w:color w:val="auto"/>
              </w:rPr>
            </w:pPr>
            <w:r>
              <w:rPr>
                <w:rFonts w:ascii="Arial" w:cs="Arial" w:eastAsia="Arial" w:hAnsi="Arial"/>
                <w:sz w:val="16"/>
                <w:szCs w:val="16"/>
                <w:color w:val="51555C"/>
              </w:rPr>
              <w:t>Large accelerated filer</w:t>
            </w:r>
          </w:p>
        </w:tc>
        <w:tc>
          <w:tcPr>
            <w:tcW w:w="3360" w:type="dxa"/>
            <w:vAlign w:val="bottom"/>
          </w:tcPr>
          <w:p>
            <w:pPr>
              <w:ind w:left="440"/>
              <w:spacing w:after="0" w:line="201" w:lineRule="exact"/>
              <w:rPr>
                <w:sz w:val="20"/>
                <w:szCs w:val="20"/>
                <w:color w:val="auto"/>
              </w:rPr>
            </w:pPr>
            <w:r>
              <w:rPr>
                <w:rFonts w:ascii="MS PGothic" w:cs="MS PGothic" w:eastAsia="MS PGothic" w:hAnsi="MS PGothic"/>
                <w:sz w:val="20"/>
                <w:szCs w:val="20"/>
                <w:color w:val="51555C"/>
              </w:rPr>
              <w:t>☑</w:t>
            </w:r>
          </w:p>
        </w:tc>
        <w:tc>
          <w:tcPr>
            <w:tcW w:w="5120" w:type="dxa"/>
            <w:vAlign w:val="bottom"/>
          </w:tcPr>
          <w:p>
            <w:pPr>
              <w:ind w:left="2740"/>
              <w:spacing w:after="0"/>
              <w:rPr>
                <w:sz w:val="20"/>
                <w:szCs w:val="20"/>
                <w:color w:val="auto"/>
              </w:rPr>
            </w:pPr>
            <w:r>
              <w:rPr>
                <w:rFonts w:ascii="Arial" w:cs="Arial" w:eastAsia="Arial" w:hAnsi="Arial"/>
                <w:sz w:val="16"/>
                <w:szCs w:val="16"/>
                <w:color w:val="51555C"/>
              </w:rPr>
              <w:t>Accelerated filer</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51555C"/>
                <w:w w:val="79"/>
              </w:rPr>
              <w:t>☐</w:t>
            </w:r>
          </w:p>
        </w:tc>
      </w:tr>
      <w:tr>
        <w:trPr>
          <w:trHeight w:val="297"/>
        </w:trPr>
        <w:tc>
          <w:tcPr>
            <w:tcW w:w="2040" w:type="dxa"/>
            <w:vAlign w:val="bottom"/>
          </w:tcPr>
          <w:p>
            <w:pPr>
              <w:spacing w:after="0"/>
              <w:rPr>
                <w:sz w:val="20"/>
                <w:szCs w:val="20"/>
                <w:color w:val="auto"/>
              </w:rPr>
            </w:pPr>
            <w:r>
              <w:rPr>
                <w:rFonts w:ascii="Arial" w:cs="Arial" w:eastAsia="Arial" w:hAnsi="Arial"/>
                <w:sz w:val="16"/>
                <w:szCs w:val="16"/>
                <w:color w:val="51555C"/>
              </w:rPr>
              <w:t>Non-accelerated filer</w:t>
            </w:r>
          </w:p>
        </w:tc>
        <w:tc>
          <w:tcPr>
            <w:tcW w:w="3360" w:type="dxa"/>
            <w:vAlign w:val="bottom"/>
          </w:tcPr>
          <w:p>
            <w:pPr>
              <w:ind w:left="440"/>
              <w:spacing w:after="0" w:line="201" w:lineRule="exact"/>
              <w:rPr>
                <w:sz w:val="20"/>
                <w:szCs w:val="20"/>
                <w:color w:val="auto"/>
              </w:rPr>
            </w:pPr>
            <w:r>
              <w:rPr>
                <w:rFonts w:ascii="MS PGothic" w:cs="MS PGothic" w:eastAsia="MS PGothic" w:hAnsi="MS PGothic"/>
                <w:sz w:val="20"/>
                <w:szCs w:val="20"/>
                <w:color w:val="51555C"/>
              </w:rPr>
              <w:t>☐</w:t>
            </w:r>
          </w:p>
        </w:tc>
        <w:tc>
          <w:tcPr>
            <w:tcW w:w="5120" w:type="dxa"/>
            <w:vAlign w:val="bottom"/>
          </w:tcPr>
          <w:p>
            <w:pPr>
              <w:ind w:left="2740"/>
              <w:spacing w:after="0"/>
              <w:rPr>
                <w:sz w:val="20"/>
                <w:szCs w:val="20"/>
                <w:color w:val="auto"/>
              </w:rPr>
            </w:pPr>
            <w:r>
              <w:rPr>
                <w:rFonts w:ascii="Arial" w:cs="Arial" w:eastAsia="Arial" w:hAnsi="Arial"/>
                <w:sz w:val="16"/>
                <w:szCs w:val="16"/>
                <w:color w:val="51555C"/>
              </w:rPr>
              <w:t>Smaller reporting company</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51555C"/>
                <w:w w:val="79"/>
              </w:rPr>
              <w:t>☐</w:t>
            </w:r>
          </w:p>
        </w:tc>
      </w:tr>
      <w:tr>
        <w:trPr>
          <w:trHeight w:val="310"/>
        </w:trPr>
        <w:tc>
          <w:tcPr>
            <w:tcW w:w="20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120" w:type="dxa"/>
            <w:vAlign w:val="bottom"/>
          </w:tcPr>
          <w:p>
            <w:pPr>
              <w:ind w:left="2740"/>
              <w:spacing w:after="0"/>
              <w:rPr>
                <w:sz w:val="20"/>
                <w:szCs w:val="20"/>
                <w:color w:val="auto"/>
              </w:rPr>
            </w:pPr>
            <w:r>
              <w:rPr>
                <w:rFonts w:ascii="Arial" w:cs="Arial" w:eastAsia="Arial" w:hAnsi="Arial"/>
                <w:sz w:val="16"/>
                <w:szCs w:val="16"/>
                <w:color w:val="51555C"/>
              </w:rPr>
              <w:t>Emerging growth company</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51555C"/>
                <w:w w:val="79"/>
              </w:rPr>
              <w:t>☐</w:t>
            </w:r>
          </w:p>
        </w:tc>
      </w:tr>
    </w:tbl>
    <w:p>
      <w:pPr>
        <w:spacing w:after="0" w:line="111" w:lineRule="exact"/>
        <w:rPr>
          <w:sz w:val="24"/>
          <w:szCs w:val="24"/>
          <w:color w:val="auto"/>
        </w:rPr>
      </w:pPr>
    </w:p>
    <w:p>
      <w:pPr>
        <w:ind w:right="20"/>
        <w:spacing w:after="0" w:line="221" w:lineRule="exact"/>
        <w:rPr>
          <w:sz w:val="20"/>
          <w:szCs w:val="20"/>
          <w:color w:val="auto"/>
        </w:rPr>
      </w:pPr>
      <w:r>
        <w:rPr>
          <w:rFonts w:ascii="Arial" w:cs="Arial" w:eastAsia="Arial" w:hAnsi="Arial"/>
          <w:sz w:val="16"/>
          <w:szCs w:val="16"/>
          <w:color w:val="51555C"/>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51555C"/>
        </w:rPr>
        <w:t>☐</w:t>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51555C"/>
        </w:rPr>
        <w:t>Indicate by check mark whether registrant is a shell company (as defined in Rule 12b-2 of the Exchange Act).</w:t>
      </w:r>
    </w:p>
    <w:p>
      <w:pPr>
        <w:spacing w:after="0" w:line="8" w:lineRule="exact"/>
        <w:rPr>
          <w:sz w:val="24"/>
          <w:szCs w:val="24"/>
          <w:color w:val="auto"/>
        </w:rPr>
      </w:pPr>
    </w:p>
    <w:p>
      <w:pPr>
        <w:spacing w:after="0" w:line="219" w:lineRule="exact"/>
        <w:rPr>
          <w:sz w:val="20"/>
          <w:szCs w:val="20"/>
          <w:color w:val="auto"/>
        </w:rPr>
      </w:pPr>
      <w:r>
        <w:rPr>
          <w:rFonts w:ascii="Arial" w:cs="Arial" w:eastAsia="Arial" w:hAnsi="Arial"/>
          <w:sz w:val="16"/>
          <w:szCs w:val="16"/>
          <w:color w:val="51555C"/>
        </w:rPr>
        <w:t xml:space="preserve">Yes </w:t>
      </w:r>
      <w:r>
        <w:rPr>
          <w:rFonts w:ascii="MS PGothic" w:cs="MS PGothic" w:eastAsia="MS PGothic" w:hAnsi="MS PGothic"/>
          <w:sz w:val="19"/>
          <w:szCs w:val="19"/>
          <w:color w:val="51555C"/>
        </w:rPr>
        <w:t>☐</w:t>
      </w:r>
      <w:r>
        <w:rPr>
          <w:rFonts w:ascii="Arial" w:cs="Arial" w:eastAsia="Arial" w:hAnsi="Arial"/>
          <w:sz w:val="16"/>
          <w:szCs w:val="16"/>
          <w:color w:val="51555C"/>
        </w:rPr>
        <w:t xml:space="preserve"> No </w:t>
      </w:r>
      <w:r>
        <w:rPr>
          <w:rFonts w:ascii="MS PGothic" w:cs="MS PGothic" w:eastAsia="MS PGothic" w:hAnsi="MS PGothic"/>
          <w:sz w:val="19"/>
          <w:szCs w:val="19"/>
          <w:color w:val="51555C"/>
        </w:rPr>
        <w:t>☑</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51555C"/>
        </w:rPr>
        <w:t>The number of shares of the registrant’s Common Stock outstanding as of October 31, 2022 was 53,097,427.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40"/>
          <w:szCs w:val="40"/>
          <w:b w:val="1"/>
          <w:bCs w:val="1"/>
          <w:color w:val="50535A"/>
        </w:rPr>
        <w:t>TABLE OF CONTENTS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340" w:type="dxa"/>
            <w:vAlign w:val="bottom"/>
            <w:gridSpan w:val="2"/>
          </w:tcPr>
          <w:p>
            <w:pPr>
              <w:ind w:left="20"/>
              <w:spacing w:after="0"/>
              <w:rPr>
                <w:sz w:val="20"/>
                <w:szCs w:val="20"/>
                <w:color w:val="auto"/>
              </w:rPr>
            </w:pPr>
            <w:r>
              <w:rPr>
                <w:rFonts w:ascii="Arial" w:cs="Arial" w:eastAsia="Arial" w:hAnsi="Arial"/>
                <w:sz w:val="20"/>
                <w:szCs w:val="20"/>
                <w:b w:val="1"/>
                <w:bCs w:val="1"/>
                <w:color w:val="004054"/>
              </w:rPr>
              <w:t>CAUTIONARY STATEMENT REGARDING FORWARD-LOOKING STATEMENTS</w:t>
            </w:r>
          </w:p>
        </w:tc>
        <w:tc>
          <w:tcPr>
            <w:tcW w:w="1860" w:type="dxa"/>
            <w:vAlign w:val="bottom"/>
          </w:tcPr>
          <w:p>
            <w:pPr>
              <w:ind w:left="1400"/>
              <w:spacing w:after="0"/>
              <w:rPr>
                <w:sz w:val="20"/>
                <w:szCs w:val="20"/>
                <w:color w:val="auto"/>
              </w:rPr>
            </w:pPr>
            <w:r>
              <w:rPr>
                <w:rFonts w:ascii="Arial" w:cs="Arial" w:eastAsia="Arial" w:hAnsi="Arial"/>
                <w:sz w:val="20"/>
                <w:szCs w:val="20"/>
                <w:b w:val="1"/>
                <w:bCs w:val="1"/>
                <w:color w:val="004054"/>
              </w:rPr>
              <w:t>2</w:t>
            </w:r>
          </w:p>
        </w:tc>
      </w:tr>
      <w:tr>
        <w:trPr>
          <w:trHeight w:val="37"/>
        </w:trPr>
        <w:tc>
          <w:tcPr>
            <w:tcW w:w="940" w:type="dxa"/>
            <w:vAlign w:val="bottom"/>
            <w:tcBorders>
              <w:bottom w:val="single" w:sz="8" w:color="0CD973"/>
            </w:tcBorders>
          </w:tcPr>
          <w:p>
            <w:pPr>
              <w:spacing w:after="0"/>
              <w:rPr>
                <w:sz w:val="3"/>
                <w:szCs w:val="3"/>
                <w:color w:val="auto"/>
              </w:rPr>
            </w:pPr>
          </w:p>
        </w:tc>
        <w:tc>
          <w:tcPr>
            <w:tcW w:w="8400" w:type="dxa"/>
            <w:vAlign w:val="bottom"/>
            <w:tcBorders>
              <w:bottom w:val="single" w:sz="8" w:color="0CD973"/>
            </w:tcBorders>
          </w:tcPr>
          <w:p>
            <w:pPr>
              <w:spacing w:after="0"/>
              <w:rPr>
                <w:sz w:val="3"/>
                <w:szCs w:val="3"/>
                <w:color w:val="auto"/>
              </w:rPr>
            </w:pPr>
          </w:p>
        </w:tc>
        <w:tc>
          <w:tcPr>
            <w:tcW w:w="1860" w:type="dxa"/>
            <w:vAlign w:val="bottom"/>
            <w:tcBorders>
              <w:bottom w:val="single" w:sz="8" w:color="0CD973"/>
            </w:tcBorders>
          </w:tcPr>
          <w:p>
            <w:pPr>
              <w:spacing w:after="0"/>
              <w:rPr>
                <w:sz w:val="3"/>
                <w:szCs w:val="3"/>
                <w:color w:val="auto"/>
              </w:rPr>
            </w:pPr>
          </w:p>
        </w:tc>
      </w:tr>
      <w:tr>
        <w:trPr>
          <w:trHeight w:val="524"/>
        </w:trPr>
        <w:tc>
          <w:tcPr>
            <w:tcW w:w="940" w:type="dxa"/>
            <w:vAlign w:val="bottom"/>
          </w:tcPr>
          <w:p>
            <w:pPr>
              <w:ind w:left="20"/>
              <w:spacing w:after="0"/>
              <w:rPr>
                <w:sz w:val="20"/>
                <w:szCs w:val="20"/>
                <w:color w:val="auto"/>
              </w:rPr>
            </w:pPr>
            <w:r>
              <w:rPr>
                <w:rFonts w:ascii="Arial" w:cs="Arial" w:eastAsia="Arial" w:hAnsi="Arial"/>
                <w:sz w:val="20"/>
                <w:szCs w:val="20"/>
                <w:b w:val="1"/>
                <w:bCs w:val="1"/>
                <w:color w:val="004054"/>
              </w:rPr>
              <w:t>PART I.</w:t>
            </w:r>
          </w:p>
        </w:tc>
        <w:tc>
          <w:tcPr>
            <w:tcW w:w="8400" w:type="dxa"/>
            <w:vAlign w:val="bottom"/>
          </w:tcPr>
          <w:p>
            <w:pPr>
              <w:ind w:left="140"/>
              <w:spacing w:after="0"/>
              <w:rPr>
                <w:sz w:val="20"/>
                <w:szCs w:val="20"/>
                <w:color w:val="auto"/>
              </w:rPr>
            </w:pPr>
            <w:r>
              <w:rPr>
                <w:rFonts w:ascii="Arial" w:cs="Arial" w:eastAsia="Arial" w:hAnsi="Arial"/>
                <w:sz w:val="20"/>
                <w:szCs w:val="20"/>
                <w:b w:val="1"/>
                <w:bCs w:val="1"/>
                <w:color w:val="004054"/>
              </w:rPr>
              <w:t>FINANCIAL INFORMATION</w:t>
            </w:r>
          </w:p>
        </w:tc>
        <w:tc>
          <w:tcPr>
            <w:tcW w:w="1860" w:type="dxa"/>
            <w:vAlign w:val="bottom"/>
          </w:tcPr>
          <w:p>
            <w:pPr>
              <w:ind w:left="1400"/>
              <w:spacing w:after="0"/>
              <w:rPr>
                <w:sz w:val="20"/>
                <w:szCs w:val="20"/>
                <w:color w:val="auto"/>
              </w:rPr>
            </w:pPr>
            <w:r>
              <w:rPr>
                <w:rFonts w:ascii="Arial" w:cs="Arial" w:eastAsia="Arial" w:hAnsi="Arial"/>
                <w:sz w:val="20"/>
                <w:szCs w:val="20"/>
                <w:b w:val="1"/>
                <w:bCs w:val="1"/>
                <w:color w:val="004054"/>
              </w:rPr>
              <w:t>3</w:t>
            </w:r>
          </w:p>
        </w:tc>
      </w:tr>
      <w:tr>
        <w:trPr>
          <w:trHeight w:val="36"/>
        </w:trPr>
        <w:tc>
          <w:tcPr>
            <w:tcW w:w="940" w:type="dxa"/>
            <w:vAlign w:val="bottom"/>
            <w:tcBorders>
              <w:bottom w:val="single" w:sz="8" w:color="0CD973"/>
            </w:tcBorders>
          </w:tcPr>
          <w:p>
            <w:pPr>
              <w:spacing w:after="0"/>
              <w:rPr>
                <w:sz w:val="3"/>
                <w:szCs w:val="3"/>
                <w:color w:val="auto"/>
              </w:rPr>
            </w:pPr>
          </w:p>
        </w:tc>
        <w:tc>
          <w:tcPr>
            <w:tcW w:w="8400" w:type="dxa"/>
            <w:vAlign w:val="bottom"/>
            <w:tcBorders>
              <w:bottom w:val="single" w:sz="8" w:color="0CD973"/>
            </w:tcBorders>
          </w:tcPr>
          <w:p>
            <w:pPr>
              <w:spacing w:after="0"/>
              <w:rPr>
                <w:sz w:val="3"/>
                <w:szCs w:val="3"/>
                <w:color w:val="auto"/>
              </w:rPr>
            </w:pPr>
          </w:p>
        </w:tc>
        <w:tc>
          <w:tcPr>
            <w:tcW w:w="1860" w:type="dxa"/>
            <w:vAlign w:val="bottom"/>
            <w:tcBorders>
              <w:bottom w:val="single" w:sz="8" w:color="0CD973"/>
            </w:tcBorders>
          </w:tcPr>
          <w:p>
            <w:pPr>
              <w:spacing w:after="0"/>
              <w:rPr>
                <w:sz w:val="3"/>
                <w:szCs w:val="3"/>
                <w:color w:val="auto"/>
              </w:rPr>
            </w:pPr>
          </w:p>
        </w:tc>
      </w:tr>
      <w:tr>
        <w:trPr>
          <w:trHeight w:val="331"/>
        </w:trPr>
        <w:tc>
          <w:tcPr>
            <w:tcW w:w="940" w:type="dxa"/>
            <w:vAlign w:val="bottom"/>
          </w:tcPr>
          <w:p>
            <w:pPr>
              <w:ind w:left="140"/>
              <w:spacing w:after="0"/>
              <w:rPr>
                <w:sz w:val="20"/>
                <w:szCs w:val="20"/>
                <w:color w:val="auto"/>
              </w:rPr>
            </w:pPr>
            <w:r>
              <w:rPr>
                <w:rFonts w:ascii="Arial" w:cs="Arial" w:eastAsia="Arial" w:hAnsi="Arial"/>
                <w:sz w:val="18"/>
                <w:szCs w:val="18"/>
                <w:color w:val="auto"/>
              </w:rPr>
              <w:t>Item 1.</w:t>
            </w:r>
          </w:p>
        </w:tc>
        <w:tc>
          <w:tcPr>
            <w:tcW w:w="840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1860" w:type="dxa"/>
            <w:vAlign w:val="bottom"/>
          </w:tcPr>
          <w:p>
            <w:pPr>
              <w:spacing w:after="0"/>
              <w:rPr>
                <w:sz w:val="24"/>
                <w:szCs w:val="24"/>
                <w:color w:val="auto"/>
              </w:rPr>
            </w:pPr>
          </w:p>
        </w:tc>
      </w:tr>
      <w:tr>
        <w:trPr>
          <w:trHeight w:val="324"/>
        </w:trPr>
        <w:tc>
          <w:tcPr>
            <w:tcW w:w="940" w:type="dxa"/>
            <w:vAlign w:val="bottom"/>
          </w:tcPr>
          <w:p>
            <w:pPr>
              <w:spacing w:after="0"/>
              <w:rPr>
                <w:sz w:val="24"/>
                <w:szCs w:val="24"/>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Condensed Consolidated Balance Sheets (Unaudited)</w:t>
            </w:r>
          </w:p>
        </w:tc>
        <w:tc>
          <w:tcPr>
            <w:tcW w:w="1860" w:type="dxa"/>
            <w:vAlign w:val="bottom"/>
          </w:tcPr>
          <w:p>
            <w:pPr>
              <w:ind w:left="1400"/>
              <w:spacing w:after="0"/>
              <w:rPr>
                <w:sz w:val="20"/>
                <w:szCs w:val="20"/>
                <w:color w:val="auto"/>
              </w:rPr>
            </w:pPr>
            <w:r>
              <w:rPr>
                <w:rFonts w:ascii="Arial" w:cs="Arial" w:eastAsia="Arial" w:hAnsi="Arial"/>
                <w:sz w:val="18"/>
                <w:szCs w:val="18"/>
                <w:color w:val="auto"/>
              </w:rPr>
              <w:t>3</w:t>
            </w:r>
          </w:p>
        </w:tc>
      </w:tr>
      <w:tr>
        <w:trPr>
          <w:trHeight w:val="324"/>
        </w:trPr>
        <w:tc>
          <w:tcPr>
            <w:tcW w:w="940" w:type="dxa"/>
            <w:vAlign w:val="bottom"/>
          </w:tcPr>
          <w:p>
            <w:pPr>
              <w:spacing w:after="0"/>
              <w:rPr>
                <w:sz w:val="24"/>
                <w:szCs w:val="24"/>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 xml:space="preserve">Condensed Consolidated Statements of Comprehensive </w:t>
            </w:r>
            <w:r>
              <w:rPr>
                <w:rFonts w:ascii="Arial" w:cs="Arial" w:eastAsia="Arial" w:hAnsi="Arial"/>
                <w:sz w:val="18"/>
                <w:szCs w:val="18"/>
                <w:color w:val="51555C"/>
              </w:rPr>
              <w:t>(Loss) Income</w:t>
            </w:r>
            <w:r>
              <w:rPr>
                <w:rFonts w:ascii="Arial" w:cs="Arial" w:eastAsia="Arial" w:hAnsi="Arial"/>
                <w:sz w:val="18"/>
                <w:szCs w:val="18"/>
                <w:color w:val="auto"/>
              </w:rPr>
              <w:t xml:space="preserve"> (Unaudited)</w:t>
            </w:r>
          </w:p>
        </w:tc>
        <w:tc>
          <w:tcPr>
            <w:tcW w:w="1860" w:type="dxa"/>
            <w:vAlign w:val="bottom"/>
          </w:tcPr>
          <w:p>
            <w:pPr>
              <w:ind w:left="1400"/>
              <w:spacing w:after="0"/>
              <w:rPr>
                <w:sz w:val="20"/>
                <w:szCs w:val="20"/>
                <w:color w:val="auto"/>
              </w:rPr>
            </w:pPr>
            <w:r>
              <w:rPr>
                <w:rFonts w:ascii="Arial" w:cs="Arial" w:eastAsia="Arial" w:hAnsi="Arial"/>
                <w:sz w:val="18"/>
                <w:szCs w:val="18"/>
                <w:color w:val="auto"/>
              </w:rPr>
              <w:t>4</w:t>
            </w:r>
          </w:p>
        </w:tc>
      </w:tr>
      <w:tr>
        <w:trPr>
          <w:trHeight w:val="324"/>
        </w:trPr>
        <w:tc>
          <w:tcPr>
            <w:tcW w:w="940" w:type="dxa"/>
            <w:vAlign w:val="bottom"/>
          </w:tcPr>
          <w:p>
            <w:pPr>
              <w:spacing w:after="0"/>
              <w:rPr>
                <w:sz w:val="24"/>
                <w:szCs w:val="24"/>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Condensed Consolidated Statements of Cash Flows (Unaudited)</w:t>
            </w:r>
          </w:p>
        </w:tc>
        <w:tc>
          <w:tcPr>
            <w:tcW w:w="1860" w:type="dxa"/>
            <w:vAlign w:val="bottom"/>
          </w:tcPr>
          <w:p>
            <w:pPr>
              <w:ind w:left="1400"/>
              <w:spacing w:after="0"/>
              <w:rPr>
                <w:sz w:val="20"/>
                <w:szCs w:val="20"/>
                <w:color w:val="auto"/>
              </w:rPr>
            </w:pPr>
            <w:r>
              <w:rPr>
                <w:rFonts w:ascii="Arial" w:cs="Arial" w:eastAsia="Arial" w:hAnsi="Arial"/>
                <w:sz w:val="18"/>
                <w:szCs w:val="18"/>
                <w:color w:val="auto"/>
              </w:rPr>
              <w:t>5</w:t>
            </w:r>
          </w:p>
        </w:tc>
      </w:tr>
      <w:tr>
        <w:trPr>
          <w:trHeight w:val="324"/>
        </w:trPr>
        <w:tc>
          <w:tcPr>
            <w:tcW w:w="940" w:type="dxa"/>
            <w:vAlign w:val="bottom"/>
          </w:tcPr>
          <w:p>
            <w:pPr>
              <w:spacing w:after="0"/>
              <w:rPr>
                <w:sz w:val="24"/>
                <w:szCs w:val="24"/>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Condensed Consolidated Statements of Stockholders’ Equity (Unaudited)</w:t>
            </w:r>
          </w:p>
        </w:tc>
        <w:tc>
          <w:tcPr>
            <w:tcW w:w="1860" w:type="dxa"/>
            <w:vAlign w:val="bottom"/>
          </w:tcPr>
          <w:p>
            <w:pPr>
              <w:ind w:left="1400"/>
              <w:spacing w:after="0"/>
              <w:rPr>
                <w:sz w:val="20"/>
                <w:szCs w:val="20"/>
                <w:color w:val="auto"/>
              </w:rPr>
            </w:pPr>
            <w:r>
              <w:rPr>
                <w:rFonts w:ascii="Arial" w:cs="Arial" w:eastAsia="Arial" w:hAnsi="Arial"/>
                <w:sz w:val="18"/>
                <w:szCs w:val="18"/>
                <w:color w:val="auto"/>
              </w:rPr>
              <w:t>6</w:t>
            </w:r>
          </w:p>
        </w:tc>
      </w:tr>
      <w:tr>
        <w:trPr>
          <w:trHeight w:val="324"/>
        </w:trPr>
        <w:tc>
          <w:tcPr>
            <w:tcW w:w="940" w:type="dxa"/>
            <w:vAlign w:val="bottom"/>
          </w:tcPr>
          <w:p>
            <w:pPr>
              <w:spacing w:after="0"/>
              <w:rPr>
                <w:sz w:val="24"/>
                <w:szCs w:val="24"/>
                <w:color w:val="auto"/>
              </w:rPr>
            </w:pPr>
          </w:p>
        </w:tc>
        <w:tc>
          <w:tcPr>
            <w:tcW w:w="8400" w:type="dxa"/>
            <w:vAlign w:val="bottom"/>
          </w:tcPr>
          <w:p>
            <w:pPr>
              <w:ind w:left="340"/>
              <w:spacing w:after="0"/>
              <w:rPr>
                <w:sz w:val="20"/>
                <w:szCs w:val="20"/>
                <w:color w:val="auto"/>
              </w:rPr>
            </w:pPr>
            <w:r>
              <w:rPr>
                <w:rFonts w:ascii="Arial" w:cs="Arial" w:eastAsia="Arial" w:hAnsi="Arial"/>
                <w:sz w:val="18"/>
                <w:szCs w:val="18"/>
                <w:color w:val="auto"/>
              </w:rPr>
              <w:t>Notes to Condensed Consolidated Financial Statements (Unaudited)</w:t>
            </w:r>
          </w:p>
        </w:tc>
        <w:tc>
          <w:tcPr>
            <w:tcW w:w="1860" w:type="dxa"/>
            <w:vAlign w:val="bottom"/>
          </w:tcPr>
          <w:p>
            <w:pPr>
              <w:ind w:left="1400"/>
              <w:spacing w:after="0"/>
              <w:rPr>
                <w:sz w:val="20"/>
                <w:szCs w:val="20"/>
                <w:color w:val="auto"/>
              </w:rPr>
            </w:pPr>
            <w:r>
              <w:rPr>
                <w:rFonts w:ascii="Arial" w:cs="Arial" w:eastAsia="Arial" w:hAnsi="Arial"/>
                <w:sz w:val="18"/>
                <w:szCs w:val="18"/>
                <w:color w:val="auto"/>
              </w:rPr>
              <w:t>8</w:t>
            </w:r>
          </w:p>
        </w:tc>
      </w:tr>
      <w:tr>
        <w:trPr>
          <w:trHeight w:val="324"/>
        </w:trPr>
        <w:tc>
          <w:tcPr>
            <w:tcW w:w="940" w:type="dxa"/>
            <w:vAlign w:val="bottom"/>
          </w:tcPr>
          <w:p>
            <w:pPr>
              <w:ind w:left="140"/>
              <w:spacing w:after="0"/>
              <w:rPr>
                <w:sz w:val="20"/>
                <w:szCs w:val="20"/>
                <w:color w:val="auto"/>
              </w:rPr>
            </w:pPr>
            <w:r>
              <w:rPr>
                <w:rFonts w:ascii="Arial" w:cs="Arial" w:eastAsia="Arial" w:hAnsi="Arial"/>
                <w:sz w:val="18"/>
                <w:szCs w:val="18"/>
                <w:color w:val="auto"/>
              </w:rPr>
              <w:t>Item 2.</w:t>
            </w:r>
          </w:p>
        </w:tc>
        <w:tc>
          <w:tcPr>
            <w:tcW w:w="840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60" w:type="dxa"/>
            <w:vAlign w:val="bottom"/>
          </w:tcPr>
          <w:p>
            <w:pPr>
              <w:ind w:left="1400"/>
              <w:spacing w:after="0"/>
              <w:rPr>
                <w:sz w:val="20"/>
                <w:szCs w:val="20"/>
                <w:color w:val="auto"/>
              </w:rPr>
            </w:pPr>
            <w:r>
              <w:rPr>
                <w:rFonts w:ascii="Arial" w:cs="Arial" w:eastAsia="Arial" w:hAnsi="Arial"/>
                <w:sz w:val="18"/>
                <w:szCs w:val="18"/>
                <w:color w:val="auto"/>
              </w:rPr>
              <w:t>26</w:t>
            </w:r>
          </w:p>
        </w:tc>
      </w:tr>
      <w:tr>
        <w:trPr>
          <w:trHeight w:val="324"/>
        </w:trPr>
        <w:tc>
          <w:tcPr>
            <w:tcW w:w="940" w:type="dxa"/>
            <w:vAlign w:val="bottom"/>
          </w:tcPr>
          <w:p>
            <w:pPr>
              <w:ind w:left="140"/>
              <w:spacing w:after="0"/>
              <w:rPr>
                <w:sz w:val="20"/>
                <w:szCs w:val="20"/>
                <w:color w:val="auto"/>
              </w:rPr>
            </w:pPr>
            <w:r>
              <w:rPr>
                <w:rFonts w:ascii="Arial" w:cs="Arial" w:eastAsia="Arial" w:hAnsi="Arial"/>
                <w:sz w:val="18"/>
                <w:szCs w:val="18"/>
                <w:color w:val="auto"/>
              </w:rPr>
              <w:t>Item 3.</w:t>
            </w:r>
          </w:p>
        </w:tc>
        <w:tc>
          <w:tcPr>
            <w:tcW w:w="840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60" w:type="dxa"/>
            <w:vAlign w:val="bottom"/>
          </w:tcPr>
          <w:p>
            <w:pPr>
              <w:ind w:left="1400"/>
              <w:spacing w:after="0"/>
              <w:rPr>
                <w:sz w:val="20"/>
                <w:szCs w:val="20"/>
                <w:color w:val="auto"/>
              </w:rPr>
            </w:pPr>
            <w:r>
              <w:rPr>
                <w:rFonts w:ascii="Arial" w:cs="Arial" w:eastAsia="Arial" w:hAnsi="Arial"/>
                <w:sz w:val="18"/>
                <w:szCs w:val="18"/>
                <w:color w:val="auto"/>
              </w:rPr>
              <w:t>48</w:t>
            </w:r>
          </w:p>
        </w:tc>
      </w:tr>
      <w:tr>
        <w:trPr>
          <w:trHeight w:val="324"/>
        </w:trPr>
        <w:tc>
          <w:tcPr>
            <w:tcW w:w="940" w:type="dxa"/>
            <w:vAlign w:val="bottom"/>
          </w:tcPr>
          <w:p>
            <w:pPr>
              <w:ind w:left="140"/>
              <w:spacing w:after="0"/>
              <w:rPr>
                <w:sz w:val="20"/>
                <w:szCs w:val="20"/>
                <w:color w:val="auto"/>
              </w:rPr>
            </w:pPr>
            <w:r>
              <w:rPr>
                <w:rFonts w:ascii="Arial" w:cs="Arial" w:eastAsia="Arial" w:hAnsi="Arial"/>
                <w:sz w:val="18"/>
                <w:szCs w:val="18"/>
                <w:color w:val="auto"/>
              </w:rPr>
              <w:t>Item 4.</w:t>
            </w:r>
          </w:p>
        </w:tc>
        <w:tc>
          <w:tcPr>
            <w:tcW w:w="840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1860" w:type="dxa"/>
            <w:vAlign w:val="bottom"/>
          </w:tcPr>
          <w:p>
            <w:pPr>
              <w:ind w:left="1400"/>
              <w:spacing w:after="0"/>
              <w:rPr>
                <w:sz w:val="20"/>
                <w:szCs w:val="20"/>
                <w:color w:val="auto"/>
              </w:rPr>
            </w:pPr>
            <w:r>
              <w:rPr>
                <w:rFonts w:ascii="Arial" w:cs="Arial" w:eastAsia="Arial" w:hAnsi="Arial"/>
                <w:sz w:val="18"/>
                <w:szCs w:val="18"/>
                <w:color w:val="auto"/>
              </w:rPr>
              <w:t>48</w:t>
            </w:r>
          </w:p>
        </w:tc>
      </w:tr>
      <w:tr>
        <w:trPr>
          <w:trHeight w:val="558"/>
        </w:trPr>
        <w:tc>
          <w:tcPr>
            <w:tcW w:w="940" w:type="dxa"/>
            <w:vAlign w:val="bottom"/>
          </w:tcPr>
          <w:p>
            <w:pPr>
              <w:ind w:left="20"/>
              <w:spacing w:after="0"/>
              <w:rPr>
                <w:sz w:val="20"/>
                <w:szCs w:val="20"/>
                <w:color w:val="auto"/>
              </w:rPr>
            </w:pPr>
            <w:r>
              <w:rPr>
                <w:rFonts w:ascii="Arial" w:cs="Arial" w:eastAsia="Arial" w:hAnsi="Arial"/>
                <w:sz w:val="20"/>
                <w:szCs w:val="20"/>
                <w:b w:val="1"/>
                <w:bCs w:val="1"/>
                <w:color w:val="004054"/>
              </w:rPr>
              <w:t>PART II.</w:t>
            </w:r>
          </w:p>
        </w:tc>
        <w:tc>
          <w:tcPr>
            <w:tcW w:w="8400" w:type="dxa"/>
            <w:vAlign w:val="bottom"/>
          </w:tcPr>
          <w:p>
            <w:pPr>
              <w:ind w:left="140"/>
              <w:spacing w:after="0"/>
              <w:rPr>
                <w:sz w:val="20"/>
                <w:szCs w:val="20"/>
                <w:color w:val="auto"/>
              </w:rPr>
            </w:pPr>
            <w:r>
              <w:rPr>
                <w:rFonts w:ascii="Arial" w:cs="Arial" w:eastAsia="Arial" w:hAnsi="Arial"/>
                <w:sz w:val="20"/>
                <w:szCs w:val="20"/>
                <w:b w:val="1"/>
                <w:bCs w:val="1"/>
                <w:color w:val="004054"/>
              </w:rPr>
              <w:t>OTHER INFORMATION</w:t>
            </w:r>
          </w:p>
        </w:tc>
        <w:tc>
          <w:tcPr>
            <w:tcW w:w="1860" w:type="dxa"/>
            <w:vAlign w:val="bottom"/>
          </w:tcPr>
          <w:p>
            <w:pPr>
              <w:ind w:left="1400"/>
              <w:spacing w:after="0"/>
              <w:rPr>
                <w:sz w:val="20"/>
                <w:szCs w:val="20"/>
                <w:color w:val="auto"/>
              </w:rPr>
            </w:pPr>
            <w:r>
              <w:rPr>
                <w:rFonts w:ascii="Arial" w:cs="Arial" w:eastAsia="Arial" w:hAnsi="Arial"/>
                <w:sz w:val="20"/>
                <w:szCs w:val="20"/>
                <w:b w:val="1"/>
                <w:bCs w:val="1"/>
                <w:color w:val="004054"/>
              </w:rPr>
              <w:t>49</w:t>
            </w:r>
          </w:p>
        </w:tc>
      </w:tr>
      <w:tr>
        <w:trPr>
          <w:trHeight w:val="36"/>
        </w:trPr>
        <w:tc>
          <w:tcPr>
            <w:tcW w:w="940" w:type="dxa"/>
            <w:vAlign w:val="bottom"/>
            <w:tcBorders>
              <w:bottom w:val="single" w:sz="8" w:color="0CD973"/>
            </w:tcBorders>
          </w:tcPr>
          <w:p>
            <w:pPr>
              <w:spacing w:after="0"/>
              <w:rPr>
                <w:sz w:val="3"/>
                <w:szCs w:val="3"/>
                <w:color w:val="auto"/>
              </w:rPr>
            </w:pPr>
          </w:p>
        </w:tc>
        <w:tc>
          <w:tcPr>
            <w:tcW w:w="8400" w:type="dxa"/>
            <w:vAlign w:val="bottom"/>
            <w:tcBorders>
              <w:bottom w:val="single" w:sz="8" w:color="0CD973"/>
            </w:tcBorders>
          </w:tcPr>
          <w:p>
            <w:pPr>
              <w:spacing w:after="0"/>
              <w:rPr>
                <w:sz w:val="3"/>
                <w:szCs w:val="3"/>
                <w:color w:val="auto"/>
              </w:rPr>
            </w:pPr>
          </w:p>
        </w:tc>
        <w:tc>
          <w:tcPr>
            <w:tcW w:w="1860" w:type="dxa"/>
            <w:vAlign w:val="bottom"/>
            <w:tcBorders>
              <w:bottom w:val="single" w:sz="8" w:color="0CD973"/>
            </w:tcBorders>
          </w:tcPr>
          <w:p>
            <w:pPr>
              <w:spacing w:after="0"/>
              <w:rPr>
                <w:sz w:val="3"/>
                <w:szCs w:val="3"/>
                <w:color w:val="auto"/>
              </w:rPr>
            </w:pPr>
          </w:p>
        </w:tc>
      </w:tr>
      <w:tr>
        <w:trPr>
          <w:trHeight w:val="331"/>
        </w:trPr>
        <w:tc>
          <w:tcPr>
            <w:tcW w:w="940" w:type="dxa"/>
            <w:vAlign w:val="bottom"/>
          </w:tcPr>
          <w:p>
            <w:pPr>
              <w:ind w:left="140"/>
              <w:spacing w:after="0"/>
              <w:rPr>
                <w:sz w:val="20"/>
                <w:szCs w:val="20"/>
                <w:color w:val="auto"/>
              </w:rPr>
            </w:pPr>
            <w:r>
              <w:rPr>
                <w:rFonts w:ascii="Arial" w:cs="Arial" w:eastAsia="Arial" w:hAnsi="Arial"/>
                <w:sz w:val="18"/>
                <w:szCs w:val="18"/>
                <w:color w:val="auto"/>
              </w:rPr>
              <w:t>Item 1.</w:t>
            </w:r>
          </w:p>
        </w:tc>
        <w:tc>
          <w:tcPr>
            <w:tcW w:w="840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1860" w:type="dxa"/>
            <w:vAlign w:val="bottom"/>
          </w:tcPr>
          <w:p>
            <w:pPr>
              <w:ind w:left="1400"/>
              <w:spacing w:after="0"/>
              <w:rPr>
                <w:sz w:val="20"/>
                <w:szCs w:val="20"/>
                <w:color w:val="auto"/>
              </w:rPr>
            </w:pPr>
            <w:r>
              <w:rPr>
                <w:rFonts w:ascii="Arial" w:cs="Arial" w:eastAsia="Arial" w:hAnsi="Arial"/>
                <w:sz w:val="18"/>
                <w:szCs w:val="18"/>
                <w:color w:val="auto"/>
              </w:rPr>
              <w:t>49</w:t>
            </w:r>
          </w:p>
        </w:tc>
      </w:tr>
      <w:tr>
        <w:trPr>
          <w:trHeight w:val="324"/>
        </w:trPr>
        <w:tc>
          <w:tcPr>
            <w:tcW w:w="940" w:type="dxa"/>
            <w:vAlign w:val="bottom"/>
          </w:tcPr>
          <w:p>
            <w:pPr>
              <w:ind w:left="140"/>
              <w:spacing w:after="0"/>
              <w:rPr>
                <w:sz w:val="20"/>
                <w:szCs w:val="20"/>
                <w:color w:val="auto"/>
              </w:rPr>
            </w:pPr>
            <w:r>
              <w:rPr>
                <w:rFonts w:ascii="Arial" w:cs="Arial" w:eastAsia="Arial" w:hAnsi="Arial"/>
                <w:sz w:val="18"/>
                <w:szCs w:val="18"/>
                <w:color w:val="auto"/>
              </w:rPr>
              <w:t>Item 1A.</w:t>
            </w:r>
          </w:p>
        </w:tc>
        <w:tc>
          <w:tcPr>
            <w:tcW w:w="840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1860" w:type="dxa"/>
            <w:vAlign w:val="bottom"/>
          </w:tcPr>
          <w:p>
            <w:pPr>
              <w:ind w:left="1400"/>
              <w:spacing w:after="0"/>
              <w:rPr>
                <w:sz w:val="20"/>
                <w:szCs w:val="20"/>
                <w:color w:val="auto"/>
              </w:rPr>
            </w:pPr>
            <w:r>
              <w:rPr>
                <w:rFonts w:ascii="Arial" w:cs="Arial" w:eastAsia="Arial" w:hAnsi="Arial"/>
                <w:sz w:val="18"/>
                <w:szCs w:val="18"/>
                <w:color w:val="auto"/>
              </w:rPr>
              <w:t>49</w:t>
            </w:r>
          </w:p>
        </w:tc>
      </w:tr>
      <w:tr>
        <w:trPr>
          <w:trHeight w:val="324"/>
        </w:trPr>
        <w:tc>
          <w:tcPr>
            <w:tcW w:w="940" w:type="dxa"/>
            <w:vAlign w:val="bottom"/>
          </w:tcPr>
          <w:p>
            <w:pPr>
              <w:ind w:left="140"/>
              <w:spacing w:after="0"/>
              <w:rPr>
                <w:sz w:val="20"/>
                <w:szCs w:val="20"/>
                <w:color w:val="auto"/>
              </w:rPr>
            </w:pPr>
            <w:r>
              <w:rPr>
                <w:rFonts w:ascii="Arial" w:cs="Arial" w:eastAsia="Arial" w:hAnsi="Arial"/>
                <w:sz w:val="18"/>
                <w:szCs w:val="18"/>
                <w:color w:val="auto"/>
              </w:rPr>
              <w:t>Item 2.</w:t>
            </w:r>
          </w:p>
        </w:tc>
        <w:tc>
          <w:tcPr>
            <w:tcW w:w="8400" w:type="dxa"/>
            <w:vAlign w:val="bottom"/>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1860" w:type="dxa"/>
            <w:vAlign w:val="bottom"/>
          </w:tcPr>
          <w:p>
            <w:pPr>
              <w:ind w:left="1400"/>
              <w:spacing w:after="0"/>
              <w:rPr>
                <w:sz w:val="20"/>
                <w:szCs w:val="20"/>
                <w:color w:val="auto"/>
              </w:rPr>
            </w:pPr>
            <w:r>
              <w:rPr>
                <w:rFonts w:ascii="Arial" w:cs="Arial" w:eastAsia="Arial" w:hAnsi="Arial"/>
                <w:sz w:val="18"/>
                <w:szCs w:val="18"/>
                <w:color w:val="auto"/>
              </w:rPr>
              <w:t>51</w:t>
            </w:r>
          </w:p>
        </w:tc>
      </w:tr>
      <w:tr>
        <w:trPr>
          <w:trHeight w:val="324"/>
        </w:trPr>
        <w:tc>
          <w:tcPr>
            <w:tcW w:w="940" w:type="dxa"/>
            <w:vAlign w:val="bottom"/>
          </w:tcPr>
          <w:p>
            <w:pPr>
              <w:ind w:left="140"/>
              <w:spacing w:after="0"/>
              <w:rPr>
                <w:sz w:val="20"/>
                <w:szCs w:val="20"/>
                <w:color w:val="auto"/>
              </w:rPr>
            </w:pPr>
            <w:r>
              <w:rPr>
                <w:rFonts w:ascii="Arial" w:cs="Arial" w:eastAsia="Arial" w:hAnsi="Arial"/>
                <w:sz w:val="18"/>
                <w:szCs w:val="18"/>
                <w:color w:val="auto"/>
              </w:rPr>
              <w:t>Item 6.</w:t>
            </w:r>
          </w:p>
        </w:tc>
        <w:tc>
          <w:tcPr>
            <w:tcW w:w="8400" w:type="dxa"/>
            <w:vAlign w:val="bottom"/>
          </w:tcPr>
          <w:p>
            <w:pPr>
              <w:ind w:left="140"/>
              <w:spacing w:after="0"/>
              <w:rPr>
                <w:sz w:val="20"/>
                <w:szCs w:val="20"/>
                <w:color w:val="auto"/>
              </w:rPr>
            </w:pPr>
            <w:r>
              <w:rPr>
                <w:rFonts w:ascii="Arial" w:cs="Arial" w:eastAsia="Arial" w:hAnsi="Arial"/>
                <w:sz w:val="18"/>
                <w:szCs w:val="18"/>
                <w:color w:val="auto"/>
              </w:rPr>
              <w:t>Exhibits</w:t>
            </w:r>
          </w:p>
        </w:tc>
        <w:tc>
          <w:tcPr>
            <w:tcW w:w="1860" w:type="dxa"/>
            <w:vAlign w:val="bottom"/>
          </w:tcPr>
          <w:p>
            <w:pPr>
              <w:ind w:left="1400"/>
              <w:spacing w:after="0"/>
              <w:rPr>
                <w:sz w:val="20"/>
                <w:szCs w:val="20"/>
                <w:color w:val="auto"/>
              </w:rPr>
            </w:pPr>
            <w:r>
              <w:rPr>
                <w:rFonts w:ascii="Arial" w:cs="Arial" w:eastAsia="Arial" w:hAnsi="Arial"/>
                <w:sz w:val="18"/>
                <w:szCs w:val="18"/>
                <w:color w:val="auto"/>
              </w:rPr>
              <w:t>52</w:t>
            </w:r>
          </w:p>
        </w:tc>
      </w:tr>
      <w:tr>
        <w:trPr>
          <w:trHeight w:val="558"/>
        </w:trPr>
        <w:tc>
          <w:tcPr>
            <w:tcW w:w="9340" w:type="dxa"/>
            <w:vAlign w:val="bottom"/>
            <w:gridSpan w:val="2"/>
          </w:tcPr>
          <w:p>
            <w:pPr>
              <w:ind w:left="20"/>
              <w:spacing w:after="0"/>
              <w:rPr>
                <w:sz w:val="20"/>
                <w:szCs w:val="20"/>
                <w:color w:val="auto"/>
              </w:rPr>
            </w:pPr>
            <w:r>
              <w:rPr>
                <w:rFonts w:ascii="Arial" w:cs="Arial" w:eastAsia="Arial" w:hAnsi="Arial"/>
                <w:sz w:val="20"/>
                <w:szCs w:val="20"/>
                <w:b w:val="1"/>
                <w:bCs w:val="1"/>
                <w:color w:val="004054"/>
              </w:rPr>
              <w:t>SIGNATURES</w:t>
            </w:r>
          </w:p>
        </w:tc>
        <w:tc>
          <w:tcPr>
            <w:tcW w:w="1860" w:type="dxa"/>
            <w:vAlign w:val="bottom"/>
          </w:tcPr>
          <w:p>
            <w:pPr>
              <w:ind w:left="1400"/>
              <w:spacing w:after="0"/>
              <w:rPr>
                <w:sz w:val="20"/>
                <w:szCs w:val="20"/>
                <w:color w:val="auto"/>
              </w:rPr>
            </w:pPr>
            <w:r>
              <w:rPr>
                <w:rFonts w:ascii="Arial" w:cs="Arial" w:eastAsia="Arial" w:hAnsi="Arial"/>
                <w:sz w:val="20"/>
                <w:szCs w:val="20"/>
                <w:b w:val="1"/>
                <w:bCs w:val="1"/>
                <w:color w:val="004054"/>
              </w:rPr>
              <w:t>53</w:t>
            </w:r>
          </w:p>
        </w:tc>
      </w:tr>
      <w:tr>
        <w:trPr>
          <w:trHeight w:val="36"/>
        </w:trPr>
        <w:tc>
          <w:tcPr>
            <w:tcW w:w="940" w:type="dxa"/>
            <w:vAlign w:val="bottom"/>
            <w:tcBorders>
              <w:bottom w:val="single" w:sz="8" w:color="0CD973"/>
            </w:tcBorders>
          </w:tcPr>
          <w:p>
            <w:pPr>
              <w:spacing w:after="0"/>
              <w:rPr>
                <w:sz w:val="3"/>
                <w:szCs w:val="3"/>
                <w:color w:val="auto"/>
              </w:rPr>
            </w:pPr>
          </w:p>
        </w:tc>
        <w:tc>
          <w:tcPr>
            <w:tcW w:w="8400" w:type="dxa"/>
            <w:vAlign w:val="bottom"/>
            <w:tcBorders>
              <w:bottom w:val="single" w:sz="8" w:color="0CD973"/>
            </w:tcBorders>
          </w:tcPr>
          <w:p>
            <w:pPr>
              <w:spacing w:after="0"/>
              <w:rPr>
                <w:sz w:val="3"/>
                <w:szCs w:val="3"/>
                <w:color w:val="auto"/>
              </w:rPr>
            </w:pPr>
          </w:p>
        </w:tc>
        <w:tc>
          <w:tcPr>
            <w:tcW w:w="1860" w:type="dxa"/>
            <w:vAlign w:val="bottom"/>
            <w:tcBorders>
              <w:bottom w:val="single" w:sz="8" w:color="0CD973"/>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796925</wp:posOffset>
            </wp:positionV>
            <wp:extent cx="67691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880" w:type="dxa"/>
            <w:vAlign w:val="bottom"/>
          </w:tcPr>
          <w:p>
            <w:pPr>
              <w:jc w:val="right"/>
              <w:spacing w:after="0"/>
              <w:rPr>
                <w:sz w:val="20"/>
                <w:szCs w:val="20"/>
                <w:color w:val="auto"/>
              </w:rPr>
            </w:pPr>
            <w:r>
              <w:rPr>
                <w:rFonts w:ascii="Arial" w:cs="Arial" w:eastAsia="Arial" w:hAnsi="Arial"/>
                <w:sz w:val="14"/>
                <w:szCs w:val="14"/>
                <w:color w:val="51555C"/>
              </w:rPr>
              <w:t>1</w:t>
            </w:r>
          </w:p>
        </w:tc>
      </w:tr>
      <w:tr>
        <w:trPr>
          <w:trHeight w:val="329"/>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80" w:right="640"/>
        <w:spacing w:after="0" w:line="281" w:lineRule="auto"/>
        <w:rPr>
          <w:sz w:val="20"/>
          <w:szCs w:val="20"/>
          <w:color w:val="auto"/>
        </w:rPr>
      </w:pPr>
      <w:r>
        <w:rPr>
          <w:rFonts w:ascii="Arial" w:cs="Arial" w:eastAsia="Arial" w:hAnsi="Arial"/>
          <w:sz w:val="40"/>
          <w:szCs w:val="40"/>
          <w:b w:val="1"/>
          <w:bCs w:val="1"/>
          <w:color w:val="50535A"/>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-501015</wp:posOffset>
            </wp:positionV>
            <wp:extent cx="248285" cy="2482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8285" cy="248285"/>
                    </a:xfrm>
                    <a:prstGeom prst="rect">
                      <a:avLst/>
                    </a:prstGeom>
                    <a:noFill/>
                  </pic:spPr>
                </pic:pic>
              </a:graphicData>
            </a:graphic>
          </wp:anchor>
        </w:drawing>
      </w:r>
    </w:p>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This Quarterly Report on Form 10-Q,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Forward-looking statements consist of, among other things, specific and overall impacts of the COVID-19 global pandemic on our financial condition and results of operations and on the markets and communities in which we and our customers and partners operate, trend analyses, statements regarding future events, future financial performance, our anticipated growth, the effect of general economic and market conditions, our business strategy and our plan to build and grow our business, our operating results, our ability to successfully integrate acquired businesses and technologies, the effect of foreign currency exchange rate and interest rate fluctuations on our financial results, the impact of expensing stock-based compensation, the sufficiency of our capital resources, our ability to meet our ongoing debt and obligations as they become due, cybersecurity and data protection risks and related liabilities, and current or potential legal proceedings involving us,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Important factors that could cause actual results to differ materially from our expectations expressed in forward-looking statements include, but are not limited to, those summarized under “Part II, Item 1A. Risk factors” and elsewhere in this report, in our Annual Report on Form 10-K for the year ended December 31, 2021 and in our other filings made with the United States Securities &amp; Exchange Commission ("SEC"). Forward-looking statements represent our management's beliefs and assumptions only as of the date of this Quarterly Report on Form 10-Q. We undertake no obligation to update or revise any forward-looking statements, or to update the reasons actual results could differ materially from those anticipated in any forward-looking statement, whether as a result of new information, future events or otherwise.</w:t>
      </w:r>
    </w:p>
    <w:p>
      <w:pPr>
        <w:spacing w:after="0" w:line="314" w:lineRule="exact"/>
        <w:rPr>
          <w:sz w:val="20"/>
          <w:szCs w:val="20"/>
          <w:color w:val="auto"/>
        </w:rPr>
      </w:pPr>
    </w:p>
    <w:p>
      <w:pPr>
        <w:ind w:left="20"/>
        <w:spacing w:after="0"/>
        <w:tabs>
          <w:tab w:leader="none" w:pos="379" w:val="left"/>
        </w:tabs>
        <w:rPr>
          <w:sz w:val="20"/>
          <w:szCs w:val="20"/>
          <w:color w:val="auto"/>
        </w:rPr>
      </w:pPr>
      <w:r>
        <w:rPr>
          <w:rFonts w:ascii="Arial" w:cs="Arial" w:eastAsia="Arial" w:hAnsi="Arial"/>
          <w:sz w:val="14"/>
          <w:szCs w:val="14"/>
          <w:color w:val="51555C"/>
        </w:rPr>
        <w:t>2</w:t>
      </w:r>
      <w:r>
        <w:rPr>
          <w:sz w:val="20"/>
          <w:szCs w:val="20"/>
          <w:color w:val="auto"/>
        </w:rPr>
        <w:tab/>
      </w:r>
      <w:r>
        <w:rPr>
          <w:sz w:val="1"/>
          <w:szCs w:val="1"/>
          <w:color w:val="auto"/>
        </w:rPr>
        <w:drawing>
          <wp:inline distT="0" distB="0" distL="0" distR="0">
            <wp:extent cx="676910" cy="171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9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ind w:left="140"/>
        <w:spacing w:after="0"/>
        <w:rPr>
          <w:sz w:val="20"/>
          <w:szCs w:val="20"/>
          <w:color w:val="auto"/>
        </w:rPr>
      </w:pPr>
      <w:r>
        <w:rPr>
          <w:sz w:val="1"/>
          <w:szCs w:val="1"/>
          <w:color w:val="auto"/>
        </w:rPr>
        <w:drawing>
          <wp:inline distT="0" distB="0" distL="0" distR="0">
            <wp:extent cx="248285" cy="2489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 FINANCIAL INFORMATION</w:t>
      </w:r>
    </w:p>
    <w:p>
      <w:pPr>
        <w:spacing w:after="0" w:line="378"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1.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920" w:type="dxa"/>
            <w:vAlign w:val="bottom"/>
            <w:shd w:val="clear" w:color="auto" w:fill="004054"/>
          </w:tcPr>
          <w:p>
            <w:pPr>
              <w:spacing w:after="0"/>
              <w:rPr>
                <w:sz w:val="17"/>
                <w:szCs w:val="17"/>
                <w:color w:val="auto"/>
              </w:rPr>
            </w:pPr>
          </w:p>
        </w:tc>
        <w:tc>
          <w:tcPr>
            <w:tcW w:w="360" w:type="dxa"/>
            <w:vAlign w:val="bottom"/>
            <w:shd w:val="clear" w:color="auto" w:fill="004054"/>
          </w:tcPr>
          <w:p>
            <w:pPr>
              <w:spacing w:after="0"/>
              <w:rPr>
                <w:sz w:val="17"/>
                <w:szCs w:val="17"/>
                <w:color w:val="auto"/>
              </w:rPr>
            </w:pPr>
          </w:p>
        </w:tc>
        <w:tc>
          <w:tcPr>
            <w:tcW w:w="12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400" w:type="dxa"/>
            <w:vAlign w:val="bottom"/>
            <w:shd w:val="clear" w:color="auto" w:fill="004054"/>
          </w:tcPr>
          <w:p>
            <w:pPr>
              <w:spacing w:after="0"/>
              <w:rPr>
                <w:sz w:val="17"/>
                <w:szCs w:val="17"/>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9"/>
        </w:trPr>
        <w:tc>
          <w:tcPr>
            <w:tcW w:w="79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60" w:type="dxa"/>
            <w:vAlign w:val="bottom"/>
            <w:tcBorders>
              <w:bottom w:val="single" w:sz="8" w:color="004054"/>
            </w:tcBorders>
            <w:shd w:val="clear" w:color="auto" w:fill="004054"/>
          </w:tcPr>
          <w:p>
            <w:pPr>
              <w:spacing w:after="0"/>
              <w:rPr>
                <w:sz w:val="18"/>
                <w:szCs w:val="18"/>
                <w:color w:val="auto"/>
              </w:rPr>
            </w:pPr>
          </w:p>
        </w:tc>
        <w:tc>
          <w:tcPr>
            <w:tcW w:w="12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004054"/>
            </w:tcBorders>
            <w:shd w:val="clear" w:color="auto" w:fill="004054"/>
          </w:tcPr>
          <w:p>
            <w:pPr>
              <w:spacing w:after="0"/>
              <w:rPr>
                <w:sz w:val="18"/>
                <w:szCs w:val="18"/>
                <w:color w:val="auto"/>
              </w:rPr>
            </w:pPr>
          </w:p>
        </w:tc>
        <w:tc>
          <w:tcPr>
            <w:tcW w:w="12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18"/>
                <w:szCs w:val="18"/>
                <w:color w:val="auto"/>
              </w:rPr>
            </w:pPr>
          </w:p>
        </w:tc>
      </w:tr>
      <w:tr>
        <w:trPr>
          <w:trHeight w:val="243"/>
        </w:trPr>
        <w:tc>
          <w:tcPr>
            <w:tcW w:w="792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Assets</w:t>
            </w:r>
          </w:p>
        </w:tc>
        <w:tc>
          <w:tcPr>
            <w:tcW w:w="360" w:type="dxa"/>
            <w:vAlign w:val="bottom"/>
            <w:shd w:val="clear" w:color="auto" w:fill="EBFBFF"/>
          </w:tcPr>
          <w:p>
            <w:pPr>
              <w:spacing w:after="0"/>
              <w:rPr>
                <w:sz w:val="21"/>
                <w:szCs w:val="21"/>
                <w:color w:val="auto"/>
              </w:rPr>
            </w:pPr>
          </w:p>
        </w:tc>
        <w:tc>
          <w:tcPr>
            <w:tcW w:w="1280" w:type="dxa"/>
            <w:vAlign w:val="bottom"/>
            <w:shd w:val="clear" w:color="auto" w:fill="EBFBFF"/>
          </w:tcPr>
          <w:p>
            <w:pPr>
              <w:spacing w:after="0"/>
              <w:rPr>
                <w:sz w:val="21"/>
                <w:szCs w:val="21"/>
                <w:color w:val="auto"/>
              </w:rPr>
            </w:pP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51555C"/>
              </w:rPr>
              <w:t>Current assets: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Cash and cash equivalents</w:t>
            </w:r>
          </w:p>
        </w:tc>
        <w:tc>
          <w:tcPr>
            <w:tcW w:w="360" w:type="dxa"/>
            <w:vAlign w:val="bottom"/>
            <w:shd w:val="clear" w:color="auto" w:fill="EBFBFF"/>
          </w:tcPr>
          <w:p>
            <w:pPr>
              <w:jc w:val="right"/>
              <w:ind w:right="179"/>
              <w:spacing w:after="0"/>
              <w:rPr>
                <w:sz w:val="20"/>
                <w:szCs w:val="20"/>
                <w:color w:val="auto"/>
              </w:rPr>
            </w:pPr>
            <w:r>
              <w:rPr>
                <w:rFonts w:ascii="Arial" w:cs="Arial" w:eastAsia="Arial" w:hAnsi="Arial"/>
                <w:sz w:val="16"/>
                <w:szCs w:val="16"/>
                <w:color w:val="51555C"/>
                <w:w w:val="89"/>
              </w:rPr>
              <w:t>$</w:t>
            </w:r>
          </w:p>
        </w:tc>
        <w:tc>
          <w:tcPr>
            <w:tcW w:w="12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31,413</w:t>
            </w:r>
          </w:p>
        </w:tc>
        <w:tc>
          <w:tcPr>
            <w:tcW w:w="400" w:type="dxa"/>
            <w:vAlign w:val="bottom"/>
            <w:shd w:val="clear" w:color="auto" w:fill="EBFBFF"/>
          </w:tcPr>
          <w:p>
            <w:pPr>
              <w:jc w:val="right"/>
              <w:ind w:right="219"/>
              <w:spacing w:after="0"/>
              <w:rPr>
                <w:sz w:val="20"/>
                <w:szCs w:val="20"/>
                <w:color w:val="auto"/>
              </w:rPr>
            </w:pPr>
            <w:r>
              <w:rPr>
                <w:rFonts w:ascii="Arial" w:cs="Arial" w:eastAsia="Arial" w:hAnsi="Arial"/>
                <w:sz w:val="16"/>
                <w:szCs w:val="16"/>
                <w:color w:val="51555C"/>
                <w:w w:val="89"/>
              </w:rPr>
              <w:t>$</w:t>
            </w: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55,146</w:t>
            </w: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51555C"/>
              </w:rPr>
              <w:t>Restricted cash</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51555C"/>
              </w:rPr>
              <w:t>343,928</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596,616</w:t>
            </w:r>
          </w:p>
        </w:tc>
        <w:tc>
          <w:tcPr>
            <w:tcW w:w="20" w:type="dxa"/>
            <w:vAlign w:val="bottom"/>
          </w:tcPr>
          <w:p>
            <w:pPr>
              <w:spacing w:after="0"/>
              <w:rPr>
                <w:sz w:val="20"/>
                <w:szCs w:val="20"/>
                <w:color w:val="auto"/>
              </w:rPr>
            </w:pPr>
          </w:p>
        </w:tc>
      </w:tr>
      <w:tr>
        <w:trPr>
          <w:trHeight w:val="233"/>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Accounts receivable, net of allowance of $7,444 and $11,155 at September 30, 2022 and</w:t>
            </w:r>
          </w:p>
        </w:tc>
        <w:tc>
          <w:tcPr>
            <w:tcW w:w="360" w:type="dxa"/>
            <w:vAlign w:val="bottom"/>
            <w:shd w:val="clear" w:color="auto" w:fill="EBFBFF"/>
          </w:tcPr>
          <w:p>
            <w:pPr>
              <w:spacing w:after="0"/>
              <w:rPr>
                <w:sz w:val="20"/>
                <w:szCs w:val="20"/>
                <w:color w:val="auto"/>
              </w:rPr>
            </w:pPr>
          </w:p>
        </w:tc>
        <w:tc>
          <w:tcPr>
            <w:tcW w:w="1280" w:type="dxa"/>
            <w:vAlign w:val="bottom"/>
            <w:shd w:val="clear" w:color="auto" w:fill="EBFBFF"/>
          </w:tcPr>
          <w:p>
            <w:pPr>
              <w:spacing w:after="0"/>
              <w:rPr>
                <w:sz w:val="20"/>
                <w:szCs w:val="20"/>
                <w:color w:val="auto"/>
              </w:rPr>
            </w:pPr>
          </w:p>
        </w:tc>
        <w:tc>
          <w:tcPr>
            <w:tcW w:w="400" w:type="dxa"/>
            <w:vAlign w:val="bottom"/>
            <w:shd w:val="clear" w:color="auto" w:fill="EBFBFF"/>
          </w:tcPr>
          <w:p>
            <w:pPr>
              <w:spacing w:after="0"/>
              <w:rPr>
                <w:sz w:val="20"/>
                <w:szCs w:val="20"/>
                <w:color w:val="auto"/>
              </w:rPr>
            </w:pPr>
          </w:p>
        </w:tc>
        <w:tc>
          <w:tcPr>
            <w:tcW w:w="1240" w:type="dxa"/>
            <w:vAlign w:val="bottom"/>
            <w:shd w:val="clear" w:color="auto" w:fill="EBFBFF"/>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December 31, 2021, respectively</w:t>
            </w:r>
          </w:p>
        </w:tc>
        <w:tc>
          <w:tcPr>
            <w:tcW w:w="360" w:type="dxa"/>
            <w:vAlign w:val="bottom"/>
            <w:shd w:val="clear" w:color="auto" w:fill="EBFBFF"/>
          </w:tcPr>
          <w:p>
            <w:pPr>
              <w:spacing w:after="0"/>
              <w:rPr>
                <w:sz w:val="19"/>
                <w:szCs w:val="19"/>
                <w:color w:val="auto"/>
              </w:rPr>
            </w:pPr>
          </w:p>
        </w:tc>
        <w:tc>
          <w:tcPr>
            <w:tcW w:w="12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86,704</w:t>
            </w:r>
          </w:p>
        </w:tc>
        <w:tc>
          <w:tcPr>
            <w:tcW w:w="400" w:type="dxa"/>
            <w:vAlign w:val="bottom"/>
            <w:shd w:val="clear" w:color="auto" w:fill="EBFBFF"/>
          </w:tcPr>
          <w:p>
            <w:pPr>
              <w:spacing w:after="0"/>
              <w:rPr>
                <w:sz w:val="19"/>
                <w:szCs w:val="19"/>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102,726</w:t>
            </w:r>
          </w:p>
        </w:tc>
        <w:tc>
          <w:tcPr>
            <w:tcW w:w="20" w:type="dxa"/>
            <w:vAlign w:val="bottom"/>
          </w:tcPr>
          <w:p>
            <w:pPr>
              <w:spacing w:after="0"/>
              <w:rPr>
                <w:sz w:val="19"/>
                <w:szCs w:val="19"/>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51555C"/>
              </w:rPr>
              <w:t>Customer funds receivable</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51555C"/>
              </w:rPr>
              <w:t>1,853</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977</w:t>
            </w:r>
          </w:p>
        </w:tc>
        <w:tc>
          <w:tcPr>
            <w:tcW w:w="20" w:type="dxa"/>
            <w:vAlign w:val="bottom"/>
          </w:tcPr>
          <w:p>
            <w:pPr>
              <w:spacing w:after="0"/>
              <w:rPr>
                <w:sz w:val="20"/>
                <w:szCs w:val="20"/>
                <w:color w:val="auto"/>
              </w:rPr>
            </w:pPr>
          </w:p>
        </w:tc>
      </w:tr>
      <w:tr>
        <w:trPr>
          <w:trHeight w:val="253"/>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Prepaid expenses and other current assets</w:t>
            </w:r>
          </w:p>
        </w:tc>
        <w:tc>
          <w:tcPr>
            <w:tcW w:w="360" w:type="dxa"/>
            <w:vAlign w:val="bottom"/>
            <w:tcBorders>
              <w:bottom w:val="single" w:sz="8" w:color="51555C"/>
            </w:tcBorders>
            <w:shd w:val="clear" w:color="auto" w:fill="EBFBFF"/>
          </w:tcPr>
          <w:p>
            <w:pPr>
              <w:spacing w:after="0"/>
              <w:rPr>
                <w:sz w:val="21"/>
                <w:szCs w:val="21"/>
                <w:color w:val="auto"/>
              </w:rPr>
            </w:pPr>
          </w:p>
        </w:tc>
        <w:tc>
          <w:tcPr>
            <w:tcW w:w="12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83,639</w:t>
            </w:r>
          </w:p>
        </w:tc>
        <w:tc>
          <w:tcPr>
            <w:tcW w:w="400" w:type="dxa"/>
            <w:vAlign w:val="bottom"/>
            <w:tcBorders>
              <w:bottom w:val="single" w:sz="8" w:color="51555C"/>
            </w:tcBorders>
            <w:shd w:val="clear" w:color="auto" w:fill="EBFBFF"/>
          </w:tcPr>
          <w:p>
            <w:pPr>
              <w:spacing w:after="0"/>
              <w:rPr>
                <w:sz w:val="21"/>
                <w:szCs w:val="21"/>
                <w:color w:val="auto"/>
              </w:rPr>
            </w:pPr>
          </w:p>
        </w:tc>
        <w:tc>
          <w:tcPr>
            <w:tcW w:w="12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95,506</w:t>
            </w:r>
          </w:p>
        </w:tc>
        <w:tc>
          <w:tcPr>
            <w:tcW w:w="20" w:type="dxa"/>
            <w:vAlign w:val="bottom"/>
          </w:tcPr>
          <w:p>
            <w:pPr>
              <w:spacing w:after="0"/>
              <w:rPr>
                <w:sz w:val="21"/>
                <w:szCs w:val="21"/>
                <w:color w:val="auto"/>
              </w:rPr>
            </w:pPr>
          </w:p>
        </w:tc>
      </w:tr>
      <w:tr>
        <w:trPr>
          <w:trHeight w:val="227"/>
        </w:trPr>
        <w:tc>
          <w:tcPr>
            <w:tcW w:w="7920" w:type="dxa"/>
            <w:vAlign w:val="bottom"/>
          </w:tcPr>
          <w:p>
            <w:pPr>
              <w:ind w:left="660"/>
              <w:spacing w:after="0"/>
              <w:rPr>
                <w:sz w:val="20"/>
                <w:szCs w:val="20"/>
                <w:color w:val="auto"/>
              </w:rPr>
            </w:pPr>
            <w:r>
              <w:rPr>
                <w:rFonts w:ascii="Arial" w:cs="Arial" w:eastAsia="Arial" w:hAnsi="Arial"/>
                <w:sz w:val="16"/>
                <w:szCs w:val="16"/>
                <w:color w:val="51555C"/>
              </w:rPr>
              <w:t>Total current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51555C"/>
              </w:rPr>
              <w:t>547,537</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850,971</w:t>
            </w:r>
          </w:p>
        </w:tc>
        <w:tc>
          <w:tcPr>
            <w:tcW w:w="20" w:type="dxa"/>
            <w:vAlign w:val="bottom"/>
          </w:tcPr>
          <w:p>
            <w:pPr>
              <w:spacing w:after="0"/>
              <w:rPr>
                <w:sz w:val="19"/>
                <w:szCs w:val="19"/>
                <w:color w:val="auto"/>
              </w:rPr>
            </w:pPr>
          </w:p>
        </w:tc>
      </w:tr>
      <w:tr>
        <w:trPr>
          <w:trHeight w:val="253"/>
        </w:trPr>
        <w:tc>
          <w:tcPr>
            <w:tcW w:w="79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Property and equipment, net</w:t>
            </w:r>
          </w:p>
        </w:tc>
        <w:tc>
          <w:tcPr>
            <w:tcW w:w="360" w:type="dxa"/>
            <w:vAlign w:val="bottom"/>
            <w:shd w:val="clear" w:color="auto" w:fill="EBFBFF"/>
          </w:tcPr>
          <w:p>
            <w:pPr>
              <w:spacing w:after="0"/>
              <w:rPr>
                <w:sz w:val="21"/>
                <w:szCs w:val="21"/>
                <w:color w:val="auto"/>
              </w:rPr>
            </w:pPr>
          </w:p>
        </w:tc>
        <w:tc>
          <w:tcPr>
            <w:tcW w:w="12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109,474</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111,428</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51555C"/>
              </w:rPr>
              <w:t>Operating lease right-of-use assets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51555C"/>
              </w:rPr>
              <w:t>47,430</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53,883</w:t>
            </w:r>
          </w:p>
        </w:tc>
        <w:tc>
          <w:tcPr>
            <w:tcW w:w="20" w:type="dxa"/>
            <w:vAlign w:val="bottom"/>
          </w:tcPr>
          <w:p>
            <w:pPr>
              <w:spacing w:after="0"/>
              <w:rPr>
                <w:sz w:val="20"/>
                <w:szCs w:val="20"/>
                <w:color w:val="auto"/>
              </w:rPr>
            </w:pPr>
          </w:p>
        </w:tc>
      </w:tr>
      <w:tr>
        <w:trPr>
          <w:trHeight w:val="253"/>
        </w:trPr>
        <w:tc>
          <w:tcPr>
            <w:tcW w:w="79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Software and content development costs, net</w:t>
            </w:r>
          </w:p>
        </w:tc>
        <w:tc>
          <w:tcPr>
            <w:tcW w:w="360" w:type="dxa"/>
            <w:vAlign w:val="bottom"/>
            <w:shd w:val="clear" w:color="auto" w:fill="EBFBFF"/>
          </w:tcPr>
          <w:p>
            <w:pPr>
              <w:spacing w:after="0"/>
              <w:rPr>
                <w:sz w:val="21"/>
                <w:szCs w:val="21"/>
                <w:color w:val="auto"/>
              </w:rPr>
            </w:pPr>
          </w:p>
        </w:tc>
        <w:tc>
          <w:tcPr>
            <w:tcW w:w="12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135,594</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121,377</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51555C"/>
              </w:rPr>
              <w:t>Goodwill</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51555C"/>
              </w:rPr>
              <w:t>1,047,178</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1,058,640</w:t>
            </w:r>
          </w:p>
        </w:tc>
        <w:tc>
          <w:tcPr>
            <w:tcW w:w="20" w:type="dxa"/>
            <w:vAlign w:val="bottom"/>
          </w:tcPr>
          <w:p>
            <w:pPr>
              <w:spacing w:after="0"/>
              <w:rPr>
                <w:sz w:val="20"/>
                <w:szCs w:val="20"/>
                <w:color w:val="auto"/>
              </w:rPr>
            </w:pPr>
          </w:p>
        </w:tc>
      </w:tr>
      <w:tr>
        <w:trPr>
          <w:trHeight w:val="253"/>
        </w:trPr>
        <w:tc>
          <w:tcPr>
            <w:tcW w:w="79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Intangible assets, net</w:t>
            </w:r>
          </w:p>
        </w:tc>
        <w:tc>
          <w:tcPr>
            <w:tcW w:w="360" w:type="dxa"/>
            <w:vAlign w:val="bottom"/>
            <w:shd w:val="clear" w:color="auto" w:fill="EBFBFF"/>
          </w:tcPr>
          <w:p>
            <w:pPr>
              <w:spacing w:after="0"/>
              <w:rPr>
                <w:sz w:val="21"/>
                <w:szCs w:val="21"/>
                <w:color w:val="auto"/>
              </w:rPr>
            </w:pPr>
          </w:p>
        </w:tc>
        <w:tc>
          <w:tcPr>
            <w:tcW w:w="12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643,994</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698,052</w:t>
            </w:r>
          </w:p>
        </w:tc>
        <w:tc>
          <w:tcPr>
            <w:tcW w:w="20" w:type="dxa"/>
            <w:vAlign w:val="bottom"/>
          </w:tcPr>
          <w:p>
            <w:pPr>
              <w:spacing w:after="0"/>
              <w:rPr>
                <w:sz w:val="21"/>
                <w:szCs w:val="21"/>
                <w:color w:val="auto"/>
              </w:rPr>
            </w:pPr>
          </w:p>
        </w:tc>
      </w:tr>
      <w:tr>
        <w:trPr>
          <w:trHeight w:val="236"/>
        </w:trPr>
        <w:tc>
          <w:tcPr>
            <w:tcW w:w="7920" w:type="dxa"/>
            <w:vAlign w:val="bottom"/>
            <w:tcBorders>
              <w:bottom w:val="single" w:sz="8" w:color="EBFBFF"/>
            </w:tcBorders>
          </w:tcPr>
          <w:p>
            <w:pPr>
              <w:ind w:left="240"/>
              <w:spacing w:after="0"/>
              <w:rPr>
                <w:sz w:val="20"/>
                <w:szCs w:val="20"/>
                <w:color w:val="auto"/>
              </w:rPr>
            </w:pPr>
            <w:r>
              <w:rPr>
                <w:rFonts w:ascii="Arial" w:cs="Arial" w:eastAsia="Arial" w:hAnsi="Arial"/>
                <w:sz w:val="16"/>
                <w:szCs w:val="16"/>
                <w:color w:val="51555C"/>
              </w:rPr>
              <w:t>Other assets</w:t>
            </w:r>
          </w:p>
        </w:tc>
        <w:tc>
          <w:tcPr>
            <w:tcW w:w="360" w:type="dxa"/>
            <w:vAlign w:val="bottom"/>
            <w:tcBorders>
              <w:bottom w:val="single" w:sz="8" w:color="51555C"/>
            </w:tcBorders>
          </w:tcPr>
          <w:p>
            <w:pPr>
              <w:spacing w:after="0"/>
              <w:rPr>
                <w:sz w:val="20"/>
                <w:szCs w:val="20"/>
                <w:color w:val="auto"/>
              </w:rPr>
            </w:pPr>
          </w:p>
        </w:tc>
        <w:tc>
          <w:tcPr>
            <w:tcW w:w="12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95,376</w:t>
            </w:r>
          </w:p>
        </w:tc>
        <w:tc>
          <w:tcPr>
            <w:tcW w:w="400" w:type="dxa"/>
            <w:vAlign w:val="bottom"/>
            <w:tcBorders>
              <w:bottom w:val="single" w:sz="8" w:color="51555C"/>
            </w:tcBorders>
          </w:tcPr>
          <w:p>
            <w:pPr>
              <w:spacing w:after="0"/>
              <w:rPr>
                <w:sz w:val="20"/>
                <w:szCs w:val="20"/>
                <w:color w:val="auto"/>
              </w:rPr>
            </w:pPr>
          </w:p>
        </w:tc>
        <w:tc>
          <w:tcPr>
            <w:tcW w:w="12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77,266</w:t>
            </w:r>
          </w:p>
        </w:tc>
        <w:tc>
          <w:tcPr>
            <w:tcW w:w="20" w:type="dxa"/>
            <w:vAlign w:val="bottom"/>
          </w:tcPr>
          <w:p>
            <w:pPr>
              <w:spacing w:after="0"/>
              <w:rPr>
                <w:sz w:val="20"/>
                <w:szCs w:val="20"/>
                <w:color w:val="auto"/>
              </w:rPr>
            </w:pPr>
          </w:p>
        </w:tc>
      </w:tr>
      <w:tr>
        <w:trPr>
          <w:trHeight w:val="243"/>
        </w:trPr>
        <w:tc>
          <w:tcPr>
            <w:tcW w:w="7920" w:type="dxa"/>
            <w:vAlign w:val="bottom"/>
            <w:shd w:val="clear" w:color="auto" w:fill="EBFBFF"/>
          </w:tcPr>
          <w:p>
            <w:pPr>
              <w:ind w:left="880"/>
              <w:spacing w:after="0"/>
              <w:rPr>
                <w:sz w:val="20"/>
                <w:szCs w:val="20"/>
                <w:color w:val="auto"/>
              </w:rPr>
            </w:pPr>
            <w:r>
              <w:rPr>
                <w:rFonts w:ascii="Arial" w:cs="Arial" w:eastAsia="Arial" w:hAnsi="Arial"/>
                <w:sz w:val="16"/>
                <w:szCs w:val="16"/>
                <w:b w:val="1"/>
                <w:bCs w:val="1"/>
                <w:color w:val="51555C"/>
              </w:rPr>
              <w:t>Total assets</w:t>
            </w:r>
          </w:p>
        </w:tc>
        <w:tc>
          <w:tcPr>
            <w:tcW w:w="360" w:type="dxa"/>
            <w:vAlign w:val="bottom"/>
            <w:tcBorders>
              <w:bottom w:val="single" w:sz="8" w:color="51555C"/>
            </w:tcBorders>
            <w:shd w:val="clear" w:color="auto" w:fill="EBFBFF"/>
          </w:tcPr>
          <w:p>
            <w:pPr>
              <w:jc w:val="right"/>
              <w:ind w:right="179"/>
              <w:spacing w:after="0"/>
              <w:rPr>
                <w:sz w:val="20"/>
                <w:szCs w:val="20"/>
                <w:color w:val="auto"/>
              </w:rPr>
            </w:pPr>
            <w:r>
              <w:rPr>
                <w:rFonts w:ascii="Arial" w:cs="Arial" w:eastAsia="Arial" w:hAnsi="Arial"/>
                <w:sz w:val="16"/>
                <w:szCs w:val="16"/>
                <w:color w:val="51555C"/>
                <w:w w:val="89"/>
              </w:rPr>
              <w:t>$</w:t>
            </w:r>
          </w:p>
        </w:tc>
        <w:tc>
          <w:tcPr>
            <w:tcW w:w="12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2,626,583</w:t>
            </w:r>
          </w:p>
        </w:tc>
        <w:tc>
          <w:tcPr>
            <w:tcW w:w="400" w:type="dxa"/>
            <w:vAlign w:val="bottom"/>
            <w:tcBorders>
              <w:bottom w:val="single" w:sz="8" w:color="51555C"/>
            </w:tcBorders>
            <w:shd w:val="clear" w:color="auto" w:fill="EBFBFF"/>
          </w:tcPr>
          <w:p>
            <w:pPr>
              <w:jc w:val="right"/>
              <w:ind w:right="219"/>
              <w:spacing w:after="0"/>
              <w:rPr>
                <w:sz w:val="20"/>
                <w:szCs w:val="20"/>
                <w:color w:val="auto"/>
              </w:rPr>
            </w:pPr>
            <w:r>
              <w:rPr>
                <w:rFonts w:ascii="Arial" w:cs="Arial" w:eastAsia="Arial" w:hAnsi="Arial"/>
                <w:sz w:val="16"/>
                <w:szCs w:val="16"/>
                <w:color w:val="51555C"/>
                <w:w w:val="89"/>
              </w:rPr>
              <w:t>$</w:t>
            </w:r>
          </w:p>
        </w:tc>
        <w:tc>
          <w:tcPr>
            <w:tcW w:w="12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2,971,617</w:t>
            </w:r>
          </w:p>
        </w:tc>
        <w:tc>
          <w:tcPr>
            <w:tcW w:w="20" w:type="dxa"/>
            <w:vAlign w:val="bottom"/>
          </w:tcPr>
          <w:p>
            <w:pPr>
              <w:spacing w:after="0"/>
              <w:rPr>
                <w:sz w:val="21"/>
                <w:szCs w:val="21"/>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b w:val="1"/>
                <w:bCs w:val="1"/>
                <w:color w:val="51555C"/>
              </w:rPr>
              <w:t>Liabilities and stockholders’ equity</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3"/>
        </w:trPr>
        <w:tc>
          <w:tcPr>
            <w:tcW w:w="79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Current liabilities:</w:t>
            </w:r>
          </w:p>
        </w:tc>
        <w:tc>
          <w:tcPr>
            <w:tcW w:w="360" w:type="dxa"/>
            <w:vAlign w:val="bottom"/>
            <w:shd w:val="clear" w:color="auto" w:fill="EBFBFF"/>
          </w:tcPr>
          <w:p>
            <w:pPr>
              <w:spacing w:after="0"/>
              <w:rPr>
                <w:sz w:val="21"/>
                <w:szCs w:val="21"/>
                <w:color w:val="auto"/>
              </w:rPr>
            </w:pPr>
          </w:p>
        </w:tc>
        <w:tc>
          <w:tcPr>
            <w:tcW w:w="1280" w:type="dxa"/>
            <w:vAlign w:val="bottom"/>
            <w:shd w:val="clear" w:color="auto" w:fill="EBFBFF"/>
          </w:tcPr>
          <w:p>
            <w:pPr>
              <w:spacing w:after="0"/>
              <w:rPr>
                <w:sz w:val="21"/>
                <w:szCs w:val="21"/>
                <w:color w:val="auto"/>
              </w:rPr>
            </w:pP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51555C"/>
              </w:rPr>
              <w:t>Trade accounts payable</w:t>
            </w:r>
          </w:p>
        </w:tc>
        <w:tc>
          <w:tcPr>
            <w:tcW w:w="360" w:type="dxa"/>
            <w:vAlign w:val="bottom"/>
          </w:tcPr>
          <w:p>
            <w:pPr>
              <w:jc w:val="right"/>
              <w:ind w:right="179"/>
              <w:spacing w:after="0"/>
              <w:rPr>
                <w:sz w:val="20"/>
                <w:szCs w:val="20"/>
                <w:color w:val="auto"/>
              </w:rPr>
            </w:pPr>
            <w:r>
              <w:rPr>
                <w:rFonts w:ascii="Arial" w:cs="Arial" w:eastAsia="Arial" w:hAnsi="Arial"/>
                <w:sz w:val="16"/>
                <w:szCs w:val="16"/>
                <w:color w:val="51555C"/>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51555C"/>
              </w:rPr>
              <w:t>36,374</w:t>
            </w:r>
          </w:p>
        </w:tc>
        <w:tc>
          <w:tcPr>
            <w:tcW w:w="400" w:type="dxa"/>
            <w:vAlign w:val="bottom"/>
          </w:tcPr>
          <w:p>
            <w:pPr>
              <w:jc w:val="right"/>
              <w:ind w:right="219"/>
              <w:spacing w:after="0"/>
              <w:rPr>
                <w:sz w:val="20"/>
                <w:szCs w:val="20"/>
                <w:color w:val="auto"/>
              </w:rPr>
            </w:pPr>
            <w:r>
              <w:rPr>
                <w:rFonts w:ascii="Arial" w:cs="Arial" w:eastAsia="Arial" w:hAnsi="Arial"/>
                <w:sz w:val="16"/>
                <w:szCs w:val="16"/>
                <w:color w:val="51555C"/>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51555C"/>
              </w:rPr>
              <w:t>22,067</w:t>
            </w:r>
          </w:p>
        </w:tc>
        <w:tc>
          <w:tcPr>
            <w:tcW w:w="20" w:type="dxa"/>
            <w:vAlign w:val="bottom"/>
          </w:tcPr>
          <w:p>
            <w:pPr>
              <w:spacing w:after="0"/>
              <w:rPr>
                <w:sz w:val="20"/>
                <w:szCs w:val="20"/>
                <w:color w:val="auto"/>
              </w:rPr>
            </w:pPr>
          </w:p>
        </w:tc>
      </w:tr>
      <w:tr>
        <w:trPr>
          <w:trHeight w:val="253"/>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Accrued expenses and other current liabilities</w:t>
            </w:r>
          </w:p>
        </w:tc>
        <w:tc>
          <w:tcPr>
            <w:tcW w:w="360" w:type="dxa"/>
            <w:vAlign w:val="bottom"/>
            <w:shd w:val="clear" w:color="auto" w:fill="EBFBFF"/>
          </w:tcPr>
          <w:p>
            <w:pPr>
              <w:spacing w:after="0"/>
              <w:rPr>
                <w:sz w:val="21"/>
                <w:szCs w:val="21"/>
                <w:color w:val="auto"/>
              </w:rPr>
            </w:pPr>
          </w:p>
        </w:tc>
        <w:tc>
          <w:tcPr>
            <w:tcW w:w="12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78,471</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100,096</w:t>
            </w: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51555C"/>
              </w:rPr>
              <w:t>Due to customers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51555C"/>
              </w:rPr>
              <w:t>344,305</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594,273</w:t>
            </w:r>
          </w:p>
        </w:tc>
        <w:tc>
          <w:tcPr>
            <w:tcW w:w="20" w:type="dxa"/>
            <w:vAlign w:val="bottom"/>
          </w:tcPr>
          <w:p>
            <w:pPr>
              <w:spacing w:after="0"/>
              <w:rPr>
                <w:sz w:val="20"/>
                <w:szCs w:val="20"/>
                <w:color w:val="auto"/>
              </w:rPr>
            </w:pPr>
          </w:p>
        </w:tc>
      </w:tr>
      <w:tr>
        <w:trPr>
          <w:trHeight w:val="253"/>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Debt, current portion</w:t>
            </w:r>
          </w:p>
        </w:tc>
        <w:tc>
          <w:tcPr>
            <w:tcW w:w="360" w:type="dxa"/>
            <w:vAlign w:val="bottom"/>
            <w:shd w:val="clear" w:color="auto" w:fill="EBFBFF"/>
          </w:tcPr>
          <w:p>
            <w:pPr>
              <w:spacing w:after="0"/>
              <w:rPr>
                <w:sz w:val="21"/>
                <w:szCs w:val="21"/>
                <w:color w:val="auto"/>
              </w:rPr>
            </w:pPr>
          </w:p>
        </w:tc>
        <w:tc>
          <w:tcPr>
            <w:tcW w:w="12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18,193</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18,697</w:t>
            </w:r>
          </w:p>
        </w:tc>
        <w:tc>
          <w:tcPr>
            <w:tcW w:w="20" w:type="dxa"/>
            <w:vAlign w:val="bottom"/>
          </w:tcPr>
          <w:p>
            <w:pPr>
              <w:spacing w:after="0"/>
              <w:rPr>
                <w:sz w:val="21"/>
                <w:szCs w:val="21"/>
                <w:color w:val="auto"/>
              </w:rPr>
            </w:pPr>
          </w:p>
        </w:tc>
      </w:tr>
      <w:tr>
        <w:trPr>
          <w:trHeight w:val="236"/>
        </w:trPr>
        <w:tc>
          <w:tcPr>
            <w:tcW w:w="7920" w:type="dxa"/>
            <w:vAlign w:val="bottom"/>
            <w:tcBorders>
              <w:bottom w:val="single" w:sz="8" w:color="EBFBFF"/>
            </w:tcBorders>
          </w:tcPr>
          <w:p>
            <w:pPr>
              <w:ind w:left="460"/>
              <w:spacing w:after="0"/>
              <w:rPr>
                <w:sz w:val="20"/>
                <w:szCs w:val="20"/>
                <w:color w:val="auto"/>
              </w:rPr>
            </w:pPr>
            <w:r>
              <w:rPr>
                <w:rFonts w:ascii="Arial" w:cs="Arial" w:eastAsia="Arial" w:hAnsi="Arial"/>
                <w:sz w:val="16"/>
                <w:szCs w:val="16"/>
                <w:color w:val="51555C"/>
              </w:rPr>
              <w:t>Deferred revenue, current portion</w:t>
            </w:r>
          </w:p>
        </w:tc>
        <w:tc>
          <w:tcPr>
            <w:tcW w:w="360" w:type="dxa"/>
            <w:vAlign w:val="bottom"/>
            <w:tcBorders>
              <w:bottom w:val="single" w:sz="8" w:color="51555C"/>
            </w:tcBorders>
          </w:tcPr>
          <w:p>
            <w:pPr>
              <w:spacing w:after="0"/>
              <w:rPr>
                <w:sz w:val="20"/>
                <w:szCs w:val="20"/>
                <w:color w:val="auto"/>
              </w:rPr>
            </w:pPr>
          </w:p>
        </w:tc>
        <w:tc>
          <w:tcPr>
            <w:tcW w:w="12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393,679</w:t>
            </w:r>
          </w:p>
        </w:tc>
        <w:tc>
          <w:tcPr>
            <w:tcW w:w="400" w:type="dxa"/>
            <w:vAlign w:val="bottom"/>
            <w:tcBorders>
              <w:bottom w:val="single" w:sz="8" w:color="51555C"/>
            </w:tcBorders>
          </w:tcPr>
          <w:p>
            <w:pPr>
              <w:spacing w:after="0"/>
              <w:rPr>
                <w:sz w:val="20"/>
                <w:szCs w:val="20"/>
                <w:color w:val="auto"/>
              </w:rPr>
            </w:pPr>
          </w:p>
        </w:tc>
        <w:tc>
          <w:tcPr>
            <w:tcW w:w="12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374,499</w:t>
            </w:r>
          </w:p>
        </w:tc>
        <w:tc>
          <w:tcPr>
            <w:tcW w:w="20" w:type="dxa"/>
            <w:vAlign w:val="bottom"/>
          </w:tcPr>
          <w:p>
            <w:pPr>
              <w:spacing w:after="0"/>
              <w:rPr>
                <w:sz w:val="20"/>
                <w:szCs w:val="20"/>
                <w:color w:val="auto"/>
              </w:rPr>
            </w:pPr>
          </w:p>
        </w:tc>
      </w:tr>
      <w:tr>
        <w:trPr>
          <w:trHeight w:val="243"/>
        </w:trPr>
        <w:tc>
          <w:tcPr>
            <w:tcW w:w="7920" w:type="dxa"/>
            <w:vAlign w:val="bottom"/>
            <w:shd w:val="clear" w:color="auto" w:fill="EBFBFF"/>
          </w:tcPr>
          <w:p>
            <w:pPr>
              <w:ind w:left="660"/>
              <w:spacing w:after="0"/>
              <w:rPr>
                <w:sz w:val="20"/>
                <w:szCs w:val="20"/>
                <w:color w:val="auto"/>
              </w:rPr>
            </w:pPr>
            <w:r>
              <w:rPr>
                <w:rFonts w:ascii="Arial" w:cs="Arial" w:eastAsia="Arial" w:hAnsi="Arial"/>
                <w:sz w:val="16"/>
                <w:szCs w:val="16"/>
                <w:color w:val="51555C"/>
              </w:rPr>
              <w:t>Total current liabilities</w:t>
            </w:r>
          </w:p>
        </w:tc>
        <w:tc>
          <w:tcPr>
            <w:tcW w:w="360" w:type="dxa"/>
            <w:vAlign w:val="bottom"/>
            <w:shd w:val="clear" w:color="auto" w:fill="EBFBFF"/>
          </w:tcPr>
          <w:p>
            <w:pPr>
              <w:spacing w:after="0"/>
              <w:rPr>
                <w:sz w:val="21"/>
                <w:szCs w:val="21"/>
                <w:color w:val="auto"/>
              </w:rPr>
            </w:pPr>
          </w:p>
        </w:tc>
        <w:tc>
          <w:tcPr>
            <w:tcW w:w="12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871,022</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1,109,632</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51555C"/>
              </w:rPr>
              <w:t>Debt, net of current portion</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51555C"/>
              </w:rPr>
              <w:t>835,881</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937,483</w:t>
            </w:r>
          </w:p>
        </w:tc>
        <w:tc>
          <w:tcPr>
            <w:tcW w:w="20" w:type="dxa"/>
            <w:vAlign w:val="bottom"/>
          </w:tcPr>
          <w:p>
            <w:pPr>
              <w:spacing w:after="0"/>
              <w:rPr>
                <w:sz w:val="20"/>
                <w:szCs w:val="20"/>
                <w:color w:val="auto"/>
              </w:rPr>
            </w:pPr>
          </w:p>
        </w:tc>
      </w:tr>
      <w:tr>
        <w:trPr>
          <w:trHeight w:val="253"/>
        </w:trPr>
        <w:tc>
          <w:tcPr>
            <w:tcW w:w="79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Deferred tax liability</w:t>
            </w:r>
          </w:p>
        </w:tc>
        <w:tc>
          <w:tcPr>
            <w:tcW w:w="360" w:type="dxa"/>
            <w:vAlign w:val="bottom"/>
            <w:shd w:val="clear" w:color="auto" w:fill="EBFBFF"/>
          </w:tcPr>
          <w:p>
            <w:pPr>
              <w:spacing w:after="0"/>
              <w:rPr>
                <w:sz w:val="21"/>
                <w:szCs w:val="21"/>
                <w:color w:val="auto"/>
              </w:rPr>
            </w:pPr>
          </w:p>
        </w:tc>
        <w:tc>
          <w:tcPr>
            <w:tcW w:w="12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131,773</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148,465</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51555C"/>
              </w:rPr>
              <w:t>Deferred revenue, net of current portion</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51555C"/>
              </w:rPr>
              <w:t>2,920</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4,247</w:t>
            </w:r>
          </w:p>
        </w:tc>
        <w:tc>
          <w:tcPr>
            <w:tcW w:w="20" w:type="dxa"/>
            <w:vAlign w:val="bottom"/>
          </w:tcPr>
          <w:p>
            <w:pPr>
              <w:spacing w:after="0"/>
              <w:rPr>
                <w:sz w:val="20"/>
                <w:szCs w:val="20"/>
                <w:color w:val="auto"/>
              </w:rPr>
            </w:pPr>
          </w:p>
        </w:tc>
      </w:tr>
      <w:tr>
        <w:trPr>
          <w:trHeight w:val="253"/>
        </w:trPr>
        <w:tc>
          <w:tcPr>
            <w:tcW w:w="79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Operating lease liabilities, net of current portion</w:t>
            </w:r>
          </w:p>
        </w:tc>
        <w:tc>
          <w:tcPr>
            <w:tcW w:w="360" w:type="dxa"/>
            <w:vAlign w:val="bottom"/>
            <w:shd w:val="clear" w:color="auto" w:fill="EBFBFF"/>
          </w:tcPr>
          <w:p>
            <w:pPr>
              <w:spacing w:after="0"/>
              <w:rPr>
                <w:sz w:val="21"/>
                <w:szCs w:val="21"/>
                <w:color w:val="auto"/>
              </w:rPr>
            </w:pPr>
          </w:p>
        </w:tc>
        <w:tc>
          <w:tcPr>
            <w:tcW w:w="12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46,400</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53,386</w:t>
            </w:r>
          </w:p>
        </w:tc>
        <w:tc>
          <w:tcPr>
            <w:tcW w:w="20" w:type="dxa"/>
            <w:vAlign w:val="bottom"/>
          </w:tcPr>
          <w:p>
            <w:pPr>
              <w:spacing w:after="0"/>
              <w:rPr>
                <w:sz w:val="21"/>
                <w:szCs w:val="21"/>
                <w:color w:val="auto"/>
              </w:rPr>
            </w:pPr>
          </w:p>
        </w:tc>
      </w:tr>
      <w:tr>
        <w:trPr>
          <w:trHeight w:val="236"/>
        </w:trPr>
        <w:tc>
          <w:tcPr>
            <w:tcW w:w="7920" w:type="dxa"/>
            <w:vAlign w:val="bottom"/>
            <w:tcBorders>
              <w:bottom w:val="single" w:sz="8" w:color="EBFBFF"/>
            </w:tcBorders>
          </w:tcPr>
          <w:p>
            <w:pPr>
              <w:ind w:left="240"/>
              <w:spacing w:after="0"/>
              <w:rPr>
                <w:sz w:val="20"/>
                <w:szCs w:val="20"/>
                <w:color w:val="auto"/>
              </w:rPr>
            </w:pPr>
            <w:r>
              <w:rPr>
                <w:rFonts w:ascii="Arial" w:cs="Arial" w:eastAsia="Arial" w:hAnsi="Arial"/>
                <w:sz w:val="16"/>
                <w:szCs w:val="16"/>
                <w:color w:val="51555C"/>
              </w:rPr>
              <w:t>Other liabilities</w:t>
            </w:r>
          </w:p>
        </w:tc>
        <w:tc>
          <w:tcPr>
            <w:tcW w:w="360" w:type="dxa"/>
            <w:vAlign w:val="bottom"/>
            <w:tcBorders>
              <w:bottom w:val="single" w:sz="8" w:color="51555C"/>
            </w:tcBorders>
          </w:tcPr>
          <w:p>
            <w:pPr>
              <w:spacing w:after="0"/>
              <w:rPr>
                <w:sz w:val="20"/>
                <w:szCs w:val="20"/>
                <w:color w:val="auto"/>
              </w:rPr>
            </w:pPr>
          </w:p>
        </w:tc>
        <w:tc>
          <w:tcPr>
            <w:tcW w:w="12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5,775</w:t>
            </w:r>
          </w:p>
        </w:tc>
        <w:tc>
          <w:tcPr>
            <w:tcW w:w="400" w:type="dxa"/>
            <w:vAlign w:val="bottom"/>
            <w:tcBorders>
              <w:bottom w:val="single" w:sz="8" w:color="51555C"/>
            </w:tcBorders>
          </w:tcPr>
          <w:p>
            <w:pPr>
              <w:spacing w:after="0"/>
              <w:rPr>
                <w:sz w:val="20"/>
                <w:szCs w:val="20"/>
                <w:color w:val="auto"/>
              </w:rPr>
            </w:pPr>
          </w:p>
        </w:tc>
        <w:tc>
          <w:tcPr>
            <w:tcW w:w="12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1,344</w:t>
            </w:r>
          </w:p>
        </w:tc>
        <w:tc>
          <w:tcPr>
            <w:tcW w:w="20" w:type="dxa"/>
            <w:vAlign w:val="bottom"/>
          </w:tcPr>
          <w:p>
            <w:pPr>
              <w:spacing w:after="0"/>
              <w:rPr>
                <w:sz w:val="20"/>
                <w:szCs w:val="20"/>
                <w:color w:val="auto"/>
              </w:rPr>
            </w:pPr>
          </w:p>
        </w:tc>
      </w:tr>
      <w:tr>
        <w:trPr>
          <w:trHeight w:val="243"/>
        </w:trPr>
        <w:tc>
          <w:tcPr>
            <w:tcW w:w="7920" w:type="dxa"/>
            <w:vAlign w:val="bottom"/>
            <w:shd w:val="clear" w:color="auto" w:fill="EBFBFF"/>
          </w:tcPr>
          <w:p>
            <w:pPr>
              <w:ind w:left="880"/>
              <w:spacing w:after="0"/>
              <w:rPr>
                <w:sz w:val="20"/>
                <w:szCs w:val="20"/>
                <w:color w:val="auto"/>
              </w:rPr>
            </w:pPr>
            <w:r>
              <w:rPr>
                <w:rFonts w:ascii="Arial" w:cs="Arial" w:eastAsia="Arial" w:hAnsi="Arial"/>
                <w:sz w:val="16"/>
                <w:szCs w:val="16"/>
                <w:b w:val="1"/>
                <w:bCs w:val="1"/>
                <w:color w:val="51555C"/>
              </w:rPr>
              <w:t>Total liabilities</w:t>
            </w:r>
          </w:p>
        </w:tc>
        <w:tc>
          <w:tcPr>
            <w:tcW w:w="360" w:type="dxa"/>
            <w:vAlign w:val="bottom"/>
            <w:tcBorders>
              <w:bottom w:val="single" w:sz="8" w:color="51555C"/>
            </w:tcBorders>
            <w:shd w:val="clear" w:color="auto" w:fill="EBFBFF"/>
          </w:tcPr>
          <w:p>
            <w:pPr>
              <w:spacing w:after="0"/>
              <w:rPr>
                <w:sz w:val="21"/>
                <w:szCs w:val="21"/>
                <w:color w:val="auto"/>
              </w:rPr>
            </w:pPr>
          </w:p>
        </w:tc>
        <w:tc>
          <w:tcPr>
            <w:tcW w:w="12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1,893,771</w:t>
            </w:r>
          </w:p>
        </w:tc>
        <w:tc>
          <w:tcPr>
            <w:tcW w:w="400" w:type="dxa"/>
            <w:vAlign w:val="bottom"/>
            <w:tcBorders>
              <w:bottom w:val="single" w:sz="8" w:color="51555C"/>
            </w:tcBorders>
            <w:shd w:val="clear" w:color="auto" w:fill="EBFBFF"/>
          </w:tcPr>
          <w:p>
            <w:pPr>
              <w:spacing w:after="0"/>
              <w:rPr>
                <w:sz w:val="21"/>
                <w:szCs w:val="21"/>
                <w:color w:val="auto"/>
              </w:rPr>
            </w:pPr>
          </w:p>
        </w:tc>
        <w:tc>
          <w:tcPr>
            <w:tcW w:w="12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2,254,557</w:t>
            </w:r>
          </w:p>
        </w:tc>
        <w:tc>
          <w:tcPr>
            <w:tcW w:w="20" w:type="dxa"/>
            <w:vAlign w:val="bottom"/>
          </w:tcPr>
          <w:p>
            <w:pPr>
              <w:spacing w:after="0"/>
              <w:rPr>
                <w:sz w:val="21"/>
                <w:szCs w:val="21"/>
                <w:color w:val="auto"/>
              </w:rPr>
            </w:pPr>
          </w:p>
        </w:tc>
      </w:tr>
      <w:tr>
        <w:trPr>
          <w:trHeight w:val="213"/>
        </w:trPr>
        <w:tc>
          <w:tcPr>
            <w:tcW w:w="7920" w:type="dxa"/>
            <w:vAlign w:val="bottom"/>
          </w:tcPr>
          <w:p>
            <w:pPr>
              <w:ind w:left="240"/>
              <w:spacing w:after="0"/>
              <w:rPr>
                <w:sz w:val="20"/>
                <w:szCs w:val="20"/>
                <w:color w:val="auto"/>
              </w:rPr>
            </w:pPr>
            <w:r>
              <w:rPr>
                <w:rFonts w:ascii="Arial" w:cs="Arial" w:eastAsia="Arial" w:hAnsi="Arial"/>
                <w:sz w:val="16"/>
                <w:szCs w:val="16"/>
                <w:color w:val="51555C"/>
              </w:rPr>
              <w:t>Commitments and contingencies (see Note 10)</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3"/>
        </w:trPr>
        <w:tc>
          <w:tcPr>
            <w:tcW w:w="79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Stockholders’ equity:</w:t>
            </w:r>
          </w:p>
        </w:tc>
        <w:tc>
          <w:tcPr>
            <w:tcW w:w="360" w:type="dxa"/>
            <w:vAlign w:val="bottom"/>
            <w:shd w:val="clear" w:color="auto" w:fill="EBFBFF"/>
          </w:tcPr>
          <w:p>
            <w:pPr>
              <w:spacing w:after="0"/>
              <w:rPr>
                <w:sz w:val="21"/>
                <w:szCs w:val="21"/>
                <w:color w:val="auto"/>
              </w:rPr>
            </w:pPr>
          </w:p>
        </w:tc>
        <w:tc>
          <w:tcPr>
            <w:tcW w:w="1280" w:type="dxa"/>
            <w:vAlign w:val="bottom"/>
            <w:shd w:val="clear" w:color="auto" w:fill="EBFBFF"/>
          </w:tcPr>
          <w:p>
            <w:pPr>
              <w:spacing w:after="0"/>
              <w:rPr>
                <w:sz w:val="21"/>
                <w:szCs w:val="21"/>
                <w:color w:val="auto"/>
              </w:rPr>
            </w:pP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51555C"/>
              </w:rPr>
              <w:t>Preferred stock; 20,000,000 shares authorized, none outstanding</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0"/>
                <w:szCs w:val="20"/>
                <w:color w:val="auto"/>
              </w:rPr>
            </w:pPr>
          </w:p>
        </w:tc>
      </w:tr>
      <w:tr>
        <w:trPr>
          <w:trHeight w:val="233"/>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Common stock, $0.001 par value; 180,000,000 shares authorized, 67,830,914 and 66,165,666 shares</w:t>
            </w:r>
          </w:p>
        </w:tc>
        <w:tc>
          <w:tcPr>
            <w:tcW w:w="360" w:type="dxa"/>
            <w:vAlign w:val="bottom"/>
            <w:shd w:val="clear" w:color="auto" w:fill="EBFBFF"/>
          </w:tcPr>
          <w:p>
            <w:pPr>
              <w:spacing w:after="0"/>
              <w:rPr>
                <w:sz w:val="20"/>
                <w:szCs w:val="20"/>
                <w:color w:val="auto"/>
              </w:rPr>
            </w:pPr>
          </w:p>
        </w:tc>
        <w:tc>
          <w:tcPr>
            <w:tcW w:w="1280" w:type="dxa"/>
            <w:vAlign w:val="bottom"/>
            <w:shd w:val="clear" w:color="auto" w:fill="EBFBFF"/>
          </w:tcPr>
          <w:p>
            <w:pPr>
              <w:spacing w:after="0"/>
              <w:rPr>
                <w:sz w:val="20"/>
                <w:szCs w:val="20"/>
                <w:color w:val="auto"/>
              </w:rPr>
            </w:pPr>
          </w:p>
        </w:tc>
        <w:tc>
          <w:tcPr>
            <w:tcW w:w="400" w:type="dxa"/>
            <w:vAlign w:val="bottom"/>
            <w:shd w:val="clear" w:color="auto" w:fill="EBFBFF"/>
          </w:tcPr>
          <w:p>
            <w:pPr>
              <w:spacing w:after="0"/>
              <w:rPr>
                <w:sz w:val="20"/>
                <w:szCs w:val="20"/>
                <w:color w:val="auto"/>
              </w:rPr>
            </w:pPr>
          </w:p>
        </w:tc>
        <w:tc>
          <w:tcPr>
            <w:tcW w:w="1240" w:type="dxa"/>
            <w:vAlign w:val="bottom"/>
            <w:shd w:val="clear" w:color="auto" w:fill="EBFBFF"/>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issued at September 30, 2022 and December 31, 2021, respectively</w:t>
            </w:r>
          </w:p>
        </w:tc>
        <w:tc>
          <w:tcPr>
            <w:tcW w:w="360" w:type="dxa"/>
            <w:vAlign w:val="bottom"/>
            <w:shd w:val="clear" w:color="auto" w:fill="EBFBFF"/>
          </w:tcPr>
          <w:p>
            <w:pPr>
              <w:spacing w:after="0"/>
              <w:rPr>
                <w:sz w:val="19"/>
                <w:szCs w:val="19"/>
                <w:color w:val="auto"/>
              </w:rPr>
            </w:pPr>
          </w:p>
        </w:tc>
        <w:tc>
          <w:tcPr>
            <w:tcW w:w="12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68</w:t>
            </w:r>
          </w:p>
        </w:tc>
        <w:tc>
          <w:tcPr>
            <w:tcW w:w="400" w:type="dxa"/>
            <w:vAlign w:val="bottom"/>
            <w:shd w:val="clear" w:color="auto" w:fill="EBFBFF"/>
          </w:tcPr>
          <w:p>
            <w:pPr>
              <w:spacing w:after="0"/>
              <w:rPr>
                <w:sz w:val="19"/>
                <w:szCs w:val="19"/>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66</w:t>
            </w:r>
          </w:p>
        </w:tc>
        <w:tc>
          <w:tcPr>
            <w:tcW w:w="20" w:type="dxa"/>
            <w:vAlign w:val="bottom"/>
          </w:tcPr>
          <w:p>
            <w:pPr>
              <w:spacing w:after="0"/>
              <w:rPr>
                <w:sz w:val="19"/>
                <w:szCs w:val="19"/>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51555C"/>
              </w:rPr>
              <w:t>Additional paid-in capital</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51555C"/>
              </w:rPr>
              <w:t>1,048,688</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968,927</w:t>
            </w:r>
          </w:p>
        </w:tc>
        <w:tc>
          <w:tcPr>
            <w:tcW w:w="20" w:type="dxa"/>
            <w:vAlign w:val="bottom"/>
          </w:tcPr>
          <w:p>
            <w:pPr>
              <w:spacing w:after="0"/>
              <w:rPr>
                <w:sz w:val="20"/>
                <w:szCs w:val="20"/>
                <w:color w:val="auto"/>
              </w:rPr>
            </w:pPr>
          </w:p>
        </w:tc>
      </w:tr>
      <w:tr>
        <w:trPr>
          <w:trHeight w:val="233"/>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Treasury stock, at cost; 14,739,744 and 14,182,805 shares at September 30, 2022 and December 31,</w:t>
            </w:r>
          </w:p>
        </w:tc>
        <w:tc>
          <w:tcPr>
            <w:tcW w:w="360" w:type="dxa"/>
            <w:vAlign w:val="bottom"/>
            <w:shd w:val="clear" w:color="auto" w:fill="EBFBFF"/>
          </w:tcPr>
          <w:p>
            <w:pPr>
              <w:spacing w:after="0"/>
              <w:rPr>
                <w:sz w:val="20"/>
                <w:szCs w:val="20"/>
                <w:color w:val="auto"/>
              </w:rPr>
            </w:pPr>
          </w:p>
        </w:tc>
        <w:tc>
          <w:tcPr>
            <w:tcW w:w="1280" w:type="dxa"/>
            <w:vAlign w:val="bottom"/>
            <w:shd w:val="clear" w:color="auto" w:fill="EBFBFF"/>
          </w:tcPr>
          <w:p>
            <w:pPr>
              <w:spacing w:after="0"/>
              <w:rPr>
                <w:sz w:val="20"/>
                <w:szCs w:val="20"/>
                <w:color w:val="auto"/>
              </w:rPr>
            </w:pPr>
          </w:p>
        </w:tc>
        <w:tc>
          <w:tcPr>
            <w:tcW w:w="400" w:type="dxa"/>
            <w:vAlign w:val="bottom"/>
            <w:shd w:val="clear" w:color="auto" w:fill="EBFBFF"/>
          </w:tcPr>
          <w:p>
            <w:pPr>
              <w:spacing w:after="0"/>
              <w:rPr>
                <w:sz w:val="20"/>
                <w:szCs w:val="20"/>
                <w:color w:val="auto"/>
              </w:rPr>
            </w:pPr>
          </w:p>
        </w:tc>
        <w:tc>
          <w:tcPr>
            <w:tcW w:w="1240" w:type="dxa"/>
            <w:vAlign w:val="bottom"/>
            <w:shd w:val="clear" w:color="auto" w:fill="EBFBFF"/>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2021, respectively</w:t>
            </w:r>
          </w:p>
        </w:tc>
        <w:tc>
          <w:tcPr>
            <w:tcW w:w="360" w:type="dxa"/>
            <w:vAlign w:val="bottom"/>
            <w:shd w:val="clear" w:color="auto" w:fill="EBFBFF"/>
          </w:tcPr>
          <w:p>
            <w:pPr>
              <w:spacing w:after="0"/>
              <w:rPr>
                <w:sz w:val="19"/>
                <w:szCs w:val="19"/>
                <w:color w:val="auto"/>
              </w:rPr>
            </w:pPr>
          </w:p>
        </w:tc>
        <w:tc>
          <w:tcPr>
            <w:tcW w:w="12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(536,968)</w:t>
            </w:r>
          </w:p>
        </w:tc>
        <w:tc>
          <w:tcPr>
            <w:tcW w:w="400" w:type="dxa"/>
            <w:vAlign w:val="bottom"/>
            <w:shd w:val="clear" w:color="auto" w:fill="EBFBFF"/>
          </w:tcPr>
          <w:p>
            <w:pPr>
              <w:spacing w:after="0"/>
              <w:rPr>
                <w:sz w:val="19"/>
                <w:szCs w:val="19"/>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(500,911)</w:t>
            </w:r>
          </w:p>
        </w:tc>
        <w:tc>
          <w:tcPr>
            <w:tcW w:w="20" w:type="dxa"/>
            <w:vAlign w:val="bottom"/>
          </w:tcPr>
          <w:p>
            <w:pPr>
              <w:spacing w:after="0"/>
              <w:rPr>
                <w:sz w:val="19"/>
                <w:szCs w:val="19"/>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51555C"/>
              </w:rPr>
              <w:t>Accumulated other comprehensive income</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51555C"/>
              </w:rPr>
              <w:t>2,716</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6,522</w:t>
            </w:r>
          </w:p>
        </w:tc>
        <w:tc>
          <w:tcPr>
            <w:tcW w:w="20" w:type="dxa"/>
            <w:vAlign w:val="bottom"/>
          </w:tcPr>
          <w:p>
            <w:pPr>
              <w:spacing w:after="0"/>
              <w:rPr>
                <w:sz w:val="20"/>
                <w:szCs w:val="20"/>
                <w:color w:val="auto"/>
              </w:rPr>
            </w:pPr>
          </w:p>
        </w:tc>
      </w:tr>
      <w:tr>
        <w:trPr>
          <w:trHeight w:val="253"/>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Retained earnings</w:t>
            </w:r>
          </w:p>
        </w:tc>
        <w:tc>
          <w:tcPr>
            <w:tcW w:w="360" w:type="dxa"/>
            <w:vAlign w:val="bottom"/>
            <w:tcBorders>
              <w:bottom w:val="single" w:sz="8" w:color="51555C"/>
            </w:tcBorders>
            <w:shd w:val="clear" w:color="auto" w:fill="EBFBFF"/>
          </w:tcPr>
          <w:p>
            <w:pPr>
              <w:spacing w:after="0"/>
              <w:rPr>
                <w:sz w:val="21"/>
                <w:szCs w:val="21"/>
                <w:color w:val="auto"/>
              </w:rPr>
            </w:pPr>
          </w:p>
        </w:tc>
        <w:tc>
          <w:tcPr>
            <w:tcW w:w="12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218,308</w:t>
            </w:r>
          </w:p>
        </w:tc>
        <w:tc>
          <w:tcPr>
            <w:tcW w:w="400" w:type="dxa"/>
            <w:vAlign w:val="bottom"/>
            <w:tcBorders>
              <w:bottom w:val="single" w:sz="8" w:color="51555C"/>
            </w:tcBorders>
            <w:shd w:val="clear" w:color="auto" w:fill="EBFBFF"/>
          </w:tcPr>
          <w:p>
            <w:pPr>
              <w:spacing w:after="0"/>
              <w:rPr>
                <w:sz w:val="21"/>
                <w:szCs w:val="21"/>
                <w:color w:val="auto"/>
              </w:rPr>
            </w:pPr>
          </w:p>
        </w:tc>
        <w:tc>
          <w:tcPr>
            <w:tcW w:w="12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242,456</w:t>
            </w:r>
          </w:p>
        </w:tc>
        <w:tc>
          <w:tcPr>
            <w:tcW w:w="20" w:type="dxa"/>
            <w:vAlign w:val="bottom"/>
          </w:tcPr>
          <w:p>
            <w:pPr>
              <w:spacing w:after="0"/>
              <w:rPr>
                <w:sz w:val="21"/>
                <w:szCs w:val="21"/>
                <w:color w:val="auto"/>
              </w:rPr>
            </w:pPr>
          </w:p>
        </w:tc>
      </w:tr>
      <w:tr>
        <w:trPr>
          <w:trHeight w:val="230"/>
        </w:trPr>
        <w:tc>
          <w:tcPr>
            <w:tcW w:w="7920" w:type="dxa"/>
            <w:vAlign w:val="bottom"/>
            <w:tcBorders>
              <w:bottom w:val="single" w:sz="8" w:color="EBFBFF"/>
            </w:tcBorders>
          </w:tcPr>
          <w:p>
            <w:pPr>
              <w:ind w:left="880"/>
              <w:spacing w:after="0"/>
              <w:rPr>
                <w:sz w:val="20"/>
                <w:szCs w:val="20"/>
                <w:color w:val="auto"/>
              </w:rPr>
            </w:pPr>
            <w:r>
              <w:rPr>
                <w:rFonts w:ascii="Arial" w:cs="Arial" w:eastAsia="Arial" w:hAnsi="Arial"/>
                <w:sz w:val="16"/>
                <w:szCs w:val="16"/>
                <w:b w:val="1"/>
                <w:bCs w:val="1"/>
                <w:color w:val="51555C"/>
              </w:rPr>
              <w:t>Total stockholders’ equity</w:t>
            </w:r>
          </w:p>
        </w:tc>
        <w:tc>
          <w:tcPr>
            <w:tcW w:w="360" w:type="dxa"/>
            <w:vAlign w:val="bottom"/>
            <w:tcBorders>
              <w:bottom w:val="single" w:sz="8" w:color="51555C"/>
            </w:tcBorders>
          </w:tcPr>
          <w:p>
            <w:pPr>
              <w:spacing w:after="0"/>
              <w:rPr>
                <w:sz w:val="20"/>
                <w:szCs w:val="20"/>
                <w:color w:val="auto"/>
              </w:rPr>
            </w:pPr>
          </w:p>
        </w:tc>
        <w:tc>
          <w:tcPr>
            <w:tcW w:w="12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732,812</w:t>
            </w:r>
          </w:p>
        </w:tc>
        <w:tc>
          <w:tcPr>
            <w:tcW w:w="400" w:type="dxa"/>
            <w:vAlign w:val="bottom"/>
            <w:tcBorders>
              <w:bottom w:val="single" w:sz="8" w:color="51555C"/>
            </w:tcBorders>
          </w:tcPr>
          <w:p>
            <w:pPr>
              <w:spacing w:after="0"/>
              <w:rPr>
                <w:sz w:val="20"/>
                <w:szCs w:val="20"/>
                <w:color w:val="auto"/>
              </w:rPr>
            </w:pPr>
          </w:p>
        </w:tc>
        <w:tc>
          <w:tcPr>
            <w:tcW w:w="12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717,060</w:t>
            </w:r>
          </w:p>
        </w:tc>
        <w:tc>
          <w:tcPr>
            <w:tcW w:w="20" w:type="dxa"/>
            <w:vAlign w:val="bottom"/>
          </w:tcPr>
          <w:p>
            <w:pPr>
              <w:spacing w:after="0"/>
              <w:rPr>
                <w:sz w:val="20"/>
                <w:szCs w:val="20"/>
                <w:color w:val="auto"/>
              </w:rPr>
            </w:pPr>
          </w:p>
        </w:tc>
      </w:tr>
      <w:tr>
        <w:trPr>
          <w:trHeight w:val="237"/>
        </w:trPr>
        <w:tc>
          <w:tcPr>
            <w:tcW w:w="7920" w:type="dxa"/>
            <w:vAlign w:val="bottom"/>
            <w:tcBorders>
              <w:bottom w:val="single" w:sz="8" w:color="0CD973"/>
            </w:tcBorders>
            <w:shd w:val="clear" w:color="auto" w:fill="EBFBFF"/>
          </w:tcPr>
          <w:p>
            <w:pPr>
              <w:ind w:left="880"/>
              <w:spacing w:after="0"/>
              <w:rPr>
                <w:sz w:val="20"/>
                <w:szCs w:val="20"/>
                <w:color w:val="auto"/>
              </w:rPr>
            </w:pPr>
            <w:r>
              <w:rPr>
                <w:rFonts w:ascii="Arial" w:cs="Arial" w:eastAsia="Arial" w:hAnsi="Arial"/>
                <w:sz w:val="16"/>
                <w:szCs w:val="16"/>
                <w:b w:val="1"/>
                <w:bCs w:val="1"/>
                <w:color w:val="51555C"/>
              </w:rPr>
              <w:t>Total liabilities and stockholders’ equity</w:t>
            </w:r>
          </w:p>
        </w:tc>
        <w:tc>
          <w:tcPr>
            <w:tcW w:w="360" w:type="dxa"/>
            <w:vAlign w:val="bottom"/>
            <w:tcBorders>
              <w:bottom w:val="single" w:sz="8" w:color="0CD973"/>
            </w:tcBorders>
            <w:shd w:val="clear" w:color="auto" w:fill="EBFBFF"/>
          </w:tcPr>
          <w:p>
            <w:pPr>
              <w:jc w:val="right"/>
              <w:ind w:right="179"/>
              <w:spacing w:after="0"/>
              <w:rPr>
                <w:sz w:val="20"/>
                <w:szCs w:val="20"/>
                <w:color w:val="auto"/>
              </w:rPr>
            </w:pPr>
            <w:r>
              <w:rPr>
                <w:rFonts w:ascii="Arial" w:cs="Arial" w:eastAsia="Arial" w:hAnsi="Arial"/>
                <w:sz w:val="16"/>
                <w:szCs w:val="16"/>
                <w:color w:val="51555C"/>
                <w:w w:val="89"/>
              </w:rPr>
              <w:t>$</w:t>
            </w:r>
          </w:p>
        </w:tc>
        <w:tc>
          <w:tcPr>
            <w:tcW w:w="12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2,626,583</w:t>
            </w:r>
          </w:p>
        </w:tc>
        <w:tc>
          <w:tcPr>
            <w:tcW w:w="400" w:type="dxa"/>
            <w:vAlign w:val="bottom"/>
            <w:tcBorders>
              <w:bottom w:val="single" w:sz="8" w:color="0CD973"/>
            </w:tcBorders>
            <w:shd w:val="clear" w:color="auto" w:fill="EBFBFF"/>
          </w:tcPr>
          <w:p>
            <w:pPr>
              <w:jc w:val="right"/>
              <w:ind w:right="219"/>
              <w:spacing w:after="0"/>
              <w:rPr>
                <w:sz w:val="20"/>
                <w:szCs w:val="20"/>
                <w:color w:val="auto"/>
              </w:rPr>
            </w:pPr>
            <w:r>
              <w:rPr>
                <w:rFonts w:ascii="Arial" w:cs="Arial" w:eastAsia="Arial" w:hAnsi="Arial"/>
                <w:sz w:val="16"/>
                <w:szCs w:val="16"/>
                <w:color w:val="51555C"/>
                <w:w w:val="89"/>
              </w:rPr>
              <w:t>$</w:t>
            </w:r>
          </w:p>
        </w:tc>
        <w:tc>
          <w:tcPr>
            <w:tcW w:w="12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2,971,617</w:t>
            </w:r>
          </w:p>
        </w:tc>
        <w:tc>
          <w:tcPr>
            <w:tcW w:w="20" w:type="dxa"/>
            <w:vAlign w:val="bottom"/>
          </w:tcPr>
          <w:p>
            <w:pPr>
              <w:spacing w:after="0"/>
              <w:rPr>
                <w:sz w:val="20"/>
                <w:szCs w:val="20"/>
                <w:color w:val="auto"/>
              </w:rPr>
            </w:pPr>
          </w:p>
        </w:tc>
      </w:tr>
    </w:tbl>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51555C"/>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302260</wp:posOffset>
            </wp:positionV>
            <wp:extent cx="67691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880" w:type="dxa"/>
            <w:vAlign w:val="bottom"/>
          </w:tcPr>
          <w:p>
            <w:pPr>
              <w:jc w:val="right"/>
              <w:spacing w:after="0"/>
              <w:rPr>
                <w:sz w:val="20"/>
                <w:szCs w:val="20"/>
                <w:color w:val="auto"/>
              </w:rPr>
            </w:pPr>
            <w:r>
              <w:rPr>
                <w:rFonts w:ascii="Arial" w:cs="Arial" w:eastAsia="Arial" w:hAnsi="Arial"/>
                <w:sz w:val="14"/>
                <w:szCs w:val="14"/>
                <w:color w:val="51555C"/>
              </w:rPr>
              <w:t>3</w:t>
            </w:r>
          </w:p>
        </w:tc>
      </w:tr>
      <w:tr>
        <w:trPr>
          <w:trHeight w:val="329"/>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4" w:name="page5"/>
    <w:bookmarkEnd w:id="4"/>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Condensed Consolidated Statements of Comprehensive (Loss)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00" w:type="dxa"/>
            <w:vAlign w:val="bottom"/>
            <w:tcBorders>
              <w:top w:val="single" w:sz="8" w:color="004054"/>
            </w:tcBorders>
            <w:shd w:val="clear" w:color="auto" w:fill="004054"/>
          </w:tcPr>
          <w:p>
            <w:pPr>
              <w:spacing w:after="0"/>
              <w:rPr>
                <w:sz w:val="17"/>
                <w:szCs w:val="17"/>
                <w:color w:val="auto"/>
              </w:rPr>
            </w:pPr>
          </w:p>
        </w:tc>
        <w:tc>
          <w:tcPr>
            <w:tcW w:w="2620" w:type="dxa"/>
            <w:vAlign w:val="bottom"/>
            <w:tcBorders>
              <w:top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Borders>
              <w:top w:val="single" w:sz="8" w:color="004054"/>
            </w:tcBorders>
          </w:tcPr>
          <w:p>
            <w:pPr>
              <w:spacing w:after="0"/>
              <w:rPr>
                <w:sz w:val="17"/>
                <w:szCs w:val="17"/>
                <w:color w:val="auto"/>
              </w:rPr>
            </w:pPr>
          </w:p>
        </w:tc>
        <w:tc>
          <w:tcPr>
            <w:tcW w:w="2640" w:type="dxa"/>
            <w:vAlign w:val="bottom"/>
            <w:tcBorders>
              <w:top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r>
      <w:tr>
        <w:trPr>
          <w:trHeight w:val="190"/>
        </w:trPr>
        <w:tc>
          <w:tcPr>
            <w:tcW w:w="5900" w:type="dxa"/>
            <w:vAlign w:val="bottom"/>
            <w:shd w:val="clear" w:color="auto" w:fill="004054"/>
          </w:tcPr>
          <w:p>
            <w:pPr>
              <w:spacing w:after="0"/>
              <w:rPr>
                <w:sz w:val="16"/>
                <w:szCs w:val="16"/>
                <w:color w:val="auto"/>
              </w:rPr>
            </w:pPr>
          </w:p>
        </w:tc>
        <w:tc>
          <w:tcPr>
            <w:tcW w:w="1310" w:type="dxa"/>
            <w:vAlign w:val="bottom"/>
            <w:shd w:val="clear" w:color="auto" w:fill="004054"/>
          </w:tcPr>
          <w:p>
            <w:pPr>
              <w:spacing w:after="0"/>
              <w:rPr>
                <w:sz w:val="16"/>
                <w:szCs w:val="16"/>
                <w:color w:val="auto"/>
              </w:rPr>
            </w:pPr>
          </w:p>
        </w:tc>
        <w:tc>
          <w:tcPr>
            <w:tcW w:w="131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6"/>
                <w:szCs w:val="16"/>
                <w:color w:val="auto"/>
              </w:rPr>
            </w:pPr>
          </w:p>
        </w:tc>
        <w:tc>
          <w:tcPr>
            <w:tcW w:w="1320" w:type="dxa"/>
            <w:vAlign w:val="bottom"/>
            <w:shd w:val="clear" w:color="auto" w:fill="004054"/>
          </w:tcPr>
          <w:p>
            <w:pPr>
              <w:spacing w:after="0"/>
              <w:rPr>
                <w:sz w:val="16"/>
                <w:szCs w:val="16"/>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r>
      <w:tr>
        <w:trPr>
          <w:trHeight w:val="243"/>
        </w:trPr>
        <w:tc>
          <w:tcPr>
            <w:tcW w:w="590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131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31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00" w:type="dxa"/>
            <w:vAlign w:val="bottom"/>
          </w:tcPr>
          <w:p>
            <w:pPr>
              <w:spacing w:after="0"/>
              <w:rPr>
                <w:sz w:val="21"/>
                <w:szCs w:val="21"/>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r>
      <w:tr>
        <w:trPr>
          <w:trHeight w:val="39"/>
        </w:trPr>
        <w:tc>
          <w:tcPr>
            <w:tcW w:w="5900" w:type="dxa"/>
            <w:vAlign w:val="bottom"/>
            <w:shd w:val="clear" w:color="auto" w:fill="004054"/>
          </w:tcPr>
          <w:p>
            <w:pPr>
              <w:spacing w:after="0"/>
              <w:rPr>
                <w:sz w:val="3"/>
                <w:szCs w:val="3"/>
                <w:color w:val="auto"/>
              </w:rPr>
            </w:pPr>
          </w:p>
        </w:tc>
        <w:tc>
          <w:tcPr>
            <w:tcW w:w="1310" w:type="dxa"/>
            <w:vAlign w:val="bottom"/>
            <w:shd w:val="clear" w:color="auto" w:fill="004054"/>
          </w:tcPr>
          <w:p>
            <w:pPr>
              <w:spacing w:after="0"/>
              <w:rPr>
                <w:sz w:val="3"/>
                <w:szCs w:val="3"/>
                <w:color w:val="auto"/>
              </w:rPr>
            </w:pPr>
          </w:p>
        </w:tc>
        <w:tc>
          <w:tcPr>
            <w:tcW w:w="1310" w:type="dxa"/>
            <w:vAlign w:val="bottom"/>
            <w:shd w:val="clear" w:color="auto" w:fill="004054"/>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shd w:val="clear" w:color="auto" w:fill="004054"/>
          </w:tcPr>
          <w:p>
            <w:pPr>
              <w:spacing w:after="0"/>
              <w:rPr>
                <w:sz w:val="3"/>
                <w:szCs w:val="3"/>
                <w:color w:val="auto"/>
              </w:rPr>
            </w:pPr>
          </w:p>
        </w:tc>
        <w:tc>
          <w:tcPr>
            <w:tcW w:w="1320" w:type="dxa"/>
            <w:vAlign w:val="bottom"/>
            <w:shd w:val="clear" w:color="auto" w:fill="004054"/>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-162560</wp:posOffset>
            </wp:positionV>
            <wp:extent cx="34029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51555C"/>
        </w:rPr>
        <w:t>Revenue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ind w:left="240"/>
              <w:spacing w:after="0"/>
              <w:rPr>
                <w:sz w:val="20"/>
                <w:szCs w:val="20"/>
                <w:color w:val="auto"/>
              </w:rPr>
            </w:pPr>
            <w:r>
              <w:rPr>
                <w:rFonts w:ascii="Arial" w:cs="Arial" w:eastAsia="Arial" w:hAnsi="Arial"/>
                <w:sz w:val="16"/>
                <w:szCs w:val="16"/>
                <w:color w:val="51555C"/>
              </w:rPr>
              <w:t>Recurring</w:t>
            </w: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51555C"/>
              </w:rPr>
              <w:t>249,387</w:t>
            </w:r>
          </w:p>
        </w:tc>
        <w:tc>
          <w:tcPr>
            <w:tcW w:w="280" w:type="dxa"/>
            <w:vAlign w:val="bottom"/>
          </w:tcPr>
          <w:p>
            <w:pPr>
              <w:jc w:val="right"/>
              <w:ind w:right="79"/>
              <w:spacing w:after="0"/>
              <w:rPr>
                <w:sz w:val="20"/>
                <w:szCs w:val="20"/>
                <w:color w:val="auto"/>
              </w:rPr>
            </w:pPr>
            <w:r>
              <w:rPr>
                <w:rFonts w:ascii="Arial" w:cs="Arial" w:eastAsia="Arial" w:hAnsi="Arial"/>
                <w:sz w:val="16"/>
                <w:szCs w:val="16"/>
                <w:color w:val="51555C"/>
              </w:rPr>
              <w:t>$</w:t>
            </w:r>
          </w:p>
        </w:tc>
        <w:tc>
          <w:tcPr>
            <w:tcW w:w="1040" w:type="dxa"/>
            <w:vAlign w:val="bottom"/>
          </w:tcPr>
          <w:p>
            <w:pPr>
              <w:jc w:val="right"/>
              <w:spacing w:after="0"/>
              <w:rPr>
                <w:sz w:val="20"/>
                <w:szCs w:val="20"/>
                <w:color w:val="auto"/>
              </w:rPr>
            </w:pPr>
            <w:r>
              <w:rPr>
                <w:rFonts w:ascii="Arial" w:cs="Arial" w:eastAsia="Arial" w:hAnsi="Arial"/>
                <w:sz w:val="16"/>
                <w:szCs w:val="16"/>
                <w:color w:val="51555C"/>
              </w:rPr>
              <w:t>218,530</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51555C"/>
              </w:rPr>
              <w:t>746,560</w:t>
            </w:r>
          </w:p>
        </w:tc>
        <w:tc>
          <w:tcPr>
            <w:tcW w:w="280" w:type="dxa"/>
            <w:vAlign w:val="bottom"/>
          </w:tcPr>
          <w:p>
            <w:pPr>
              <w:jc w:val="right"/>
              <w:ind w:right="79"/>
              <w:spacing w:after="0"/>
              <w:rPr>
                <w:sz w:val="20"/>
                <w:szCs w:val="20"/>
                <w:color w:val="auto"/>
              </w:rPr>
            </w:pPr>
            <w:r>
              <w:rPr>
                <w:rFonts w:ascii="Arial" w:cs="Arial" w:eastAsia="Arial" w:hAnsi="Arial"/>
                <w:sz w:val="16"/>
                <w:szCs w:val="16"/>
                <w:color w:val="51555C"/>
              </w:rPr>
              <w:t>$</w:t>
            </w:r>
          </w:p>
        </w:tc>
        <w:tc>
          <w:tcPr>
            <w:tcW w:w="1040" w:type="dxa"/>
            <w:vAlign w:val="bottom"/>
          </w:tcPr>
          <w:p>
            <w:pPr>
              <w:jc w:val="right"/>
              <w:spacing w:after="0"/>
              <w:rPr>
                <w:sz w:val="20"/>
                <w:szCs w:val="20"/>
                <w:color w:val="auto"/>
              </w:rPr>
            </w:pPr>
            <w:r>
              <w:rPr>
                <w:rFonts w:ascii="Arial" w:cs="Arial" w:eastAsia="Arial" w:hAnsi="Arial"/>
                <w:sz w:val="16"/>
                <w:szCs w:val="16"/>
                <w:color w:val="51555C"/>
              </w:rPr>
              <w:t>642,266</w:t>
            </w:r>
          </w:p>
        </w:tc>
      </w:tr>
      <w:tr>
        <w:trPr>
          <w:trHeight w:val="253"/>
        </w:trPr>
        <w:tc>
          <w:tcPr>
            <w:tcW w:w="590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One-time services and other</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11,910</w:t>
            </w:r>
          </w:p>
        </w:tc>
        <w:tc>
          <w:tcPr>
            <w:tcW w:w="28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12,688</w:t>
            </w:r>
          </w:p>
        </w:tc>
        <w:tc>
          <w:tcPr>
            <w:tcW w:w="100" w:type="dxa"/>
            <w:vAlign w:val="bottom"/>
            <w:shd w:val="clear" w:color="auto" w:fill="EBFBFF"/>
          </w:tcPr>
          <w:p>
            <w:pPr>
              <w:spacing w:after="0"/>
              <w:rPr>
                <w:sz w:val="21"/>
                <w:szCs w:val="21"/>
                <w:color w:val="auto"/>
              </w:rPr>
            </w:pP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36,788</w:t>
            </w:r>
          </w:p>
        </w:tc>
        <w:tc>
          <w:tcPr>
            <w:tcW w:w="28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37,583</w:t>
            </w:r>
          </w:p>
        </w:tc>
      </w:tr>
      <w:tr>
        <w:trPr>
          <w:trHeight w:val="227"/>
        </w:trPr>
        <w:tc>
          <w:tcPr>
            <w:tcW w:w="5900" w:type="dxa"/>
            <w:vAlign w:val="bottom"/>
          </w:tcPr>
          <w:p>
            <w:pPr>
              <w:ind w:left="460"/>
              <w:spacing w:after="0"/>
              <w:rPr>
                <w:sz w:val="20"/>
                <w:szCs w:val="20"/>
                <w:color w:val="auto"/>
              </w:rPr>
            </w:pPr>
            <w:r>
              <w:rPr>
                <w:rFonts w:ascii="Arial" w:cs="Arial" w:eastAsia="Arial" w:hAnsi="Arial"/>
                <w:sz w:val="16"/>
                <w:szCs w:val="16"/>
                <w:b w:val="1"/>
                <w:bCs w:val="1"/>
                <w:color w:val="51555C"/>
              </w:rPr>
              <w:t>Total revenue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261,297</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231,218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783,348</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679,849</w:t>
            </w:r>
          </w:p>
        </w:tc>
      </w:tr>
      <w:tr>
        <w:trPr>
          <w:trHeight w:val="253"/>
        </w:trPr>
        <w:tc>
          <w:tcPr>
            <w:tcW w:w="590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Cost of revenue</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spacing w:after="0"/>
              <w:rPr>
                <w:sz w:val="21"/>
                <w:szCs w:val="21"/>
                <w:color w:val="auto"/>
              </w:rPr>
            </w:pPr>
          </w:p>
        </w:tc>
        <w:tc>
          <w:tcPr>
            <w:tcW w:w="280" w:type="dxa"/>
            <w:vAlign w:val="bottom"/>
            <w:shd w:val="clear" w:color="auto" w:fill="EBFBFF"/>
          </w:tcPr>
          <w:p>
            <w:pPr>
              <w:spacing w:after="0"/>
              <w:rPr>
                <w:sz w:val="21"/>
                <w:szCs w:val="21"/>
                <w:color w:val="auto"/>
              </w:rPr>
            </w:pPr>
          </w:p>
        </w:tc>
        <w:tc>
          <w:tcPr>
            <w:tcW w:w="1040" w:type="dxa"/>
            <w:vAlign w:val="bottom"/>
            <w:shd w:val="clear" w:color="auto" w:fill="EBFBFF"/>
          </w:tcPr>
          <w:p>
            <w:pPr>
              <w:spacing w:after="0"/>
              <w:rPr>
                <w:sz w:val="21"/>
                <w:szCs w:val="21"/>
                <w:color w:val="auto"/>
              </w:rPr>
            </w:pPr>
          </w:p>
        </w:tc>
        <w:tc>
          <w:tcPr>
            <w:tcW w:w="10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spacing w:after="0"/>
              <w:rPr>
                <w:sz w:val="21"/>
                <w:szCs w:val="21"/>
                <w:color w:val="auto"/>
              </w:rPr>
            </w:pPr>
          </w:p>
        </w:tc>
        <w:tc>
          <w:tcPr>
            <w:tcW w:w="280" w:type="dxa"/>
            <w:vAlign w:val="bottom"/>
            <w:shd w:val="clear" w:color="auto" w:fill="EBFBFF"/>
          </w:tcPr>
          <w:p>
            <w:pPr>
              <w:spacing w:after="0"/>
              <w:rPr>
                <w:sz w:val="21"/>
                <w:szCs w:val="21"/>
                <w:color w:val="auto"/>
              </w:rPr>
            </w:pPr>
          </w:p>
        </w:tc>
        <w:tc>
          <w:tcPr>
            <w:tcW w:w="1040" w:type="dxa"/>
            <w:vAlign w:val="bottom"/>
            <w:shd w:val="clear" w:color="auto" w:fill="EBFBFF"/>
          </w:tcPr>
          <w:p>
            <w:pPr>
              <w:spacing w:after="0"/>
              <w:rPr>
                <w:sz w:val="21"/>
                <w:szCs w:val="21"/>
                <w:color w:val="auto"/>
              </w:rPr>
            </w:pP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51555C"/>
              </w:rPr>
              <w:t>Cost of recurring</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111,488</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95,823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338,149</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279,123</w:t>
            </w:r>
          </w:p>
        </w:tc>
      </w:tr>
      <w:tr>
        <w:trPr>
          <w:trHeight w:val="253"/>
        </w:trPr>
        <w:tc>
          <w:tcPr>
            <w:tcW w:w="590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Cost of one-time services and other</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9,449</w:t>
            </w:r>
          </w:p>
        </w:tc>
        <w:tc>
          <w:tcPr>
            <w:tcW w:w="28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11,858</w:t>
            </w:r>
          </w:p>
        </w:tc>
        <w:tc>
          <w:tcPr>
            <w:tcW w:w="100" w:type="dxa"/>
            <w:vAlign w:val="bottom"/>
            <w:shd w:val="clear" w:color="auto" w:fill="EBFBFF"/>
          </w:tcPr>
          <w:p>
            <w:pPr>
              <w:spacing w:after="0"/>
              <w:rPr>
                <w:sz w:val="21"/>
                <w:szCs w:val="21"/>
                <w:color w:val="auto"/>
              </w:rPr>
            </w:pP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31,757</w:t>
            </w:r>
          </w:p>
        </w:tc>
        <w:tc>
          <w:tcPr>
            <w:tcW w:w="28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40,013</w:t>
            </w:r>
          </w:p>
        </w:tc>
      </w:tr>
      <w:tr>
        <w:trPr>
          <w:trHeight w:val="230"/>
        </w:trPr>
        <w:tc>
          <w:tcPr>
            <w:tcW w:w="5900" w:type="dxa"/>
            <w:vAlign w:val="bottom"/>
            <w:tcBorders>
              <w:bottom w:val="single" w:sz="8" w:color="EBFBFF"/>
            </w:tcBorders>
          </w:tcPr>
          <w:p>
            <w:pPr>
              <w:ind w:left="460"/>
              <w:spacing w:after="0"/>
              <w:rPr>
                <w:sz w:val="20"/>
                <w:szCs w:val="20"/>
                <w:color w:val="auto"/>
              </w:rPr>
            </w:pPr>
            <w:r>
              <w:rPr>
                <w:rFonts w:ascii="Arial" w:cs="Arial" w:eastAsia="Arial" w:hAnsi="Arial"/>
                <w:sz w:val="16"/>
                <w:szCs w:val="16"/>
                <w:b w:val="1"/>
                <w:bCs w:val="1"/>
                <w:color w:val="51555C"/>
              </w:rPr>
              <w:t>Total cost of revenue</w:t>
            </w: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120,937</w:t>
            </w:r>
          </w:p>
        </w:tc>
        <w:tc>
          <w:tcPr>
            <w:tcW w:w="28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107,681</w:t>
            </w:r>
          </w:p>
        </w:tc>
        <w:tc>
          <w:tcPr>
            <w:tcW w:w="100" w:type="dxa"/>
            <w:vAlign w:val="bottom"/>
            <w:tcBorders>
              <w:bottom w:val="single" w:sz="8" w:color="EBFBFF"/>
            </w:tcBorders>
          </w:tcPr>
          <w:p>
            <w:pPr>
              <w:spacing w:after="0"/>
              <w:rPr>
                <w:sz w:val="20"/>
                <w:szCs w:val="20"/>
                <w:color w:val="auto"/>
              </w:rPr>
            </w:pP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369,906</w:t>
            </w:r>
          </w:p>
        </w:tc>
        <w:tc>
          <w:tcPr>
            <w:tcW w:w="28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319,136</w:t>
            </w:r>
          </w:p>
        </w:tc>
      </w:tr>
      <w:tr>
        <w:trPr>
          <w:trHeight w:val="243"/>
        </w:trPr>
        <w:tc>
          <w:tcPr>
            <w:tcW w:w="590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Gross profit</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140,360</w:t>
            </w:r>
          </w:p>
        </w:tc>
        <w:tc>
          <w:tcPr>
            <w:tcW w:w="28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123,537</w:t>
            </w:r>
          </w:p>
        </w:tc>
        <w:tc>
          <w:tcPr>
            <w:tcW w:w="100" w:type="dxa"/>
            <w:vAlign w:val="bottom"/>
            <w:shd w:val="clear" w:color="auto" w:fill="EBFBFF"/>
          </w:tcPr>
          <w:p>
            <w:pPr>
              <w:spacing w:after="0"/>
              <w:rPr>
                <w:sz w:val="21"/>
                <w:szCs w:val="21"/>
                <w:color w:val="auto"/>
              </w:rPr>
            </w:pP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413,442</w:t>
            </w:r>
          </w:p>
        </w:tc>
        <w:tc>
          <w:tcPr>
            <w:tcW w:w="28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360,713</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b w:val="1"/>
                <w:bCs w:val="1"/>
                <w:color w:val="51555C"/>
              </w:rPr>
              <w:t>Operating expenses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3"/>
        </w:trPr>
        <w:tc>
          <w:tcPr>
            <w:tcW w:w="590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Sales, marketing and customer success</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56,414</w:t>
            </w:r>
          </w:p>
        </w:tc>
        <w:tc>
          <w:tcPr>
            <w:tcW w:w="28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44,703</w:t>
            </w:r>
          </w:p>
        </w:tc>
        <w:tc>
          <w:tcPr>
            <w:tcW w:w="10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164,367</w:t>
            </w:r>
          </w:p>
        </w:tc>
        <w:tc>
          <w:tcPr>
            <w:tcW w:w="28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138,948</w:t>
            </w: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51555C"/>
              </w:rPr>
              <w:t>Research and development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40,451</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31,566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118,736</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90,967</w:t>
            </w:r>
          </w:p>
        </w:tc>
      </w:tr>
      <w:tr>
        <w:trPr>
          <w:trHeight w:val="253"/>
        </w:trPr>
        <w:tc>
          <w:tcPr>
            <w:tcW w:w="590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General and administrative</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49,860</w:t>
            </w:r>
          </w:p>
        </w:tc>
        <w:tc>
          <w:tcPr>
            <w:tcW w:w="28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34,733</w:t>
            </w:r>
          </w:p>
        </w:tc>
        <w:tc>
          <w:tcPr>
            <w:tcW w:w="10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141,013</w:t>
            </w:r>
          </w:p>
        </w:tc>
        <w:tc>
          <w:tcPr>
            <w:tcW w:w="28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97,328</w:t>
            </w: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51555C"/>
              </w:rPr>
              <w:t>Amortization</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647</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558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2,263</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1,674</w:t>
            </w:r>
          </w:p>
        </w:tc>
      </w:tr>
      <w:tr>
        <w:trPr>
          <w:trHeight w:val="253"/>
        </w:trPr>
        <w:tc>
          <w:tcPr>
            <w:tcW w:w="590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Restructuring</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8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131</w:t>
            </w:r>
          </w:p>
        </w:tc>
        <w:tc>
          <w:tcPr>
            <w:tcW w:w="100" w:type="dxa"/>
            <w:vAlign w:val="bottom"/>
            <w:shd w:val="clear" w:color="auto" w:fill="EBFBFF"/>
          </w:tcPr>
          <w:p>
            <w:pPr>
              <w:spacing w:after="0"/>
              <w:rPr>
                <w:sz w:val="21"/>
                <w:szCs w:val="21"/>
                <w:color w:val="auto"/>
              </w:rPr>
            </w:pP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8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263</w:t>
            </w:r>
          </w:p>
        </w:tc>
      </w:tr>
      <w:tr>
        <w:trPr>
          <w:trHeight w:val="230"/>
        </w:trPr>
        <w:tc>
          <w:tcPr>
            <w:tcW w:w="5900" w:type="dxa"/>
            <w:vAlign w:val="bottom"/>
            <w:tcBorders>
              <w:bottom w:val="single" w:sz="8" w:color="EBFBFF"/>
            </w:tcBorders>
          </w:tcPr>
          <w:p>
            <w:pPr>
              <w:ind w:left="460"/>
              <w:spacing w:after="0"/>
              <w:rPr>
                <w:sz w:val="20"/>
                <w:szCs w:val="20"/>
                <w:color w:val="auto"/>
              </w:rPr>
            </w:pPr>
            <w:r>
              <w:rPr>
                <w:rFonts w:ascii="Arial" w:cs="Arial" w:eastAsia="Arial" w:hAnsi="Arial"/>
                <w:sz w:val="16"/>
                <w:szCs w:val="16"/>
                <w:b w:val="1"/>
                <w:bCs w:val="1"/>
                <w:color w:val="51555C"/>
              </w:rPr>
              <w:t>Total operating expenses</w:t>
            </w: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147,372</w:t>
            </w:r>
          </w:p>
        </w:tc>
        <w:tc>
          <w:tcPr>
            <w:tcW w:w="28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111,691</w:t>
            </w:r>
          </w:p>
        </w:tc>
        <w:tc>
          <w:tcPr>
            <w:tcW w:w="100" w:type="dxa"/>
            <w:vAlign w:val="bottom"/>
            <w:tcBorders>
              <w:bottom w:val="single" w:sz="8" w:color="EBFBFF"/>
            </w:tcBorders>
          </w:tcPr>
          <w:p>
            <w:pPr>
              <w:spacing w:after="0"/>
              <w:rPr>
                <w:sz w:val="20"/>
                <w:szCs w:val="20"/>
                <w:color w:val="auto"/>
              </w:rPr>
            </w:pP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426,379</w:t>
            </w:r>
          </w:p>
        </w:tc>
        <w:tc>
          <w:tcPr>
            <w:tcW w:w="28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329,180</w:t>
            </w:r>
          </w:p>
        </w:tc>
      </w:tr>
      <w:tr>
        <w:trPr>
          <w:trHeight w:val="243"/>
        </w:trPr>
        <w:tc>
          <w:tcPr>
            <w:tcW w:w="590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(Loss) income from operations</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(7,012)</w:t>
            </w:r>
          </w:p>
        </w:tc>
        <w:tc>
          <w:tcPr>
            <w:tcW w:w="28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11,846</w:t>
            </w:r>
          </w:p>
        </w:tc>
        <w:tc>
          <w:tcPr>
            <w:tcW w:w="100" w:type="dxa"/>
            <w:vAlign w:val="bottom"/>
            <w:shd w:val="clear" w:color="auto" w:fill="EBFBFF"/>
          </w:tcPr>
          <w:p>
            <w:pPr>
              <w:spacing w:after="0"/>
              <w:rPr>
                <w:sz w:val="21"/>
                <w:szCs w:val="21"/>
                <w:color w:val="auto"/>
              </w:rPr>
            </w:pP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(12,937)</w:t>
            </w:r>
          </w:p>
        </w:tc>
        <w:tc>
          <w:tcPr>
            <w:tcW w:w="28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31,533</w:t>
            </w:r>
          </w:p>
        </w:tc>
      </w:tr>
      <w:tr>
        <w:trPr>
          <w:trHeight w:val="227"/>
        </w:trPr>
        <w:tc>
          <w:tcPr>
            <w:tcW w:w="5900" w:type="dxa"/>
            <w:vAlign w:val="bottom"/>
          </w:tcPr>
          <w:p>
            <w:pPr>
              <w:ind w:left="240"/>
              <w:spacing w:after="0"/>
              <w:rPr>
                <w:sz w:val="20"/>
                <w:szCs w:val="20"/>
                <w:color w:val="auto"/>
              </w:rPr>
            </w:pPr>
            <w:r>
              <w:rPr>
                <w:rFonts w:ascii="Arial" w:cs="Arial" w:eastAsia="Arial" w:hAnsi="Arial"/>
                <w:sz w:val="16"/>
                <w:szCs w:val="16"/>
                <w:color w:val="51555C"/>
              </w:rPr>
              <w:t>Interest expense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(9,337)</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(4,003)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(25,912)</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(14,171)</w:t>
            </w:r>
          </w:p>
        </w:tc>
      </w:tr>
      <w:tr>
        <w:trPr>
          <w:trHeight w:val="253"/>
        </w:trPr>
        <w:tc>
          <w:tcPr>
            <w:tcW w:w="590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Other income, net</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4,454</w:t>
            </w:r>
          </w:p>
        </w:tc>
        <w:tc>
          <w:tcPr>
            <w:tcW w:w="28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862</w:t>
            </w:r>
          </w:p>
        </w:tc>
        <w:tc>
          <w:tcPr>
            <w:tcW w:w="100" w:type="dxa"/>
            <w:vAlign w:val="bottom"/>
            <w:shd w:val="clear" w:color="auto" w:fill="EBFBFF"/>
          </w:tcPr>
          <w:p>
            <w:pPr>
              <w:spacing w:after="0"/>
              <w:rPr>
                <w:sz w:val="21"/>
                <w:szCs w:val="21"/>
                <w:color w:val="auto"/>
              </w:rPr>
            </w:pP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8,708</w:t>
            </w:r>
          </w:p>
        </w:tc>
        <w:tc>
          <w:tcPr>
            <w:tcW w:w="28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339</w:t>
            </w:r>
          </w:p>
        </w:tc>
      </w:tr>
      <w:tr>
        <w:trPr>
          <w:trHeight w:val="227"/>
        </w:trPr>
        <w:tc>
          <w:tcPr>
            <w:tcW w:w="5900" w:type="dxa"/>
            <w:vAlign w:val="bottom"/>
          </w:tcPr>
          <w:p>
            <w:pPr>
              <w:ind w:left="20"/>
              <w:spacing w:after="0"/>
              <w:rPr>
                <w:sz w:val="20"/>
                <w:szCs w:val="20"/>
                <w:color w:val="auto"/>
              </w:rPr>
            </w:pPr>
            <w:r>
              <w:rPr>
                <w:rFonts w:ascii="Arial" w:cs="Arial" w:eastAsia="Arial" w:hAnsi="Arial"/>
                <w:sz w:val="16"/>
                <w:szCs w:val="16"/>
                <w:b w:val="1"/>
                <w:bCs w:val="1"/>
                <w:color w:val="51555C"/>
              </w:rPr>
              <w:t>(Loss) income before provision for income taxes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(11,895)</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8,705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(30,141)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17,701</w:t>
            </w:r>
          </w:p>
        </w:tc>
      </w:tr>
      <w:tr>
        <w:trPr>
          <w:trHeight w:val="253"/>
        </w:trPr>
        <w:tc>
          <w:tcPr>
            <w:tcW w:w="590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Income tax (benefit) provision</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(1,576)</w:t>
            </w:r>
          </w:p>
        </w:tc>
        <w:tc>
          <w:tcPr>
            <w:tcW w:w="28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2,517</w:t>
            </w:r>
          </w:p>
        </w:tc>
        <w:tc>
          <w:tcPr>
            <w:tcW w:w="100" w:type="dxa"/>
            <w:vAlign w:val="bottom"/>
            <w:shd w:val="clear" w:color="auto" w:fill="EBFBFF"/>
          </w:tcPr>
          <w:p>
            <w:pPr>
              <w:spacing w:after="0"/>
              <w:rPr>
                <w:sz w:val="21"/>
                <w:szCs w:val="21"/>
                <w:color w:val="auto"/>
              </w:rPr>
            </w:pP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(5,993)</w:t>
            </w:r>
          </w:p>
        </w:tc>
        <w:tc>
          <w:tcPr>
            <w:tcW w:w="28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4,946</w:t>
            </w:r>
          </w:p>
        </w:tc>
      </w:tr>
      <w:tr>
        <w:trPr>
          <w:trHeight w:val="230"/>
        </w:trPr>
        <w:tc>
          <w:tcPr>
            <w:tcW w:w="5900" w:type="dxa"/>
            <w:vAlign w:val="bottom"/>
            <w:tcBorders>
              <w:bottom w:val="single" w:sz="8" w:color="EBFBFF"/>
            </w:tcBorders>
          </w:tcPr>
          <w:p>
            <w:pPr>
              <w:ind w:left="20"/>
              <w:spacing w:after="0"/>
              <w:rPr>
                <w:sz w:val="20"/>
                <w:szCs w:val="20"/>
                <w:color w:val="auto"/>
              </w:rPr>
            </w:pPr>
            <w:r>
              <w:rPr>
                <w:rFonts w:ascii="Arial" w:cs="Arial" w:eastAsia="Arial" w:hAnsi="Arial"/>
                <w:sz w:val="16"/>
                <w:szCs w:val="16"/>
                <w:b w:val="1"/>
                <w:bCs w:val="1"/>
                <w:color w:val="51555C"/>
              </w:rPr>
              <w:t>Net (loss) income</w:t>
            </w:r>
          </w:p>
        </w:tc>
        <w:tc>
          <w:tcPr>
            <w:tcW w:w="260" w:type="dxa"/>
            <w:vAlign w:val="bottom"/>
            <w:tcBorders>
              <w:bottom w:val="single" w:sz="8" w:color="51555C"/>
            </w:tcBorders>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(10,319)</w:t>
            </w:r>
          </w:p>
        </w:tc>
        <w:tc>
          <w:tcPr>
            <w:tcW w:w="280" w:type="dxa"/>
            <w:vAlign w:val="bottom"/>
            <w:tcBorders>
              <w:bottom w:val="single" w:sz="8" w:color="51555C"/>
            </w:tcBorders>
          </w:tcPr>
          <w:p>
            <w:pPr>
              <w:jc w:val="right"/>
              <w:ind w:right="79"/>
              <w:spacing w:after="0"/>
              <w:rPr>
                <w:sz w:val="20"/>
                <w:szCs w:val="20"/>
                <w:color w:val="auto"/>
              </w:rPr>
            </w:pPr>
            <w:r>
              <w:rPr>
                <w:rFonts w:ascii="Arial" w:cs="Arial" w:eastAsia="Arial" w:hAnsi="Arial"/>
                <w:sz w:val="16"/>
                <w:szCs w:val="16"/>
                <w:color w:val="51555C"/>
              </w:rPr>
              <w:t>$</w:t>
            </w: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6,188</w:t>
            </w:r>
          </w:p>
        </w:tc>
        <w:tc>
          <w:tcPr>
            <w:tcW w:w="100" w:type="dxa"/>
            <w:vAlign w:val="bottom"/>
            <w:tcBorders>
              <w:bottom w:val="single" w:sz="8" w:color="EBFBFF"/>
            </w:tcBorders>
          </w:tcPr>
          <w:p>
            <w:pPr>
              <w:spacing w:after="0"/>
              <w:rPr>
                <w:sz w:val="20"/>
                <w:szCs w:val="20"/>
                <w:color w:val="auto"/>
              </w:rPr>
            </w:pPr>
          </w:p>
        </w:tc>
        <w:tc>
          <w:tcPr>
            <w:tcW w:w="260" w:type="dxa"/>
            <w:vAlign w:val="bottom"/>
            <w:tcBorders>
              <w:bottom w:val="single" w:sz="8" w:color="51555C"/>
            </w:tcBorders>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(24,148)</w:t>
            </w:r>
          </w:p>
        </w:tc>
        <w:tc>
          <w:tcPr>
            <w:tcW w:w="280" w:type="dxa"/>
            <w:vAlign w:val="bottom"/>
            <w:tcBorders>
              <w:bottom w:val="single" w:sz="8" w:color="51555C"/>
            </w:tcBorders>
          </w:tcPr>
          <w:p>
            <w:pPr>
              <w:jc w:val="right"/>
              <w:ind w:right="79"/>
              <w:spacing w:after="0"/>
              <w:rPr>
                <w:sz w:val="20"/>
                <w:szCs w:val="20"/>
                <w:color w:val="auto"/>
              </w:rPr>
            </w:pPr>
            <w:r>
              <w:rPr>
                <w:rFonts w:ascii="Arial" w:cs="Arial" w:eastAsia="Arial" w:hAnsi="Arial"/>
                <w:sz w:val="16"/>
                <w:szCs w:val="16"/>
                <w:color w:val="51555C"/>
              </w:rPr>
              <w:t>$</w:t>
            </w: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12,755</w:t>
            </w:r>
          </w:p>
        </w:tc>
      </w:tr>
      <w:tr>
        <w:trPr>
          <w:trHeight w:val="230"/>
        </w:trPr>
        <w:tc>
          <w:tcPr>
            <w:tcW w:w="590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(Loss) earnings per share</w:t>
            </w:r>
          </w:p>
        </w:tc>
        <w:tc>
          <w:tcPr>
            <w:tcW w:w="260" w:type="dxa"/>
            <w:vAlign w:val="bottom"/>
            <w:shd w:val="clear" w:color="auto" w:fill="EBFBFF"/>
          </w:tcPr>
          <w:p>
            <w:pPr>
              <w:spacing w:after="0"/>
              <w:rPr>
                <w:sz w:val="19"/>
                <w:szCs w:val="19"/>
                <w:color w:val="auto"/>
              </w:rPr>
            </w:pPr>
          </w:p>
        </w:tc>
        <w:tc>
          <w:tcPr>
            <w:tcW w:w="1040" w:type="dxa"/>
            <w:vAlign w:val="bottom"/>
            <w:shd w:val="clear" w:color="auto" w:fill="EBFBFF"/>
          </w:tcPr>
          <w:p>
            <w:pPr>
              <w:spacing w:after="0"/>
              <w:rPr>
                <w:sz w:val="19"/>
                <w:szCs w:val="19"/>
                <w:color w:val="auto"/>
              </w:rPr>
            </w:pPr>
          </w:p>
        </w:tc>
        <w:tc>
          <w:tcPr>
            <w:tcW w:w="280" w:type="dxa"/>
            <w:vAlign w:val="bottom"/>
            <w:shd w:val="clear" w:color="auto" w:fill="EBFBFF"/>
          </w:tcPr>
          <w:p>
            <w:pPr>
              <w:spacing w:after="0"/>
              <w:rPr>
                <w:sz w:val="19"/>
                <w:szCs w:val="19"/>
                <w:color w:val="auto"/>
              </w:rPr>
            </w:pPr>
          </w:p>
        </w:tc>
        <w:tc>
          <w:tcPr>
            <w:tcW w:w="1040" w:type="dxa"/>
            <w:vAlign w:val="bottom"/>
            <w:shd w:val="clear" w:color="auto" w:fill="EBFBFF"/>
          </w:tcPr>
          <w:p>
            <w:pPr>
              <w:spacing w:after="0"/>
              <w:rPr>
                <w:sz w:val="19"/>
                <w:szCs w:val="19"/>
                <w:color w:val="auto"/>
              </w:rPr>
            </w:pPr>
          </w:p>
        </w:tc>
        <w:tc>
          <w:tcPr>
            <w:tcW w:w="100" w:type="dxa"/>
            <w:vAlign w:val="bottom"/>
            <w:shd w:val="clear" w:color="auto" w:fill="EBFBFF"/>
          </w:tcPr>
          <w:p>
            <w:pPr>
              <w:spacing w:after="0"/>
              <w:rPr>
                <w:sz w:val="19"/>
                <w:szCs w:val="19"/>
                <w:color w:val="auto"/>
              </w:rPr>
            </w:pPr>
          </w:p>
        </w:tc>
        <w:tc>
          <w:tcPr>
            <w:tcW w:w="260" w:type="dxa"/>
            <w:vAlign w:val="bottom"/>
            <w:shd w:val="clear" w:color="auto" w:fill="EBFBFF"/>
          </w:tcPr>
          <w:p>
            <w:pPr>
              <w:spacing w:after="0"/>
              <w:rPr>
                <w:sz w:val="19"/>
                <w:szCs w:val="19"/>
                <w:color w:val="auto"/>
              </w:rPr>
            </w:pPr>
          </w:p>
        </w:tc>
        <w:tc>
          <w:tcPr>
            <w:tcW w:w="1040" w:type="dxa"/>
            <w:vAlign w:val="bottom"/>
            <w:shd w:val="clear" w:color="auto" w:fill="EBFBFF"/>
          </w:tcPr>
          <w:p>
            <w:pPr>
              <w:spacing w:after="0"/>
              <w:rPr>
                <w:sz w:val="19"/>
                <w:szCs w:val="19"/>
                <w:color w:val="auto"/>
              </w:rPr>
            </w:pPr>
          </w:p>
        </w:tc>
        <w:tc>
          <w:tcPr>
            <w:tcW w:w="280" w:type="dxa"/>
            <w:vAlign w:val="bottom"/>
            <w:shd w:val="clear" w:color="auto" w:fill="EBFBFF"/>
          </w:tcPr>
          <w:p>
            <w:pPr>
              <w:spacing w:after="0"/>
              <w:rPr>
                <w:sz w:val="19"/>
                <w:szCs w:val="19"/>
                <w:color w:val="auto"/>
              </w:rPr>
            </w:pPr>
          </w:p>
        </w:tc>
        <w:tc>
          <w:tcPr>
            <w:tcW w:w="1040" w:type="dxa"/>
            <w:vAlign w:val="bottom"/>
            <w:shd w:val="clear" w:color="auto" w:fill="EBFBFF"/>
          </w:tcPr>
          <w:p>
            <w:pPr>
              <w:spacing w:after="0"/>
              <w:rPr>
                <w:sz w:val="19"/>
                <w:szCs w:val="19"/>
                <w:color w:val="auto"/>
              </w:rPr>
            </w:pP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51555C"/>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51555C"/>
              </w:rPr>
              <w:t>(0.20)</w:t>
            </w:r>
          </w:p>
        </w:tc>
        <w:tc>
          <w:tcPr>
            <w:tcW w:w="280" w:type="dxa"/>
            <w:vAlign w:val="bottom"/>
          </w:tcPr>
          <w:p>
            <w:pPr>
              <w:jc w:val="right"/>
              <w:ind w:right="79"/>
              <w:spacing w:after="0"/>
              <w:rPr>
                <w:sz w:val="20"/>
                <w:szCs w:val="20"/>
                <w:color w:val="auto"/>
              </w:rPr>
            </w:pPr>
            <w:r>
              <w:rPr>
                <w:rFonts w:ascii="Arial" w:cs="Arial" w:eastAsia="Arial" w:hAnsi="Arial"/>
                <w:sz w:val="16"/>
                <w:szCs w:val="16"/>
                <w:color w:val="51555C"/>
              </w:rPr>
              <w:t>$</w:t>
            </w:r>
          </w:p>
        </w:tc>
        <w:tc>
          <w:tcPr>
            <w:tcW w:w="1040" w:type="dxa"/>
            <w:vAlign w:val="bottom"/>
          </w:tcPr>
          <w:p>
            <w:pPr>
              <w:jc w:val="right"/>
              <w:spacing w:after="0"/>
              <w:rPr>
                <w:sz w:val="20"/>
                <w:szCs w:val="20"/>
                <w:color w:val="auto"/>
              </w:rPr>
            </w:pPr>
            <w:r>
              <w:rPr>
                <w:rFonts w:ascii="Arial" w:cs="Arial" w:eastAsia="Arial" w:hAnsi="Arial"/>
                <w:sz w:val="16"/>
                <w:szCs w:val="16"/>
                <w:color w:val="51555C"/>
              </w:rPr>
              <w:t>0.13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51555C"/>
              </w:rPr>
              <w:t>(0.47)</w:t>
            </w:r>
          </w:p>
        </w:tc>
        <w:tc>
          <w:tcPr>
            <w:tcW w:w="280" w:type="dxa"/>
            <w:vAlign w:val="bottom"/>
          </w:tcPr>
          <w:p>
            <w:pPr>
              <w:jc w:val="right"/>
              <w:ind w:right="79"/>
              <w:spacing w:after="0"/>
              <w:rPr>
                <w:sz w:val="20"/>
                <w:szCs w:val="20"/>
                <w:color w:val="auto"/>
              </w:rPr>
            </w:pPr>
            <w:r>
              <w:rPr>
                <w:rFonts w:ascii="Arial" w:cs="Arial" w:eastAsia="Arial" w:hAnsi="Arial"/>
                <w:sz w:val="16"/>
                <w:szCs w:val="16"/>
                <w:color w:val="51555C"/>
              </w:rPr>
              <w:t>$</w:t>
            </w:r>
          </w:p>
        </w:tc>
        <w:tc>
          <w:tcPr>
            <w:tcW w:w="1040" w:type="dxa"/>
            <w:vAlign w:val="bottom"/>
          </w:tcPr>
          <w:p>
            <w:pPr>
              <w:jc w:val="right"/>
              <w:spacing w:after="0"/>
              <w:rPr>
                <w:sz w:val="20"/>
                <w:szCs w:val="20"/>
                <w:color w:val="auto"/>
              </w:rPr>
            </w:pPr>
            <w:r>
              <w:rPr>
                <w:rFonts w:ascii="Arial" w:cs="Arial" w:eastAsia="Arial" w:hAnsi="Arial"/>
                <w:sz w:val="16"/>
                <w:szCs w:val="16"/>
                <w:color w:val="51555C"/>
              </w:rPr>
              <w:t>0.27</w:t>
            </w:r>
          </w:p>
        </w:tc>
      </w:tr>
      <w:tr>
        <w:trPr>
          <w:trHeight w:val="253"/>
        </w:trPr>
        <w:tc>
          <w:tcPr>
            <w:tcW w:w="590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Diluted</w:t>
            </w:r>
          </w:p>
        </w:tc>
        <w:tc>
          <w:tcPr>
            <w:tcW w:w="260" w:type="dxa"/>
            <w:vAlign w:val="bottom"/>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(0.20)</w:t>
            </w:r>
          </w:p>
        </w:tc>
        <w:tc>
          <w:tcPr>
            <w:tcW w:w="280" w:type="dxa"/>
            <w:vAlign w:val="bottom"/>
            <w:shd w:val="clear" w:color="auto" w:fill="EBFBFF"/>
          </w:tcPr>
          <w:p>
            <w:pPr>
              <w:jc w:val="right"/>
              <w:ind w:right="79"/>
              <w:spacing w:after="0"/>
              <w:rPr>
                <w:sz w:val="20"/>
                <w:szCs w:val="20"/>
                <w:color w:val="auto"/>
              </w:rPr>
            </w:pPr>
            <w:r>
              <w:rPr>
                <w:rFonts w:ascii="Arial" w:cs="Arial" w:eastAsia="Arial" w:hAnsi="Arial"/>
                <w:sz w:val="16"/>
                <w:szCs w:val="16"/>
                <w:color w:val="51555C"/>
              </w:rPr>
              <w:t>$</w:t>
            </w: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0.13</w:t>
            </w:r>
          </w:p>
        </w:tc>
        <w:tc>
          <w:tcPr>
            <w:tcW w:w="100" w:type="dxa"/>
            <w:vAlign w:val="bottom"/>
            <w:shd w:val="clear" w:color="auto" w:fill="EBFBFF"/>
          </w:tcPr>
          <w:p>
            <w:pPr>
              <w:spacing w:after="0"/>
              <w:rPr>
                <w:sz w:val="21"/>
                <w:szCs w:val="21"/>
                <w:color w:val="auto"/>
              </w:rPr>
            </w:pPr>
          </w:p>
        </w:tc>
        <w:tc>
          <w:tcPr>
            <w:tcW w:w="260" w:type="dxa"/>
            <w:vAlign w:val="bottom"/>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(0.47)</w:t>
            </w:r>
          </w:p>
        </w:tc>
        <w:tc>
          <w:tcPr>
            <w:tcW w:w="280" w:type="dxa"/>
            <w:vAlign w:val="bottom"/>
            <w:shd w:val="clear" w:color="auto" w:fill="EBFBFF"/>
          </w:tcPr>
          <w:p>
            <w:pPr>
              <w:jc w:val="right"/>
              <w:ind w:right="79"/>
              <w:spacing w:after="0"/>
              <w:rPr>
                <w:sz w:val="20"/>
                <w:szCs w:val="20"/>
                <w:color w:val="auto"/>
              </w:rPr>
            </w:pPr>
            <w:r>
              <w:rPr>
                <w:rFonts w:ascii="Arial" w:cs="Arial" w:eastAsia="Arial" w:hAnsi="Arial"/>
                <w:sz w:val="16"/>
                <w:szCs w:val="16"/>
                <w:color w:val="51555C"/>
              </w:rPr>
              <w:t>$</w:t>
            </w: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0.26</w:t>
            </w:r>
          </w:p>
        </w:tc>
      </w:tr>
      <w:tr>
        <w:trPr>
          <w:trHeight w:val="233"/>
        </w:trPr>
        <w:tc>
          <w:tcPr>
            <w:tcW w:w="5900" w:type="dxa"/>
            <w:vAlign w:val="bottom"/>
          </w:tcPr>
          <w:p>
            <w:pPr>
              <w:ind w:left="20"/>
              <w:spacing w:after="0"/>
              <w:rPr>
                <w:sz w:val="20"/>
                <w:szCs w:val="20"/>
                <w:color w:val="auto"/>
              </w:rPr>
            </w:pPr>
            <w:r>
              <w:rPr>
                <w:rFonts w:ascii="Arial" w:cs="Arial" w:eastAsia="Arial" w:hAnsi="Arial"/>
                <w:sz w:val="16"/>
                <w:szCs w:val="16"/>
                <w:b w:val="1"/>
                <w:bCs w:val="1"/>
                <w:color w:val="51555C"/>
              </w:rPr>
              <w:t>Common shares and equivalents outstanding</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590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Basic weighted average shares</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51,692,152</w:t>
            </w:r>
          </w:p>
        </w:tc>
        <w:tc>
          <w:tcPr>
            <w:tcW w:w="28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47,542,746</w:t>
            </w:r>
          </w:p>
        </w:tc>
        <w:tc>
          <w:tcPr>
            <w:tcW w:w="10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51,519,340</w:t>
            </w:r>
          </w:p>
        </w:tc>
        <w:tc>
          <w:tcPr>
            <w:tcW w:w="28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47,554,746</w:t>
            </w: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51555C"/>
              </w:rPr>
              <w:t>Diluted weighted average shares</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51,692,152</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48,274,072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51,519,340</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48,259,956</w:t>
            </w:r>
          </w:p>
        </w:tc>
      </w:tr>
      <w:tr>
        <w:trPr>
          <w:trHeight w:val="253"/>
        </w:trPr>
        <w:tc>
          <w:tcPr>
            <w:tcW w:w="590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Other comprehensive (loss) income</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spacing w:after="0"/>
              <w:rPr>
                <w:sz w:val="21"/>
                <w:szCs w:val="21"/>
                <w:color w:val="auto"/>
              </w:rPr>
            </w:pPr>
          </w:p>
        </w:tc>
        <w:tc>
          <w:tcPr>
            <w:tcW w:w="280" w:type="dxa"/>
            <w:vAlign w:val="bottom"/>
            <w:shd w:val="clear" w:color="auto" w:fill="EBFBFF"/>
          </w:tcPr>
          <w:p>
            <w:pPr>
              <w:spacing w:after="0"/>
              <w:rPr>
                <w:sz w:val="21"/>
                <w:szCs w:val="21"/>
                <w:color w:val="auto"/>
              </w:rPr>
            </w:pPr>
          </w:p>
        </w:tc>
        <w:tc>
          <w:tcPr>
            <w:tcW w:w="1040" w:type="dxa"/>
            <w:vAlign w:val="bottom"/>
            <w:shd w:val="clear" w:color="auto" w:fill="EBFBFF"/>
          </w:tcPr>
          <w:p>
            <w:pPr>
              <w:spacing w:after="0"/>
              <w:rPr>
                <w:sz w:val="21"/>
                <w:szCs w:val="21"/>
                <w:color w:val="auto"/>
              </w:rPr>
            </w:pPr>
          </w:p>
        </w:tc>
        <w:tc>
          <w:tcPr>
            <w:tcW w:w="10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spacing w:after="0"/>
              <w:rPr>
                <w:sz w:val="21"/>
                <w:szCs w:val="21"/>
                <w:color w:val="auto"/>
              </w:rPr>
            </w:pPr>
          </w:p>
        </w:tc>
        <w:tc>
          <w:tcPr>
            <w:tcW w:w="280" w:type="dxa"/>
            <w:vAlign w:val="bottom"/>
            <w:shd w:val="clear" w:color="auto" w:fill="EBFBFF"/>
          </w:tcPr>
          <w:p>
            <w:pPr>
              <w:spacing w:after="0"/>
              <w:rPr>
                <w:sz w:val="21"/>
                <w:szCs w:val="21"/>
                <w:color w:val="auto"/>
              </w:rPr>
            </w:pPr>
          </w:p>
        </w:tc>
        <w:tc>
          <w:tcPr>
            <w:tcW w:w="1040" w:type="dxa"/>
            <w:vAlign w:val="bottom"/>
            <w:shd w:val="clear" w:color="auto" w:fill="EBFBFF"/>
          </w:tcPr>
          <w:p>
            <w:pPr>
              <w:spacing w:after="0"/>
              <w:rPr>
                <w:sz w:val="21"/>
                <w:szCs w:val="21"/>
                <w:color w:val="auto"/>
              </w:rPr>
            </w:pPr>
          </w:p>
        </w:tc>
      </w:tr>
      <w:tr>
        <w:trPr>
          <w:trHeight w:val="233"/>
        </w:trPr>
        <w:tc>
          <w:tcPr>
            <w:tcW w:w="5900" w:type="dxa"/>
            <w:vAlign w:val="bottom"/>
          </w:tcPr>
          <w:p>
            <w:pPr>
              <w:ind w:left="240"/>
              <w:spacing w:after="0"/>
              <w:rPr>
                <w:sz w:val="20"/>
                <w:szCs w:val="20"/>
                <w:color w:val="auto"/>
              </w:rPr>
            </w:pPr>
            <w:r>
              <w:rPr>
                <w:rFonts w:ascii="Arial" w:cs="Arial" w:eastAsia="Arial" w:hAnsi="Arial"/>
                <w:sz w:val="16"/>
                <w:szCs w:val="16"/>
                <w:color w:val="51555C"/>
              </w:rPr>
              <w:t>Foreign currency translation adjustment</w:t>
            </w: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51555C"/>
              </w:rPr>
              <w:t>(11,536)</w:t>
            </w:r>
          </w:p>
        </w:tc>
        <w:tc>
          <w:tcPr>
            <w:tcW w:w="280" w:type="dxa"/>
            <w:vAlign w:val="bottom"/>
          </w:tcPr>
          <w:p>
            <w:pPr>
              <w:jc w:val="right"/>
              <w:ind w:right="79"/>
              <w:spacing w:after="0"/>
              <w:rPr>
                <w:sz w:val="20"/>
                <w:szCs w:val="20"/>
                <w:color w:val="auto"/>
              </w:rPr>
            </w:pPr>
            <w:r>
              <w:rPr>
                <w:rFonts w:ascii="Arial" w:cs="Arial" w:eastAsia="Arial" w:hAnsi="Arial"/>
                <w:sz w:val="16"/>
                <w:szCs w:val="16"/>
                <w:color w:val="51555C"/>
              </w:rPr>
              <w:t>$</w:t>
            </w:r>
          </w:p>
        </w:tc>
        <w:tc>
          <w:tcPr>
            <w:tcW w:w="1040" w:type="dxa"/>
            <w:vAlign w:val="bottom"/>
          </w:tcPr>
          <w:p>
            <w:pPr>
              <w:jc w:val="right"/>
              <w:spacing w:after="0"/>
              <w:rPr>
                <w:sz w:val="20"/>
                <w:szCs w:val="20"/>
                <w:color w:val="auto"/>
              </w:rPr>
            </w:pPr>
            <w:r>
              <w:rPr>
                <w:rFonts w:ascii="Arial" w:cs="Arial" w:eastAsia="Arial" w:hAnsi="Arial"/>
                <w:sz w:val="16"/>
                <w:szCs w:val="16"/>
                <w:color w:val="51555C"/>
              </w:rPr>
              <w:t>(3,234)</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51555C"/>
              </w:rPr>
              <w:t>(24,066)</w:t>
            </w:r>
          </w:p>
        </w:tc>
        <w:tc>
          <w:tcPr>
            <w:tcW w:w="280" w:type="dxa"/>
            <w:vAlign w:val="bottom"/>
          </w:tcPr>
          <w:p>
            <w:pPr>
              <w:jc w:val="right"/>
              <w:ind w:right="79"/>
              <w:spacing w:after="0"/>
              <w:rPr>
                <w:sz w:val="20"/>
                <w:szCs w:val="20"/>
                <w:color w:val="auto"/>
              </w:rPr>
            </w:pPr>
            <w:r>
              <w:rPr>
                <w:rFonts w:ascii="Arial" w:cs="Arial" w:eastAsia="Arial" w:hAnsi="Arial"/>
                <w:sz w:val="16"/>
                <w:szCs w:val="16"/>
                <w:color w:val="51555C"/>
              </w:rPr>
              <w:t>$</w:t>
            </w:r>
          </w:p>
        </w:tc>
        <w:tc>
          <w:tcPr>
            <w:tcW w:w="1040" w:type="dxa"/>
            <w:vAlign w:val="bottom"/>
          </w:tcPr>
          <w:p>
            <w:pPr>
              <w:jc w:val="right"/>
              <w:spacing w:after="0"/>
              <w:rPr>
                <w:sz w:val="20"/>
                <w:szCs w:val="20"/>
                <w:color w:val="auto"/>
              </w:rPr>
            </w:pPr>
            <w:r>
              <w:rPr>
                <w:rFonts w:ascii="Arial" w:cs="Arial" w:eastAsia="Arial" w:hAnsi="Arial"/>
                <w:sz w:val="16"/>
                <w:szCs w:val="16"/>
                <w:color w:val="51555C"/>
              </w:rPr>
              <w:t>1,060</w:t>
            </w:r>
          </w:p>
        </w:tc>
      </w:tr>
      <w:tr>
        <w:trPr>
          <w:trHeight w:val="253"/>
        </w:trPr>
        <w:tc>
          <w:tcPr>
            <w:tcW w:w="590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Unrealized gain on derivative instruments, net of tax</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6,797</w:t>
            </w:r>
          </w:p>
        </w:tc>
        <w:tc>
          <w:tcPr>
            <w:tcW w:w="28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262</w:t>
            </w:r>
          </w:p>
        </w:tc>
        <w:tc>
          <w:tcPr>
            <w:tcW w:w="100" w:type="dxa"/>
            <w:vAlign w:val="bottom"/>
            <w:shd w:val="clear" w:color="auto" w:fill="EBFBFF"/>
          </w:tcPr>
          <w:p>
            <w:pPr>
              <w:spacing w:after="0"/>
              <w:rPr>
                <w:sz w:val="21"/>
                <w:szCs w:val="21"/>
                <w:color w:val="auto"/>
              </w:rPr>
            </w:pP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20,260</w:t>
            </w:r>
          </w:p>
        </w:tc>
        <w:tc>
          <w:tcPr>
            <w:tcW w:w="28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4,756</w:t>
            </w:r>
          </w:p>
        </w:tc>
      </w:tr>
      <w:tr>
        <w:trPr>
          <w:trHeight w:val="230"/>
        </w:trPr>
        <w:tc>
          <w:tcPr>
            <w:tcW w:w="5900" w:type="dxa"/>
            <w:vAlign w:val="bottom"/>
            <w:tcBorders>
              <w:bottom w:val="single" w:sz="8" w:color="EBFBFF"/>
            </w:tcBorders>
          </w:tcPr>
          <w:p>
            <w:pPr>
              <w:ind w:left="460"/>
              <w:spacing w:after="0"/>
              <w:rPr>
                <w:sz w:val="20"/>
                <w:szCs w:val="20"/>
                <w:color w:val="auto"/>
              </w:rPr>
            </w:pPr>
            <w:r>
              <w:rPr>
                <w:rFonts w:ascii="Arial" w:cs="Arial" w:eastAsia="Arial" w:hAnsi="Arial"/>
                <w:sz w:val="16"/>
                <w:szCs w:val="16"/>
                <w:b w:val="1"/>
                <w:bCs w:val="1"/>
                <w:color w:val="51555C"/>
              </w:rPr>
              <w:t>Total other comprehensive (loss) income</w:t>
            </w: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(4,739)</w:t>
            </w:r>
          </w:p>
        </w:tc>
        <w:tc>
          <w:tcPr>
            <w:tcW w:w="28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(2,972)</w:t>
            </w:r>
          </w:p>
        </w:tc>
        <w:tc>
          <w:tcPr>
            <w:tcW w:w="100" w:type="dxa"/>
            <w:vAlign w:val="bottom"/>
            <w:tcBorders>
              <w:bottom w:val="single" w:sz="8" w:color="EBFBFF"/>
            </w:tcBorders>
          </w:tcPr>
          <w:p>
            <w:pPr>
              <w:spacing w:after="0"/>
              <w:rPr>
                <w:sz w:val="20"/>
                <w:szCs w:val="20"/>
                <w:color w:val="auto"/>
              </w:rPr>
            </w:pP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(3,806)</w:t>
            </w:r>
          </w:p>
        </w:tc>
        <w:tc>
          <w:tcPr>
            <w:tcW w:w="28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5,816</w:t>
            </w:r>
          </w:p>
        </w:tc>
      </w:tr>
      <w:tr>
        <w:trPr>
          <w:trHeight w:val="237"/>
        </w:trPr>
        <w:tc>
          <w:tcPr>
            <w:tcW w:w="590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6"/>
                <w:szCs w:val="16"/>
                <w:b w:val="1"/>
                <w:bCs w:val="1"/>
                <w:color w:val="51555C"/>
              </w:rPr>
              <w:t>Comprehensive (loss) income</w:t>
            </w:r>
          </w:p>
        </w:tc>
        <w:tc>
          <w:tcPr>
            <w:tcW w:w="260" w:type="dxa"/>
            <w:vAlign w:val="bottom"/>
            <w:tcBorders>
              <w:bottom w:val="single" w:sz="8" w:color="0CD973"/>
            </w:tcBorders>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(15,058)</w:t>
            </w:r>
          </w:p>
        </w:tc>
        <w:tc>
          <w:tcPr>
            <w:tcW w:w="280" w:type="dxa"/>
            <w:vAlign w:val="bottom"/>
            <w:tcBorders>
              <w:bottom w:val="single" w:sz="8" w:color="0CD973"/>
            </w:tcBorders>
            <w:shd w:val="clear" w:color="auto" w:fill="EBFBFF"/>
          </w:tcPr>
          <w:p>
            <w:pPr>
              <w:jc w:val="right"/>
              <w:ind w:right="79"/>
              <w:spacing w:after="0"/>
              <w:rPr>
                <w:sz w:val="20"/>
                <w:szCs w:val="20"/>
                <w:color w:val="auto"/>
              </w:rPr>
            </w:pPr>
            <w:r>
              <w:rPr>
                <w:rFonts w:ascii="Arial" w:cs="Arial" w:eastAsia="Arial" w:hAnsi="Arial"/>
                <w:sz w:val="16"/>
                <w:szCs w:val="16"/>
                <w:color w:val="51555C"/>
              </w:rPr>
              <w:t>$</w:t>
            </w:r>
          </w:p>
        </w:tc>
        <w:tc>
          <w:tcPr>
            <w:tcW w:w="10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3,216</w:t>
            </w:r>
          </w:p>
        </w:tc>
        <w:tc>
          <w:tcPr>
            <w:tcW w:w="100" w:type="dxa"/>
            <w:vAlign w:val="bottom"/>
            <w:tcBorders>
              <w:bottom w:val="single" w:sz="8" w:color="0CD973"/>
            </w:tcBorders>
            <w:shd w:val="clear" w:color="auto" w:fill="EBFBFF"/>
          </w:tcPr>
          <w:p>
            <w:pPr>
              <w:spacing w:after="0"/>
              <w:rPr>
                <w:sz w:val="20"/>
                <w:szCs w:val="20"/>
                <w:color w:val="auto"/>
              </w:rPr>
            </w:pPr>
          </w:p>
        </w:tc>
        <w:tc>
          <w:tcPr>
            <w:tcW w:w="260" w:type="dxa"/>
            <w:vAlign w:val="bottom"/>
            <w:tcBorders>
              <w:bottom w:val="single" w:sz="8" w:color="0CD973"/>
            </w:tcBorders>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(27,954)</w:t>
            </w:r>
          </w:p>
        </w:tc>
        <w:tc>
          <w:tcPr>
            <w:tcW w:w="280" w:type="dxa"/>
            <w:vAlign w:val="bottom"/>
            <w:tcBorders>
              <w:bottom w:val="single" w:sz="8" w:color="0CD973"/>
            </w:tcBorders>
            <w:shd w:val="clear" w:color="auto" w:fill="EBFBFF"/>
          </w:tcPr>
          <w:p>
            <w:pPr>
              <w:jc w:val="right"/>
              <w:ind w:right="79"/>
              <w:spacing w:after="0"/>
              <w:rPr>
                <w:sz w:val="20"/>
                <w:szCs w:val="20"/>
                <w:color w:val="auto"/>
              </w:rPr>
            </w:pPr>
            <w:r>
              <w:rPr>
                <w:rFonts w:ascii="Arial" w:cs="Arial" w:eastAsia="Arial" w:hAnsi="Arial"/>
                <w:sz w:val="16"/>
                <w:szCs w:val="16"/>
                <w:color w:val="51555C"/>
              </w:rPr>
              <w:t>$</w:t>
            </w:r>
          </w:p>
        </w:tc>
        <w:tc>
          <w:tcPr>
            <w:tcW w:w="10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18,571</w:t>
            </w:r>
          </w:p>
        </w:tc>
      </w:tr>
    </w:tbl>
    <w:p>
      <w:pPr>
        <w:spacing w:after="0" w:line="6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51555C"/>
        </w:rPr>
        <w:t>The accompanying notes are an integral part of these condensed consolidated financial statements.</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379" w:val="left"/>
        </w:tabs>
        <w:rPr>
          <w:sz w:val="20"/>
          <w:szCs w:val="20"/>
          <w:color w:val="auto"/>
        </w:rPr>
      </w:pPr>
      <w:r>
        <w:rPr>
          <w:rFonts w:ascii="Arial" w:cs="Arial" w:eastAsia="Arial" w:hAnsi="Arial"/>
          <w:sz w:val="14"/>
          <w:szCs w:val="14"/>
          <w:color w:val="51555C"/>
        </w:rPr>
        <w:t>4</w:t>
      </w:r>
      <w:r>
        <w:rPr>
          <w:sz w:val="20"/>
          <w:szCs w:val="20"/>
          <w:color w:val="auto"/>
        </w:rPr>
        <w:tab/>
      </w:r>
      <w:r>
        <w:rPr>
          <w:sz w:val="1"/>
          <w:szCs w:val="1"/>
          <w:color w:val="auto"/>
        </w:rPr>
        <w:drawing>
          <wp:inline distT="0" distB="0" distL="0" distR="0">
            <wp:extent cx="676910" cy="1714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69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 w:name="page6"/>
    <w:bookmarkEnd w:id="5"/>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23430" cy="582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582930"/>
                    </a:xfrm>
                    <a:prstGeom prst="rect">
                      <a:avLst/>
                    </a:prstGeom>
                    <a:noFill/>
                  </pic:spPr>
                </pic:pic>
              </a:graphicData>
            </a:graphic>
          </wp:anchor>
        </w:drawing>
      </w:r>
    </w:p>
    <w:p>
      <w:pPr>
        <w:spacing w:after="0" w:line="44"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FFFFFF"/>
        </w:rPr>
        <w:t>Nine months ended</w:t>
      </w:r>
    </w:p>
    <w:p>
      <w:pPr>
        <w:spacing w:after="0" w:line="2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FFFFFF"/>
        </w:rPr>
        <w:t>September 30,</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8780" w:type="dxa"/>
            <w:vAlign w:val="bottom"/>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2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Pr>
          <w:p>
            <w:pPr>
              <w:spacing w:after="0"/>
              <w:rPr>
                <w:sz w:val="18"/>
                <w:szCs w:val="18"/>
                <w:color w:val="auto"/>
              </w:rPr>
            </w:pPr>
          </w:p>
        </w:tc>
      </w:tr>
      <w:tr>
        <w:trPr>
          <w:trHeight w:val="26"/>
        </w:trPr>
        <w:tc>
          <w:tcPr>
            <w:tcW w:w="8780" w:type="dxa"/>
            <w:vAlign w:val="bottom"/>
            <w:tcBorders>
              <w:bottom w:val="single" w:sz="8" w:color="004054"/>
            </w:tcBorders>
          </w:tcPr>
          <w:p>
            <w:pPr>
              <w:spacing w:after="0"/>
              <w:rPr>
                <w:sz w:val="2"/>
                <w:szCs w:val="2"/>
                <w:color w:val="auto"/>
              </w:rPr>
            </w:pPr>
          </w:p>
        </w:tc>
        <w:tc>
          <w:tcPr>
            <w:tcW w:w="1220" w:type="dxa"/>
            <w:vAlign w:val="bottom"/>
            <w:tcBorders>
              <w:bottom w:val="single" w:sz="8" w:color="004054"/>
            </w:tcBorders>
            <w:shd w:val="clear" w:color="auto" w:fill="004054"/>
          </w:tcPr>
          <w:p>
            <w:pPr>
              <w:spacing w:after="0"/>
              <w:rPr>
                <w:sz w:val="2"/>
                <w:szCs w:val="2"/>
                <w:color w:val="auto"/>
              </w:rPr>
            </w:pPr>
          </w:p>
        </w:tc>
        <w:tc>
          <w:tcPr>
            <w:tcW w:w="1200" w:type="dxa"/>
            <w:vAlign w:val="bottom"/>
            <w:tcBorders>
              <w:bottom w:val="single" w:sz="8" w:color="004054"/>
            </w:tcBorders>
            <w:shd w:val="clear" w:color="auto" w:fill="004054"/>
          </w:tcPr>
          <w:p>
            <w:pPr>
              <w:spacing w:after="0"/>
              <w:rPr>
                <w:sz w:val="2"/>
                <w:szCs w:val="2"/>
                <w:color w:val="auto"/>
              </w:rPr>
            </w:pPr>
          </w:p>
        </w:tc>
        <w:tc>
          <w:tcPr>
            <w:tcW w:w="20" w:type="dxa"/>
            <w:vAlign w:val="bottom"/>
            <w:tcBorders>
              <w:bottom w:val="single" w:sz="8" w:color="004054"/>
            </w:tcBorders>
          </w:tcPr>
          <w:p>
            <w:pPr>
              <w:spacing w:after="0"/>
              <w:rPr>
                <w:sz w:val="2"/>
                <w:szCs w:val="2"/>
                <w:color w:val="auto"/>
              </w:rPr>
            </w:pPr>
          </w:p>
        </w:tc>
      </w:tr>
    </w:tbl>
    <w:p>
      <w:pPr>
        <w:spacing w:after="0" w:line="9" w:lineRule="exact"/>
        <w:rPr>
          <w:sz w:val="20"/>
          <w:szCs w:val="20"/>
          <w:color w:val="auto"/>
        </w:rPr>
      </w:pPr>
    </w:p>
    <w:p>
      <w:pPr>
        <w:sectPr>
          <w:pgSz w:w="11900" w:h="16838" w:orient="portrait"/>
          <w:cols w:equalWidth="0" w:num="1">
            <w:col w:w="11260"/>
          </w:cols>
          <w:pgMar w:left="320" w:top="1440" w:right="319" w:bottom="1440" w:gutter="0" w:footer="0" w:header="0"/>
        </w:sectPr>
      </w:pPr>
    </w:p>
    <w:p>
      <w:pPr>
        <w:ind w:left="140"/>
        <w:spacing w:after="0"/>
        <w:rPr>
          <w:sz w:val="20"/>
          <w:szCs w:val="20"/>
          <w:color w:val="auto"/>
        </w:rPr>
      </w:pPr>
      <w:r>
        <w:rPr>
          <w:rFonts w:ascii="Arial" w:cs="Arial" w:eastAsia="Arial" w:hAnsi="Arial"/>
          <w:sz w:val="16"/>
          <w:szCs w:val="16"/>
          <w:b w:val="1"/>
          <w:bCs w:val="1"/>
          <w:color w:val="51555C"/>
        </w:rPr>
        <w:t>Cash flows from operating activities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6"/>
          <w:szCs w:val="16"/>
          <w:color w:val="51555C"/>
        </w:rPr>
        <w:t>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6"/>
          <w:szCs w:val="16"/>
          <w:color w:val="51555C"/>
        </w:rPr>
        <w:t>Adjustments to reconcile net (loss) income to net cash provided by operating activities:</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6"/>
          <w:szCs w:val="16"/>
          <w:color w:val="51555C"/>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6"/>
          <w:szCs w:val="16"/>
          <w:color w:val="51555C"/>
        </w:rPr>
        <w:t>Provision for credit losses and sales returns</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6"/>
          <w:szCs w:val="16"/>
          <w:color w:val="51555C"/>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6"/>
          <w:szCs w:val="16"/>
          <w:color w:val="51555C"/>
        </w:rPr>
        <w:t>Deferred taxes</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6"/>
          <w:szCs w:val="16"/>
          <w:color w:val="51555C"/>
        </w:rPr>
        <w:t>Amortization of deferred financing costs and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6"/>
          <w:szCs w:val="16"/>
          <w:color w:val="51555C"/>
        </w:rPr>
        <w:t>Other non-cash adjustments</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6"/>
          <w:szCs w:val="16"/>
          <w:color w:val="51555C"/>
        </w:rPr>
        <w:t>Changes in operating assets and liabilities, net of acquisition and disposal of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6"/>
          <w:szCs w:val="16"/>
          <w:color w:val="51555C"/>
        </w:rPr>
        <w:t>Accounts receivable</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6"/>
          <w:szCs w:val="16"/>
          <w:color w:val="51555C"/>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6"/>
          <w:szCs w:val="16"/>
          <w:color w:val="51555C"/>
        </w:rPr>
        <w:t>Trade accounts payable</w:t>
      </w:r>
    </w:p>
    <w:p>
      <w:pPr>
        <w:spacing w:after="0" w:line="59" w:lineRule="exact"/>
        <w:rPr>
          <w:sz w:val="20"/>
          <w:szCs w:val="20"/>
          <w:color w:val="auto"/>
        </w:rPr>
      </w:pPr>
    </w:p>
    <w:p>
      <w:pPr>
        <w:ind w:left="680"/>
        <w:spacing w:after="0"/>
        <w:rPr>
          <w:sz w:val="20"/>
          <w:szCs w:val="20"/>
          <w:color w:val="auto"/>
        </w:rPr>
      </w:pPr>
      <w:r>
        <w:rPr>
          <w:rFonts w:ascii="Arial" w:cs="Arial" w:eastAsia="Arial" w:hAnsi="Arial"/>
          <w:sz w:val="16"/>
          <w:szCs w:val="16"/>
          <w:color w:val="51555C"/>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6"/>
          <w:szCs w:val="16"/>
          <w:color w:val="51555C"/>
        </w:rPr>
        <w:t>Deferred revenue</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51555C"/>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wp:posOffset>
            </wp:positionV>
            <wp:extent cx="711517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51555C"/>
        </w:rPr>
        <w:t>Cash flows from investing activities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6"/>
          <w:szCs w:val="16"/>
          <w:color w:val="51555C"/>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51555C"/>
        </w:rPr>
        <w:t>Capitalized software and content development costs</w:t>
      </w:r>
    </w:p>
    <w:p>
      <w:pPr>
        <w:spacing w:after="0" w:line="59" w:lineRule="exact"/>
        <w:rPr>
          <w:sz w:val="20"/>
          <w:szCs w:val="20"/>
          <w:color w:val="auto"/>
        </w:rPr>
      </w:pPr>
    </w:p>
    <w:p>
      <w:pPr>
        <w:ind w:left="260" w:right="1540"/>
        <w:spacing w:after="0" w:line="303" w:lineRule="auto"/>
        <w:rPr>
          <w:sz w:val="20"/>
          <w:szCs w:val="20"/>
          <w:color w:val="auto"/>
        </w:rPr>
      </w:pPr>
      <w:r>
        <w:rPr>
          <w:rFonts w:ascii="Arial" w:cs="Arial" w:eastAsia="Arial" w:hAnsi="Arial"/>
          <w:sz w:val="16"/>
          <w:szCs w:val="16"/>
          <w:color w:val="51555C"/>
        </w:rPr>
        <w:t>Purchase of net assets of acquired companies, net of cash and restricted cash acquired Cash received in sale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-158115</wp:posOffset>
            </wp:positionV>
            <wp:extent cx="711517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ind w:left="900"/>
        <w:spacing w:after="0"/>
        <w:rPr>
          <w:sz w:val="20"/>
          <w:szCs w:val="20"/>
          <w:color w:val="auto"/>
        </w:rPr>
      </w:pPr>
      <w:r>
        <w:rPr>
          <w:rFonts w:ascii="Arial" w:cs="Arial" w:eastAsia="Arial" w:hAnsi="Arial"/>
          <w:sz w:val="16"/>
          <w:szCs w:val="16"/>
          <w:b w:val="1"/>
          <w:bCs w:val="1"/>
          <w:color w:val="51555C"/>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wp:posOffset>
            </wp:positionV>
            <wp:extent cx="711517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51555C"/>
        </w:rPr>
        <w:t>Cash flows from financing activities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6"/>
          <w:szCs w:val="16"/>
          <w:color w:val="51555C"/>
        </w:rPr>
        <w:t>Proceeds from issuance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51555C"/>
        </w:rPr>
        <w:t>Payments on debt</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51555C"/>
        </w:rPr>
        <w:t>Stock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51555C"/>
        </w:rPr>
        <w:t>Employee taxes paid for withheld shares upon equity award settlement</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51555C"/>
        </w:rPr>
        <w:t>Change in due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51555C"/>
        </w:rPr>
        <w:t>Change in customer funds receivable</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51555C"/>
        </w:rPr>
        <w:t>Purchase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51555C"/>
        </w:rPr>
        <w:t>Net cash used in financing activities</w:t>
      </w:r>
    </w:p>
    <w:p>
      <w:pPr>
        <w:spacing w:after="0" w:line="93" w:lineRule="exact"/>
        <w:rPr>
          <w:sz w:val="20"/>
          <w:szCs w:val="20"/>
          <w:color w:val="auto"/>
        </w:rPr>
      </w:pPr>
    </w:p>
    <w:p>
      <w:pPr>
        <w:ind w:left="40" w:right="3060"/>
        <w:spacing w:after="0" w:line="312" w:lineRule="auto"/>
        <w:rPr>
          <w:sz w:val="20"/>
          <w:szCs w:val="20"/>
          <w:color w:val="auto"/>
        </w:rPr>
      </w:pPr>
      <w:r>
        <w:rPr>
          <w:rFonts w:ascii="Arial" w:cs="Arial" w:eastAsia="Arial" w:hAnsi="Arial"/>
          <w:sz w:val="16"/>
          <w:szCs w:val="16"/>
          <w:color w:val="51555C"/>
        </w:rPr>
        <w:t xml:space="preserve">Effect of exchange rate on cash, cash equivalents and restricted cash </w:t>
      </w:r>
      <w:r>
        <w:rPr>
          <w:rFonts w:ascii="Arial" w:cs="Arial" w:eastAsia="Arial" w:hAnsi="Arial"/>
          <w:sz w:val="16"/>
          <w:szCs w:val="16"/>
          <w:b w:val="1"/>
          <w:bCs w:val="1"/>
          <w:color w:val="51555C"/>
        </w:rPr>
        <w:t>Net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-167005</wp:posOffset>
            </wp:positionV>
            <wp:extent cx="7115175"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ind w:left="40" w:right="3120"/>
        <w:spacing w:after="0" w:line="356" w:lineRule="auto"/>
        <w:rPr>
          <w:sz w:val="20"/>
          <w:szCs w:val="20"/>
          <w:color w:val="auto"/>
        </w:rPr>
      </w:pPr>
      <w:r>
        <w:rPr>
          <w:rFonts w:ascii="Arial" w:cs="Arial" w:eastAsia="Arial" w:hAnsi="Arial"/>
          <w:sz w:val="16"/>
          <w:szCs w:val="16"/>
          <w:b w:val="1"/>
          <w:bCs w:val="1"/>
          <w:color w:val="51555C"/>
        </w:rPr>
        <w:t>Cash, cash equivalents and restricted cash, beginning of period 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-197485</wp:posOffset>
            </wp:positionV>
            <wp:extent cx="71151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20" w:type="dxa"/>
            <w:vAlign w:val="bottom"/>
          </w:tcPr>
          <w:p>
            <w:pPr>
              <w:jc w:val="right"/>
              <w:ind w:right="139"/>
              <w:spacing w:after="0"/>
              <w:rPr>
                <w:sz w:val="20"/>
                <w:szCs w:val="20"/>
                <w:color w:val="auto"/>
              </w:rPr>
            </w:pPr>
            <w:r>
              <w:rPr>
                <w:rFonts w:ascii="Arial" w:cs="Arial" w:eastAsia="Arial" w:hAnsi="Arial"/>
                <w:sz w:val="16"/>
                <w:szCs w:val="16"/>
                <w:color w:val="51555C"/>
                <w:w w:val="89"/>
              </w:rPr>
              <w:t>$</w:t>
            </w:r>
          </w:p>
        </w:tc>
        <w:tc>
          <w:tcPr>
            <w:tcW w:w="880" w:type="dxa"/>
            <w:vAlign w:val="bottom"/>
          </w:tcPr>
          <w:p>
            <w:pPr>
              <w:jc w:val="right"/>
              <w:spacing w:after="0"/>
              <w:rPr>
                <w:sz w:val="20"/>
                <w:szCs w:val="20"/>
                <w:color w:val="auto"/>
              </w:rPr>
            </w:pPr>
            <w:r>
              <w:rPr>
                <w:rFonts w:ascii="Arial" w:cs="Arial" w:eastAsia="Arial" w:hAnsi="Arial"/>
                <w:sz w:val="16"/>
                <w:szCs w:val="16"/>
                <w:color w:val="51555C"/>
              </w:rPr>
              <w:t>(24,148)</w:t>
            </w:r>
          </w:p>
        </w:tc>
        <w:tc>
          <w:tcPr>
            <w:tcW w:w="340" w:type="dxa"/>
            <w:vAlign w:val="bottom"/>
          </w:tcPr>
          <w:p>
            <w:pPr>
              <w:jc w:val="right"/>
              <w:ind w:right="139"/>
              <w:spacing w:after="0"/>
              <w:rPr>
                <w:sz w:val="20"/>
                <w:szCs w:val="20"/>
                <w:color w:val="auto"/>
              </w:rPr>
            </w:pPr>
            <w:r>
              <w:rPr>
                <w:rFonts w:ascii="Arial" w:cs="Arial" w:eastAsia="Arial" w:hAnsi="Arial"/>
                <w:sz w:val="16"/>
                <w:szCs w:val="16"/>
                <w:color w:val="51555C"/>
              </w:rPr>
              <w:t>$</w:t>
            </w:r>
          </w:p>
        </w:tc>
        <w:tc>
          <w:tcPr>
            <w:tcW w:w="880" w:type="dxa"/>
            <w:vAlign w:val="bottom"/>
          </w:tcPr>
          <w:p>
            <w:pPr>
              <w:jc w:val="right"/>
              <w:spacing w:after="0"/>
              <w:rPr>
                <w:sz w:val="20"/>
                <w:szCs w:val="20"/>
                <w:color w:val="auto"/>
              </w:rPr>
            </w:pPr>
            <w:r>
              <w:rPr>
                <w:rFonts w:ascii="Arial" w:cs="Arial" w:eastAsia="Arial" w:hAnsi="Arial"/>
                <w:sz w:val="16"/>
                <w:szCs w:val="16"/>
                <w:color w:val="51555C"/>
              </w:rPr>
              <w:t>12,755</w:t>
            </w:r>
          </w:p>
        </w:tc>
      </w:tr>
      <w:tr>
        <w:trPr>
          <w:trHeight w:val="486"/>
        </w:trPr>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76,606</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60,484</w:t>
            </w:r>
          </w:p>
        </w:tc>
      </w:tr>
      <w:tr>
        <w:trPr>
          <w:trHeight w:val="243"/>
        </w:trPr>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4,374</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7,992</w:t>
            </w:r>
          </w:p>
        </w:tc>
      </w:tr>
      <w:tr>
        <w:trPr>
          <w:trHeight w:val="243"/>
        </w:trPr>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83,659</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89,480</w:t>
            </w:r>
          </w:p>
        </w:tc>
      </w:tr>
      <w:tr>
        <w:trPr>
          <w:trHeight w:val="243"/>
        </w:trPr>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(21,672)</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400</w:t>
            </w:r>
          </w:p>
        </w:tc>
      </w:tr>
      <w:tr>
        <w:trPr>
          <w:trHeight w:val="243"/>
        </w:trPr>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1,827</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1,234</w:t>
            </w:r>
          </w:p>
        </w:tc>
      </w:tr>
      <w:tr>
        <w:trPr>
          <w:trHeight w:val="243"/>
        </w:trPr>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5,677</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(527)</w:t>
            </w:r>
          </w:p>
        </w:tc>
      </w:tr>
      <w:tr>
        <w:trPr>
          <w:trHeight w:val="486"/>
        </w:trPr>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9,998</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(18,779)</w:t>
            </w:r>
          </w:p>
        </w:tc>
      </w:tr>
      <w:tr>
        <w:trPr>
          <w:trHeight w:val="243"/>
        </w:trPr>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22,246</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(14,169)</w:t>
            </w:r>
          </w:p>
        </w:tc>
      </w:tr>
      <w:tr>
        <w:trPr>
          <w:trHeight w:val="243"/>
        </w:trPr>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14,435</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10,728</w:t>
            </w:r>
          </w:p>
        </w:tc>
      </w:tr>
      <w:tr>
        <w:trPr>
          <w:trHeight w:val="243"/>
        </w:trPr>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(7,028)</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2,790</w:t>
            </w:r>
          </w:p>
        </w:tc>
      </w:tr>
      <w:tr>
        <w:trPr>
          <w:trHeight w:val="256"/>
        </w:trPr>
        <w:tc>
          <w:tcPr>
            <w:tcW w:w="320" w:type="dxa"/>
            <w:vAlign w:val="bottom"/>
            <w:tcBorders>
              <w:bottom w:val="single" w:sz="8" w:color="51555C"/>
            </w:tcBorders>
          </w:tcPr>
          <w:p>
            <w:pPr>
              <w:spacing w:after="0"/>
              <w:rPr>
                <w:sz w:val="22"/>
                <w:szCs w:val="22"/>
                <w:color w:val="auto"/>
              </w:rPr>
            </w:pPr>
          </w:p>
        </w:tc>
        <w:tc>
          <w:tcPr>
            <w:tcW w:w="8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23,832</w:t>
            </w:r>
          </w:p>
        </w:tc>
        <w:tc>
          <w:tcPr>
            <w:tcW w:w="340" w:type="dxa"/>
            <w:vAlign w:val="bottom"/>
            <w:tcBorders>
              <w:bottom w:val="single" w:sz="8" w:color="51555C"/>
            </w:tcBorders>
          </w:tcPr>
          <w:p>
            <w:pPr>
              <w:spacing w:after="0"/>
              <w:rPr>
                <w:sz w:val="22"/>
                <w:szCs w:val="22"/>
                <w:color w:val="auto"/>
              </w:rPr>
            </w:pPr>
          </w:p>
        </w:tc>
        <w:tc>
          <w:tcPr>
            <w:tcW w:w="8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17,400</w:t>
            </w:r>
          </w:p>
        </w:tc>
      </w:tr>
      <w:tr>
        <w:trPr>
          <w:trHeight w:val="223"/>
        </w:trPr>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189,806</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169,788</w:t>
            </w:r>
          </w:p>
        </w:tc>
      </w:tr>
      <w:tr>
        <w:trPr>
          <w:trHeight w:val="486"/>
        </w:trPr>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(10,512)</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(8,332)</w:t>
            </w:r>
          </w:p>
        </w:tc>
      </w:tr>
      <w:tr>
        <w:trPr>
          <w:trHeight w:val="243"/>
        </w:trPr>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(42,757)</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(29,661)</w:t>
            </w:r>
          </w:p>
        </w:tc>
      </w:tr>
      <w:tr>
        <w:trPr>
          <w:trHeight w:val="243"/>
        </w:trPr>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(20,945)</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w:t>
            </w:r>
          </w:p>
        </w:tc>
      </w:tr>
      <w:tr>
        <w:trPr>
          <w:trHeight w:val="256"/>
        </w:trPr>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51555C"/>
              </w:rPr>
              <w:t>6,426</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51555C"/>
              </w:rPr>
              <w:t>—</w:t>
            </w:r>
          </w:p>
        </w:tc>
      </w:tr>
      <w:tr>
        <w:trPr>
          <w:trHeight w:val="224"/>
        </w:trPr>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(67,788)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51555C"/>
              </w:rPr>
              <w:t>(37,993)</w:t>
            </w:r>
          </w:p>
        </w:tc>
      </w:tr>
    </w:tbl>
    <w:p>
      <w:pPr>
        <w:spacing w:after="0" w:line="291" w:lineRule="exact"/>
        <w:rPr>
          <w:sz w:val="20"/>
          <w:szCs w:val="20"/>
          <w:color w:val="auto"/>
        </w:rPr>
      </w:pPr>
    </w:p>
    <w:p>
      <w:pPr>
        <w:ind w:left="560"/>
        <w:spacing w:after="0"/>
        <w:tabs>
          <w:tab w:leader="none" w:pos="1740" w:val="left"/>
        </w:tabs>
        <w:rPr>
          <w:sz w:val="20"/>
          <w:szCs w:val="20"/>
          <w:color w:val="auto"/>
        </w:rPr>
      </w:pPr>
      <w:r>
        <w:rPr>
          <w:rFonts w:ascii="Arial" w:cs="Arial" w:eastAsia="Arial" w:hAnsi="Arial"/>
          <w:sz w:val="16"/>
          <w:szCs w:val="16"/>
          <w:color w:val="51555C"/>
        </w:rPr>
        <w:t>126,900</w:t>
      </w:r>
      <w:r>
        <w:rPr>
          <w:sz w:val="20"/>
          <w:szCs w:val="20"/>
          <w:color w:val="auto"/>
        </w:rPr>
        <w:tab/>
      </w:r>
      <w:r>
        <w:rPr>
          <w:rFonts w:ascii="Arial" w:cs="Arial" w:eastAsia="Arial" w:hAnsi="Arial"/>
          <w:sz w:val="16"/>
          <w:szCs w:val="16"/>
          <w:color w:val="51555C"/>
        </w:rPr>
        <w:t>128,300</w:t>
      </w:r>
    </w:p>
    <w:p>
      <w:pPr>
        <w:spacing w:after="0" w:line="59" w:lineRule="exact"/>
        <w:rPr>
          <w:sz w:val="20"/>
          <w:szCs w:val="20"/>
          <w:color w:val="auto"/>
        </w:rPr>
      </w:pPr>
    </w:p>
    <w:p>
      <w:pPr>
        <w:ind w:left="500"/>
        <w:spacing w:after="0"/>
        <w:tabs>
          <w:tab w:leader="none" w:pos="1680" w:val="left"/>
        </w:tabs>
        <w:rPr>
          <w:sz w:val="20"/>
          <w:szCs w:val="20"/>
          <w:color w:val="auto"/>
        </w:rPr>
      </w:pPr>
      <w:r>
        <w:rPr>
          <w:rFonts w:ascii="Arial" w:cs="Arial" w:eastAsia="Arial" w:hAnsi="Arial"/>
          <w:sz w:val="16"/>
          <w:szCs w:val="16"/>
          <w:color w:val="51555C"/>
        </w:rPr>
        <w:t>(229,442)</w:t>
      </w:r>
      <w:r>
        <w:rPr>
          <w:sz w:val="20"/>
          <w:szCs w:val="20"/>
          <w:color w:val="auto"/>
        </w:rPr>
        <w:tab/>
      </w:r>
      <w:r>
        <w:rPr>
          <w:rFonts w:ascii="Arial" w:cs="Arial" w:eastAsia="Arial" w:hAnsi="Arial"/>
          <w:sz w:val="16"/>
          <w:szCs w:val="16"/>
          <w:color w:val="51555C"/>
        </w:rPr>
        <w:t>(131,272)</w:t>
      </w:r>
    </w:p>
    <w:p>
      <w:pPr>
        <w:spacing w:after="0" w:line="59" w:lineRule="exact"/>
        <w:rPr>
          <w:sz w:val="20"/>
          <w:szCs w:val="20"/>
          <w:color w:val="auto"/>
        </w:rPr>
      </w:pPr>
    </w:p>
    <w:p>
      <w:pPr>
        <w:ind w:left="680"/>
        <w:spacing w:after="0"/>
        <w:tabs>
          <w:tab w:leader="none" w:pos="2180" w:val="left"/>
        </w:tabs>
        <w:rPr>
          <w:sz w:val="20"/>
          <w:szCs w:val="20"/>
          <w:color w:val="auto"/>
        </w:rPr>
      </w:pPr>
      <w:r>
        <w:rPr>
          <w:rFonts w:ascii="Arial" w:cs="Arial" w:eastAsia="Arial" w:hAnsi="Arial"/>
          <w:sz w:val="16"/>
          <w:szCs w:val="16"/>
          <w:color w:val="51555C"/>
        </w:rPr>
        <w:t>(1,205)</w:t>
      </w:r>
      <w:r>
        <w:rPr>
          <w:sz w:val="20"/>
          <w:szCs w:val="20"/>
          <w:color w:val="auto"/>
        </w:rPr>
        <w:tab/>
      </w:r>
      <w:r>
        <w:rPr>
          <w:rFonts w:ascii="Arial" w:cs="Arial" w:eastAsia="Arial" w:hAnsi="Arial"/>
          <w:sz w:val="16"/>
          <w:szCs w:val="16"/>
          <w:color w:val="51555C"/>
        </w:rPr>
        <w:t>—</w:t>
      </w:r>
    </w:p>
    <w:p>
      <w:pPr>
        <w:spacing w:after="0" w:line="59" w:lineRule="exact"/>
        <w:rPr>
          <w:sz w:val="20"/>
          <w:szCs w:val="20"/>
          <w:color w:val="auto"/>
        </w:rPr>
      </w:pPr>
    </w:p>
    <w:p>
      <w:pPr>
        <w:ind w:left="580"/>
        <w:spacing w:after="0"/>
        <w:tabs>
          <w:tab w:leader="none" w:pos="1780" w:val="left"/>
        </w:tabs>
        <w:rPr>
          <w:sz w:val="20"/>
          <w:szCs w:val="20"/>
          <w:color w:val="auto"/>
        </w:rPr>
      </w:pPr>
      <w:r>
        <w:rPr>
          <w:rFonts w:ascii="Arial" w:cs="Arial" w:eastAsia="Arial" w:hAnsi="Arial"/>
          <w:sz w:val="16"/>
          <w:szCs w:val="16"/>
          <w:color w:val="51555C"/>
        </w:rPr>
        <w:t>(36,057)</w:t>
      </w:r>
      <w:r>
        <w:rPr>
          <w:sz w:val="20"/>
          <w:szCs w:val="20"/>
          <w:color w:val="auto"/>
        </w:rPr>
        <w:tab/>
      </w:r>
      <w:r>
        <w:rPr>
          <w:rFonts w:ascii="Arial" w:cs="Arial" w:eastAsia="Arial" w:hAnsi="Arial"/>
          <w:sz w:val="16"/>
          <w:szCs w:val="16"/>
          <w:color w:val="51555C"/>
        </w:rPr>
        <w:t>(39,012)</w:t>
      </w:r>
    </w:p>
    <w:p>
      <w:pPr>
        <w:spacing w:after="0" w:line="59" w:lineRule="exact"/>
        <w:rPr>
          <w:sz w:val="20"/>
          <w:szCs w:val="20"/>
          <w:color w:val="auto"/>
        </w:rPr>
      </w:pPr>
    </w:p>
    <w:p>
      <w:pPr>
        <w:ind w:left="500"/>
        <w:spacing w:after="0"/>
        <w:tabs>
          <w:tab w:leader="none" w:pos="1680" w:val="left"/>
        </w:tabs>
        <w:rPr>
          <w:sz w:val="20"/>
          <w:szCs w:val="20"/>
          <w:color w:val="auto"/>
        </w:rPr>
      </w:pPr>
      <w:r>
        <w:rPr>
          <w:rFonts w:ascii="Arial" w:cs="Arial" w:eastAsia="Arial" w:hAnsi="Arial"/>
          <w:sz w:val="16"/>
          <w:szCs w:val="16"/>
          <w:color w:val="51555C"/>
        </w:rPr>
        <w:t>(243,109)</w:t>
      </w:r>
      <w:r>
        <w:rPr>
          <w:sz w:val="20"/>
          <w:szCs w:val="20"/>
          <w:color w:val="auto"/>
        </w:rPr>
        <w:tab/>
      </w:r>
      <w:r>
        <w:rPr>
          <w:rFonts w:ascii="Arial" w:cs="Arial" w:eastAsia="Arial" w:hAnsi="Arial"/>
          <w:sz w:val="16"/>
          <w:szCs w:val="16"/>
          <w:color w:val="51555C"/>
        </w:rPr>
        <w:t>(386,973)</w:t>
      </w:r>
    </w:p>
    <w:p>
      <w:pPr>
        <w:spacing w:after="0" w:line="59" w:lineRule="exact"/>
        <w:rPr>
          <w:sz w:val="20"/>
          <w:szCs w:val="20"/>
          <w:color w:val="auto"/>
        </w:rPr>
      </w:pPr>
    </w:p>
    <w:p>
      <w:pPr>
        <w:ind w:left="680"/>
        <w:spacing w:after="0"/>
        <w:tabs>
          <w:tab w:leader="none" w:pos="1860" w:val="left"/>
        </w:tabs>
        <w:rPr>
          <w:sz w:val="20"/>
          <w:szCs w:val="20"/>
          <w:color w:val="auto"/>
        </w:rPr>
      </w:pPr>
      <w:r>
        <w:rPr>
          <w:rFonts w:ascii="Arial" w:cs="Arial" w:eastAsia="Arial" w:hAnsi="Arial"/>
          <w:sz w:val="16"/>
          <w:szCs w:val="16"/>
          <w:color w:val="51555C"/>
        </w:rPr>
        <w:t>(1,291)</w:t>
      </w:r>
      <w:r>
        <w:rPr>
          <w:sz w:val="20"/>
          <w:szCs w:val="20"/>
          <w:color w:val="auto"/>
        </w:rPr>
        <w:tab/>
      </w:r>
      <w:r>
        <w:rPr>
          <w:rFonts w:ascii="Arial" w:cs="Arial" w:eastAsia="Arial" w:hAnsi="Arial"/>
          <w:sz w:val="16"/>
          <w:szCs w:val="16"/>
          <w:color w:val="51555C"/>
        </w:rPr>
        <w:t>(5,838)</w:t>
      </w:r>
    </w:p>
    <w:p>
      <w:pPr>
        <w:spacing w:after="0" w:line="59" w:lineRule="exact"/>
        <w:rPr>
          <w:sz w:val="20"/>
          <w:szCs w:val="20"/>
          <w:color w:val="auto"/>
        </w:rPr>
      </w:pPr>
    </w:p>
    <w:p>
      <w:pPr>
        <w:ind w:left="980"/>
        <w:spacing w:after="0"/>
        <w:rPr>
          <w:sz w:val="20"/>
          <w:szCs w:val="20"/>
          <w:color w:val="auto"/>
        </w:rPr>
      </w:pPr>
      <w:r>
        <w:rPr>
          <w:rFonts w:ascii="Arial" w:cs="Arial" w:eastAsia="Arial" w:hAnsi="Arial"/>
          <w:sz w:val="16"/>
          <w:szCs w:val="16"/>
          <w:color w:val="51555C"/>
        </w:rPr>
        <w:t>—(98,353)</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6"/>
          <w:szCs w:val="16"/>
          <w:color w:val="51555C"/>
        </w:rPr>
        <w:t>(384,204)(533,148)</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6"/>
          <w:szCs w:val="16"/>
          <w:color w:val="51555C"/>
        </w:rPr>
        <w:t>(14,235)97</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6"/>
          <w:szCs w:val="16"/>
          <w:color w:val="51555C"/>
        </w:rPr>
        <w:t>(276,421)(401,256)</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6"/>
          <w:szCs w:val="16"/>
          <w:color w:val="51555C"/>
        </w:rPr>
        <w:t>651,762644,969</w:t>
      </w:r>
    </w:p>
    <w:p>
      <w:pPr>
        <w:spacing w:after="0" w:line="73" w:lineRule="exact"/>
        <w:rPr>
          <w:sz w:val="20"/>
          <w:szCs w:val="20"/>
          <w:color w:val="auto"/>
        </w:rPr>
      </w:pPr>
    </w:p>
    <w:p>
      <w:pPr>
        <w:ind w:left="20"/>
        <w:spacing w:after="0"/>
        <w:tabs>
          <w:tab w:leader="none" w:pos="540" w:val="left"/>
          <w:tab w:leader="none" w:pos="1740" w:val="left"/>
        </w:tabs>
        <w:rPr>
          <w:sz w:val="20"/>
          <w:szCs w:val="20"/>
          <w:color w:val="auto"/>
        </w:rPr>
      </w:pPr>
      <w:r>
        <w:rPr>
          <w:rFonts w:ascii="Arial" w:cs="Arial" w:eastAsia="Arial" w:hAnsi="Arial"/>
          <w:sz w:val="16"/>
          <w:szCs w:val="16"/>
          <w:color w:val="51555C"/>
        </w:rPr>
        <w:t>$</w:t>
      </w:r>
      <w:r>
        <w:rPr>
          <w:sz w:val="20"/>
          <w:szCs w:val="20"/>
          <w:color w:val="auto"/>
        </w:rPr>
        <w:tab/>
      </w:r>
      <w:r>
        <w:rPr>
          <w:rFonts w:ascii="Arial" w:cs="Arial" w:eastAsia="Arial" w:hAnsi="Arial"/>
          <w:sz w:val="16"/>
          <w:szCs w:val="16"/>
          <w:color w:val="51555C"/>
        </w:rPr>
        <w:t>375,341 $</w:t>
      </w:r>
      <w:r>
        <w:rPr>
          <w:sz w:val="20"/>
          <w:szCs w:val="20"/>
          <w:color w:val="auto"/>
        </w:rPr>
        <w:tab/>
      </w:r>
      <w:r>
        <w:rPr>
          <w:rFonts w:ascii="Arial" w:cs="Arial" w:eastAsia="Arial" w:hAnsi="Arial"/>
          <w:sz w:val="16"/>
          <w:szCs w:val="16"/>
          <w:color w:val="51555C"/>
        </w:rPr>
        <w:t>243,713</w:t>
      </w:r>
    </w:p>
    <w:p>
      <w:pPr>
        <w:spacing w:after="0" w:line="248" w:lineRule="exact"/>
        <w:rPr>
          <w:sz w:val="20"/>
          <w:szCs w:val="20"/>
          <w:color w:val="auto"/>
        </w:rPr>
      </w:pPr>
    </w:p>
    <w:p>
      <w:pPr>
        <w:sectPr>
          <w:pgSz w:w="11900" w:h="16838" w:orient="portrait"/>
          <w:cols w:equalWidth="0" w:num="2">
            <w:col w:w="8080" w:space="720"/>
            <w:col w:w="2460"/>
          </w:cols>
          <w:pgMar w:left="320" w:top="1440" w:right="319" w:bottom="1440" w:gutter="0" w:footer="0" w:header="0"/>
          <w:type w:val="continuous"/>
        </w:sectPr>
      </w:pPr>
    </w:p>
    <w:p>
      <w:pPr>
        <w:ind w:right="20"/>
        <w:spacing w:after="0" w:line="260" w:lineRule="auto"/>
        <w:rPr>
          <w:sz w:val="20"/>
          <w:szCs w:val="20"/>
          <w:color w:val="auto"/>
        </w:rPr>
      </w:pPr>
      <w:r>
        <w:rPr>
          <w:rFonts w:ascii="Arial" w:cs="Arial" w:eastAsia="Arial" w:hAnsi="Arial"/>
          <w:sz w:val="16"/>
          <w:szCs w:val="16"/>
          <w:color w:val="51555C"/>
        </w:rPr>
        <w:t>The following table provides a reconciliation of cash and cash equivalents and restricted cash reported within the condensed consolidated balance sheets that sum to the total of the same such amounts shown above in the condensed consolidated statements of cash flows: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shd w:val="clear" w:color="auto" w:fill="004054"/>
          </w:tcPr>
          <w:p>
            <w:pPr>
              <w:spacing w:after="0"/>
              <w:rPr>
                <w:sz w:val="17"/>
                <w:szCs w:val="17"/>
                <w:color w:val="auto"/>
              </w:rPr>
            </w:pPr>
          </w:p>
        </w:tc>
        <w:tc>
          <w:tcPr>
            <w:tcW w:w="380" w:type="dxa"/>
            <w:vAlign w:val="bottom"/>
            <w:shd w:val="clear" w:color="auto" w:fill="004054"/>
          </w:tcPr>
          <w:p>
            <w:pPr>
              <w:spacing w:after="0"/>
              <w:rPr>
                <w:sz w:val="17"/>
                <w:szCs w:val="17"/>
                <w:color w:val="auto"/>
              </w:rPr>
            </w:pPr>
          </w:p>
        </w:tc>
        <w:tc>
          <w:tcPr>
            <w:tcW w:w="12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400" w:type="dxa"/>
            <w:vAlign w:val="bottom"/>
            <w:shd w:val="clear" w:color="auto" w:fill="004054"/>
          </w:tcPr>
          <w:p>
            <w:pPr>
              <w:spacing w:after="0"/>
              <w:rPr>
                <w:sz w:val="17"/>
                <w:szCs w:val="17"/>
                <w:color w:val="auto"/>
              </w:rPr>
            </w:pPr>
          </w:p>
        </w:tc>
        <w:tc>
          <w:tcPr>
            <w:tcW w:w="12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9"/>
        </w:trPr>
        <w:tc>
          <w:tcPr>
            <w:tcW w:w="79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80" w:type="dxa"/>
            <w:vAlign w:val="bottom"/>
            <w:tcBorders>
              <w:bottom w:val="single" w:sz="8" w:color="004054"/>
            </w:tcBorders>
            <w:shd w:val="clear" w:color="auto" w:fill="004054"/>
          </w:tcPr>
          <w:p>
            <w:pPr>
              <w:spacing w:after="0"/>
              <w:rPr>
                <w:sz w:val="18"/>
                <w:szCs w:val="18"/>
                <w:color w:val="auto"/>
              </w:rPr>
            </w:pPr>
          </w:p>
        </w:tc>
        <w:tc>
          <w:tcPr>
            <w:tcW w:w="12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004054"/>
            </w:tcBorders>
            <w:shd w:val="clear" w:color="auto" w:fill="004054"/>
          </w:tcPr>
          <w:p>
            <w:pPr>
              <w:spacing w:after="0"/>
              <w:rPr>
                <w:sz w:val="18"/>
                <w:szCs w:val="18"/>
                <w:color w:val="auto"/>
              </w:rPr>
            </w:pPr>
          </w:p>
        </w:tc>
        <w:tc>
          <w:tcPr>
            <w:tcW w:w="12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18"/>
                <w:szCs w:val="18"/>
                <w:color w:val="auto"/>
              </w:rPr>
            </w:pPr>
          </w:p>
        </w:tc>
      </w:tr>
      <w:tr>
        <w:trPr>
          <w:trHeight w:val="243"/>
        </w:trPr>
        <w:tc>
          <w:tcPr>
            <w:tcW w:w="7920" w:type="dxa"/>
            <w:vAlign w:val="bottom"/>
            <w:shd w:val="clear" w:color="auto" w:fill="EBFBFF"/>
          </w:tcPr>
          <w:p>
            <w:pPr>
              <w:ind w:left="20"/>
              <w:spacing w:after="0"/>
              <w:rPr>
                <w:sz w:val="20"/>
                <w:szCs w:val="20"/>
                <w:color w:val="auto"/>
              </w:rPr>
            </w:pPr>
            <w:r>
              <w:rPr>
                <w:rFonts w:ascii="Arial" w:cs="Arial" w:eastAsia="Arial" w:hAnsi="Arial"/>
                <w:sz w:val="16"/>
                <w:szCs w:val="16"/>
                <w:color w:val="51555C"/>
              </w:rPr>
              <w:t>Cash and cash equivalents</w:t>
            </w:r>
          </w:p>
        </w:tc>
        <w:tc>
          <w:tcPr>
            <w:tcW w:w="380" w:type="dxa"/>
            <w:vAlign w:val="bottom"/>
            <w:shd w:val="clear" w:color="auto" w:fill="EBFBFF"/>
          </w:tcPr>
          <w:p>
            <w:pPr>
              <w:jc w:val="right"/>
              <w:ind w:right="199"/>
              <w:spacing w:after="0"/>
              <w:rPr>
                <w:sz w:val="20"/>
                <w:szCs w:val="20"/>
                <w:color w:val="auto"/>
              </w:rPr>
            </w:pPr>
            <w:r>
              <w:rPr>
                <w:rFonts w:ascii="Arial" w:cs="Arial" w:eastAsia="Arial" w:hAnsi="Arial"/>
                <w:sz w:val="16"/>
                <w:szCs w:val="16"/>
                <w:color w:val="51555C"/>
                <w:w w:val="89"/>
              </w:rPr>
              <w:t>$</w:t>
            </w:r>
          </w:p>
        </w:tc>
        <w:tc>
          <w:tcPr>
            <w:tcW w:w="1280" w:type="dxa"/>
            <w:vAlign w:val="bottom"/>
            <w:shd w:val="clear" w:color="auto" w:fill="EBFBFF"/>
          </w:tcPr>
          <w:p>
            <w:pPr>
              <w:jc w:val="right"/>
              <w:ind w:right="3"/>
              <w:spacing w:after="0"/>
              <w:rPr>
                <w:sz w:val="20"/>
                <w:szCs w:val="20"/>
                <w:color w:val="auto"/>
              </w:rPr>
            </w:pPr>
            <w:r>
              <w:rPr>
                <w:rFonts w:ascii="Arial" w:cs="Arial" w:eastAsia="Arial" w:hAnsi="Arial"/>
                <w:sz w:val="16"/>
                <w:szCs w:val="16"/>
                <w:color w:val="51555C"/>
              </w:rPr>
              <w:t>31,413</w:t>
            </w:r>
          </w:p>
        </w:tc>
        <w:tc>
          <w:tcPr>
            <w:tcW w:w="400" w:type="dxa"/>
            <w:vAlign w:val="bottom"/>
            <w:shd w:val="clear" w:color="auto" w:fill="EBFBFF"/>
          </w:tcPr>
          <w:p>
            <w:pPr>
              <w:jc w:val="right"/>
              <w:ind w:right="219"/>
              <w:spacing w:after="0"/>
              <w:rPr>
                <w:sz w:val="20"/>
                <w:szCs w:val="20"/>
                <w:color w:val="auto"/>
              </w:rPr>
            </w:pPr>
            <w:r>
              <w:rPr>
                <w:rFonts w:ascii="Arial" w:cs="Arial" w:eastAsia="Arial" w:hAnsi="Arial"/>
                <w:sz w:val="16"/>
                <w:szCs w:val="16"/>
                <w:color w:val="51555C"/>
                <w:w w:val="89"/>
              </w:rPr>
              <w:t>$</w:t>
            </w:r>
          </w:p>
        </w:tc>
        <w:tc>
          <w:tcPr>
            <w:tcW w:w="1260" w:type="dxa"/>
            <w:vAlign w:val="bottom"/>
            <w:shd w:val="clear" w:color="auto" w:fill="EBFBFF"/>
          </w:tcPr>
          <w:p>
            <w:pPr>
              <w:jc w:val="right"/>
              <w:ind w:right="3"/>
              <w:spacing w:after="0"/>
              <w:rPr>
                <w:sz w:val="20"/>
                <w:szCs w:val="20"/>
                <w:color w:val="auto"/>
              </w:rPr>
            </w:pPr>
            <w:r>
              <w:rPr>
                <w:rFonts w:ascii="Arial" w:cs="Arial" w:eastAsia="Arial" w:hAnsi="Arial"/>
                <w:sz w:val="16"/>
                <w:szCs w:val="16"/>
                <w:color w:val="51555C"/>
              </w:rPr>
              <w:t>55,146</w:t>
            </w:r>
          </w:p>
        </w:tc>
        <w:tc>
          <w:tcPr>
            <w:tcW w:w="20" w:type="dxa"/>
            <w:vAlign w:val="bottom"/>
          </w:tcPr>
          <w:p>
            <w:pPr>
              <w:spacing w:after="0"/>
              <w:rPr>
                <w:sz w:val="21"/>
                <w:szCs w:val="21"/>
                <w:color w:val="auto"/>
              </w:rPr>
            </w:pPr>
          </w:p>
        </w:tc>
      </w:tr>
      <w:tr>
        <w:trPr>
          <w:trHeight w:val="236"/>
        </w:trPr>
        <w:tc>
          <w:tcPr>
            <w:tcW w:w="7920" w:type="dxa"/>
            <w:vAlign w:val="bottom"/>
            <w:tcBorders>
              <w:bottom w:val="single" w:sz="8" w:color="EBFBFF"/>
            </w:tcBorders>
          </w:tcPr>
          <w:p>
            <w:pPr>
              <w:ind w:left="20"/>
              <w:spacing w:after="0"/>
              <w:rPr>
                <w:sz w:val="20"/>
                <w:szCs w:val="20"/>
                <w:color w:val="auto"/>
              </w:rPr>
            </w:pPr>
            <w:r>
              <w:rPr>
                <w:rFonts w:ascii="Arial" w:cs="Arial" w:eastAsia="Arial" w:hAnsi="Arial"/>
                <w:sz w:val="16"/>
                <w:szCs w:val="16"/>
                <w:color w:val="51555C"/>
              </w:rPr>
              <w:t>Restricted cash</w:t>
            </w:r>
          </w:p>
        </w:tc>
        <w:tc>
          <w:tcPr>
            <w:tcW w:w="380" w:type="dxa"/>
            <w:vAlign w:val="bottom"/>
            <w:tcBorders>
              <w:bottom w:val="single" w:sz="8" w:color="51555C"/>
            </w:tcBorders>
          </w:tcPr>
          <w:p>
            <w:pPr>
              <w:spacing w:after="0"/>
              <w:rPr>
                <w:sz w:val="20"/>
                <w:szCs w:val="20"/>
                <w:color w:val="auto"/>
              </w:rPr>
            </w:pPr>
          </w:p>
        </w:tc>
        <w:tc>
          <w:tcPr>
            <w:tcW w:w="1280" w:type="dxa"/>
            <w:vAlign w:val="bottom"/>
            <w:tcBorders>
              <w:bottom w:val="single" w:sz="8" w:color="51555C"/>
            </w:tcBorders>
          </w:tcPr>
          <w:p>
            <w:pPr>
              <w:jc w:val="right"/>
              <w:ind w:right="3"/>
              <w:spacing w:after="0"/>
              <w:rPr>
                <w:sz w:val="20"/>
                <w:szCs w:val="20"/>
                <w:color w:val="auto"/>
              </w:rPr>
            </w:pPr>
            <w:r>
              <w:rPr>
                <w:rFonts w:ascii="Arial" w:cs="Arial" w:eastAsia="Arial" w:hAnsi="Arial"/>
                <w:sz w:val="16"/>
                <w:szCs w:val="16"/>
                <w:color w:val="51555C"/>
              </w:rPr>
              <w:t>343,928</w:t>
            </w:r>
          </w:p>
        </w:tc>
        <w:tc>
          <w:tcPr>
            <w:tcW w:w="400" w:type="dxa"/>
            <w:vAlign w:val="bottom"/>
            <w:tcBorders>
              <w:bottom w:val="single" w:sz="8" w:color="51555C"/>
            </w:tcBorders>
          </w:tcPr>
          <w:p>
            <w:pPr>
              <w:spacing w:after="0"/>
              <w:rPr>
                <w:sz w:val="20"/>
                <w:szCs w:val="20"/>
                <w:color w:val="auto"/>
              </w:rPr>
            </w:pPr>
          </w:p>
        </w:tc>
        <w:tc>
          <w:tcPr>
            <w:tcW w:w="1260" w:type="dxa"/>
            <w:vAlign w:val="bottom"/>
            <w:tcBorders>
              <w:bottom w:val="single" w:sz="8" w:color="51555C"/>
            </w:tcBorders>
          </w:tcPr>
          <w:p>
            <w:pPr>
              <w:jc w:val="right"/>
              <w:ind w:right="3"/>
              <w:spacing w:after="0"/>
              <w:rPr>
                <w:sz w:val="20"/>
                <w:szCs w:val="20"/>
                <w:color w:val="auto"/>
              </w:rPr>
            </w:pPr>
            <w:r>
              <w:rPr>
                <w:rFonts w:ascii="Arial" w:cs="Arial" w:eastAsia="Arial" w:hAnsi="Arial"/>
                <w:sz w:val="16"/>
                <w:szCs w:val="16"/>
                <w:color w:val="51555C"/>
              </w:rPr>
              <w:t>596,616</w:t>
            </w:r>
          </w:p>
        </w:tc>
        <w:tc>
          <w:tcPr>
            <w:tcW w:w="20" w:type="dxa"/>
            <w:vAlign w:val="bottom"/>
          </w:tcPr>
          <w:p>
            <w:pPr>
              <w:spacing w:after="0"/>
              <w:rPr>
                <w:sz w:val="20"/>
                <w:szCs w:val="20"/>
                <w:color w:val="auto"/>
              </w:rPr>
            </w:pPr>
          </w:p>
        </w:tc>
      </w:tr>
      <w:tr>
        <w:trPr>
          <w:trHeight w:val="236"/>
        </w:trPr>
        <w:tc>
          <w:tcPr>
            <w:tcW w:w="7920" w:type="dxa"/>
            <w:vAlign w:val="bottom"/>
            <w:tcBorders>
              <w:bottom w:val="single" w:sz="8" w:color="0CD973"/>
            </w:tcBorders>
            <w:shd w:val="clear" w:color="auto" w:fill="EBFBFF"/>
          </w:tcPr>
          <w:p>
            <w:pPr>
              <w:ind w:left="140"/>
              <w:spacing w:after="0"/>
              <w:rPr>
                <w:sz w:val="20"/>
                <w:szCs w:val="20"/>
                <w:color w:val="auto"/>
              </w:rPr>
            </w:pPr>
            <w:r>
              <w:rPr>
                <w:rFonts w:ascii="Arial" w:cs="Arial" w:eastAsia="Arial" w:hAnsi="Arial"/>
                <w:sz w:val="16"/>
                <w:szCs w:val="16"/>
                <w:color w:val="51555C"/>
              </w:rPr>
              <w:t>Total cash, cash equivalents and restricted cash in the statement of cash flows</w:t>
            </w:r>
          </w:p>
        </w:tc>
        <w:tc>
          <w:tcPr>
            <w:tcW w:w="380" w:type="dxa"/>
            <w:vAlign w:val="bottom"/>
            <w:tcBorders>
              <w:bottom w:val="single" w:sz="8" w:color="0CD973"/>
            </w:tcBorders>
            <w:shd w:val="clear" w:color="auto" w:fill="EBFBFF"/>
          </w:tcPr>
          <w:p>
            <w:pPr>
              <w:jc w:val="right"/>
              <w:ind w:right="199"/>
              <w:spacing w:after="0"/>
              <w:rPr>
                <w:sz w:val="20"/>
                <w:szCs w:val="20"/>
                <w:color w:val="auto"/>
              </w:rPr>
            </w:pPr>
            <w:r>
              <w:rPr>
                <w:rFonts w:ascii="Arial" w:cs="Arial" w:eastAsia="Arial" w:hAnsi="Arial"/>
                <w:sz w:val="16"/>
                <w:szCs w:val="16"/>
                <w:color w:val="51555C"/>
                <w:w w:val="89"/>
              </w:rPr>
              <w:t>$</w:t>
            </w:r>
          </w:p>
        </w:tc>
        <w:tc>
          <w:tcPr>
            <w:tcW w:w="1280" w:type="dxa"/>
            <w:vAlign w:val="bottom"/>
            <w:tcBorders>
              <w:bottom w:val="single" w:sz="8" w:color="0CD973"/>
            </w:tcBorders>
            <w:shd w:val="clear" w:color="auto" w:fill="EBFBFF"/>
          </w:tcPr>
          <w:p>
            <w:pPr>
              <w:jc w:val="right"/>
              <w:ind w:right="3"/>
              <w:spacing w:after="0"/>
              <w:rPr>
                <w:sz w:val="20"/>
                <w:szCs w:val="20"/>
                <w:color w:val="auto"/>
              </w:rPr>
            </w:pPr>
            <w:r>
              <w:rPr>
                <w:rFonts w:ascii="Arial" w:cs="Arial" w:eastAsia="Arial" w:hAnsi="Arial"/>
                <w:sz w:val="16"/>
                <w:szCs w:val="16"/>
                <w:color w:val="51555C"/>
              </w:rPr>
              <w:t>375,341</w:t>
            </w:r>
          </w:p>
        </w:tc>
        <w:tc>
          <w:tcPr>
            <w:tcW w:w="400" w:type="dxa"/>
            <w:vAlign w:val="bottom"/>
            <w:tcBorders>
              <w:bottom w:val="single" w:sz="8" w:color="0CD973"/>
            </w:tcBorders>
            <w:shd w:val="clear" w:color="auto" w:fill="EBFBFF"/>
          </w:tcPr>
          <w:p>
            <w:pPr>
              <w:jc w:val="right"/>
              <w:ind w:right="219"/>
              <w:spacing w:after="0"/>
              <w:rPr>
                <w:sz w:val="20"/>
                <w:szCs w:val="20"/>
                <w:color w:val="auto"/>
              </w:rPr>
            </w:pPr>
            <w:r>
              <w:rPr>
                <w:rFonts w:ascii="Arial" w:cs="Arial" w:eastAsia="Arial" w:hAnsi="Arial"/>
                <w:sz w:val="16"/>
                <w:szCs w:val="16"/>
                <w:color w:val="51555C"/>
                <w:w w:val="89"/>
              </w:rPr>
              <w:t>$</w:t>
            </w:r>
          </w:p>
        </w:tc>
        <w:tc>
          <w:tcPr>
            <w:tcW w:w="1260" w:type="dxa"/>
            <w:vAlign w:val="bottom"/>
            <w:tcBorders>
              <w:bottom w:val="single" w:sz="8" w:color="0CD973"/>
            </w:tcBorders>
            <w:shd w:val="clear" w:color="auto" w:fill="EBFBFF"/>
          </w:tcPr>
          <w:p>
            <w:pPr>
              <w:jc w:val="right"/>
              <w:ind w:right="3"/>
              <w:spacing w:after="0"/>
              <w:rPr>
                <w:sz w:val="20"/>
                <w:szCs w:val="20"/>
                <w:color w:val="auto"/>
              </w:rPr>
            </w:pPr>
            <w:r>
              <w:rPr>
                <w:rFonts w:ascii="Arial" w:cs="Arial" w:eastAsia="Arial" w:hAnsi="Arial"/>
                <w:sz w:val="16"/>
                <w:szCs w:val="16"/>
                <w:color w:val="51555C"/>
              </w:rPr>
              <w:t>651,762</w:t>
            </w:r>
          </w:p>
        </w:tc>
        <w:tc>
          <w:tcPr>
            <w:tcW w:w="20" w:type="dxa"/>
            <w:vAlign w:val="bottom"/>
          </w:tcPr>
          <w:p>
            <w:pPr>
              <w:spacing w:after="0"/>
              <w:rPr>
                <w:sz w:val="20"/>
                <w:szCs w:val="20"/>
                <w:color w:val="auto"/>
              </w:rPr>
            </w:pPr>
          </w:p>
        </w:tc>
      </w:tr>
    </w:tbl>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51555C"/>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559435</wp:posOffset>
            </wp:positionV>
            <wp:extent cx="67691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880" w:type="dxa"/>
            <w:vAlign w:val="bottom"/>
          </w:tcPr>
          <w:p>
            <w:pPr>
              <w:jc w:val="right"/>
              <w:spacing w:after="0"/>
              <w:rPr>
                <w:sz w:val="20"/>
                <w:szCs w:val="20"/>
                <w:color w:val="auto"/>
              </w:rPr>
            </w:pPr>
            <w:r>
              <w:rPr>
                <w:rFonts w:ascii="Arial" w:cs="Arial" w:eastAsia="Arial" w:hAnsi="Arial"/>
                <w:sz w:val="14"/>
                <w:szCs w:val="14"/>
                <w:color w:val="51555C"/>
              </w:rPr>
              <w:t>5</w:t>
            </w:r>
          </w:p>
        </w:tc>
      </w:tr>
      <w:tr>
        <w:trPr>
          <w:trHeight w:val="329"/>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51555C"/>
        </w:rPr>
        <w:t>Blackbaud,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shd w:val="clear" w:color="auto" w:fill="004054"/>
          </w:tcPr>
          <w:p>
            <w:pPr>
              <w:spacing w:after="0"/>
              <w:rPr>
                <w:sz w:val="18"/>
                <w:szCs w:val="18"/>
                <w:color w:val="auto"/>
              </w:rPr>
            </w:pPr>
          </w:p>
        </w:tc>
        <w:tc>
          <w:tcPr>
            <w:tcW w:w="960" w:type="dxa"/>
            <w:vAlign w:val="bottom"/>
            <w:shd w:val="clear" w:color="auto" w:fill="004054"/>
          </w:tcPr>
          <w:p>
            <w:pPr>
              <w:spacing w:after="0"/>
              <w:rPr>
                <w:sz w:val="18"/>
                <w:szCs w:val="18"/>
                <w:color w:val="auto"/>
              </w:rPr>
            </w:pPr>
          </w:p>
        </w:tc>
        <w:tc>
          <w:tcPr>
            <w:tcW w:w="120" w:type="dxa"/>
            <w:vAlign w:val="bottom"/>
            <w:shd w:val="clear" w:color="auto" w:fill="004054"/>
          </w:tcPr>
          <w:p>
            <w:pPr>
              <w:spacing w:after="0"/>
              <w:rPr>
                <w:sz w:val="18"/>
                <w:szCs w:val="18"/>
                <w:color w:val="auto"/>
              </w:rPr>
            </w:pPr>
          </w:p>
        </w:tc>
        <w:tc>
          <w:tcPr>
            <w:tcW w:w="560" w:type="dxa"/>
            <w:vAlign w:val="bottom"/>
            <w:shd w:val="clear" w:color="auto" w:fill="004054"/>
          </w:tcPr>
          <w:p>
            <w:pPr>
              <w:spacing w:after="0"/>
              <w:rPr>
                <w:sz w:val="18"/>
                <w:szCs w:val="18"/>
                <w:color w:val="auto"/>
              </w:rPr>
            </w:pPr>
          </w:p>
        </w:tc>
        <w:tc>
          <w:tcPr>
            <w:tcW w:w="120" w:type="dxa"/>
            <w:vAlign w:val="bottom"/>
            <w:shd w:val="clear" w:color="auto" w:fill="004054"/>
          </w:tcPr>
          <w:p>
            <w:pPr>
              <w:spacing w:after="0"/>
              <w:rPr>
                <w:sz w:val="18"/>
                <w:szCs w:val="18"/>
                <w:color w:val="auto"/>
              </w:rPr>
            </w:pPr>
          </w:p>
        </w:tc>
        <w:tc>
          <w:tcPr>
            <w:tcW w:w="800" w:type="dxa"/>
            <w:vAlign w:val="bottom"/>
            <w:shd w:val="clear" w:color="auto" w:fill="004054"/>
          </w:tcPr>
          <w:p>
            <w:pPr>
              <w:spacing w:after="0"/>
              <w:rPr>
                <w:sz w:val="18"/>
                <w:szCs w:val="18"/>
                <w:color w:val="auto"/>
              </w:rPr>
            </w:pPr>
          </w:p>
        </w:tc>
        <w:tc>
          <w:tcPr>
            <w:tcW w:w="160" w:type="dxa"/>
            <w:vAlign w:val="bottom"/>
            <w:shd w:val="clear" w:color="auto" w:fill="004054"/>
          </w:tcPr>
          <w:p>
            <w:pPr>
              <w:spacing w:after="0"/>
              <w:rPr>
                <w:sz w:val="18"/>
                <w:szCs w:val="18"/>
                <w:color w:val="auto"/>
              </w:rPr>
            </w:pPr>
          </w:p>
        </w:tc>
        <w:tc>
          <w:tcPr>
            <w:tcW w:w="760" w:type="dxa"/>
            <w:vAlign w:val="bottom"/>
            <w:shd w:val="clear" w:color="auto" w:fill="004054"/>
          </w:tcPr>
          <w:p>
            <w:pPr>
              <w:spacing w:after="0"/>
              <w:rPr>
                <w:sz w:val="18"/>
                <w:szCs w:val="18"/>
                <w:color w:val="auto"/>
              </w:rPr>
            </w:pPr>
          </w:p>
        </w:tc>
        <w:tc>
          <w:tcPr>
            <w:tcW w:w="160" w:type="dxa"/>
            <w:vAlign w:val="bottom"/>
            <w:shd w:val="clear" w:color="auto" w:fill="004054"/>
          </w:tcPr>
          <w:p>
            <w:pPr>
              <w:spacing w:after="0"/>
              <w:rPr>
                <w:sz w:val="18"/>
                <w:szCs w:val="18"/>
                <w:color w:val="auto"/>
              </w:rPr>
            </w:pPr>
          </w:p>
        </w:tc>
        <w:tc>
          <w:tcPr>
            <w:tcW w:w="9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Accumulated</w:t>
            </w:r>
          </w:p>
        </w:tc>
        <w:tc>
          <w:tcPr>
            <w:tcW w:w="180" w:type="dxa"/>
            <w:vAlign w:val="bottom"/>
            <w:shd w:val="clear" w:color="auto" w:fill="004054"/>
          </w:tcPr>
          <w:p>
            <w:pPr>
              <w:spacing w:after="0"/>
              <w:rPr>
                <w:sz w:val="18"/>
                <w:szCs w:val="18"/>
                <w:color w:val="auto"/>
              </w:rPr>
            </w:pPr>
          </w:p>
        </w:tc>
        <w:tc>
          <w:tcPr>
            <w:tcW w:w="740" w:type="dxa"/>
            <w:vAlign w:val="bottom"/>
            <w:shd w:val="clear" w:color="auto" w:fill="004054"/>
          </w:tcPr>
          <w:p>
            <w:pPr>
              <w:spacing w:after="0"/>
              <w:rPr>
                <w:sz w:val="18"/>
                <w:szCs w:val="18"/>
                <w:color w:val="auto"/>
              </w:rPr>
            </w:pPr>
          </w:p>
        </w:tc>
        <w:tc>
          <w:tcPr>
            <w:tcW w:w="220" w:type="dxa"/>
            <w:vAlign w:val="bottom"/>
            <w:shd w:val="clear" w:color="auto" w:fill="004054"/>
          </w:tcPr>
          <w:p>
            <w:pPr>
              <w:spacing w:after="0"/>
              <w:rPr>
                <w:sz w:val="18"/>
                <w:szCs w:val="18"/>
                <w:color w:val="auto"/>
              </w:rPr>
            </w:pPr>
          </w:p>
        </w:tc>
        <w:tc>
          <w:tcPr>
            <w:tcW w:w="780" w:type="dxa"/>
            <w:vAlign w:val="bottom"/>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380" w:type="dxa"/>
            <w:vAlign w:val="bottom"/>
            <w:shd w:val="clear" w:color="auto" w:fill="004054"/>
          </w:tcPr>
          <w:p>
            <w:pPr>
              <w:spacing w:after="0"/>
              <w:rPr>
                <w:sz w:val="15"/>
                <w:szCs w:val="15"/>
                <w:color w:val="auto"/>
              </w:rPr>
            </w:pPr>
          </w:p>
        </w:tc>
        <w:tc>
          <w:tcPr>
            <w:tcW w:w="1640" w:type="dxa"/>
            <w:vAlign w:val="bottom"/>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Common stock</w:t>
            </w:r>
          </w:p>
        </w:tc>
        <w:tc>
          <w:tcPr>
            <w:tcW w:w="120" w:type="dxa"/>
            <w:vAlign w:val="bottom"/>
            <w:shd w:val="clear" w:color="auto" w:fill="004054"/>
          </w:tcPr>
          <w:p>
            <w:pPr>
              <w:spacing w:after="0"/>
              <w:rPr>
                <w:sz w:val="15"/>
                <w:szCs w:val="15"/>
                <w:color w:val="auto"/>
              </w:rPr>
            </w:pPr>
          </w:p>
        </w:tc>
        <w:tc>
          <w:tcPr>
            <w:tcW w:w="8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Additional</w:t>
            </w:r>
          </w:p>
        </w:tc>
        <w:tc>
          <w:tcPr>
            <w:tcW w:w="160" w:type="dxa"/>
            <w:vAlign w:val="bottom"/>
            <w:shd w:val="clear" w:color="auto" w:fill="004054"/>
          </w:tcPr>
          <w:p>
            <w:pPr>
              <w:spacing w:after="0"/>
              <w:rPr>
                <w:sz w:val="15"/>
                <w:szCs w:val="15"/>
                <w:color w:val="auto"/>
              </w:rPr>
            </w:pPr>
          </w:p>
        </w:tc>
        <w:tc>
          <w:tcPr>
            <w:tcW w:w="76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Treasury</w:t>
            </w:r>
          </w:p>
        </w:tc>
        <w:tc>
          <w:tcPr>
            <w:tcW w:w="160" w:type="dxa"/>
            <w:vAlign w:val="bottom"/>
            <w:shd w:val="clear" w:color="auto" w:fill="004054"/>
          </w:tcPr>
          <w:p>
            <w:pPr>
              <w:spacing w:after="0"/>
              <w:rPr>
                <w:sz w:val="15"/>
                <w:szCs w:val="15"/>
                <w:color w:val="auto"/>
              </w:rPr>
            </w:pPr>
          </w:p>
        </w:tc>
        <w:tc>
          <w:tcPr>
            <w:tcW w:w="9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other</w:t>
            </w:r>
          </w:p>
        </w:tc>
        <w:tc>
          <w:tcPr>
            <w:tcW w:w="180" w:type="dxa"/>
            <w:vAlign w:val="bottom"/>
            <w:shd w:val="clear" w:color="auto" w:fill="004054"/>
          </w:tcPr>
          <w:p>
            <w:pPr>
              <w:spacing w:after="0"/>
              <w:rPr>
                <w:sz w:val="15"/>
                <w:szCs w:val="15"/>
                <w:color w:val="auto"/>
              </w:rPr>
            </w:pPr>
          </w:p>
        </w:tc>
        <w:tc>
          <w:tcPr>
            <w:tcW w:w="74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Retained</w:t>
            </w:r>
          </w:p>
        </w:tc>
        <w:tc>
          <w:tcPr>
            <w:tcW w:w="220" w:type="dxa"/>
            <w:vAlign w:val="bottom"/>
            <w:shd w:val="clear" w:color="auto" w:fill="004054"/>
          </w:tcPr>
          <w:p>
            <w:pPr>
              <w:spacing w:after="0"/>
              <w:rPr>
                <w:sz w:val="15"/>
                <w:szCs w:val="15"/>
                <w:color w:val="auto"/>
              </w:rPr>
            </w:pPr>
          </w:p>
        </w:tc>
        <w:tc>
          <w:tcPr>
            <w:tcW w:w="7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09"/>
        </w:trPr>
        <w:tc>
          <w:tcPr>
            <w:tcW w:w="4380" w:type="dxa"/>
            <w:vAlign w:val="bottom"/>
            <w:shd w:val="clear" w:color="auto" w:fill="004054"/>
          </w:tcPr>
          <w:p>
            <w:pPr>
              <w:spacing w:after="0"/>
              <w:rPr>
                <w:sz w:val="9"/>
                <w:szCs w:val="9"/>
                <w:color w:val="auto"/>
              </w:rPr>
            </w:pPr>
          </w:p>
        </w:tc>
        <w:tc>
          <w:tcPr>
            <w:tcW w:w="1640" w:type="dxa"/>
            <w:vAlign w:val="bottom"/>
            <w:gridSpan w:val="3"/>
            <w:vMerge w:val="continue"/>
            <w:shd w:val="clear" w:color="auto" w:fill="004054"/>
          </w:tcPr>
          <w:p>
            <w:pPr>
              <w:spacing w:after="0"/>
              <w:rPr>
                <w:sz w:val="9"/>
                <w:szCs w:val="9"/>
                <w:color w:val="auto"/>
              </w:rPr>
            </w:pPr>
          </w:p>
        </w:tc>
        <w:tc>
          <w:tcPr>
            <w:tcW w:w="120" w:type="dxa"/>
            <w:vAlign w:val="bottom"/>
            <w:shd w:val="clear" w:color="auto" w:fill="004054"/>
          </w:tcPr>
          <w:p>
            <w:pPr>
              <w:spacing w:after="0"/>
              <w:rPr>
                <w:sz w:val="9"/>
                <w:szCs w:val="9"/>
                <w:color w:val="auto"/>
              </w:rPr>
            </w:pPr>
          </w:p>
        </w:tc>
        <w:tc>
          <w:tcPr>
            <w:tcW w:w="80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paid-in</w:t>
            </w:r>
          </w:p>
        </w:tc>
        <w:tc>
          <w:tcPr>
            <w:tcW w:w="160" w:type="dxa"/>
            <w:vAlign w:val="bottom"/>
            <w:shd w:val="clear" w:color="auto" w:fill="004054"/>
          </w:tcPr>
          <w:p>
            <w:pPr>
              <w:spacing w:after="0"/>
              <w:rPr>
                <w:sz w:val="9"/>
                <w:szCs w:val="9"/>
                <w:color w:val="auto"/>
              </w:rPr>
            </w:pPr>
          </w:p>
        </w:tc>
        <w:tc>
          <w:tcPr>
            <w:tcW w:w="760" w:type="dxa"/>
            <w:vAlign w:val="bottom"/>
            <w:vMerge w:val="continue"/>
            <w:shd w:val="clear" w:color="auto" w:fill="004054"/>
          </w:tcPr>
          <w:p>
            <w:pPr>
              <w:spacing w:after="0"/>
              <w:rPr>
                <w:sz w:val="9"/>
                <w:szCs w:val="9"/>
                <w:color w:val="auto"/>
              </w:rPr>
            </w:pPr>
          </w:p>
        </w:tc>
        <w:tc>
          <w:tcPr>
            <w:tcW w:w="1140" w:type="dxa"/>
            <w:vAlign w:val="bottom"/>
            <w:gridSpan w:val="2"/>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comprehensive</w:t>
            </w:r>
          </w:p>
        </w:tc>
        <w:tc>
          <w:tcPr>
            <w:tcW w:w="180" w:type="dxa"/>
            <w:vAlign w:val="bottom"/>
            <w:shd w:val="clear" w:color="auto" w:fill="004054"/>
          </w:tcPr>
          <w:p>
            <w:pPr>
              <w:spacing w:after="0"/>
              <w:rPr>
                <w:sz w:val="9"/>
                <w:szCs w:val="9"/>
                <w:color w:val="auto"/>
              </w:rPr>
            </w:pPr>
          </w:p>
        </w:tc>
        <w:tc>
          <w:tcPr>
            <w:tcW w:w="740" w:type="dxa"/>
            <w:vAlign w:val="bottom"/>
            <w:vMerge w:val="continue"/>
            <w:shd w:val="clear" w:color="auto" w:fill="004054"/>
          </w:tcPr>
          <w:p>
            <w:pPr>
              <w:spacing w:after="0"/>
              <w:rPr>
                <w:sz w:val="9"/>
                <w:szCs w:val="9"/>
                <w:color w:val="auto"/>
              </w:rPr>
            </w:pPr>
          </w:p>
        </w:tc>
        <w:tc>
          <w:tcPr>
            <w:tcW w:w="1000" w:type="dxa"/>
            <w:vAlign w:val="bottom"/>
            <w:gridSpan w:val="2"/>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stockholders'</w:t>
            </w:r>
          </w:p>
        </w:tc>
        <w:tc>
          <w:tcPr>
            <w:tcW w:w="0" w:type="dxa"/>
            <w:vAlign w:val="bottom"/>
          </w:tcPr>
          <w:p>
            <w:pPr>
              <w:spacing w:after="0"/>
              <w:rPr>
                <w:sz w:val="1"/>
                <w:szCs w:val="1"/>
                <w:color w:val="auto"/>
              </w:rPr>
            </w:pPr>
          </w:p>
        </w:tc>
      </w:tr>
      <w:tr>
        <w:trPr>
          <w:trHeight w:val="53"/>
        </w:trPr>
        <w:tc>
          <w:tcPr>
            <w:tcW w:w="4380" w:type="dxa"/>
            <w:vAlign w:val="bottom"/>
            <w:shd w:val="clear" w:color="auto" w:fill="004054"/>
          </w:tcPr>
          <w:p>
            <w:pPr>
              <w:spacing w:after="0"/>
              <w:rPr>
                <w:sz w:val="4"/>
                <w:szCs w:val="4"/>
                <w:color w:val="auto"/>
              </w:rPr>
            </w:pPr>
          </w:p>
        </w:tc>
        <w:tc>
          <w:tcPr>
            <w:tcW w:w="960" w:type="dxa"/>
            <w:vAlign w:val="bottom"/>
            <w:shd w:val="clear" w:color="auto" w:fill="004054"/>
          </w:tcPr>
          <w:p>
            <w:pPr>
              <w:spacing w:after="0"/>
              <w:rPr>
                <w:sz w:val="4"/>
                <w:szCs w:val="4"/>
                <w:color w:val="auto"/>
              </w:rPr>
            </w:pPr>
          </w:p>
        </w:tc>
        <w:tc>
          <w:tcPr>
            <w:tcW w:w="120" w:type="dxa"/>
            <w:vAlign w:val="bottom"/>
            <w:shd w:val="clear" w:color="auto" w:fill="004054"/>
          </w:tcPr>
          <w:p>
            <w:pPr>
              <w:spacing w:after="0"/>
              <w:rPr>
                <w:sz w:val="4"/>
                <w:szCs w:val="4"/>
                <w:color w:val="auto"/>
              </w:rPr>
            </w:pPr>
          </w:p>
        </w:tc>
        <w:tc>
          <w:tcPr>
            <w:tcW w:w="560" w:type="dxa"/>
            <w:vAlign w:val="bottom"/>
            <w:shd w:val="clear" w:color="auto" w:fill="004054"/>
          </w:tcPr>
          <w:p>
            <w:pPr>
              <w:spacing w:after="0"/>
              <w:rPr>
                <w:sz w:val="4"/>
                <w:szCs w:val="4"/>
                <w:color w:val="auto"/>
              </w:rPr>
            </w:pPr>
          </w:p>
        </w:tc>
        <w:tc>
          <w:tcPr>
            <w:tcW w:w="120" w:type="dxa"/>
            <w:vAlign w:val="bottom"/>
            <w:shd w:val="clear" w:color="auto" w:fill="004054"/>
          </w:tcPr>
          <w:p>
            <w:pPr>
              <w:spacing w:after="0"/>
              <w:rPr>
                <w:sz w:val="4"/>
                <w:szCs w:val="4"/>
                <w:color w:val="auto"/>
              </w:rPr>
            </w:pPr>
          </w:p>
        </w:tc>
        <w:tc>
          <w:tcPr>
            <w:tcW w:w="800" w:type="dxa"/>
            <w:vAlign w:val="bottom"/>
            <w:vMerge w:val="continue"/>
            <w:shd w:val="clear" w:color="auto" w:fill="004054"/>
          </w:tcPr>
          <w:p>
            <w:pPr>
              <w:spacing w:after="0"/>
              <w:rPr>
                <w:sz w:val="4"/>
                <w:szCs w:val="4"/>
                <w:color w:val="auto"/>
              </w:rPr>
            </w:pPr>
          </w:p>
        </w:tc>
        <w:tc>
          <w:tcPr>
            <w:tcW w:w="160" w:type="dxa"/>
            <w:vAlign w:val="bottom"/>
            <w:shd w:val="clear" w:color="auto" w:fill="004054"/>
          </w:tcPr>
          <w:p>
            <w:pPr>
              <w:spacing w:after="0"/>
              <w:rPr>
                <w:sz w:val="4"/>
                <w:szCs w:val="4"/>
                <w:color w:val="auto"/>
              </w:rPr>
            </w:pPr>
          </w:p>
        </w:tc>
        <w:tc>
          <w:tcPr>
            <w:tcW w:w="760" w:type="dxa"/>
            <w:vAlign w:val="bottom"/>
            <w:vMerge w:val="continue"/>
            <w:shd w:val="clear" w:color="auto" w:fill="004054"/>
          </w:tcPr>
          <w:p>
            <w:pPr>
              <w:spacing w:after="0"/>
              <w:rPr>
                <w:sz w:val="4"/>
                <w:szCs w:val="4"/>
                <w:color w:val="auto"/>
              </w:rPr>
            </w:pPr>
          </w:p>
        </w:tc>
        <w:tc>
          <w:tcPr>
            <w:tcW w:w="1140" w:type="dxa"/>
            <w:vAlign w:val="bottom"/>
            <w:gridSpan w:val="2"/>
            <w:vMerge w:val="continue"/>
            <w:shd w:val="clear" w:color="auto" w:fill="004054"/>
          </w:tcPr>
          <w:p>
            <w:pPr>
              <w:spacing w:after="0"/>
              <w:rPr>
                <w:sz w:val="4"/>
                <w:szCs w:val="4"/>
                <w:color w:val="auto"/>
              </w:rPr>
            </w:pPr>
          </w:p>
        </w:tc>
        <w:tc>
          <w:tcPr>
            <w:tcW w:w="180" w:type="dxa"/>
            <w:vAlign w:val="bottom"/>
            <w:shd w:val="clear" w:color="auto" w:fill="004054"/>
          </w:tcPr>
          <w:p>
            <w:pPr>
              <w:spacing w:after="0"/>
              <w:rPr>
                <w:sz w:val="4"/>
                <w:szCs w:val="4"/>
                <w:color w:val="auto"/>
              </w:rPr>
            </w:pPr>
          </w:p>
        </w:tc>
        <w:tc>
          <w:tcPr>
            <w:tcW w:w="740" w:type="dxa"/>
            <w:vAlign w:val="bottom"/>
            <w:vMerge w:val="continue"/>
            <w:shd w:val="clear" w:color="auto" w:fill="004054"/>
          </w:tcPr>
          <w:p>
            <w:pPr>
              <w:spacing w:after="0"/>
              <w:rPr>
                <w:sz w:val="4"/>
                <w:szCs w:val="4"/>
                <w:color w:val="auto"/>
              </w:rPr>
            </w:pPr>
          </w:p>
        </w:tc>
        <w:tc>
          <w:tcPr>
            <w:tcW w:w="1000" w:type="dxa"/>
            <w:vAlign w:val="bottom"/>
            <w:gridSpan w:val="2"/>
            <w:vMerge w:val="continue"/>
            <w:shd w:val="clear" w:color="auto" w:fill="004054"/>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9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Shares</w:t>
            </w:r>
          </w:p>
        </w:tc>
        <w:tc>
          <w:tcPr>
            <w:tcW w:w="120" w:type="dxa"/>
            <w:vAlign w:val="bottom"/>
            <w:tcBorders>
              <w:bottom w:val="single" w:sz="8" w:color="004054"/>
            </w:tcBorders>
            <w:shd w:val="clear" w:color="auto" w:fill="004054"/>
          </w:tcPr>
          <w:p>
            <w:pPr>
              <w:spacing w:after="0"/>
              <w:rPr>
                <w:sz w:val="18"/>
                <w:szCs w:val="18"/>
                <w:color w:val="auto"/>
              </w:rPr>
            </w:pPr>
          </w:p>
        </w:tc>
        <w:tc>
          <w:tcPr>
            <w:tcW w:w="5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Amount</w:t>
            </w:r>
          </w:p>
        </w:tc>
        <w:tc>
          <w:tcPr>
            <w:tcW w:w="120" w:type="dxa"/>
            <w:vAlign w:val="bottom"/>
            <w:tcBorders>
              <w:bottom w:val="single" w:sz="8" w:color="004054"/>
            </w:tcBorders>
            <w:shd w:val="clear" w:color="auto" w:fill="004054"/>
          </w:tcPr>
          <w:p>
            <w:pPr>
              <w:spacing w:after="0"/>
              <w:rPr>
                <w:sz w:val="18"/>
                <w:szCs w:val="18"/>
                <w:color w:val="auto"/>
              </w:rPr>
            </w:pPr>
          </w:p>
        </w:tc>
        <w:tc>
          <w:tcPr>
            <w:tcW w:w="8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capital</w:t>
            </w:r>
          </w:p>
        </w:tc>
        <w:tc>
          <w:tcPr>
            <w:tcW w:w="160" w:type="dxa"/>
            <w:vAlign w:val="bottom"/>
            <w:tcBorders>
              <w:bottom w:val="single" w:sz="8" w:color="004054"/>
            </w:tcBorders>
            <w:shd w:val="clear" w:color="auto" w:fill="004054"/>
          </w:tcPr>
          <w:p>
            <w:pPr>
              <w:spacing w:after="0"/>
              <w:rPr>
                <w:sz w:val="18"/>
                <w:szCs w:val="18"/>
                <w:color w:val="auto"/>
              </w:rPr>
            </w:pPr>
          </w:p>
        </w:tc>
        <w:tc>
          <w:tcPr>
            <w:tcW w:w="7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stock</w:t>
            </w:r>
          </w:p>
        </w:tc>
        <w:tc>
          <w:tcPr>
            <w:tcW w:w="160" w:type="dxa"/>
            <w:vAlign w:val="bottom"/>
            <w:tcBorders>
              <w:bottom w:val="single" w:sz="8" w:color="004054"/>
            </w:tcBorders>
            <w:shd w:val="clear" w:color="auto" w:fill="004054"/>
          </w:tcPr>
          <w:p>
            <w:pPr>
              <w:spacing w:after="0"/>
              <w:rPr>
                <w:sz w:val="18"/>
                <w:szCs w:val="18"/>
                <w:color w:val="auto"/>
              </w:rPr>
            </w:pPr>
          </w:p>
        </w:tc>
        <w:tc>
          <w:tcPr>
            <w:tcW w:w="9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loss (income)</w:t>
            </w:r>
          </w:p>
        </w:tc>
        <w:tc>
          <w:tcPr>
            <w:tcW w:w="180" w:type="dxa"/>
            <w:vAlign w:val="bottom"/>
            <w:tcBorders>
              <w:bottom w:val="single" w:sz="8" w:color="004054"/>
            </w:tcBorders>
            <w:shd w:val="clear" w:color="auto" w:fill="004054"/>
          </w:tcPr>
          <w:p>
            <w:pPr>
              <w:spacing w:after="0"/>
              <w:rPr>
                <w:sz w:val="18"/>
                <w:szCs w:val="18"/>
                <w:color w:val="auto"/>
              </w:rPr>
            </w:pPr>
          </w:p>
        </w:tc>
        <w:tc>
          <w:tcPr>
            <w:tcW w:w="7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earnings</w:t>
            </w:r>
          </w:p>
        </w:tc>
        <w:tc>
          <w:tcPr>
            <w:tcW w:w="220" w:type="dxa"/>
            <w:vAlign w:val="bottom"/>
            <w:tcBorders>
              <w:bottom w:val="single" w:sz="8" w:color="004054"/>
            </w:tcBorders>
            <w:shd w:val="clear" w:color="auto" w:fill="004054"/>
          </w:tcPr>
          <w:p>
            <w:pPr>
              <w:spacing w:after="0"/>
              <w:rPr>
                <w:sz w:val="18"/>
                <w:szCs w:val="18"/>
                <w:color w:val="auto"/>
              </w:rPr>
            </w:pPr>
          </w:p>
        </w:tc>
        <w:tc>
          <w:tcPr>
            <w:tcW w:w="7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243"/>
        </w:trPr>
        <w:tc>
          <w:tcPr>
            <w:tcW w:w="438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Balance at December 31, 2021</w:t>
            </w: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66,165,666</w:t>
            </w:r>
          </w:p>
        </w:tc>
        <w:tc>
          <w:tcPr>
            <w:tcW w:w="12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66</w:t>
            </w:r>
          </w:p>
        </w:tc>
        <w:tc>
          <w:tcPr>
            <w:tcW w:w="1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968,927</w:t>
            </w:r>
          </w:p>
        </w:tc>
        <w:tc>
          <w:tcPr>
            <w:tcW w:w="1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(500,911)</w:t>
            </w:r>
          </w:p>
        </w:tc>
        <w:tc>
          <w:tcPr>
            <w:tcW w:w="1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6,522</w:t>
            </w:r>
          </w:p>
        </w:tc>
        <w:tc>
          <w:tcPr>
            <w:tcW w:w="18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242,456</w:t>
            </w:r>
          </w:p>
        </w:tc>
        <w:tc>
          <w:tcPr>
            <w:tcW w:w="220" w:type="dxa"/>
            <w:vAlign w:val="bottom"/>
            <w:shd w:val="clear" w:color="auto" w:fill="EBFBFF"/>
          </w:tcPr>
          <w:p>
            <w:pPr>
              <w:jc w:val="right"/>
              <w:ind w:right="41"/>
              <w:spacing w:after="0"/>
              <w:rPr>
                <w:sz w:val="20"/>
                <w:szCs w:val="20"/>
                <w:color w:val="auto"/>
              </w:rPr>
            </w:pPr>
            <w:r>
              <w:rPr>
                <w:rFonts w:ascii="Arial" w:cs="Arial" w:eastAsia="Arial" w:hAnsi="Arial"/>
                <w:sz w:val="16"/>
                <w:szCs w:val="16"/>
                <w:color w:val="51555C"/>
                <w:w w:val="89"/>
              </w:rPr>
              <w:t>$</w:t>
            </w: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717,060</w:t>
            </w:r>
          </w:p>
        </w:tc>
        <w:tc>
          <w:tcPr>
            <w:tcW w:w="0" w:type="dxa"/>
            <w:vAlign w:val="bottom"/>
          </w:tcPr>
          <w:p>
            <w:pPr>
              <w:spacing w:after="0"/>
              <w:rPr>
                <w:sz w:val="1"/>
                <w:szCs w:val="1"/>
                <w:color w:val="auto"/>
              </w:rPr>
            </w:pPr>
          </w:p>
        </w:tc>
      </w:tr>
      <w:tr>
        <w:trPr>
          <w:trHeight w:val="233"/>
        </w:trPr>
        <w:tc>
          <w:tcPr>
            <w:tcW w:w="4380" w:type="dxa"/>
            <w:vAlign w:val="bottom"/>
          </w:tcPr>
          <w:p>
            <w:pPr>
              <w:ind w:left="140"/>
              <w:spacing w:after="0"/>
              <w:rPr>
                <w:sz w:val="20"/>
                <w:szCs w:val="20"/>
                <w:color w:val="auto"/>
              </w:rPr>
            </w:pPr>
            <w:r>
              <w:rPr>
                <w:rFonts w:ascii="Arial" w:cs="Arial" w:eastAsia="Arial" w:hAnsi="Arial"/>
                <w:sz w:val="16"/>
                <w:szCs w:val="16"/>
                <w:color w:val="51555C"/>
              </w:rPr>
              <w:t>Net loss</w:t>
            </w: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(10,407)</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(10,407)</w:t>
            </w:r>
          </w:p>
        </w:tc>
        <w:tc>
          <w:tcPr>
            <w:tcW w:w="0" w:type="dxa"/>
            <w:vAlign w:val="bottom"/>
          </w:tcPr>
          <w:p>
            <w:pPr>
              <w:spacing w:after="0"/>
              <w:rPr>
                <w:sz w:val="1"/>
                <w:szCs w:val="1"/>
                <w:color w:val="auto"/>
              </w:rPr>
            </w:pPr>
          </w:p>
        </w:tc>
      </w:tr>
      <w:tr>
        <w:trPr>
          <w:trHeight w:val="228"/>
        </w:trPr>
        <w:tc>
          <w:tcPr>
            <w:tcW w:w="43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Stock issuance costs related to purchase of EVERFI (see</w:t>
            </w:r>
          </w:p>
        </w:tc>
        <w:tc>
          <w:tcPr>
            <w:tcW w:w="960" w:type="dxa"/>
            <w:vAlign w:val="bottom"/>
            <w:shd w:val="clear" w:color="auto" w:fill="EBFBFF"/>
          </w:tcPr>
          <w:p>
            <w:pPr>
              <w:spacing w:after="0"/>
              <w:rPr>
                <w:sz w:val="19"/>
                <w:szCs w:val="19"/>
                <w:color w:val="auto"/>
              </w:rPr>
            </w:pPr>
          </w:p>
        </w:tc>
        <w:tc>
          <w:tcPr>
            <w:tcW w:w="120" w:type="dxa"/>
            <w:vAlign w:val="bottom"/>
            <w:shd w:val="clear" w:color="auto" w:fill="EBFBFF"/>
          </w:tcPr>
          <w:p>
            <w:pPr>
              <w:spacing w:after="0"/>
              <w:rPr>
                <w:sz w:val="19"/>
                <w:szCs w:val="19"/>
                <w:color w:val="auto"/>
              </w:rPr>
            </w:pPr>
          </w:p>
        </w:tc>
        <w:tc>
          <w:tcPr>
            <w:tcW w:w="560" w:type="dxa"/>
            <w:vAlign w:val="bottom"/>
            <w:shd w:val="clear" w:color="auto" w:fill="EBFBFF"/>
          </w:tcPr>
          <w:p>
            <w:pPr>
              <w:spacing w:after="0"/>
              <w:rPr>
                <w:sz w:val="19"/>
                <w:szCs w:val="19"/>
                <w:color w:val="auto"/>
              </w:rPr>
            </w:pPr>
          </w:p>
        </w:tc>
        <w:tc>
          <w:tcPr>
            <w:tcW w:w="120" w:type="dxa"/>
            <w:vAlign w:val="bottom"/>
            <w:shd w:val="clear" w:color="auto" w:fill="EBFBFF"/>
          </w:tcPr>
          <w:p>
            <w:pPr>
              <w:spacing w:after="0"/>
              <w:rPr>
                <w:sz w:val="19"/>
                <w:szCs w:val="19"/>
                <w:color w:val="auto"/>
              </w:rPr>
            </w:pPr>
          </w:p>
        </w:tc>
        <w:tc>
          <w:tcPr>
            <w:tcW w:w="80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76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980" w:type="dxa"/>
            <w:vAlign w:val="bottom"/>
            <w:shd w:val="clear" w:color="auto" w:fill="EBFBFF"/>
          </w:tcPr>
          <w:p>
            <w:pPr>
              <w:spacing w:after="0"/>
              <w:rPr>
                <w:sz w:val="19"/>
                <w:szCs w:val="19"/>
                <w:color w:val="auto"/>
              </w:rPr>
            </w:pPr>
          </w:p>
        </w:tc>
        <w:tc>
          <w:tcPr>
            <w:tcW w:w="180" w:type="dxa"/>
            <w:vAlign w:val="bottom"/>
            <w:shd w:val="clear" w:color="auto" w:fill="EBFBFF"/>
          </w:tcPr>
          <w:p>
            <w:pPr>
              <w:spacing w:after="0"/>
              <w:rPr>
                <w:sz w:val="19"/>
                <w:szCs w:val="19"/>
                <w:color w:val="auto"/>
              </w:rPr>
            </w:pPr>
          </w:p>
        </w:tc>
        <w:tc>
          <w:tcPr>
            <w:tcW w:w="740" w:type="dxa"/>
            <w:vAlign w:val="bottom"/>
            <w:shd w:val="clear" w:color="auto" w:fill="EBFBFF"/>
          </w:tcPr>
          <w:p>
            <w:pPr>
              <w:spacing w:after="0"/>
              <w:rPr>
                <w:sz w:val="19"/>
                <w:szCs w:val="19"/>
                <w:color w:val="auto"/>
              </w:rPr>
            </w:pPr>
          </w:p>
        </w:tc>
        <w:tc>
          <w:tcPr>
            <w:tcW w:w="220" w:type="dxa"/>
            <w:vAlign w:val="bottom"/>
            <w:shd w:val="clear" w:color="auto" w:fill="EBFBFF"/>
          </w:tcPr>
          <w:p>
            <w:pPr>
              <w:spacing w:after="0"/>
              <w:rPr>
                <w:sz w:val="19"/>
                <w:szCs w:val="19"/>
                <w:color w:val="auto"/>
              </w:rPr>
            </w:pPr>
          </w:p>
        </w:tc>
        <w:tc>
          <w:tcPr>
            <w:tcW w:w="780" w:type="dxa"/>
            <w:vAlign w:val="bottom"/>
            <w:shd w:val="clear" w:color="auto" w:fill="EBFB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Note 3)</w:t>
            </w: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19"/>
                <w:szCs w:val="19"/>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19"/>
                <w:szCs w:val="19"/>
                <w:color w:val="auto"/>
              </w:rPr>
            </w:pP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(983)</w:t>
            </w:r>
          </w:p>
        </w:tc>
        <w:tc>
          <w:tcPr>
            <w:tcW w:w="160" w:type="dxa"/>
            <w:vAlign w:val="bottom"/>
            <w:shd w:val="clear" w:color="auto" w:fill="EBFBFF"/>
          </w:tcPr>
          <w:p>
            <w:pPr>
              <w:spacing w:after="0"/>
              <w:rPr>
                <w:sz w:val="19"/>
                <w:szCs w:val="19"/>
                <w:color w:val="auto"/>
              </w:rPr>
            </w:pP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19"/>
                <w:szCs w:val="19"/>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80" w:type="dxa"/>
            <w:vAlign w:val="bottom"/>
            <w:shd w:val="clear" w:color="auto" w:fill="EBFBFF"/>
          </w:tcPr>
          <w:p>
            <w:pPr>
              <w:spacing w:after="0"/>
              <w:rPr>
                <w:sz w:val="19"/>
                <w:szCs w:val="19"/>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19"/>
                <w:szCs w:val="19"/>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(983)</w:t>
            </w:r>
          </w:p>
        </w:tc>
        <w:tc>
          <w:tcPr>
            <w:tcW w:w="0" w:type="dxa"/>
            <w:vAlign w:val="bottom"/>
          </w:tcPr>
          <w:p>
            <w:pPr>
              <w:spacing w:after="0"/>
              <w:rPr>
                <w:sz w:val="1"/>
                <w:szCs w:val="1"/>
                <w:color w:val="auto"/>
              </w:rPr>
            </w:pPr>
          </w:p>
        </w:tc>
      </w:tr>
      <w:tr>
        <w:trPr>
          <w:trHeight w:val="243"/>
        </w:trPr>
        <w:tc>
          <w:tcPr>
            <w:tcW w:w="4380" w:type="dxa"/>
            <w:vAlign w:val="bottom"/>
          </w:tcPr>
          <w:p>
            <w:pPr>
              <w:ind w:left="140"/>
              <w:spacing w:after="0"/>
              <w:rPr>
                <w:sz w:val="20"/>
                <w:szCs w:val="20"/>
                <w:color w:val="auto"/>
              </w:rPr>
            </w:pPr>
            <w:r>
              <w:rPr>
                <w:rFonts w:ascii="Arial" w:cs="Arial" w:eastAsia="Arial" w:hAnsi="Arial"/>
                <w:sz w:val="16"/>
                <w:szCs w:val="16"/>
                <w:color w:val="51555C"/>
              </w:rPr>
              <w:t>Retirements of common stock</w:t>
            </w:r>
            <w:r>
              <w:rPr>
                <w:rFonts w:ascii="Arial" w:cs="Arial" w:eastAsia="Arial" w:hAnsi="Arial"/>
                <w:sz w:val="21"/>
                <w:szCs w:val="21"/>
                <w:color w:val="51555C"/>
                <w:vertAlign w:val="superscript"/>
              </w:rPr>
              <w:t>(1)</w:t>
            </w:r>
          </w:p>
        </w:tc>
        <w:tc>
          <w:tcPr>
            <w:tcW w:w="960" w:type="dxa"/>
            <w:vAlign w:val="bottom"/>
          </w:tcPr>
          <w:p>
            <w:pPr>
              <w:jc w:val="right"/>
              <w:spacing w:after="0"/>
              <w:rPr>
                <w:sz w:val="20"/>
                <w:szCs w:val="20"/>
                <w:color w:val="auto"/>
              </w:rPr>
            </w:pPr>
            <w:r>
              <w:rPr>
                <w:rFonts w:ascii="Arial" w:cs="Arial" w:eastAsia="Arial" w:hAnsi="Arial"/>
                <w:sz w:val="16"/>
                <w:szCs w:val="16"/>
                <w:color w:val="51555C"/>
              </w:rPr>
              <w:t>(33,075)</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(2,581)</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(2,581)</w:t>
            </w:r>
          </w:p>
        </w:tc>
        <w:tc>
          <w:tcPr>
            <w:tcW w:w="0" w:type="dxa"/>
            <w:vAlign w:val="bottom"/>
          </w:tcPr>
          <w:p>
            <w:pPr>
              <w:spacing w:after="0"/>
              <w:rPr>
                <w:sz w:val="1"/>
                <w:szCs w:val="1"/>
                <w:color w:val="auto"/>
              </w:rPr>
            </w:pPr>
          </w:p>
        </w:tc>
      </w:tr>
      <w:tr>
        <w:trPr>
          <w:trHeight w:val="243"/>
        </w:trPr>
        <w:tc>
          <w:tcPr>
            <w:tcW w:w="43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Vesting of restricted stock units</w:t>
            </w: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976,312</w:t>
            </w:r>
          </w:p>
        </w:tc>
        <w:tc>
          <w:tcPr>
            <w:tcW w:w="120" w:type="dxa"/>
            <w:vAlign w:val="bottom"/>
            <w:shd w:val="clear" w:color="auto" w:fill="EBFBFF"/>
          </w:tcPr>
          <w:p>
            <w:pPr>
              <w:spacing w:after="0"/>
              <w:rPr>
                <w:sz w:val="21"/>
                <w:szCs w:val="21"/>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8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18"/>
        </w:trPr>
        <w:tc>
          <w:tcPr>
            <w:tcW w:w="4380" w:type="dxa"/>
            <w:vAlign w:val="bottom"/>
          </w:tcPr>
          <w:p>
            <w:pPr>
              <w:ind w:left="140"/>
              <w:spacing w:after="0"/>
              <w:rPr>
                <w:sz w:val="20"/>
                <w:szCs w:val="20"/>
                <w:color w:val="auto"/>
              </w:rPr>
            </w:pPr>
            <w:r>
              <w:rPr>
                <w:rFonts w:ascii="Arial" w:cs="Arial" w:eastAsia="Arial" w:hAnsi="Arial"/>
                <w:sz w:val="16"/>
                <w:szCs w:val="16"/>
                <w:color w:val="51555C"/>
              </w:rPr>
              <w:t>Employee taxes paid for 533,139 withheld shares upon</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tcPr>
          <w:p>
            <w:pPr>
              <w:ind w:left="140"/>
              <w:spacing w:after="0"/>
              <w:rPr>
                <w:sz w:val="20"/>
                <w:szCs w:val="20"/>
                <w:color w:val="auto"/>
              </w:rPr>
            </w:pPr>
            <w:r>
              <w:rPr>
                <w:rFonts w:ascii="Arial" w:cs="Arial" w:eastAsia="Arial" w:hAnsi="Arial"/>
                <w:sz w:val="16"/>
                <w:szCs w:val="16"/>
                <w:color w:val="51555C"/>
              </w:rPr>
              <w:t>equity award settlement</w:t>
            </w: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(34,674)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(34,674)</w:t>
            </w:r>
          </w:p>
        </w:tc>
        <w:tc>
          <w:tcPr>
            <w:tcW w:w="0" w:type="dxa"/>
            <w:vAlign w:val="bottom"/>
          </w:tcPr>
          <w:p>
            <w:pPr>
              <w:spacing w:after="0"/>
              <w:rPr>
                <w:sz w:val="1"/>
                <w:szCs w:val="1"/>
                <w:color w:val="auto"/>
              </w:rPr>
            </w:pPr>
          </w:p>
        </w:tc>
      </w:tr>
      <w:tr>
        <w:trPr>
          <w:trHeight w:val="253"/>
        </w:trPr>
        <w:tc>
          <w:tcPr>
            <w:tcW w:w="43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Stock-based compensation</w:t>
            </w: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27,860</w:t>
            </w:r>
          </w:p>
        </w:tc>
        <w:tc>
          <w:tcPr>
            <w:tcW w:w="160" w:type="dxa"/>
            <w:vAlign w:val="bottom"/>
            <w:shd w:val="clear" w:color="auto" w:fill="EBFBFF"/>
          </w:tcPr>
          <w:p>
            <w:pPr>
              <w:spacing w:after="0"/>
              <w:rPr>
                <w:sz w:val="21"/>
                <w:szCs w:val="21"/>
                <w:color w:val="auto"/>
              </w:rPr>
            </w:pP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8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27,860</w:t>
            </w:r>
          </w:p>
        </w:tc>
        <w:tc>
          <w:tcPr>
            <w:tcW w:w="0" w:type="dxa"/>
            <w:vAlign w:val="bottom"/>
          </w:tcPr>
          <w:p>
            <w:pPr>
              <w:spacing w:after="0"/>
              <w:rPr>
                <w:sz w:val="1"/>
                <w:szCs w:val="1"/>
                <w:color w:val="auto"/>
              </w:rPr>
            </w:pPr>
          </w:p>
        </w:tc>
      </w:tr>
      <w:tr>
        <w:trPr>
          <w:trHeight w:val="233"/>
        </w:trPr>
        <w:tc>
          <w:tcPr>
            <w:tcW w:w="4380" w:type="dxa"/>
            <w:vAlign w:val="bottom"/>
          </w:tcPr>
          <w:p>
            <w:pPr>
              <w:ind w:left="140"/>
              <w:spacing w:after="0"/>
              <w:rPr>
                <w:sz w:val="20"/>
                <w:szCs w:val="20"/>
                <w:color w:val="auto"/>
              </w:rPr>
            </w:pPr>
            <w:r>
              <w:rPr>
                <w:rFonts w:ascii="Arial" w:cs="Arial" w:eastAsia="Arial" w:hAnsi="Arial"/>
                <w:sz w:val="16"/>
                <w:szCs w:val="16"/>
                <w:color w:val="51555C"/>
              </w:rPr>
              <w:t>Restricted stock grants</w:t>
            </w:r>
          </w:p>
        </w:tc>
        <w:tc>
          <w:tcPr>
            <w:tcW w:w="960" w:type="dxa"/>
            <w:vAlign w:val="bottom"/>
          </w:tcPr>
          <w:p>
            <w:pPr>
              <w:jc w:val="right"/>
              <w:spacing w:after="0"/>
              <w:rPr>
                <w:sz w:val="20"/>
                <w:szCs w:val="20"/>
                <w:color w:val="auto"/>
              </w:rPr>
            </w:pPr>
            <w:r>
              <w:rPr>
                <w:rFonts w:ascii="Arial" w:cs="Arial" w:eastAsia="Arial" w:hAnsi="Arial"/>
                <w:sz w:val="16"/>
                <w:szCs w:val="16"/>
                <w:color w:val="51555C"/>
              </w:rPr>
              <w:t>580,209</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2</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2</w:t>
            </w:r>
          </w:p>
        </w:tc>
        <w:tc>
          <w:tcPr>
            <w:tcW w:w="0" w:type="dxa"/>
            <w:vAlign w:val="bottom"/>
          </w:tcPr>
          <w:p>
            <w:pPr>
              <w:spacing w:after="0"/>
              <w:rPr>
                <w:sz w:val="1"/>
                <w:szCs w:val="1"/>
                <w:color w:val="auto"/>
              </w:rPr>
            </w:pPr>
          </w:p>
        </w:tc>
      </w:tr>
      <w:tr>
        <w:trPr>
          <w:trHeight w:val="253"/>
        </w:trPr>
        <w:tc>
          <w:tcPr>
            <w:tcW w:w="43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Restricted stock cancellations</w:t>
            </w: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(30,940)</w:t>
            </w:r>
          </w:p>
        </w:tc>
        <w:tc>
          <w:tcPr>
            <w:tcW w:w="120" w:type="dxa"/>
            <w:vAlign w:val="bottom"/>
            <w:shd w:val="clear" w:color="auto" w:fill="EBFBFF"/>
          </w:tcPr>
          <w:p>
            <w:pPr>
              <w:spacing w:after="0"/>
              <w:rPr>
                <w:sz w:val="21"/>
                <w:szCs w:val="21"/>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8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EBFBFF"/>
            </w:tcBorders>
          </w:tcPr>
          <w:p>
            <w:pPr>
              <w:ind w:left="140"/>
              <w:spacing w:after="0"/>
              <w:rPr>
                <w:sz w:val="20"/>
                <w:szCs w:val="20"/>
                <w:color w:val="auto"/>
              </w:rPr>
            </w:pPr>
            <w:r>
              <w:rPr>
                <w:rFonts w:ascii="Arial" w:cs="Arial" w:eastAsia="Arial" w:hAnsi="Arial"/>
                <w:sz w:val="16"/>
                <w:szCs w:val="16"/>
                <w:color w:val="51555C"/>
              </w:rPr>
              <w:t>Other comprehensive income</w:t>
            </w:r>
          </w:p>
        </w:tc>
        <w:tc>
          <w:tcPr>
            <w:tcW w:w="9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tcPr>
          <w:p>
            <w:pPr>
              <w:spacing w:after="0"/>
              <w:rPr>
                <w:sz w:val="20"/>
                <w:szCs w:val="20"/>
                <w:color w:val="auto"/>
              </w:rPr>
            </w:pPr>
          </w:p>
        </w:tc>
        <w:tc>
          <w:tcPr>
            <w:tcW w:w="5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tcPr>
          <w:p>
            <w:pPr>
              <w:spacing w:after="0"/>
              <w:rPr>
                <w:sz w:val="20"/>
                <w:szCs w:val="20"/>
                <w:color w:val="auto"/>
              </w:rPr>
            </w:pPr>
          </w:p>
        </w:tc>
        <w:tc>
          <w:tcPr>
            <w:tcW w:w="8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51555C"/>
            </w:tcBorders>
          </w:tcPr>
          <w:p>
            <w:pPr>
              <w:spacing w:after="0"/>
              <w:rPr>
                <w:sz w:val="20"/>
                <w:szCs w:val="20"/>
                <w:color w:val="auto"/>
              </w:rPr>
            </w:pPr>
          </w:p>
        </w:tc>
        <w:tc>
          <w:tcPr>
            <w:tcW w:w="7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51555C"/>
            </w:tcBorders>
          </w:tcPr>
          <w:p>
            <w:pPr>
              <w:spacing w:after="0"/>
              <w:rPr>
                <w:sz w:val="20"/>
                <w:szCs w:val="20"/>
                <w:color w:val="auto"/>
              </w:rPr>
            </w:pPr>
          </w:p>
        </w:tc>
        <w:tc>
          <w:tcPr>
            <w:tcW w:w="9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8,773</w:t>
            </w:r>
          </w:p>
        </w:tc>
        <w:tc>
          <w:tcPr>
            <w:tcW w:w="180" w:type="dxa"/>
            <w:vAlign w:val="bottom"/>
            <w:tcBorders>
              <w:bottom w:val="single" w:sz="8" w:color="51555C"/>
            </w:tcBorders>
          </w:tcPr>
          <w:p>
            <w:pPr>
              <w:spacing w:after="0"/>
              <w:rPr>
                <w:sz w:val="20"/>
                <w:szCs w:val="20"/>
                <w:color w:val="auto"/>
              </w:rPr>
            </w:pPr>
          </w:p>
        </w:tc>
        <w:tc>
          <w:tcPr>
            <w:tcW w:w="7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220" w:type="dxa"/>
            <w:vAlign w:val="bottom"/>
            <w:tcBorders>
              <w:bottom w:val="single" w:sz="8" w:color="51555C"/>
            </w:tcBorders>
          </w:tcPr>
          <w:p>
            <w:pPr>
              <w:spacing w:after="0"/>
              <w:rPr>
                <w:sz w:val="20"/>
                <w:szCs w:val="20"/>
                <w:color w:val="auto"/>
              </w:rPr>
            </w:pPr>
          </w:p>
        </w:tc>
        <w:tc>
          <w:tcPr>
            <w:tcW w:w="7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8,773</w:t>
            </w:r>
          </w:p>
        </w:tc>
        <w:tc>
          <w:tcPr>
            <w:tcW w:w="0" w:type="dxa"/>
            <w:vAlign w:val="bottom"/>
          </w:tcPr>
          <w:p>
            <w:pPr>
              <w:spacing w:after="0"/>
              <w:rPr>
                <w:sz w:val="1"/>
                <w:szCs w:val="1"/>
                <w:color w:val="auto"/>
              </w:rPr>
            </w:pPr>
          </w:p>
        </w:tc>
      </w:tr>
      <w:tr>
        <w:trPr>
          <w:trHeight w:val="243"/>
        </w:trPr>
        <w:tc>
          <w:tcPr>
            <w:tcW w:w="438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Balance at March 31, 2022</w:t>
            </w: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67,658,172</w:t>
            </w:r>
          </w:p>
        </w:tc>
        <w:tc>
          <w:tcPr>
            <w:tcW w:w="12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68</w:t>
            </w:r>
          </w:p>
        </w:tc>
        <w:tc>
          <w:tcPr>
            <w:tcW w:w="1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993,223</w:t>
            </w:r>
          </w:p>
        </w:tc>
        <w:tc>
          <w:tcPr>
            <w:tcW w:w="1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(535,585)</w:t>
            </w:r>
          </w:p>
        </w:tc>
        <w:tc>
          <w:tcPr>
            <w:tcW w:w="1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15,295</w:t>
            </w:r>
          </w:p>
        </w:tc>
        <w:tc>
          <w:tcPr>
            <w:tcW w:w="18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232,049</w:t>
            </w:r>
          </w:p>
        </w:tc>
        <w:tc>
          <w:tcPr>
            <w:tcW w:w="220" w:type="dxa"/>
            <w:vAlign w:val="bottom"/>
            <w:shd w:val="clear" w:color="auto" w:fill="EBFBFF"/>
          </w:tcPr>
          <w:p>
            <w:pPr>
              <w:jc w:val="right"/>
              <w:ind w:right="41"/>
              <w:spacing w:after="0"/>
              <w:rPr>
                <w:sz w:val="20"/>
                <w:szCs w:val="20"/>
                <w:color w:val="auto"/>
              </w:rPr>
            </w:pPr>
            <w:r>
              <w:rPr>
                <w:rFonts w:ascii="Arial" w:cs="Arial" w:eastAsia="Arial" w:hAnsi="Arial"/>
                <w:sz w:val="16"/>
                <w:szCs w:val="16"/>
                <w:color w:val="51555C"/>
                <w:w w:val="89"/>
              </w:rPr>
              <w:t>$</w:t>
            </w: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705,050</w:t>
            </w:r>
          </w:p>
        </w:tc>
        <w:tc>
          <w:tcPr>
            <w:tcW w:w="0" w:type="dxa"/>
            <w:vAlign w:val="bottom"/>
          </w:tcPr>
          <w:p>
            <w:pPr>
              <w:spacing w:after="0"/>
              <w:rPr>
                <w:sz w:val="1"/>
                <w:szCs w:val="1"/>
                <w:color w:val="auto"/>
              </w:rPr>
            </w:pPr>
          </w:p>
        </w:tc>
      </w:tr>
      <w:tr>
        <w:trPr>
          <w:trHeight w:val="233"/>
        </w:trPr>
        <w:tc>
          <w:tcPr>
            <w:tcW w:w="4380" w:type="dxa"/>
            <w:vAlign w:val="bottom"/>
          </w:tcPr>
          <w:p>
            <w:pPr>
              <w:ind w:left="140"/>
              <w:spacing w:after="0"/>
              <w:rPr>
                <w:sz w:val="20"/>
                <w:szCs w:val="20"/>
                <w:color w:val="auto"/>
              </w:rPr>
            </w:pPr>
            <w:r>
              <w:rPr>
                <w:rFonts w:ascii="Arial" w:cs="Arial" w:eastAsia="Arial" w:hAnsi="Arial"/>
                <w:sz w:val="16"/>
                <w:szCs w:val="16"/>
                <w:color w:val="51555C"/>
              </w:rPr>
              <w:t>Net loss</w:t>
            </w: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(3,422)</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(3,422)</w:t>
            </w:r>
          </w:p>
        </w:tc>
        <w:tc>
          <w:tcPr>
            <w:tcW w:w="0" w:type="dxa"/>
            <w:vAlign w:val="bottom"/>
          </w:tcPr>
          <w:p>
            <w:pPr>
              <w:spacing w:after="0"/>
              <w:rPr>
                <w:sz w:val="1"/>
                <w:szCs w:val="1"/>
                <w:color w:val="auto"/>
              </w:rPr>
            </w:pPr>
          </w:p>
        </w:tc>
      </w:tr>
      <w:tr>
        <w:trPr>
          <w:trHeight w:val="228"/>
        </w:trPr>
        <w:tc>
          <w:tcPr>
            <w:tcW w:w="43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Stock issuance costs related to purchase of EVERFI (see</w:t>
            </w:r>
          </w:p>
        </w:tc>
        <w:tc>
          <w:tcPr>
            <w:tcW w:w="960" w:type="dxa"/>
            <w:vAlign w:val="bottom"/>
            <w:shd w:val="clear" w:color="auto" w:fill="EBFBFF"/>
          </w:tcPr>
          <w:p>
            <w:pPr>
              <w:spacing w:after="0"/>
              <w:rPr>
                <w:sz w:val="19"/>
                <w:szCs w:val="19"/>
                <w:color w:val="auto"/>
              </w:rPr>
            </w:pPr>
          </w:p>
        </w:tc>
        <w:tc>
          <w:tcPr>
            <w:tcW w:w="120" w:type="dxa"/>
            <w:vAlign w:val="bottom"/>
            <w:shd w:val="clear" w:color="auto" w:fill="EBFBFF"/>
          </w:tcPr>
          <w:p>
            <w:pPr>
              <w:spacing w:after="0"/>
              <w:rPr>
                <w:sz w:val="19"/>
                <w:szCs w:val="19"/>
                <w:color w:val="auto"/>
              </w:rPr>
            </w:pPr>
          </w:p>
        </w:tc>
        <w:tc>
          <w:tcPr>
            <w:tcW w:w="560" w:type="dxa"/>
            <w:vAlign w:val="bottom"/>
            <w:shd w:val="clear" w:color="auto" w:fill="EBFBFF"/>
          </w:tcPr>
          <w:p>
            <w:pPr>
              <w:spacing w:after="0"/>
              <w:rPr>
                <w:sz w:val="19"/>
                <w:szCs w:val="19"/>
                <w:color w:val="auto"/>
              </w:rPr>
            </w:pPr>
          </w:p>
        </w:tc>
        <w:tc>
          <w:tcPr>
            <w:tcW w:w="120" w:type="dxa"/>
            <w:vAlign w:val="bottom"/>
            <w:shd w:val="clear" w:color="auto" w:fill="EBFBFF"/>
          </w:tcPr>
          <w:p>
            <w:pPr>
              <w:spacing w:after="0"/>
              <w:rPr>
                <w:sz w:val="19"/>
                <w:szCs w:val="19"/>
                <w:color w:val="auto"/>
              </w:rPr>
            </w:pPr>
          </w:p>
        </w:tc>
        <w:tc>
          <w:tcPr>
            <w:tcW w:w="80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76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980" w:type="dxa"/>
            <w:vAlign w:val="bottom"/>
            <w:shd w:val="clear" w:color="auto" w:fill="EBFBFF"/>
          </w:tcPr>
          <w:p>
            <w:pPr>
              <w:spacing w:after="0"/>
              <w:rPr>
                <w:sz w:val="19"/>
                <w:szCs w:val="19"/>
                <w:color w:val="auto"/>
              </w:rPr>
            </w:pPr>
          </w:p>
        </w:tc>
        <w:tc>
          <w:tcPr>
            <w:tcW w:w="180" w:type="dxa"/>
            <w:vAlign w:val="bottom"/>
            <w:shd w:val="clear" w:color="auto" w:fill="EBFBFF"/>
          </w:tcPr>
          <w:p>
            <w:pPr>
              <w:spacing w:after="0"/>
              <w:rPr>
                <w:sz w:val="19"/>
                <w:szCs w:val="19"/>
                <w:color w:val="auto"/>
              </w:rPr>
            </w:pPr>
          </w:p>
        </w:tc>
        <w:tc>
          <w:tcPr>
            <w:tcW w:w="740" w:type="dxa"/>
            <w:vAlign w:val="bottom"/>
            <w:shd w:val="clear" w:color="auto" w:fill="EBFBFF"/>
          </w:tcPr>
          <w:p>
            <w:pPr>
              <w:spacing w:after="0"/>
              <w:rPr>
                <w:sz w:val="19"/>
                <w:szCs w:val="19"/>
                <w:color w:val="auto"/>
              </w:rPr>
            </w:pPr>
          </w:p>
        </w:tc>
        <w:tc>
          <w:tcPr>
            <w:tcW w:w="220" w:type="dxa"/>
            <w:vAlign w:val="bottom"/>
            <w:shd w:val="clear" w:color="auto" w:fill="EBFBFF"/>
          </w:tcPr>
          <w:p>
            <w:pPr>
              <w:spacing w:after="0"/>
              <w:rPr>
                <w:sz w:val="19"/>
                <w:szCs w:val="19"/>
                <w:color w:val="auto"/>
              </w:rPr>
            </w:pPr>
          </w:p>
        </w:tc>
        <w:tc>
          <w:tcPr>
            <w:tcW w:w="780" w:type="dxa"/>
            <w:vAlign w:val="bottom"/>
            <w:shd w:val="clear" w:color="auto" w:fill="EBFB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Note 3)</w:t>
            </w: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19"/>
                <w:szCs w:val="19"/>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19"/>
                <w:szCs w:val="19"/>
                <w:color w:val="auto"/>
              </w:rPr>
            </w:pP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(223)</w:t>
            </w:r>
          </w:p>
        </w:tc>
        <w:tc>
          <w:tcPr>
            <w:tcW w:w="160" w:type="dxa"/>
            <w:vAlign w:val="bottom"/>
            <w:shd w:val="clear" w:color="auto" w:fill="EBFBFF"/>
          </w:tcPr>
          <w:p>
            <w:pPr>
              <w:spacing w:after="0"/>
              <w:rPr>
                <w:sz w:val="19"/>
                <w:szCs w:val="19"/>
                <w:color w:val="auto"/>
              </w:rPr>
            </w:pP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19"/>
                <w:szCs w:val="19"/>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80" w:type="dxa"/>
            <w:vAlign w:val="bottom"/>
            <w:shd w:val="clear" w:color="auto" w:fill="EBFBFF"/>
          </w:tcPr>
          <w:p>
            <w:pPr>
              <w:spacing w:after="0"/>
              <w:rPr>
                <w:sz w:val="19"/>
                <w:szCs w:val="19"/>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19"/>
                <w:szCs w:val="19"/>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(223)</w:t>
            </w:r>
          </w:p>
        </w:tc>
        <w:tc>
          <w:tcPr>
            <w:tcW w:w="0" w:type="dxa"/>
            <w:vAlign w:val="bottom"/>
          </w:tcPr>
          <w:p>
            <w:pPr>
              <w:spacing w:after="0"/>
              <w:rPr>
                <w:sz w:val="1"/>
                <w:szCs w:val="1"/>
                <w:color w:val="auto"/>
              </w:rPr>
            </w:pPr>
          </w:p>
        </w:tc>
      </w:tr>
      <w:tr>
        <w:trPr>
          <w:trHeight w:val="243"/>
        </w:trPr>
        <w:tc>
          <w:tcPr>
            <w:tcW w:w="4380" w:type="dxa"/>
            <w:vAlign w:val="bottom"/>
          </w:tcPr>
          <w:p>
            <w:pPr>
              <w:ind w:left="140"/>
              <w:spacing w:after="0"/>
              <w:rPr>
                <w:sz w:val="20"/>
                <w:szCs w:val="20"/>
                <w:color w:val="auto"/>
              </w:rPr>
            </w:pPr>
            <w:r>
              <w:rPr>
                <w:rFonts w:ascii="Arial" w:cs="Arial" w:eastAsia="Arial" w:hAnsi="Arial"/>
                <w:sz w:val="16"/>
                <w:szCs w:val="16"/>
                <w:color w:val="51555C"/>
              </w:rPr>
              <w:t>Retirements of common stock</w:t>
            </w:r>
            <w:r>
              <w:rPr>
                <w:rFonts w:ascii="Arial" w:cs="Arial" w:eastAsia="Arial" w:hAnsi="Arial"/>
                <w:sz w:val="21"/>
                <w:szCs w:val="21"/>
                <w:color w:val="51555C"/>
                <w:vertAlign w:val="superscript"/>
              </w:rPr>
              <w:t>(1)</w:t>
            </w:r>
          </w:p>
        </w:tc>
        <w:tc>
          <w:tcPr>
            <w:tcW w:w="960" w:type="dxa"/>
            <w:vAlign w:val="bottom"/>
          </w:tcPr>
          <w:p>
            <w:pPr>
              <w:jc w:val="right"/>
              <w:spacing w:after="0"/>
              <w:rPr>
                <w:sz w:val="20"/>
                <w:szCs w:val="20"/>
                <w:color w:val="auto"/>
              </w:rPr>
            </w:pPr>
            <w:r>
              <w:rPr>
                <w:rFonts w:ascii="Arial" w:cs="Arial" w:eastAsia="Arial" w:hAnsi="Arial"/>
                <w:sz w:val="16"/>
                <w:szCs w:val="16"/>
                <w:color w:val="51555C"/>
              </w:rPr>
              <w:t>(395)</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(19)</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(19)</w:t>
            </w:r>
          </w:p>
        </w:tc>
        <w:tc>
          <w:tcPr>
            <w:tcW w:w="0" w:type="dxa"/>
            <w:vAlign w:val="bottom"/>
          </w:tcPr>
          <w:p>
            <w:pPr>
              <w:spacing w:after="0"/>
              <w:rPr>
                <w:sz w:val="1"/>
                <w:szCs w:val="1"/>
                <w:color w:val="auto"/>
              </w:rPr>
            </w:pPr>
          </w:p>
        </w:tc>
      </w:tr>
      <w:tr>
        <w:trPr>
          <w:trHeight w:val="243"/>
        </w:trPr>
        <w:tc>
          <w:tcPr>
            <w:tcW w:w="43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Vesting of restricted stock units</w:t>
            </w: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23,549</w:t>
            </w:r>
          </w:p>
        </w:tc>
        <w:tc>
          <w:tcPr>
            <w:tcW w:w="120" w:type="dxa"/>
            <w:vAlign w:val="bottom"/>
            <w:shd w:val="clear" w:color="auto" w:fill="EBFBFF"/>
          </w:tcPr>
          <w:p>
            <w:pPr>
              <w:spacing w:after="0"/>
              <w:rPr>
                <w:sz w:val="21"/>
                <w:szCs w:val="21"/>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8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18"/>
        </w:trPr>
        <w:tc>
          <w:tcPr>
            <w:tcW w:w="4380" w:type="dxa"/>
            <w:vAlign w:val="bottom"/>
          </w:tcPr>
          <w:p>
            <w:pPr>
              <w:ind w:left="140"/>
              <w:spacing w:after="0"/>
              <w:rPr>
                <w:sz w:val="20"/>
                <w:szCs w:val="20"/>
                <w:color w:val="auto"/>
              </w:rPr>
            </w:pPr>
            <w:r>
              <w:rPr>
                <w:rFonts w:ascii="Arial" w:cs="Arial" w:eastAsia="Arial" w:hAnsi="Arial"/>
                <w:sz w:val="16"/>
                <w:szCs w:val="16"/>
                <w:color w:val="51555C"/>
              </w:rPr>
              <w:t>Employee taxes paid for 15,540 withheld shares upon</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tcPr>
          <w:p>
            <w:pPr>
              <w:ind w:left="140"/>
              <w:spacing w:after="0"/>
              <w:rPr>
                <w:sz w:val="20"/>
                <w:szCs w:val="20"/>
                <w:color w:val="auto"/>
              </w:rPr>
            </w:pPr>
            <w:r>
              <w:rPr>
                <w:rFonts w:ascii="Arial" w:cs="Arial" w:eastAsia="Arial" w:hAnsi="Arial"/>
                <w:sz w:val="16"/>
                <w:szCs w:val="16"/>
                <w:color w:val="51555C"/>
              </w:rPr>
              <w:t>equity award settlement</w:t>
            </w: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(926)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(926)</w:t>
            </w:r>
          </w:p>
        </w:tc>
        <w:tc>
          <w:tcPr>
            <w:tcW w:w="0" w:type="dxa"/>
            <w:vAlign w:val="bottom"/>
          </w:tcPr>
          <w:p>
            <w:pPr>
              <w:spacing w:after="0"/>
              <w:rPr>
                <w:sz w:val="1"/>
                <w:szCs w:val="1"/>
                <w:color w:val="auto"/>
              </w:rPr>
            </w:pPr>
          </w:p>
        </w:tc>
      </w:tr>
      <w:tr>
        <w:trPr>
          <w:trHeight w:val="253"/>
        </w:trPr>
        <w:tc>
          <w:tcPr>
            <w:tcW w:w="43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Stock-based compensation</w:t>
            </w: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27,854</w:t>
            </w:r>
          </w:p>
        </w:tc>
        <w:tc>
          <w:tcPr>
            <w:tcW w:w="160" w:type="dxa"/>
            <w:vAlign w:val="bottom"/>
            <w:shd w:val="clear" w:color="auto" w:fill="EBFBFF"/>
          </w:tcPr>
          <w:p>
            <w:pPr>
              <w:spacing w:after="0"/>
              <w:rPr>
                <w:sz w:val="21"/>
                <w:szCs w:val="21"/>
                <w:color w:val="auto"/>
              </w:rPr>
            </w:pP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8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27,854</w:t>
            </w:r>
          </w:p>
        </w:tc>
        <w:tc>
          <w:tcPr>
            <w:tcW w:w="0" w:type="dxa"/>
            <w:vAlign w:val="bottom"/>
          </w:tcPr>
          <w:p>
            <w:pPr>
              <w:spacing w:after="0"/>
              <w:rPr>
                <w:sz w:val="1"/>
                <w:szCs w:val="1"/>
                <w:color w:val="auto"/>
              </w:rPr>
            </w:pPr>
          </w:p>
        </w:tc>
      </w:tr>
      <w:tr>
        <w:trPr>
          <w:trHeight w:val="233"/>
        </w:trPr>
        <w:tc>
          <w:tcPr>
            <w:tcW w:w="4380" w:type="dxa"/>
            <w:vAlign w:val="bottom"/>
          </w:tcPr>
          <w:p>
            <w:pPr>
              <w:ind w:left="140"/>
              <w:spacing w:after="0"/>
              <w:rPr>
                <w:sz w:val="20"/>
                <w:szCs w:val="20"/>
                <w:color w:val="auto"/>
              </w:rPr>
            </w:pPr>
            <w:r>
              <w:rPr>
                <w:rFonts w:ascii="Arial" w:cs="Arial" w:eastAsia="Arial" w:hAnsi="Arial"/>
                <w:sz w:val="16"/>
                <w:szCs w:val="16"/>
                <w:color w:val="51555C"/>
              </w:rPr>
              <w:t>Restricted stock grants</w:t>
            </w:r>
          </w:p>
        </w:tc>
        <w:tc>
          <w:tcPr>
            <w:tcW w:w="960" w:type="dxa"/>
            <w:vAlign w:val="bottom"/>
          </w:tcPr>
          <w:p>
            <w:pPr>
              <w:jc w:val="right"/>
              <w:spacing w:after="0"/>
              <w:rPr>
                <w:sz w:val="20"/>
                <w:szCs w:val="20"/>
                <w:color w:val="auto"/>
              </w:rPr>
            </w:pPr>
            <w:r>
              <w:rPr>
                <w:rFonts w:ascii="Arial" w:cs="Arial" w:eastAsia="Arial" w:hAnsi="Arial"/>
                <w:sz w:val="16"/>
                <w:szCs w:val="16"/>
                <w:color w:val="51555C"/>
              </w:rPr>
              <w:t>136,598</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53"/>
        </w:trPr>
        <w:tc>
          <w:tcPr>
            <w:tcW w:w="43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Restricted stock cancellations</w:t>
            </w: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(62,550)</w:t>
            </w:r>
          </w:p>
        </w:tc>
        <w:tc>
          <w:tcPr>
            <w:tcW w:w="120" w:type="dxa"/>
            <w:vAlign w:val="bottom"/>
            <w:shd w:val="clear" w:color="auto" w:fill="EBFBFF"/>
          </w:tcPr>
          <w:p>
            <w:pPr>
              <w:spacing w:after="0"/>
              <w:rPr>
                <w:sz w:val="21"/>
                <w:szCs w:val="21"/>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8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EBFBFF"/>
            </w:tcBorders>
          </w:tcPr>
          <w:p>
            <w:pPr>
              <w:ind w:left="140"/>
              <w:spacing w:after="0"/>
              <w:rPr>
                <w:sz w:val="20"/>
                <w:szCs w:val="20"/>
                <w:color w:val="auto"/>
              </w:rPr>
            </w:pPr>
            <w:r>
              <w:rPr>
                <w:rFonts w:ascii="Arial" w:cs="Arial" w:eastAsia="Arial" w:hAnsi="Arial"/>
                <w:sz w:val="16"/>
                <w:szCs w:val="16"/>
                <w:color w:val="51555C"/>
              </w:rPr>
              <w:t>Other comprehensive loss</w:t>
            </w:r>
          </w:p>
        </w:tc>
        <w:tc>
          <w:tcPr>
            <w:tcW w:w="9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tcPr>
          <w:p>
            <w:pPr>
              <w:spacing w:after="0"/>
              <w:rPr>
                <w:sz w:val="20"/>
                <w:szCs w:val="20"/>
                <w:color w:val="auto"/>
              </w:rPr>
            </w:pPr>
          </w:p>
        </w:tc>
        <w:tc>
          <w:tcPr>
            <w:tcW w:w="5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tcPr>
          <w:p>
            <w:pPr>
              <w:spacing w:after="0"/>
              <w:rPr>
                <w:sz w:val="20"/>
                <w:szCs w:val="20"/>
                <w:color w:val="auto"/>
              </w:rPr>
            </w:pPr>
          </w:p>
        </w:tc>
        <w:tc>
          <w:tcPr>
            <w:tcW w:w="8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51555C"/>
            </w:tcBorders>
          </w:tcPr>
          <w:p>
            <w:pPr>
              <w:spacing w:after="0"/>
              <w:rPr>
                <w:sz w:val="20"/>
                <w:szCs w:val="20"/>
                <w:color w:val="auto"/>
              </w:rPr>
            </w:pPr>
          </w:p>
        </w:tc>
        <w:tc>
          <w:tcPr>
            <w:tcW w:w="7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51555C"/>
            </w:tcBorders>
          </w:tcPr>
          <w:p>
            <w:pPr>
              <w:spacing w:after="0"/>
              <w:rPr>
                <w:sz w:val="20"/>
                <w:szCs w:val="20"/>
                <w:color w:val="auto"/>
              </w:rPr>
            </w:pPr>
          </w:p>
        </w:tc>
        <w:tc>
          <w:tcPr>
            <w:tcW w:w="9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(7,840)</w:t>
            </w:r>
          </w:p>
        </w:tc>
        <w:tc>
          <w:tcPr>
            <w:tcW w:w="180" w:type="dxa"/>
            <w:vAlign w:val="bottom"/>
            <w:tcBorders>
              <w:bottom w:val="single" w:sz="8" w:color="51555C"/>
            </w:tcBorders>
          </w:tcPr>
          <w:p>
            <w:pPr>
              <w:spacing w:after="0"/>
              <w:rPr>
                <w:sz w:val="20"/>
                <w:szCs w:val="20"/>
                <w:color w:val="auto"/>
              </w:rPr>
            </w:pPr>
          </w:p>
        </w:tc>
        <w:tc>
          <w:tcPr>
            <w:tcW w:w="7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220" w:type="dxa"/>
            <w:vAlign w:val="bottom"/>
            <w:tcBorders>
              <w:bottom w:val="single" w:sz="8" w:color="51555C"/>
            </w:tcBorders>
          </w:tcPr>
          <w:p>
            <w:pPr>
              <w:spacing w:after="0"/>
              <w:rPr>
                <w:sz w:val="20"/>
                <w:szCs w:val="20"/>
                <w:color w:val="auto"/>
              </w:rPr>
            </w:pPr>
          </w:p>
        </w:tc>
        <w:tc>
          <w:tcPr>
            <w:tcW w:w="7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(7,840)</w:t>
            </w:r>
          </w:p>
        </w:tc>
        <w:tc>
          <w:tcPr>
            <w:tcW w:w="0" w:type="dxa"/>
            <w:vAlign w:val="bottom"/>
          </w:tcPr>
          <w:p>
            <w:pPr>
              <w:spacing w:after="0"/>
              <w:rPr>
                <w:sz w:val="1"/>
                <w:szCs w:val="1"/>
                <w:color w:val="auto"/>
              </w:rPr>
            </w:pPr>
          </w:p>
        </w:tc>
      </w:tr>
      <w:tr>
        <w:trPr>
          <w:trHeight w:val="243"/>
        </w:trPr>
        <w:tc>
          <w:tcPr>
            <w:tcW w:w="438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Balance at June 30, 2022</w:t>
            </w: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67,755,374</w:t>
            </w:r>
          </w:p>
        </w:tc>
        <w:tc>
          <w:tcPr>
            <w:tcW w:w="12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68</w:t>
            </w:r>
          </w:p>
        </w:tc>
        <w:tc>
          <w:tcPr>
            <w:tcW w:w="12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1,020,835</w:t>
            </w:r>
          </w:p>
        </w:tc>
        <w:tc>
          <w:tcPr>
            <w:tcW w:w="1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(536,511)</w:t>
            </w:r>
          </w:p>
        </w:tc>
        <w:tc>
          <w:tcPr>
            <w:tcW w:w="1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7,455</w:t>
            </w:r>
          </w:p>
        </w:tc>
        <w:tc>
          <w:tcPr>
            <w:tcW w:w="18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228,627</w:t>
            </w:r>
          </w:p>
        </w:tc>
        <w:tc>
          <w:tcPr>
            <w:tcW w:w="220" w:type="dxa"/>
            <w:vAlign w:val="bottom"/>
            <w:shd w:val="clear" w:color="auto" w:fill="EBFBFF"/>
          </w:tcPr>
          <w:p>
            <w:pPr>
              <w:jc w:val="right"/>
              <w:ind w:right="41"/>
              <w:spacing w:after="0"/>
              <w:rPr>
                <w:sz w:val="20"/>
                <w:szCs w:val="20"/>
                <w:color w:val="auto"/>
              </w:rPr>
            </w:pPr>
            <w:r>
              <w:rPr>
                <w:rFonts w:ascii="Arial" w:cs="Arial" w:eastAsia="Arial" w:hAnsi="Arial"/>
                <w:sz w:val="16"/>
                <w:szCs w:val="16"/>
                <w:color w:val="51555C"/>
                <w:w w:val="89"/>
              </w:rPr>
              <w:t>$</w:t>
            </w: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720,474</w:t>
            </w:r>
          </w:p>
        </w:tc>
        <w:tc>
          <w:tcPr>
            <w:tcW w:w="0" w:type="dxa"/>
            <w:vAlign w:val="bottom"/>
          </w:tcPr>
          <w:p>
            <w:pPr>
              <w:spacing w:after="0"/>
              <w:rPr>
                <w:sz w:val="1"/>
                <w:szCs w:val="1"/>
                <w:color w:val="auto"/>
              </w:rPr>
            </w:pPr>
          </w:p>
        </w:tc>
      </w:tr>
      <w:tr>
        <w:trPr>
          <w:trHeight w:val="233"/>
        </w:trPr>
        <w:tc>
          <w:tcPr>
            <w:tcW w:w="4380" w:type="dxa"/>
            <w:vAlign w:val="bottom"/>
          </w:tcPr>
          <w:p>
            <w:pPr>
              <w:ind w:left="140"/>
              <w:spacing w:after="0"/>
              <w:rPr>
                <w:sz w:val="20"/>
                <w:szCs w:val="20"/>
                <w:color w:val="auto"/>
              </w:rPr>
            </w:pPr>
            <w:r>
              <w:rPr>
                <w:rFonts w:ascii="Arial" w:cs="Arial" w:eastAsia="Arial" w:hAnsi="Arial"/>
                <w:sz w:val="16"/>
                <w:szCs w:val="16"/>
                <w:color w:val="51555C"/>
              </w:rPr>
              <w:t>Net loss</w:t>
            </w: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(10,319)</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(10,319)</w:t>
            </w:r>
          </w:p>
        </w:tc>
        <w:tc>
          <w:tcPr>
            <w:tcW w:w="0" w:type="dxa"/>
            <w:vAlign w:val="bottom"/>
          </w:tcPr>
          <w:p>
            <w:pPr>
              <w:spacing w:after="0"/>
              <w:rPr>
                <w:sz w:val="1"/>
                <w:szCs w:val="1"/>
                <w:color w:val="auto"/>
              </w:rPr>
            </w:pPr>
          </w:p>
        </w:tc>
      </w:tr>
      <w:tr>
        <w:trPr>
          <w:trHeight w:val="228"/>
        </w:trPr>
        <w:tc>
          <w:tcPr>
            <w:tcW w:w="43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Stock issuance costs related to purchase of EVERFI (see</w:t>
            </w:r>
          </w:p>
        </w:tc>
        <w:tc>
          <w:tcPr>
            <w:tcW w:w="960" w:type="dxa"/>
            <w:vAlign w:val="bottom"/>
            <w:shd w:val="clear" w:color="auto" w:fill="EBFBFF"/>
          </w:tcPr>
          <w:p>
            <w:pPr>
              <w:spacing w:after="0"/>
              <w:rPr>
                <w:sz w:val="19"/>
                <w:szCs w:val="19"/>
                <w:color w:val="auto"/>
              </w:rPr>
            </w:pPr>
          </w:p>
        </w:tc>
        <w:tc>
          <w:tcPr>
            <w:tcW w:w="120" w:type="dxa"/>
            <w:vAlign w:val="bottom"/>
            <w:shd w:val="clear" w:color="auto" w:fill="EBFBFF"/>
          </w:tcPr>
          <w:p>
            <w:pPr>
              <w:spacing w:after="0"/>
              <w:rPr>
                <w:sz w:val="19"/>
                <w:szCs w:val="19"/>
                <w:color w:val="auto"/>
              </w:rPr>
            </w:pPr>
          </w:p>
        </w:tc>
        <w:tc>
          <w:tcPr>
            <w:tcW w:w="560" w:type="dxa"/>
            <w:vAlign w:val="bottom"/>
            <w:shd w:val="clear" w:color="auto" w:fill="EBFBFF"/>
          </w:tcPr>
          <w:p>
            <w:pPr>
              <w:spacing w:after="0"/>
              <w:rPr>
                <w:sz w:val="19"/>
                <w:szCs w:val="19"/>
                <w:color w:val="auto"/>
              </w:rPr>
            </w:pPr>
          </w:p>
        </w:tc>
        <w:tc>
          <w:tcPr>
            <w:tcW w:w="120" w:type="dxa"/>
            <w:vAlign w:val="bottom"/>
            <w:shd w:val="clear" w:color="auto" w:fill="EBFBFF"/>
          </w:tcPr>
          <w:p>
            <w:pPr>
              <w:spacing w:after="0"/>
              <w:rPr>
                <w:sz w:val="19"/>
                <w:szCs w:val="19"/>
                <w:color w:val="auto"/>
              </w:rPr>
            </w:pPr>
          </w:p>
        </w:tc>
        <w:tc>
          <w:tcPr>
            <w:tcW w:w="80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76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980" w:type="dxa"/>
            <w:vAlign w:val="bottom"/>
            <w:shd w:val="clear" w:color="auto" w:fill="EBFBFF"/>
          </w:tcPr>
          <w:p>
            <w:pPr>
              <w:spacing w:after="0"/>
              <w:rPr>
                <w:sz w:val="19"/>
                <w:szCs w:val="19"/>
                <w:color w:val="auto"/>
              </w:rPr>
            </w:pPr>
          </w:p>
        </w:tc>
        <w:tc>
          <w:tcPr>
            <w:tcW w:w="180" w:type="dxa"/>
            <w:vAlign w:val="bottom"/>
            <w:shd w:val="clear" w:color="auto" w:fill="EBFBFF"/>
          </w:tcPr>
          <w:p>
            <w:pPr>
              <w:spacing w:after="0"/>
              <w:rPr>
                <w:sz w:val="19"/>
                <w:szCs w:val="19"/>
                <w:color w:val="auto"/>
              </w:rPr>
            </w:pPr>
          </w:p>
        </w:tc>
        <w:tc>
          <w:tcPr>
            <w:tcW w:w="740" w:type="dxa"/>
            <w:vAlign w:val="bottom"/>
            <w:shd w:val="clear" w:color="auto" w:fill="EBFBFF"/>
          </w:tcPr>
          <w:p>
            <w:pPr>
              <w:spacing w:after="0"/>
              <w:rPr>
                <w:sz w:val="19"/>
                <w:szCs w:val="19"/>
                <w:color w:val="auto"/>
              </w:rPr>
            </w:pPr>
          </w:p>
        </w:tc>
        <w:tc>
          <w:tcPr>
            <w:tcW w:w="220" w:type="dxa"/>
            <w:vAlign w:val="bottom"/>
            <w:shd w:val="clear" w:color="auto" w:fill="EBFBFF"/>
          </w:tcPr>
          <w:p>
            <w:pPr>
              <w:spacing w:after="0"/>
              <w:rPr>
                <w:sz w:val="19"/>
                <w:szCs w:val="19"/>
                <w:color w:val="auto"/>
              </w:rPr>
            </w:pPr>
          </w:p>
        </w:tc>
        <w:tc>
          <w:tcPr>
            <w:tcW w:w="780" w:type="dxa"/>
            <w:vAlign w:val="bottom"/>
            <w:shd w:val="clear" w:color="auto" w:fill="EBFB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Note 3)</w:t>
            </w: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19"/>
                <w:szCs w:val="19"/>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19"/>
                <w:szCs w:val="19"/>
                <w:color w:val="auto"/>
              </w:rPr>
            </w:pP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(87)</w:t>
            </w:r>
          </w:p>
        </w:tc>
        <w:tc>
          <w:tcPr>
            <w:tcW w:w="160" w:type="dxa"/>
            <w:vAlign w:val="bottom"/>
            <w:shd w:val="clear" w:color="auto" w:fill="EBFBFF"/>
          </w:tcPr>
          <w:p>
            <w:pPr>
              <w:spacing w:after="0"/>
              <w:rPr>
                <w:sz w:val="19"/>
                <w:szCs w:val="19"/>
                <w:color w:val="auto"/>
              </w:rPr>
            </w:pP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19"/>
                <w:szCs w:val="19"/>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80" w:type="dxa"/>
            <w:vAlign w:val="bottom"/>
            <w:shd w:val="clear" w:color="auto" w:fill="EBFBFF"/>
          </w:tcPr>
          <w:p>
            <w:pPr>
              <w:spacing w:after="0"/>
              <w:rPr>
                <w:sz w:val="19"/>
                <w:szCs w:val="19"/>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19"/>
                <w:szCs w:val="19"/>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(87)</w:t>
            </w:r>
          </w:p>
        </w:tc>
        <w:tc>
          <w:tcPr>
            <w:tcW w:w="0" w:type="dxa"/>
            <w:vAlign w:val="bottom"/>
          </w:tcPr>
          <w:p>
            <w:pPr>
              <w:spacing w:after="0"/>
              <w:rPr>
                <w:sz w:val="1"/>
                <w:szCs w:val="1"/>
                <w:color w:val="auto"/>
              </w:rPr>
            </w:pPr>
          </w:p>
        </w:tc>
      </w:tr>
      <w:tr>
        <w:trPr>
          <w:trHeight w:val="243"/>
        </w:trPr>
        <w:tc>
          <w:tcPr>
            <w:tcW w:w="4380" w:type="dxa"/>
            <w:vAlign w:val="bottom"/>
          </w:tcPr>
          <w:p>
            <w:pPr>
              <w:ind w:left="140"/>
              <w:spacing w:after="0"/>
              <w:rPr>
                <w:sz w:val="20"/>
                <w:szCs w:val="20"/>
                <w:color w:val="auto"/>
              </w:rPr>
            </w:pPr>
            <w:r>
              <w:rPr>
                <w:rFonts w:ascii="Arial" w:cs="Arial" w:eastAsia="Arial" w:hAnsi="Arial"/>
                <w:sz w:val="16"/>
                <w:szCs w:val="16"/>
                <w:color w:val="51555C"/>
              </w:rPr>
              <w:t>Retirements of common stock</w:t>
            </w:r>
            <w:r>
              <w:rPr>
                <w:rFonts w:ascii="Arial" w:cs="Arial" w:eastAsia="Arial" w:hAnsi="Arial"/>
                <w:sz w:val="21"/>
                <w:szCs w:val="21"/>
                <w:color w:val="51555C"/>
                <w:vertAlign w:val="superscript"/>
              </w:rPr>
              <w:t>(1)</w:t>
            </w:r>
          </w:p>
        </w:tc>
        <w:tc>
          <w:tcPr>
            <w:tcW w:w="960" w:type="dxa"/>
            <w:vAlign w:val="bottom"/>
          </w:tcPr>
          <w:p>
            <w:pPr>
              <w:jc w:val="right"/>
              <w:spacing w:after="0"/>
              <w:rPr>
                <w:sz w:val="20"/>
                <w:szCs w:val="20"/>
                <w:color w:val="auto"/>
              </w:rPr>
            </w:pPr>
            <w:r>
              <w:rPr>
                <w:rFonts w:ascii="Arial" w:cs="Arial" w:eastAsia="Arial" w:hAnsi="Arial"/>
                <w:sz w:val="16"/>
                <w:szCs w:val="16"/>
                <w:color w:val="51555C"/>
              </w:rPr>
              <w:t>(65)</w:t>
            </w: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(5)</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(5)</w:t>
            </w:r>
          </w:p>
        </w:tc>
        <w:tc>
          <w:tcPr>
            <w:tcW w:w="0" w:type="dxa"/>
            <w:vAlign w:val="bottom"/>
          </w:tcPr>
          <w:p>
            <w:pPr>
              <w:spacing w:after="0"/>
              <w:rPr>
                <w:sz w:val="1"/>
                <w:szCs w:val="1"/>
                <w:color w:val="auto"/>
              </w:rPr>
            </w:pPr>
          </w:p>
        </w:tc>
      </w:tr>
      <w:tr>
        <w:trPr>
          <w:trHeight w:val="243"/>
        </w:trPr>
        <w:tc>
          <w:tcPr>
            <w:tcW w:w="43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Vesting of restricted stock units</w:t>
            </w: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12,655</w:t>
            </w:r>
          </w:p>
        </w:tc>
        <w:tc>
          <w:tcPr>
            <w:tcW w:w="120" w:type="dxa"/>
            <w:vAlign w:val="bottom"/>
            <w:shd w:val="clear" w:color="auto" w:fill="EBFBFF"/>
          </w:tcPr>
          <w:p>
            <w:pPr>
              <w:spacing w:after="0"/>
              <w:rPr>
                <w:sz w:val="21"/>
                <w:szCs w:val="21"/>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8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18"/>
        </w:trPr>
        <w:tc>
          <w:tcPr>
            <w:tcW w:w="4380" w:type="dxa"/>
            <w:vAlign w:val="bottom"/>
          </w:tcPr>
          <w:p>
            <w:pPr>
              <w:ind w:left="140"/>
              <w:spacing w:after="0"/>
              <w:rPr>
                <w:sz w:val="20"/>
                <w:szCs w:val="20"/>
                <w:color w:val="auto"/>
              </w:rPr>
            </w:pPr>
            <w:r>
              <w:rPr>
                <w:rFonts w:ascii="Arial" w:cs="Arial" w:eastAsia="Arial" w:hAnsi="Arial"/>
                <w:sz w:val="16"/>
                <w:szCs w:val="16"/>
                <w:color w:val="51555C"/>
              </w:rPr>
              <w:t>Employee taxes paid for 8,260 withheld shares upon</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80" w:type="dxa"/>
            <w:vAlign w:val="bottom"/>
          </w:tcPr>
          <w:p>
            <w:pPr>
              <w:ind w:left="140"/>
              <w:spacing w:after="0"/>
              <w:rPr>
                <w:sz w:val="20"/>
                <w:szCs w:val="20"/>
                <w:color w:val="auto"/>
              </w:rPr>
            </w:pPr>
            <w:r>
              <w:rPr>
                <w:rFonts w:ascii="Arial" w:cs="Arial" w:eastAsia="Arial" w:hAnsi="Arial"/>
                <w:sz w:val="16"/>
                <w:szCs w:val="16"/>
                <w:color w:val="51555C"/>
              </w:rPr>
              <w:t>equity award settlement</w:t>
            </w:r>
          </w:p>
        </w:tc>
        <w:tc>
          <w:tcPr>
            <w:tcW w:w="9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(457)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(457)</w:t>
            </w:r>
          </w:p>
        </w:tc>
        <w:tc>
          <w:tcPr>
            <w:tcW w:w="0" w:type="dxa"/>
            <w:vAlign w:val="bottom"/>
          </w:tcPr>
          <w:p>
            <w:pPr>
              <w:spacing w:after="0"/>
              <w:rPr>
                <w:sz w:val="1"/>
                <w:szCs w:val="1"/>
                <w:color w:val="auto"/>
              </w:rPr>
            </w:pPr>
          </w:p>
        </w:tc>
      </w:tr>
      <w:tr>
        <w:trPr>
          <w:trHeight w:val="253"/>
        </w:trPr>
        <w:tc>
          <w:tcPr>
            <w:tcW w:w="43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Stock-based compensation</w:t>
            </w: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27,945</w:t>
            </w:r>
          </w:p>
        </w:tc>
        <w:tc>
          <w:tcPr>
            <w:tcW w:w="160" w:type="dxa"/>
            <w:vAlign w:val="bottom"/>
            <w:shd w:val="clear" w:color="auto" w:fill="EBFBFF"/>
          </w:tcPr>
          <w:p>
            <w:pPr>
              <w:spacing w:after="0"/>
              <w:rPr>
                <w:sz w:val="21"/>
                <w:szCs w:val="21"/>
                <w:color w:val="auto"/>
              </w:rPr>
            </w:pP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8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27,945</w:t>
            </w:r>
          </w:p>
        </w:tc>
        <w:tc>
          <w:tcPr>
            <w:tcW w:w="0" w:type="dxa"/>
            <w:vAlign w:val="bottom"/>
          </w:tcPr>
          <w:p>
            <w:pPr>
              <w:spacing w:after="0"/>
              <w:rPr>
                <w:sz w:val="1"/>
                <w:szCs w:val="1"/>
                <w:color w:val="auto"/>
              </w:rPr>
            </w:pPr>
          </w:p>
        </w:tc>
      </w:tr>
      <w:tr>
        <w:trPr>
          <w:trHeight w:val="233"/>
        </w:trPr>
        <w:tc>
          <w:tcPr>
            <w:tcW w:w="4380" w:type="dxa"/>
            <w:vAlign w:val="bottom"/>
          </w:tcPr>
          <w:p>
            <w:pPr>
              <w:ind w:left="140"/>
              <w:spacing w:after="0"/>
              <w:rPr>
                <w:sz w:val="20"/>
                <w:szCs w:val="20"/>
                <w:color w:val="auto"/>
              </w:rPr>
            </w:pPr>
            <w:r>
              <w:rPr>
                <w:rFonts w:ascii="Arial" w:cs="Arial" w:eastAsia="Arial" w:hAnsi="Arial"/>
                <w:sz w:val="16"/>
                <w:szCs w:val="16"/>
                <w:color w:val="51555C"/>
              </w:rPr>
              <w:t>Restricted stock grants</w:t>
            </w:r>
          </w:p>
        </w:tc>
        <w:tc>
          <w:tcPr>
            <w:tcW w:w="960" w:type="dxa"/>
            <w:vAlign w:val="bottom"/>
          </w:tcPr>
          <w:p>
            <w:pPr>
              <w:jc w:val="right"/>
              <w:spacing w:after="0"/>
              <w:rPr>
                <w:sz w:val="20"/>
                <w:szCs w:val="20"/>
                <w:color w:val="auto"/>
              </w:rPr>
            </w:pPr>
            <w:r>
              <w:rPr>
                <w:rFonts w:ascii="Arial" w:cs="Arial" w:eastAsia="Arial" w:hAnsi="Arial"/>
                <w:sz w:val="16"/>
                <w:szCs w:val="16"/>
                <w:color w:val="51555C"/>
              </w:rPr>
              <w:t>107,906</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53"/>
        </w:trPr>
        <w:tc>
          <w:tcPr>
            <w:tcW w:w="43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Restricted stock cancellations</w:t>
            </w:r>
          </w:p>
        </w:tc>
        <w:tc>
          <w:tcPr>
            <w:tcW w:w="9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(44,956)</w:t>
            </w:r>
          </w:p>
        </w:tc>
        <w:tc>
          <w:tcPr>
            <w:tcW w:w="120" w:type="dxa"/>
            <w:vAlign w:val="bottom"/>
            <w:shd w:val="clear" w:color="auto" w:fill="EBFBFF"/>
          </w:tcPr>
          <w:p>
            <w:pPr>
              <w:spacing w:after="0"/>
              <w:rPr>
                <w:sz w:val="21"/>
                <w:szCs w:val="21"/>
                <w:color w:val="auto"/>
              </w:rPr>
            </w:pP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8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8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0" w:type="dxa"/>
            <w:vAlign w:val="bottom"/>
          </w:tcPr>
          <w:p>
            <w:pPr>
              <w:spacing w:after="0"/>
              <w:rPr>
                <w:sz w:val="1"/>
                <w:szCs w:val="1"/>
                <w:color w:val="auto"/>
              </w:rPr>
            </w:pPr>
          </w:p>
        </w:tc>
      </w:tr>
      <w:tr>
        <w:trPr>
          <w:trHeight w:val="236"/>
        </w:trPr>
        <w:tc>
          <w:tcPr>
            <w:tcW w:w="4380" w:type="dxa"/>
            <w:vAlign w:val="bottom"/>
            <w:tcBorders>
              <w:bottom w:val="single" w:sz="8" w:color="EBFBFF"/>
            </w:tcBorders>
          </w:tcPr>
          <w:p>
            <w:pPr>
              <w:ind w:left="140"/>
              <w:spacing w:after="0"/>
              <w:rPr>
                <w:sz w:val="20"/>
                <w:szCs w:val="20"/>
                <w:color w:val="auto"/>
              </w:rPr>
            </w:pPr>
            <w:r>
              <w:rPr>
                <w:rFonts w:ascii="Arial" w:cs="Arial" w:eastAsia="Arial" w:hAnsi="Arial"/>
                <w:sz w:val="16"/>
                <w:szCs w:val="16"/>
                <w:color w:val="51555C"/>
              </w:rPr>
              <w:t>Other comprehensive loss</w:t>
            </w:r>
          </w:p>
        </w:tc>
        <w:tc>
          <w:tcPr>
            <w:tcW w:w="9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tcPr>
          <w:p>
            <w:pPr>
              <w:spacing w:after="0"/>
              <w:rPr>
                <w:sz w:val="20"/>
                <w:szCs w:val="20"/>
                <w:color w:val="auto"/>
              </w:rPr>
            </w:pPr>
          </w:p>
        </w:tc>
        <w:tc>
          <w:tcPr>
            <w:tcW w:w="5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tcPr>
          <w:p>
            <w:pPr>
              <w:spacing w:after="0"/>
              <w:rPr>
                <w:sz w:val="20"/>
                <w:szCs w:val="20"/>
                <w:color w:val="auto"/>
              </w:rPr>
            </w:pPr>
          </w:p>
        </w:tc>
        <w:tc>
          <w:tcPr>
            <w:tcW w:w="8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51555C"/>
            </w:tcBorders>
          </w:tcPr>
          <w:p>
            <w:pPr>
              <w:spacing w:after="0"/>
              <w:rPr>
                <w:sz w:val="20"/>
                <w:szCs w:val="20"/>
                <w:color w:val="auto"/>
              </w:rPr>
            </w:pPr>
          </w:p>
        </w:tc>
        <w:tc>
          <w:tcPr>
            <w:tcW w:w="7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51555C"/>
            </w:tcBorders>
          </w:tcPr>
          <w:p>
            <w:pPr>
              <w:spacing w:after="0"/>
              <w:rPr>
                <w:sz w:val="20"/>
                <w:szCs w:val="20"/>
                <w:color w:val="auto"/>
              </w:rPr>
            </w:pPr>
          </w:p>
        </w:tc>
        <w:tc>
          <w:tcPr>
            <w:tcW w:w="9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(4,739)</w:t>
            </w:r>
          </w:p>
        </w:tc>
        <w:tc>
          <w:tcPr>
            <w:tcW w:w="180" w:type="dxa"/>
            <w:vAlign w:val="bottom"/>
            <w:tcBorders>
              <w:bottom w:val="single" w:sz="8" w:color="51555C"/>
            </w:tcBorders>
          </w:tcPr>
          <w:p>
            <w:pPr>
              <w:spacing w:after="0"/>
              <w:rPr>
                <w:sz w:val="20"/>
                <w:szCs w:val="20"/>
                <w:color w:val="auto"/>
              </w:rPr>
            </w:pPr>
          </w:p>
        </w:tc>
        <w:tc>
          <w:tcPr>
            <w:tcW w:w="7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220" w:type="dxa"/>
            <w:vAlign w:val="bottom"/>
            <w:tcBorders>
              <w:bottom w:val="single" w:sz="8" w:color="51555C"/>
            </w:tcBorders>
          </w:tcPr>
          <w:p>
            <w:pPr>
              <w:spacing w:after="0"/>
              <w:rPr>
                <w:sz w:val="20"/>
                <w:szCs w:val="20"/>
                <w:color w:val="auto"/>
              </w:rPr>
            </w:pPr>
          </w:p>
        </w:tc>
        <w:tc>
          <w:tcPr>
            <w:tcW w:w="7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(4,739)</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6"/>
                <w:szCs w:val="16"/>
                <w:b w:val="1"/>
                <w:bCs w:val="1"/>
                <w:color w:val="51555C"/>
              </w:rPr>
              <w:t>Balance at September 30, 2022</w:t>
            </w:r>
          </w:p>
        </w:tc>
        <w:tc>
          <w:tcPr>
            <w:tcW w:w="9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67,830,914</w:t>
            </w:r>
          </w:p>
        </w:tc>
        <w:tc>
          <w:tcPr>
            <w:tcW w:w="12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5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68</w:t>
            </w:r>
          </w:p>
        </w:tc>
        <w:tc>
          <w:tcPr>
            <w:tcW w:w="12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80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1,048,688</w:t>
            </w:r>
          </w:p>
        </w:tc>
        <w:tc>
          <w:tcPr>
            <w:tcW w:w="1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7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(536,968)</w:t>
            </w:r>
          </w:p>
        </w:tc>
        <w:tc>
          <w:tcPr>
            <w:tcW w:w="1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9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2,716</w:t>
            </w:r>
          </w:p>
        </w:tc>
        <w:tc>
          <w:tcPr>
            <w:tcW w:w="1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7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218,308</w:t>
            </w:r>
          </w:p>
        </w:tc>
        <w:tc>
          <w:tcPr>
            <w:tcW w:w="220" w:type="dxa"/>
            <w:vAlign w:val="bottom"/>
            <w:tcBorders>
              <w:bottom w:val="single" w:sz="8" w:color="0CD973"/>
            </w:tcBorders>
            <w:shd w:val="clear" w:color="auto" w:fill="EBFBFF"/>
          </w:tcPr>
          <w:p>
            <w:pPr>
              <w:jc w:val="right"/>
              <w:ind w:right="41"/>
              <w:spacing w:after="0"/>
              <w:rPr>
                <w:sz w:val="20"/>
                <w:szCs w:val="20"/>
                <w:color w:val="auto"/>
              </w:rPr>
            </w:pPr>
            <w:r>
              <w:rPr>
                <w:rFonts w:ascii="Arial" w:cs="Arial" w:eastAsia="Arial" w:hAnsi="Arial"/>
                <w:sz w:val="16"/>
                <w:szCs w:val="16"/>
                <w:color w:val="51555C"/>
                <w:w w:val="89"/>
              </w:rPr>
              <w:t>$</w:t>
            </w:r>
          </w:p>
        </w:tc>
        <w:tc>
          <w:tcPr>
            <w:tcW w:w="7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732,812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-5751830</wp:posOffset>
            </wp:positionV>
            <wp:extent cx="10541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120" w:lineRule="exact"/>
        <w:rPr>
          <w:sz w:val="20"/>
          <w:szCs w:val="20"/>
          <w:color w:val="auto"/>
        </w:rPr>
      </w:pPr>
    </w:p>
    <w:p>
      <w:pPr>
        <w:ind w:left="340" w:hanging="332"/>
        <w:spacing w:after="0" w:line="258" w:lineRule="auto"/>
        <w:tabs>
          <w:tab w:leader="none" w:pos="354" w:val="left"/>
        </w:tabs>
        <w:numPr>
          <w:ilvl w:val="0"/>
          <w:numId w:val="4"/>
        </w:numPr>
        <w:rPr>
          <w:rFonts w:ascii="Arial" w:cs="Arial" w:eastAsia="Arial" w:hAnsi="Arial"/>
          <w:sz w:val="14"/>
          <w:szCs w:val="14"/>
          <w:color w:val="51555C"/>
        </w:rPr>
      </w:pPr>
      <w:r>
        <w:rPr>
          <w:rFonts w:ascii="Arial" w:cs="Arial" w:eastAsia="Arial" w:hAnsi="Arial"/>
          <w:sz w:val="14"/>
          <w:szCs w:val="14"/>
          <w:color w:val="51555C"/>
        </w:rPr>
        <w:t>Represents shares retired after determining certain EVERFI's selling shareholders would be paid in cash, rather than shares of our common stock. See Note 3 for additional information regarding our acquisition of EVERFI.</w:t>
      </w:r>
    </w:p>
    <w:p>
      <w:pPr>
        <w:spacing w:after="0" w:line="321" w:lineRule="exact"/>
        <w:rPr>
          <w:sz w:val="20"/>
          <w:szCs w:val="20"/>
          <w:color w:val="auto"/>
        </w:rPr>
      </w:pPr>
    </w:p>
    <w:p>
      <w:pPr>
        <w:ind w:left="340" w:hanging="314"/>
        <w:spacing w:after="0"/>
        <w:tabs>
          <w:tab w:leader="none" w:pos="340" w:val="left"/>
        </w:tabs>
        <w:numPr>
          <w:ilvl w:val="0"/>
          <w:numId w:val="5"/>
        </w:numPr>
        <w:rPr>
          <w:rFonts w:ascii="Arial" w:cs="Arial" w:eastAsia="Arial" w:hAnsi="Arial"/>
          <w:sz w:val="14"/>
          <w:szCs w:val="14"/>
          <w:color w:val="51555C"/>
        </w:rPr>
      </w:pPr>
      <w:r>
        <w:rPr>
          <w:rFonts w:ascii="Arial" w:cs="Arial" w:eastAsia="Arial" w:hAnsi="Arial"/>
          <w:sz w:val="1"/>
          <w:szCs w:val="1"/>
          <w:color w:val="51555C"/>
        </w:rPr>
        <w:drawing>
          <wp:inline distT="0" distB="0" distL="0" distR="0">
            <wp:extent cx="651510" cy="1714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Condensed Consolidated Statements of Stockholders' Equity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shd w:val="clear" w:color="auto" w:fill="004054"/>
          </w:tcPr>
          <w:p>
            <w:pPr>
              <w:spacing w:after="0"/>
              <w:rPr>
                <w:sz w:val="18"/>
                <w:szCs w:val="18"/>
                <w:color w:val="auto"/>
              </w:rPr>
            </w:pPr>
          </w:p>
        </w:tc>
        <w:tc>
          <w:tcPr>
            <w:tcW w:w="980" w:type="dxa"/>
            <w:vAlign w:val="bottom"/>
            <w:shd w:val="clear" w:color="auto" w:fill="004054"/>
          </w:tcPr>
          <w:p>
            <w:pPr>
              <w:spacing w:after="0"/>
              <w:rPr>
                <w:sz w:val="18"/>
                <w:szCs w:val="18"/>
                <w:color w:val="auto"/>
              </w:rPr>
            </w:pPr>
          </w:p>
        </w:tc>
        <w:tc>
          <w:tcPr>
            <w:tcW w:w="120" w:type="dxa"/>
            <w:vAlign w:val="bottom"/>
            <w:shd w:val="clear" w:color="auto" w:fill="004054"/>
          </w:tcPr>
          <w:p>
            <w:pPr>
              <w:spacing w:after="0"/>
              <w:rPr>
                <w:sz w:val="18"/>
                <w:szCs w:val="18"/>
                <w:color w:val="auto"/>
              </w:rPr>
            </w:pPr>
          </w:p>
        </w:tc>
        <w:tc>
          <w:tcPr>
            <w:tcW w:w="580" w:type="dxa"/>
            <w:vAlign w:val="bottom"/>
            <w:shd w:val="clear" w:color="auto" w:fill="004054"/>
          </w:tcPr>
          <w:p>
            <w:pPr>
              <w:spacing w:after="0"/>
              <w:rPr>
                <w:sz w:val="18"/>
                <w:szCs w:val="18"/>
                <w:color w:val="auto"/>
              </w:rPr>
            </w:pPr>
          </w:p>
        </w:tc>
        <w:tc>
          <w:tcPr>
            <w:tcW w:w="160" w:type="dxa"/>
            <w:vAlign w:val="bottom"/>
            <w:shd w:val="clear" w:color="auto" w:fill="004054"/>
          </w:tcPr>
          <w:p>
            <w:pPr>
              <w:spacing w:after="0"/>
              <w:rPr>
                <w:sz w:val="18"/>
                <w:szCs w:val="18"/>
                <w:color w:val="auto"/>
              </w:rPr>
            </w:pPr>
          </w:p>
        </w:tc>
        <w:tc>
          <w:tcPr>
            <w:tcW w:w="780" w:type="dxa"/>
            <w:vAlign w:val="bottom"/>
            <w:shd w:val="clear" w:color="auto" w:fill="004054"/>
          </w:tcPr>
          <w:p>
            <w:pPr>
              <w:spacing w:after="0"/>
              <w:rPr>
                <w:sz w:val="18"/>
                <w:szCs w:val="18"/>
                <w:color w:val="auto"/>
              </w:rPr>
            </w:pPr>
          </w:p>
        </w:tc>
        <w:tc>
          <w:tcPr>
            <w:tcW w:w="160" w:type="dxa"/>
            <w:vAlign w:val="bottom"/>
            <w:shd w:val="clear" w:color="auto" w:fill="004054"/>
          </w:tcPr>
          <w:p>
            <w:pPr>
              <w:spacing w:after="0"/>
              <w:rPr>
                <w:sz w:val="18"/>
                <w:szCs w:val="18"/>
                <w:color w:val="auto"/>
              </w:rPr>
            </w:pPr>
          </w:p>
        </w:tc>
        <w:tc>
          <w:tcPr>
            <w:tcW w:w="780" w:type="dxa"/>
            <w:vAlign w:val="bottom"/>
            <w:shd w:val="clear" w:color="auto" w:fill="004054"/>
          </w:tcPr>
          <w:p>
            <w:pPr>
              <w:spacing w:after="0"/>
              <w:rPr>
                <w:sz w:val="18"/>
                <w:szCs w:val="18"/>
                <w:color w:val="auto"/>
              </w:rPr>
            </w:pPr>
          </w:p>
        </w:tc>
        <w:tc>
          <w:tcPr>
            <w:tcW w:w="160" w:type="dxa"/>
            <w:vAlign w:val="bottom"/>
            <w:shd w:val="clear" w:color="auto" w:fill="004054"/>
          </w:tcPr>
          <w:p>
            <w:pPr>
              <w:spacing w:after="0"/>
              <w:rPr>
                <w:sz w:val="18"/>
                <w:szCs w:val="18"/>
                <w:color w:val="auto"/>
              </w:rPr>
            </w:pPr>
          </w:p>
        </w:tc>
        <w:tc>
          <w:tcPr>
            <w:tcW w:w="10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Accumulated</w:t>
            </w:r>
          </w:p>
        </w:tc>
        <w:tc>
          <w:tcPr>
            <w:tcW w:w="200" w:type="dxa"/>
            <w:vAlign w:val="bottom"/>
            <w:shd w:val="clear" w:color="auto" w:fill="004054"/>
          </w:tcPr>
          <w:p>
            <w:pPr>
              <w:spacing w:after="0"/>
              <w:rPr>
                <w:sz w:val="18"/>
                <w:szCs w:val="18"/>
                <w:color w:val="auto"/>
              </w:rPr>
            </w:pPr>
          </w:p>
        </w:tc>
        <w:tc>
          <w:tcPr>
            <w:tcW w:w="740" w:type="dxa"/>
            <w:vAlign w:val="bottom"/>
            <w:shd w:val="clear" w:color="auto" w:fill="004054"/>
          </w:tcPr>
          <w:p>
            <w:pPr>
              <w:spacing w:after="0"/>
              <w:rPr>
                <w:sz w:val="18"/>
                <w:szCs w:val="18"/>
                <w:color w:val="auto"/>
              </w:rPr>
            </w:pPr>
          </w:p>
        </w:tc>
        <w:tc>
          <w:tcPr>
            <w:tcW w:w="220" w:type="dxa"/>
            <w:vAlign w:val="bottom"/>
            <w:shd w:val="clear" w:color="auto" w:fill="004054"/>
          </w:tcPr>
          <w:p>
            <w:pPr>
              <w:spacing w:after="0"/>
              <w:rPr>
                <w:sz w:val="18"/>
                <w:szCs w:val="18"/>
                <w:color w:val="auto"/>
              </w:rPr>
            </w:pPr>
          </w:p>
        </w:tc>
        <w:tc>
          <w:tcPr>
            <w:tcW w:w="78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004054"/>
          </w:tcPr>
          <w:p>
            <w:pPr>
              <w:spacing w:after="0"/>
              <w:rPr>
                <w:sz w:val="15"/>
                <w:szCs w:val="15"/>
                <w:color w:val="auto"/>
              </w:rPr>
            </w:pPr>
          </w:p>
        </w:tc>
        <w:tc>
          <w:tcPr>
            <w:tcW w:w="1680" w:type="dxa"/>
            <w:vAlign w:val="bottom"/>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Common stock</w:t>
            </w:r>
          </w:p>
        </w:tc>
        <w:tc>
          <w:tcPr>
            <w:tcW w:w="160" w:type="dxa"/>
            <w:vAlign w:val="bottom"/>
            <w:shd w:val="clear" w:color="auto" w:fill="004054"/>
          </w:tcPr>
          <w:p>
            <w:pPr>
              <w:spacing w:after="0"/>
              <w:rPr>
                <w:sz w:val="15"/>
                <w:szCs w:val="15"/>
                <w:color w:val="auto"/>
              </w:rPr>
            </w:pPr>
          </w:p>
        </w:tc>
        <w:tc>
          <w:tcPr>
            <w:tcW w:w="7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Additional</w:t>
            </w:r>
          </w:p>
        </w:tc>
        <w:tc>
          <w:tcPr>
            <w:tcW w:w="160" w:type="dxa"/>
            <w:vAlign w:val="bottom"/>
            <w:shd w:val="clear" w:color="auto" w:fill="004054"/>
          </w:tcPr>
          <w:p>
            <w:pPr>
              <w:spacing w:after="0"/>
              <w:rPr>
                <w:sz w:val="15"/>
                <w:szCs w:val="15"/>
                <w:color w:val="auto"/>
              </w:rPr>
            </w:pPr>
          </w:p>
        </w:tc>
        <w:tc>
          <w:tcPr>
            <w:tcW w:w="78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Treasury</w:t>
            </w:r>
          </w:p>
        </w:tc>
        <w:tc>
          <w:tcPr>
            <w:tcW w:w="160" w:type="dxa"/>
            <w:vAlign w:val="bottom"/>
            <w:shd w:val="clear" w:color="auto" w:fill="004054"/>
          </w:tcPr>
          <w:p>
            <w:pPr>
              <w:spacing w:after="0"/>
              <w:rPr>
                <w:sz w:val="15"/>
                <w:szCs w:val="15"/>
                <w:color w:val="auto"/>
              </w:rPr>
            </w:pPr>
          </w:p>
        </w:tc>
        <w:tc>
          <w:tcPr>
            <w:tcW w:w="10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other</w:t>
            </w:r>
          </w:p>
        </w:tc>
        <w:tc>
          <w:tcPr>
            <w:tcW w:w="200" w:type="dxa"/>
            <w:vAlign w:val="bottom"/>
            <w:shd w:val="clear" w:color="auto" w:fill="004054"/>
          </w:tcPr>
          <w:p>
            <w:pPr>
              <w:spacing w:after="0"/>
              <w:rPr>
                <w:sz w:val="15"/>
                <w:szCs w:val="15"/>
                <w:color w:val="auto"/>
              </w:rPr>
            </w:pPr>
          </w:p>
        </w:tc>
        <w:tc>
          <w:tcPr>
            <w:tcW w:w="74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Retained</w:t>
            </w:r>
          </w:p>
        </w:tc>
        <w:tc>
          <w:tcPr>
            <w:tcW w:w="220" w:type="dxa"/>
            <w:vAlign w:val="bottom"/>
            <w:shd w:val="clear" w:color="auto" w:fill="004054"/>
          </w:tcPr>
          <w:p>
            <w:pPr>
              <w:spacing w:after="0"/>
              <w:rPr>
                <w:sz w:val="15"/>
                <w:szCs w:val="15"/>
                <w:color w:val="auto"/>
              </w:rPr>
            </w:pPr>
          </w:p>
        </w:tc>
        <w:tc>
          <w:tcPr>
            <w:tcW w:w="7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580" w:type="dxa"/>
            <w:vAlign w:val="bottom"/>
            <w:shd w:val="clear" w:color="auto" w:fill="004054"/>
          </w:tcPr>
          <w:p>
            <w:pPr>
              <w:spacing w:after="0"/>
              <w:rPr>
                <w:sz w:val="9"/>
                <w:szCs w:val="9"/>
                <w:color w:val="auto"/>
              </w:rPr>
            </w:pPr>
          </w:p>
        </w:tc>
        <w:tc>
          <w:tcPr>
            <w:tcW w:w="1680" w:type="dxa"/>
            <w:vAlign w:val="bottom"/>
            <w:gridSpan w:val="3"/>
            <w:vMerge w:val="continue"/>
            <w:shd w:val="clear" w:color="auto" w:fill="004054"/>
          </w:tcPr>
          <w:p>
            <w:pPr>
              <w:spacing w:after="0"/>
              <w:rPr>
                <w:sz w:val="9"/>
                <w:szCs w:val="9"/>
                <w:color w:val="auto"/>
              </w:rPr>
            </w:pPr>
          </w:p>
        </w:tc>
        <w:tc>
          <w:tcPr>
            <w:tcW w:w="160" w:type="dxa"/>
            <w:vAlign w:val="bottom"/>
            <w:shd w:val="clear" w:color="auto" w:fill="004054"/>
          </w:tcPr>
          <w:p>
            <w:pPr>
              <w:spacing w:after="0"/>
              <w:rPr>
                <w:sz w:val="9"/>
                <w:szCs w:val="9"/>
                <w:color w:val="auto"/>
              </w:rPr>
            </w:pPr>
          </w:p>
        </w:tc>
        <w:tc>
          <w:tcPr>
            <w:tcW w:w="78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paid-in</w:t>
            </w:r>
          </w:p>
        </w:tc>
        <w:tc>
          <w:tcPr>
            <w:tcW w:w="160" w:type="dxa"/>
            <w:vAlign w:val="bottom"/>
            <w:shd w:val="clear" w:color="auto" w:fill="004054"/>
          </w:tcPr>
          <w:p>
            <w:pPr>
              <w:spacing w:after="0"/>
              <w:rPr>
                <w:sz w:val="9"/>
                <w:szCs w:val="9"/>
                <w:color w:val="auto"/>
              </w:rPr>
            </w:pPr>
          </w:p>
        </w:tc>
        <w:tc>
          <w:tcPr>
            <w:tcW w:w="780" w:type="dxa"/>
            <w:vAlign w:val="bottom"/>
            <w:vMerge w:val="continue"/>
            <w:shd w:val="clear" w:color="auto" w:fill="004054"/>
          </w:tcPr>
          <w:p>
            <w:pPr>
              <w:spacing w:after="0"/>
              <w:rPr>
                <w:sz w:val="9"/>
                <w:szCs w:val="9"/>
                <w:color w:val="auto"/>
              </w:rPr>
            </w:pPr>
          </w:p>
        </w:tc>
        <w:tc>
          <w:tcPr>
            <w:tcW w:w="1160" w:type="dxa"/>
            <w:vAlign w:val="bottom"/>
            <w:gridSpan w:val="2"/>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comprehensive</w:t>
            </w:r>
          </w:p>
        </w:tc>
        <w:tc>
          <w:tcPr>
            <w:tcW w:w="200" w:type="dxa"/>
            <w:vAlign w:val="bottom"/>
            <w:shd w:val="clear" w:color="auto" w:fill="004054"/>
          </w:tcPr>
          <w:p>
            <w:pPr>
              <w:spacing w:after="0"/>
              <w:rPr>
                <w:sz w:val="9"/>
                <w:szCs w:val="9"/>
                <w:color w:val="auto"/>
              </w:rPr>
            </w:pPr>
          </w:p>
        </w:tc>
        <w:tc>
          <w:tcPr>
            <w:tcW w:w="740" w:type="dxa"/>
            <w:vAlign w:val="bottom"/>
            <w:vMerge w:val="continue"/>
            <w:shd w:val="clear" w:color="auto" w:fill="004054"/>
          </w:tcPr>
          <w:p>
            <w:pPr>
              <w:spacing w:after="0"/>
              <w:rPr>
                <w:sz w:val="9"/>
                <w:szCs w:val="9"/>
                <w:color w:val="auto"/>
              </w:rPr>
            </w:pPr>
          </w:p>
        </w:tc>
        <w:tc>
          <w:tcPr>
            <w:tcW w:w="1000" w:type="dxa"/>
            <w:vAlign w:val="bottom"/>
            <w:gridSpan w:val="2"/>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stockholders'</w:t>
            </w:r>
          </w:p>
        </w:tc>
        <w:tc>
          <w:tcPr>
            <w:tcW w:w="20" w:type="dxa"/>
            <w:vAlign w:val="bottom"/>
            <w:shd w:val="clear" w:color="auto" w:fill="004054"/>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4580" w:type="dxa"/>
            <w:vAlign w:val="bottom"/>
            <w:shd w:val="clear" w:color="auto" w:fill="004054"/>
          </w:tcPr>
          <w:p>
            <w:pPr>
              <w:spacing w:after="0"/>
              <w:rPr>
                <w:sz w:val="4"/>
                <w:szCs w:val="4"/>
                <w:color w:val="auto"/>
              </w:rPr>
            </w:pPr>
          </w:p>
        </w:tc>
        <w:tc>
          <w:tcPr>
            <w:tcW w:w="980" w:type="dxa"/>
            <w:vAlign w:val="bottom"/>
            <w:shd w:val="clear" w:color="auto" w:fill="004054"/>
          </w:tcPr>
          <w:p>
            <w:pPr>
              <w:spacing w:after="0"/>
              <w:rPr>
                <w:sz w:val="4"/>
                <w:szCs w:val="4"/>
                <w:color w:val="auto"/>
              </w:rPr>
            </w:pPr>
          </w:p>
        </w:tc>
        <w:tc>
          <w:tcPr>
            <w:tcW w:w="120" w:type="dxa"/>
            <w:vAlign w:val="bottom"/>
            <w:shd w:val="clear" w:color="auto" w:fill="004054"/>
          </w:tcPr>
          <w:p>
            <w:pPr>
              <w:spacing w:after="0"/>
              <w:rPr>
                <w:sz w:val="4"/>
                <w:szCs w:val="4"/>
                <w:color w:val="auto"/>
              </w:rPr>
            </w:pPr>
          </w:p>
        </w:tc>
        <w:tc>
          <w:tcPr>
            <w:tcW w:w="580" w:type="dxa"/>
            <w:vAlign w:val="bottom"/>
            <w:shd w:val="clear" w:color="auto" w:fill="004054"/>
          </w:tcPr>
          <w:p>
            <w:pPr>
              <w:spacing w:after="0"/>
              <w:rPr>
                <w:sz w:val="4"/>
                <w:szCs w:val="4"/>
                <w:color w:val="auto"/>
              </w:rPr>
            </w:pPr>
          </w:p>
        </w:tc>
        <w:tc>
          <w:tcPr>
            <w:tcW w:w="160" w:type="dxa"/>
            <w:vAlign w:val="bottom"/>
            <w:shd w:val="clear" w:color="auto" w:fill="004054"/>
          </w:tcPr>
          <w:p>
            <w:pPr>
              <w:spacing w:after="0"/>
              <w:rPr>
                <w:sz w:val="4"/>
                <w:szCs w:val="4"/>
                <w:color w:val="auto"/>
              </w:rPr>
            </w:pPr>
          </w:p>
        </w:tc>
        <w:tc>
          <w:tcPr>
            <w:tcW w:w="780" w:type="dxa"/>
            <w:vAlign w:val="bottom"/>
            <w:vMerge w:val="continue"/>
            <w:shd w:val="clear" w:color="auto" w:fill="004054"/>
          </w:tcPr>
          <w:p>
            <w:pPr>
              <w:spacing w:after="0"/>
              <w:rPr>
                <w:sz w:val="4"/>
                <w:szCs w:val="4"/>
                <w:color w:val="auto"/>
              </w:rPr>
            </w:pPr>
          </w:p>
        </w:tc>
        <w:tc>
          <w:tcPr>
            <w:tcW w:w="160" w:type="dxa"/>
            <w:vAlign w:val="bottom"/>
            <w:shd w:val="clear" w:color="auto" w:fill="004054"/>
          </w:tcPr>
          <w:p>
            <w:pPr>
              <w:spacing w:after="0"/>
              <w:rPr>
                <w:sz w:val="4"/>
                <w:szCs w:val="4"/>
                <w:color w:val="auto"/>
              </w:rPr>
            </w:pPr>
          </w:p>
        </w:tc>
        <w:tc>
          <w:tcPr>
            <w:tcW w:w="780" w:type="dxa"/>
            <w:vAlign w:val="bottom"/>
            <w:vMerge w:val="continue"/>
            <w:shd w:val="clear" w:color="auto" w:fill="004054"/>
          </w:tcPr>
          <w:p>
            <w:pPr>
              <w:spacing w:after="0"/>
              <w:rPr>
                <w:sz w:val="4"/>
                <w:szCs w:val="4"/>
                <w:color w:val="auto"/>
              </w:rPr>
            </w:pPr>
          </w:p>
        </w:tc>
        <w:tc>
          <w:tcPr>
            <w:tcW w:w="1160" w:type="dxa"/>
            <w:vAlign w:val="bottom"/>
            <w:gridSpan w:val="2"/>
            <w:vMerge w:val="continue"/>
            <w:shd w:val="clear" w:color="auto" w:fill="004054"/>
          </w:tcPr>
          <w:p>
            <w:pPr>
              <w:spacing w:after="0"/>
              <w:rPr>
                <w:sz w:val="4"/>
                <w:szCs w:val="4"/>
                <w:color w:val="auto"/>
              </w:rPr>
            </w:pPr>
          </w:p>
        </w:tc>
        <w:tc>
          <w:tcPr>
            <w:tcW w:w="200" w:type="dxa"/>
            <w:vAlign w:val="bottom"/>
            <w:shd w:val="clear" w:color="auto" w:fill="004054"/>
          </w:tcPr>
          <w:p>
            <w:pPr>
              <w:spacing w:after="0"/>
              <w:rPr>
                <w:sz w:val="4"/>
                <w:szCs w:val="4"/>
                <w:color w:val="auto"/>
              </w:rPr>
            </w:pPr>
          </w:p>
        </w:tc>
        <w:tc>
          <w:tcPr>
            <w:tcW w:w="740" w:type="dxa"/>
            <w:vAlign w:val="bottom"/>
            <w:vMerge w:val="continue"/>
            <w:shd w:val="clear" w:color="auto" w:fill="004054"/>
          </w:tcPr>
          <w:p>
            <w:pPr>
              <w:spacing w:after="0"/>
              <w:rPr>
                <w:sz w:val="4"/>
                <w:szCs w:val="4"/>
                <w:color w:val="auto"/>
              </w:rPr>
            </w:pPr>
          </w:p>
        </w:tc>
        <w:tc>
          <w:tcPr>
            <w:tcW w:w="1000" w:type="dxa"/>
            <w:vAlign w:val="bottom"/>
            <w:gridSpan w:val="2"/>
            <w:vMerge w:val="continue"/>
            <w:shd w:val="clear" w:color="auto" w:fill="004054"/>
          </w:tcPr>
          <w:p>
            <w:pPr>
              <w:spacing w:after="0"/>
              <w:rPr>
                <w:sz w:val="4"/>
                <w:szCs w:val="4"/>
                <w:color w:val="auto"/>
              </w:rPr>
            </w:pPr>
          </w:p>
        </w:tc>
        <w:tc>
          <w:tcPr>
            <w:tcW w:w="20" w:type="dxa"/>
            <w:vAlign w:val="bottom"/>
            <w:shd w:val="clear" w:color="auto" w:fill="004054"/>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5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9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Shares</w:t>
            </w:r>
          </w:p>
        </w:tc>
        <w:tc>
          <w:tcPr>
            <w:tcW w:w="120" w:type="dxa"/>
            <w:vAlign w:val="bottom"/>
            <w:tcBorders>
              <w:bottom w:val="single" w:sz="8" w:color="004054"/>
            </w:tcBorders>
            <w:shd w:val="clear" w:color="auto" w:fill="004054"/>
          </w:tcPr>
          <w:p>
            <w:pPr>
              <w:spacing w:after="0"/>
              <w:rPr>
                <w:sz w:val="18"/>
                <w:szCs w:val="18"/>
                <w:color w:val="auto"/>
              </w:rPr>
            </w:pPr>
          </w:p>
        </w:tc>
        <w:tc>
          <w:tcPr>
            <w:tcW w:w="5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Amount</w:t>
            </w:r>
          </w:p>
        </w:tc>
        <w:tc>
          <w:tcPr>
            <w:tcW w:w="160" w:type="dxa"/>
            <w:vAlign w:val="bottom"/>
            <w:tcBorders>
              <w:bottom w:val="single" w:sz="8" w:color="004054"/>
            </w:tcBorders>
            <w:shd w:val="clear" w:color="auto" w:fill="004054"/>
          </w:tcPr>
          <w:p>
            <w:pPr>
              <w:spacing w:after="0"/>
              <w:rPr>
                <w:sz w:val="18"/>
                <w:szCs w:val="18"/>
                <w:color w:val="auto"/>
              </w:rPr>
            </w:pPr>
          </w:p>
        </w:tc>
        <w:tc>
          <w:tcPr>
            <w:tcW w:w="7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capital</w:t>
            </w:r>
          </w:p>
        </w:tc>
        <w:tc>
          <w:tcPr>
            <w:tcW w:w="160" w:type="dxa"/>
            <w:vAlign w:val="bottom"/>
            <w:tcBorders>
              <w:bottom w:val="single" w:sz="8" w:color="004054"/>
            </w:tcBorders>
            <w:shd w:val="clear" w:color="auto" w:fill="004054"/>
          </w:tcPr>
          <w:p>
            <w:pPr>
              <w:spacing w:after="0"/>
              <w:rPr>
                <w:sz w:val="18"/>
                <w:szCs w:val="18"/>
                <w:color w:val="auto"/>
              </w:rPr>
            </w:pPr>
          </w:p>
        </w:tc>
        <w:tc>
          <w:tcPr>
            <w:tcW w:w="7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stock</w:t>
            </w:r>
          </w:p>
        </w:tc>
        <w:tc>
          <w:tcPr>
            <w:tcW w:w="160" w:type="dxa"/>
            <w:vAlign w:val="bottom"/>
            <w:tcBorders>
              <w:bottom w:val="single" w:sz="8" w:color="004054"/>
            </w:tcBorders>
            <w:shd w:val="clear" w:color="auto" w:fill="004054"/>
          </w:tcPr>
          <w:p>
            <w:pPr>
              <w:spacing w:after="0"/>
              <w:rPr>
                <w:sz w:val="18"/>
                <w:szCs w:val="18"/>
                <w:color w:val="auto"/>
              </w:rPr>
            </w:pPr>
          </w:p>
        </w:tc>
        <w:tc>
          <w:tcPr>
            <w:tcW w:w="10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income (loss)</w:t>
            </w:r>
          </w:p>
        </w:tc>
        <w:tc>
          <w:tcPr>
            <w:tcW w:w="200" w:type="dxa"/>
            <w:vAlign w:val="bottom"/>
            <w:tcBorders>
              <w:bottom w:val="single" w:sz="8" w:color="004054"/>
            </w:tcBorders>
            <w:shd w:val="clear" w:color="auto" w:fill="004054"/>
          </w:tcPr>
          <w:p>
            <w:pPr>
              <w:spacing w:after="0"/>
              <w:rPr>
                <w:sz w:val="18"/>
                <w:szCs w:val="18"/>
                <w:color w:val="auto"/>
              </w:rPr>
            </w:pPr>
          </w:p>
        </w:tc>
        <w:tc>
          <w:tcPr>
            <w:tcW w:w="7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earnings</w:t>
            </w:r>
          </w:p>
        </w:tc>
        <w:tc>
          <w:tcPr>
            <w:tcW w:w="220" w:type="dxa"/>
            <w:vAlign w:val="bottom"/>
            <w:tcBorders>
              <w:bottom w:val="single" w:sz="8" w:color="004054"/>
            </w:tcBorders>
            <w:shd w:val="clear" w:color="auto" w:fill="004054"/>
          </w:tcPr>
          <w:p>
            <w:pPr>
              <w:spacing w:after="0"/>
              <w:rPr>
                <w:sz w:val="18"/>
                <w:szCs w:val="18"/>
                <w:color w:val="auto"/>
              </w:rPr>
            </w:pPr>
          </w:p>
        </w:tc>
        <w:tc>
          <w:tcPr>
            <w:tcW w:w="7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equity</w:t>
            </w:r>
          </w:p>
        </w:tc>
        <w:tc>
          <w:tcPr>
            <w:tcW w:w="20" w:type="dxa"/>
            <w:vAlign w:val="bottom"/>
            <w:tcBorders>
              <w:bottom w:val="single" w:sz="8" w:color="004054"/>
            </w:tcBorders>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Balance at December 31, 2020</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60,904,638</w:t>
            </w:r>
          </w:p>
        </w:tc>
        <w:tc>
          <w:tcPr>
            <w:tcW w:w="12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5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61</w:t>
            </w:r>
          </w:p>
        </w:tc>
        <w:tc>
          <w:tcPr>
            <w:tcW w:w="16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544,963</w:t>
            </w:r>
          </w:p>
        </w:tc>
        <w:tc>
          <w:tcPr>
            <w:tcW w:w="1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(353,091)</w:t>
            </w:r>
          </w:p>
        </w:tc>
        <w:tc>
          <w:tcPr>
            <w:tcW w:w="1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(2,497)</w:t>
            </w:r>
          </w:p>
        </w:tc>
        <w:tc>
          <w:tcPr>
            <w:tcW w:w="200" w:type="dxa"/>
            <w:vAlign w:val="bottom"/>
            <w:shd w:val="clear" w:color="auto" w:fill="EBFBFF"/>
          </w:tcPr>
          <w:p>
            <w:pPr>
              <w:jc w:val="right"/>
              <w:ind w:right="19"/>
              <w:spacing w:after="0"/>
              <w:rPr>
                <w:sz w:val="20"/>
                <w:szCs w:val="20"/>
                <w:color w:val="auto"/>
              </w:rPr>
            </w:pPr>
            <w:r>
              <w:rPr>
                <w:rFonts w:ascii="Arial" w:cs="Arial" w:eastAsia="Arial" w:hAnsi="Arial"/>
                <w:sz w:val="16"/>
                <w:szCs w:val="16"/>
                <w:color w:val="51555C"/>
                <w:w w:val="89"/>
              </w:rPr>
              <w:t>$</w:t>
            </w: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236,714</w:t>
            </w:r>
          </w:p>
        </w:tc>
        <w:tc>
          <w:tcPr>
            <w:tcW w:w="220" w:type="dxa"/>
            <w:vAlign w:val="bottom"/>
            <w:shd w:val="clear" w:color="auto" w:fill="EBFBFF"/>
          </w:tcPr>
          <w:p>
            <w:pPr>
              <w:jc w:val="right"/>
              <w:ind w:right="41"/>
              <w:spacing w:after="0"/>
              <w:rPr>
                <w:sz w:val="20"/>
                <w:szCs w:val="20"/>
                <w:color w:val="auto"/>
              </w:rPr>
            </w:pPr>
            <w:r>
              <w:rPr>
                <w:rFonts w:ascii="Arial" w:cs="Arial" w:eastAsia="Arial" w:hAnsi="Arial"/>
                <w:sz w:val="16"/>
                <w:szCs w:val="16"/>
                <w:color w:val="51555C"/>
                <w:w w:val="89"/>
              </w:rPr>
              <w:t>$</w:t>
            </w: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426,150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51555C"/>
              </w:rPr>
              <w:t>Net loss</w:t>
            </w: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(164)</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(164)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Purchase of 465,821 treasury shares under stock repurchase</w:t>
            </w:r>
          </w:p>
        </w:tc>
        <w:tc>
          <w:tcPr>
            <w:tcW w:w="980" w:type="dxa"/>
            <w:vAlign w:val="bottom"/>
            <w:shd w:val="clear" w:color="auto" w:fill="EBFBFF"/>
          </w:tcPr>
          <w:p>
            <w:pPr>
              <w:spacing w:after="0"/>
              <w:rPr>
                <w:sz w:val="19"/>
                <w:szCs w:val="19"/>
                <w:color w:val="auto"/>
              </w:rPr>
            </w:pPr>
          </w:p>
        </w:tc>
        <w:tc>
          <w:tcPr>
            <w:tcW w:w="120" w:type="dxa"/>
            <w:vAlign w:val="bottom"/>
            <w:shd w:val="clear" w:color="auto" w:fill="EBFBFF"/>
          </w:tcPr>
          <w:p>
            <w:pPr>
              <w:spacing w:after="0"/>
              <w:rPr>
                <w:sz w:val="19"/>
                <w:szCs w:val="19"/>
                <w:color w:val="auto"/>
              </w:rPr>
            </w:pPr>
          </w:p>
        </w:tc>
        <w:tc>
          <w:tcPr>
            <w:tcW w:w="58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78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78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1000" w:type="dxa"/>
            <w:vAlign w:val="bottom"/>
            <w:shd w:val="clear" w:color="auto" w:fill="EBFBFF"/>
          </w:tcPr>
          <w:p>
            <w:pPr>
              <w:spacing w:after="0"/>
              <w:rPr>
                <w:sz w:val="19"/>
                <w:szCs w:val="19"/>
                <w:color w:val="auto"/>
              </w:rPr>
            </w:pPr>
          </w:p>
        </w:tc>
        <w:tc>
          <w:tcPr>
            <w:tcW w:w="200" w:type="dxa"/>
            <w:vAlign w:val="bottom"/>
            <w:shd w:val="clear" w:color="auto" w:fill="EBFBFF"/>
          </w:tcPr>
          <w:p>
            <w:pPr>
              <w:spacing w:after="0"/>
              <w:rPr>
                <w:sz w:val="19"/>
                <w:szCs w:val="19"/>
                <w:color w:val="auto"/>
              </w:rPr>
            </w:pPr>
          </w:p>
        </w:tc>
        <w:tc>
          <w:tcPr>
            <w:tcW w:w="740" w:type="dxa"/>
            <w:vAlign w:val="bottom"/>
            <w:shd w:val="clear" w:color="auto" w:fill="EBFBFF"/>
          </w:tcPr>
          <w:p>
            <w:pPr>
              <w:spacing w:after="0"/>
              <w:rPr>
                <w:sz w:val="19"/>
                <w:szCs w:val="19"/>
                <w:color w:val="auto"/>
              </w:rPr>
            </w:pPr>
          </w:p>
        </w:tc>
        <w:tc>
          <w:tcPr>
            <w:tcW w:w="220" w:type="dxa"/>
            <w:vAlign w:val="bottom"/>
            <w:shd w:val="clear" w:color="auto" w:fill="EBFBFF"/>
          </w:tcPr>
          <w:p>
            <w:pPr>
              <w:spacing w:after="0"/>
              <w:rPr>
                <w:sz w:val="19"/>
                <w:szCs w:val="19"/>
                <w:color w:val="auto"/>
              </w:rPr>
            </w:pPr>
          </w:p>
        </w:tc>
        <w:tc>
          <w:tcPr>
            <w:tcW w:w="780" w:type="dxa"/>
            <w:vAlign w:val="bottom"/>
            <w:shd w:val="clear" w:color="auto" w:fill="EBFB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program</w:t>
            </w:r>
          </w:p>
        </w:tc>
        <w:tc>
          <w:tcPr>
            <w:tcW w:w="980" w:type="dxa"/>
            <w:vAlign w:val="bottom"/>
            <w:shd w:val="clear" w:color="auto" w:fill="EBFBFF"/>
          </w:tcPr>
          <w:p>
            <w:pPr>
              <w:spacing w:after="0"/>
              <w:rPr>
                <w:sz w:val="19"/>
                <w:szCs w:val="19"/>
                <w:color w:val="auto"/>
              </w:rPr>
            </w:pPr>
          </w:p>
        </w:tc>
        <w:tc>
          <w:tcPr>
            <w:tcW w:w="120" w:type="dxa"/>
            <w:vAlign w:val="bottom"/>
            <w:shd w:val="clear" w:color="auto" w:fill="EBFBFF"/>
          </w:tcPr>
          <w:p>
            <w:pPr>
              <w:spacing w:after="0"/>
              <w:rPr>
                <w:sz w:val="19"/>
                <w:szCs w:val="19"/>
                <w:color w:val="auto"/>
              </w:rPr>
            </w:pPr>
          </w:p>
        </w:tc>
        <w:tc>
          <w:tcPr>
            <w:tcW w:w="58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78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(28,066)</w:t>
            </w:r>
          </w:p>
        </w:tc>
        <w:tc>
          <w:tcPr>
            <w:tcW w:w="160" w:type="dxa"/>
            <w:vAlign w:val="bottom"/>
            <w:shd w:val="clear" w:color="auto" w:fill="EBFBFF"/>
          </w:tcPr>
          <w:p>
            <w:pPr>
              <w:spacing w:after="0"/>
              <w:rPr>
                <w:sz w:val="19"/>
                <w:szCs w:val="19"/>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19"/>
                <w:szCs w:val="19"/>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19"/>
                <w:szCs w:val="19"/>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(28,066)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51555C"/>
              </w:rPr>
              <w:t>Vesting of restricted stock units</w:t>
            </w:r>
          </w:p>
        </w:tc>
        <w:tc>
          <w:tcPr>
            <w:tcW w:w="980" w:type="dxa"/>
            <w:vAlign w:val="bottom"/>
          </w:tcPr>
          <w:p>
            <w:pPr>
              <w:jc w:val="right"/>
              <w:spacing w:after="0"/>
              <w:rPr>
                <w:sz w:val="20"/>
                <w:szCs w:val="20"/>
                <w:color w:val="auto"/>
              </w:rPr>
            </w:pPr>
            <w:r>
              <w:rPr>
                <w:rFonts w:ascii="Arial" w:cs="Arial" w:eastAsia="Arial" w:hAnsi="Arial"/>
                <w:sz w:val="16"/>
                <w:szCs w:val="16"/>
                <w:color w:val="51555C"/>
              </w:rPr>
              <w:t>206,418</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Employee taxes paid for 240,867 withheld shares upon equity</w:t>
            </w:r>
          </w:p>
        </w:tc>
        <w:tc>
          <w:tcPr>
            <w:tcW w:w="980" w:type="dxa"/>
            <w:vAlign w:val="bottom"/>
            <w:shd w:val="clear" w:color="auto" w:fill="EBFBFF"/>
          </w:tcPr>
          <w:p>
            <w:pPr>
              <w:spacing w:after="0"/>
              <w:rPr>
                <w:sz w:val="19"/>
                <w:szCs w:val="19"/>
                <w:color w:val="auto"/>
              </w:rPr>
            </w:pPr>
          </w:p>
        </w:tc>
        <w:tc>
          <w:tcPr>
            <w:tcW w:w="120" w:type="dxa"/>
            <w:vAlign w:val="bottom"/>
            <w:shd w:val="clear" w:color="auto" w:fill="EBFBFF"/>
          </w:tcPr>
          <w:p>
            <w:pPr>
              <w:spacing w:after="0"/>
              <w:rPr>
                <w:sz w:val="19"/>
                <w:szCs w:val="19"/>
                <w:color w:val="auto"/>
              </w:rPr>
            </w:pPr>
          </w:p>
        </w:tc>
        <w:tc>
          <w:tcPr>
            <w:tcW w:w="58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78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78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1000" w:type="dxa"/>
            <w:vAlign w:val="bottom"/>
            <w:shd w:val="clear" w:color="auto" w:fill="EBFBFF"/>
          </w:tcPr>
          <w:p>
            <w:pPr>
              <w:spacing w:after="0"/>
              <w:rPr>
                <w:sz w:val="19"/>
                <w:szCs w:val="19"/>
                <w:color w:val="auto"/>
              </w:rPr>
            </w:pPr>
          </w:p>
        </w:tc>
        <w:tc>
          <w:tcPr>
            <w:tcW w:w="200" w:type="dxa"/>
            <w:vAlign w:val="bottom"/>
            <w:shd w:val="clear" w:color="auto" w:fill="EBFBFF"/>
          </w:tcPr>
          <w:p>
            <w:pPr>
              <w:spacing w:after="0"/>
              <w:rPr>
                <w:sz w:val="19"/>
                <w:szCs w:val="19"/>
                <w:color w:val="auto"/>
              </w:rPr>
            </w:pPr>
          </w:p>
        </w:tc>
        <w:tc>
          <w:tcPr>
            <w:tcW w:w="740" w:type="dxa"/>
            <w:vAlign w:val="bottom"/>
            <w:shd w:val="clear" w:color="auto" w:fill="EBFBFF"/>
          </w:tcPr>
          <w:p>
            <w:pPr>
              <w:spacing w:after="0"/>
              <w:rPr>
                <w:sz w:val="19"/>
                <w:szCs w:val="19"/>
                <w:color w:val="auto"/>
              </w:rPr>
            </w:pPr>
          </w:p>
        </w:tc>
        <w:tc>
          <w:tcPr>
            <w:tcW w:w="220" w:type="dxa"/>
            <w:vAlign w:val="bottom"/>
            <w:shd w:val="clear" w:color="auto" w:fill="EBFBFF"/>
          </w:tcPr>
          <w:p>
            <w:pPr>
              <w:spacing w:after="0"/>
              <w:rPr>
                <w:sz w:val="19"/>
                <w:szCs w:val="19"/>
                <w:color w:val="auto"/>
              </w:rPr>
            </w:pPr>
          </w:p>
        </w:tc>
        <w:tc>
          <w:tcPr>
            <w:tcW w:w="780" w:type="dxa"/>
            <w:vAlign w:val="bottom"/>
            <w:shd w:val="clear" w:color="auto" w:fill="EBFB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award settlement</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19"/>
                <w:szCs w:val="19"/>
                <w:color w:val="auto"/>
              </w:rPr>
            </w:pPr>
          </w:p>
        </w:tc>
        <w:tc>
          <w:tcPr>
            <w:tcW w:w="5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19"/>
                <w:szCs w:val="19"/>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19"/>
                <w:szCs w:val="19"/>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(18,426)</w:t>
            </w:r>
          </w:p>
        </w:tc>
        <w:tc>
          <w:tcPr>
            <w:tcW w:w="160" w:type="dxa"/>
            <w:vAlign w:val="bottom"/>
            <w:shd w:val="clear" w:color="auto" w:fill="EBFBFF"/>
          </w:tcPr>
          <w:p>
            <w:pPr>
              <w:spacing w:after="0"/>
              <w:rPr>
                <w:sz w:val="19"/>
                <w:szCs w:val="19"/>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19"/>
                <w:szCs w:val="19"/>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19"/>
                <w:szCs w:val="19"/>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(18,426)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51555C"/>
              </w:rPr>
              <w:t>Stock-based compensation</w:t>
            </w: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29,995</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10</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30,005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Restricted stock grants</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519,009</w:t>
            </w:r>
          </w:p>
        </w:tc>
        <w:tc>
          <w:tcPr>
            <w:tcW w:w="120" w:type="dxa"/>
            <w:vAlign w:val="bottom"/>
            <w:shd w:val="clear" w:color="auto" w:fill="EBFBFF"/>
          </w:tcPr>
          <w:p>
            <w:pPr>
              <w:spacing w:after="0"/>
              <w:rPr>
                <w:sz w:val="21"/>
                <w:szCs w:val="21"/>
                <w:color w:val="auto"/>
              </w:rPr>
            </w:pPr>
          </w:p>
        </w:tc>
        <w:tc>
          <w:tcPr>
            <w:tcW w:w="5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w:t>
            </w:r>
          </w:p>
        </w:tc>
        <w:tc>
          <w:tcPr>
            <w:tcW w:w="16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51555C"/>
              </w:rPr>
              <w:t>Restricted stock cancellations</w:t>
            </w:r>
          </w:p>
        </w:tc>
        <w:tc>
          <w:tcPr>
            <w:tcW w:w="980" w:type="dxa"/>
            <w:vAlign w:val="bottom"/>
          </w:tcPr>
          <w:p>
            <w:pPr>
              <w:jc w:val="right"/>
              <w:spacing w:after="0"/>
              <w:rPr>
                <w:sz w:val="20"/>
                <w:szCs w:val="20"/>
                <w:color w:val="auto"/>
              </w:rPr>
            </w:pPr>
            <w:r>
              <w:rPr>
                <w:rFonts w:ascii="Arial" w:cs="Arial" w:eastAsia="Arial" w:hAnsi="Arial"/>
                <w:sz w:val="16"/>
                <w:szCs w:val="16"/>
                <w:color w:val="51555C"/>
              </w:rPr>
              <w:t>(34,789)</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Other comprehensive income</w:t>
            </w:r>
          </w:p>
        </w:tc>
        <w:tc>
          <w:tcPr>
            <w:tcW w:w="9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shd w:val="clear" w:color="auto" w:fill="EBFBFF"/>
          </w:tcPr>
          <w:p>
            <w:pPr>
              <w:spacing w:after="0"/>
              <w:rPr>
                <w:sz w:val="21"/>
                <w:szCs w:val="21"/>
                <w:color w:val="auto"/>
              </w:rPr>
            </w:pPr>
          </w:p>
        </w:tc>
        <w:tc>
          <w:tcPr>
            <w:tcW w:w="5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51555C"/>
            </w:tcBorders>
            <w:shd w:val="clear" w:color="auto" w:fill="EBFBFF"/>
          </w:tcPr>
          <w:p>
            <w:pPr>
              <w:spacing w:after="0"/>
              <w:rPr>
                <w:sz w:val="21"/>
                <w:szCs w:val="21"/>
                <w:color w:val="auto"/>
              </w:rPr>
            </w:pPr>
          </w:p>
        </w:tc>
        <w:tc>
          <w:tcPr>
            <w:tcW w:w="7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51555C"/>
            </w:tcBorders>
            <w:shd w:val="clear" w:color="auto" w:fill="EBFBFF"/>
          </w:tcPr>
          <w:p>
            <w:pPr>
              <w:spacing w:after="0"/>
              <w:rPr>
                <w:sz w:val="21"/>
                <w:szCs w:val="21"/>
                <w:color w:val="auto"/>
              </w:rPr>
            </w:pPr>
          </w:p>
        </w:tc>
        <w:tc>
          <w:tcPr>
            <w:tcW w:w="7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51555C"/>
            </w:tcBorders>
            <w:shd w:val="clear" w:color="auto" w:fill="EBFBFF"/>
          </w:tcPr>
          <w:p>
            <w:pPr>
              <w:spacing w:after="0"/>
              <w:rPr>
                <w:sz w:val="21"/>
                <w:szCs w:val="21"/>
                <w:color w:val="auto"/>
              </w:rPr>
            </w:pPr>
          </w:p>
        </w:tc>
        <w:tc>
          <w:tcPr>
            <w:tcW w:w="10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6,660</w:t>
            </w:r>
          </w:p>
        </w:tc>
        <w:tc>
          <w:tcPr>
            <w:tcW w:w="200" w:type="dxa"/>
            <w:vAlign w:val="bottom"/>
            <w:tcBorders>
              <w:bottom w:val="single" w:sz="8" w:color="51555C"/>
            </w:tcBorders>
            <w:shd w:val="clear" w:color="auto" w:fill="EBFBFF"/>
          </w:tcPr>
          <w:p>
            <w:pPr>
              <w:spacing w:after="0"/>
              <w:rPr>
                <w:sz w:val="21"/>
                <w:szCs w:val="21"/>
                <w:color w:val="auto"/>
              </w:rPr>
            </w:pPr>
          </w:p>
        </w:tc>
        <w:tc>
          <w:tcPr>
            <w:tcW w:w="7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tcBorders>
              <w:bottom w:val="single" w:sz="8" w:color="51555C"/>
            </w:tcBorders>
            <w:shd w:val="clear" w:color="auto" w:fill="EBFBFF"/>
          </w:tcPr>
          <w:p>
            <w:pPr>
              <w:spacing w:after="0"/>
              <w:rPr>
                <w:sz w:val="21"/>
                <w:szCs w:val="21"/>
                <w:color w:val="auto"/>
              </w:rPr>
            </w:pPr>
          </w:p>
        </w:tc>
        <w:tc>
          <w:tcPr>
            <w:tcW w:w="7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6,660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Arial" w:cs="Arial" w:eastAsia="Arial" w:hAnsi="Arial"/>
                <w:sz w:val="16"/>
                <w:szCs w:val="16"/>
                <w:b w:val="1"/>
                <w:bCs w:val="1"/>
                <w:color w:val="51555C"/>
              </w:rPr>
              <w:t>Balance at March 31, 2021</w:t>
            </w:r>
          </w:p>
        </w:tc>
        <w:tc>
          <w:tcPr>
            <w:tcW w:w="980" w:type="dxa"/>
            <w:vAlign w:val="bottom"/>
          </w:tcPr>
          <w:p>
            <w:pPr>
              <w:jc w:val="right"/>
              <w:spacing w:after="0"/>
              <w:rPr>
                <w:sz w:val="20"/>
                <w:szCs w:val="20"/>
                <w:color w:val="auto"/>
              </w:rPr>
            </w:pPr>
            <w:r>
              <w:rPr>
                <w:rFonts w:ascii="Arial" w:cs="Arial" w:eastAsia="Arial" w:hAnsi="Arial"/>
                <w:sz w:val="16"/>
                <w:szCs w:val="16"/>
                <w:color w:val="51555C"/>
              </w:rPr>
              <w:t>61,595,276</w:t>
            </w:r>
          </w:p>
        </w:tc>
        <w:tc>
          <w:tcPr>
            <w:tcW w:w="120" w:type="dxa"/>
            <w:vAlign w:val="bottom"/>
          </w:tcPr>
          <w:p>
            <w:pPr>
              <w:jc w:val="right"/>
              <w:spacing w:after="0"/>
              <w:rPr>
                <w:sz w:val="20"/>
                <w:szCs w:val="20"/>
                <w:color w:val="auto"/>
              </w:rPr>
            </w:pPr>
            <w:r>
              <w:rPr>
                <w:rFonts w:ascii="Arial" w:cs="Arial" w:eastAsia="Arial" w:hAnsi="Arial"/>
                <w:sz w:val="16"/>
                <w:szCs w:val="16"/>
                <w:color w:val="51555C"/>
                <w:w w:val="89"/>
              </w:rPr>
              <w:t>$</w:t>
            </w:r>
          </w:p>
        </w:tc>
        <w:tc>
          <w:tcPr>
            <w:tcW w:w="580" w:type="dxa"/>
            <w:vAlign w:val="bottom"/>
          </w:tcPr>
          <w:p>
            <w:pPr>
              <w:jc w:val="right"/>
              <w:spacing w:after="0"/>
              <w:rPr>
                <w:sz w:val="20"/>
                <w:szCs w:val="20"/>
                <w:color w:val="auto"/>
              </w:rPr>
            </w:pPr>
            <w:r>
              <w:rPr>
                <w:rFonts w:ascii="Arial" w:cs="Arial" w:eastAsia="Arial" w:hAnsi="Arial"/>
                <w:sz w:val="16"/>
                <w:szCs w:val="16"/>
                <w:color w:val="51555C"/>
              </w:rPr>
              <w:t>62</w:t>
            </w:r>
          </w:p>
        </w:tc>
        <w:tc>
          <w:tcPr>
            <w:tcW w:w="160" w:type="dxa"/>
            <w:vAlign w:val="bottom"/>
          </w:tcPr>
          <w:p>
            <w:pPr>
              <w:jc w:val="right"/>
              <w:spacing w:after="0"/>
              <w:rPr>
                <w:sz w:val="20"/>
                <w:szCs w:val="20"/>
                <w:color w:val="auto"/>
              </w:rPr>
            </w:pPr>
            <w:r>
              <w:rPr>
                <w:rFonts w:ascii="Arial" w:cs="Arial" w:eastAsia="Arial" w:hAnsi="Arial"/>
                <w:sz w:val="16"/>
                <w:szCs w:val="16"/>
                <w:color w:val="51555C"/>
                <w:w w:val="89"/>
              </w:rPr>
              <w:t>$</w:t>
            </w:r>
          </w:p>
        </w:tc>
        <w:tc>
          <w:tcPr>
            <w:tcW w:w="780" w:type="dxa"/>
            <w:vAlign w:val="bottom"/>
          </w:tcPr>
          <w:p>
            <w:pPr>
              <w:jc w:val="right"/>
              <w:spacing w:after="0"/>
              <w:rPr>
                <w:sz w:val="20"/>
                <w:szCs w:val="20"/>
                <w:color w:val="auto"/>
              </w:rPr>
            </w:pPr>
            <w:r>
              <w:rPr>
                <w:rFonts w:ascii="Arial" w:cs="Arial" w:eastAsia="Arial" w:hAnsi="Arial"/>
                <w:sz w:val="16"/>
                <w:szCs w:val="16"/>
                <w:color w:val="51555C"/>
              </w:rPr>
              <w:t>574,958</w:t>
            </w:r>
          </w:p>
        </w:tc>
        <w:tc>
          <w:tcPr>
            <w:tcW w:w="160" w:type="dxa"/>
            <w:vAlign w:val="bottom"/>
          </w:tcPr>
          <w:p>
            <w:pPr>
              <w:jc w:val="right"/>
              <w:spacing w:after="0"/>
              <w:rPr>
                <w:sz w:val="20"/>
                <w:szCs w:val="20"/>
                <w:color w:val="auto"/>
              </w:rPr>
            </w:pPr>
            <w:r>
              <w:rPr>
                <w:rFonts w:ascii="Arial" w:cs="Arial" w:eastAsia="Arial" w:hAnsi="Arial"/>
                <w:sz w:val="16"/>
                <w:szCs w:val="16"/>
                <w:color w:val="51555C"/>
              </w:rPr>
              <w:t>$</w:t>
            </w:r>
          </w:p>
        </w:tc>
        <w:tc>
          <w:tcPr>
            <w:tcW w:w="780" w:type="dxa"/>
            <w:vAlign w:val="bottom"/>
          </w:tcPr>
          <w:p>
            <w:pPr>
              <w:jc w:val="right"/>
              <w:spacing w:after="0"/>
              <w:rPr>
                <w:sz w:val="20"/>
                <w:szCs w:val="20"/>
                <w:color w:val="auto"/>
              </w:rPr>
            </w:pPr>
            <w:r>
              <w:rPr>
                <w:rFonts w:ascii="Arial" w:cs="Arial" w:eastAsia="Arial" w:hAnsi="Arial"/>
                <w:sz w:val="16"/>
                <w:szCs w:val="16"/>
                <w:color w:val="51555C"/>
              </w:rPr>
              <w:t>(399,583)</w:t>
            </w:r>
          </w:p>
        </w:tc>
        <w:tc>
          <w:tcPr>
            <w:tcW w:w="160" w:type="dxa"/>
            <w:vAlign w:val="bottom"/>
          </w:tcPr>
          <w:p>
            <w:pPr>
              <w:jc w:val="right"/>
              <w:spacing w:after="0"/>
              <w:rPr>
                <w:sz w:val="20"/>
                <w:szCs w:val="20"/>
                <w:color w:val="auto"/>
              </w:rPr>
            </w:pPr>
            <w:r>
              <w:rPr>
                <w:rFonts w:ascii="Arial" w:cs="Arial" w:eastAsia="Arial" w:hAnsi="Arial"/>
                <w:sz w:val="16"/>
                <w:szCs w:val="16"/>
                <w:color w:val="51555C"/>
              </w:rPr>
              <w:t>$</w:t>
            </w:r>
          </w:p>
        </w:tc>
        <w:tc>
          <w:tcPr>
            <w:tcW w:w="1000" w:type="dxa"/>
            <w:vAlign w:val="bottom"/>
          </w:tcPr>
          <w:p>
            <w:pPr>
              <w:jc w:val="right"/>
              <w:spacing w:after="0"/>
              <w:rPr>
                <w:sz w:val="20"/>
                <w:szCs w:val="20"/>
                <w:color w:val="auto"/>
              </w:rPr>
            </w:pPr>
            <w:r>
              <w:rPr>
                <w:rFonts w:ascii="Arial" w:cs="Arial" w:eastAsia="Arial" w:hAnsi="Arial"/>
                <w:sz w:val="16"/>
                <w:szCs w:val="16"/>
                <w:color w:val="51555C"/>
              </w:rPr>
              <w:t>4,163</w:t>
            </w:r>
          </w:p>
        </w:tc>
        <w:tc>
          <w:tcPr>
            <w:tcW w:w="200" w:type="dxa"/>
            <w:vAlign w:val="bottom"/>
          </w:tcPr>
          <w:p>
            <w:pPr>
              <w:jc w:val="right"/>
              <w:ind w:right="19"/>
              <w:spacing w:after="0"/>
              <w:rPr>
                <w:sz w:val="20"/>
                <w:szCs w:val="20"/>
                <w:color w:val="auto"/>
              </w:rPr>
            </w:pPr>
            <w:r>
              <w:rPr>
                <w:rFonts w:ascii="Arial" w:cs="Arial" w:eastAsia="Arial" w:hAnsi="Arial"/>
                <w:sz w:val="16"/>
                <w:szCs w:val="16"/>
                <w:color w:val="51555C"/>
                <w:w w:val="89"/>
              </w:rPr>
              <w:t>$</w:t>
            </w:r>
          </w:p>
        </w:tc>
        <w:tc>
          <w:tcPr>
            <w:tcW w:w="740" w:type="dxa"/>
            <w:vAlign w:val="bottom"/>
          </w:tcPr>
          <w:p>
            <w:pPr>
              <w:jc w:val="right"/>
              <w:spacing w:after="0"/>
              <w:rPr>
                <w:sz w:val="20"/>
                <w:szCs w:val="20"/>
                <w:color w:val="auto"/>
              </w:rPr>
            </w:pPr>
            <w:r>
              <w:rPr>
                <w:rFonts w:ascii="Arial" w:cs="Arial" w:eastAsia="Arial" w:hAnsi="Arial"/>
                <w:sz w:val="16"/>
                <w:szCs w:val="16"/>
                <w:color w:val="51555C"/>
              </w:rPr>
              <w:t>236,560</w:t>
            </w:r>
          </w:p>
        </w:tc>
        <w:tc>
          <w:tcPr>
            <w:tcW w:w="220" w:type="dxa"/>
            <w:vAlign w:val="bottom"/>
          </w:tcPr>
          <w:p>
            <w:pPr>
              <w:jc w:val="right"/>
              <w:ind w:right="41"/>
              <w:spacing w:after="0"/>
              <w:rPr>
                <w:sz w:val="20"/>
                <w:szCs w:val="20"/>
                <w:color w:val="auto"/>
              </w:rPr>
            </w:pPr>
            <w:r>
              <w:rPr>
                <w:rFonts w:ascii="Arial" w:cs="Arial" w:eastAsia="Arial" w:hAnsi="Arial"/>
                <w:sz w:val="16"/>
                <w:szCs w:val="16"/>
                <w:color w:val="51555C"/>
                <w:w w:val="89"/>
              </w:rPr>
              <w:t>$</w:t>
            </w:r>
          </w:p>
        </w:tc>
        <w:tc>
          <w:tcPr>
            <w:tcW w:w="780" w:type="dxa"/>
            <w:vAlign w:val="bottom"/>
          </w:tcPr>
          <w:p>
            <w:pPr>
              <w:jc w:val="right"/>
              <w:spacing w:after="0"/>
              <w:rPr>
                <w:sz w:val="20"/>
                <w:szCs w:val="20"/>
                <w:color w:val="auto"/>
              </w:rPr>
            </w:pPr>
            <w:r>
              <w:rPr>
                <w:rFonts w:ascii="Arial" w:cs="Arial" w:eastAsia="Arial" w:hAnsi="Arial"/>
                <w:sz w:val="16"/>
                <w:szCs w:val="16"/>
                <w:color w:val="51555C"/>
              </w:rPr>
              <w:t>416,160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Net income</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5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6,731</w:t>
            </w:r>
          </w:p>
        </w:tc>
        <w:tc>
          <w:tcPr>
            <w:tcW w:w="22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6,731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40"/>
              <w:spacing w:after="0"/>
              <w:rPr>
                <w:sz w:val="20"/>
                <w:szCs w:val="20"/>
                <w:color w:val="auto"/>
              </w:rPr>
            </w:pPr>
            <w:r>
              <w:rPr>
                <w:rFonts w:ascii="Arial" w:cs="Arial" w:eastAsia="Arial" w:hAnsi="Arial"/>
                <w:sz w:val="16"/>
                <w:szCs w:val="16"/>
                <w:color w:val="51555C"/>
              </w:rPr>
              <w:t>Purchase of 405,047 treasury shares under stock repurchase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40"/>
              <w:spacing w:after="0"/>
              <w:rPr>
                <w:sz w:val="20"/>
                <w:szCs w:val="20"/>
                <w:color w:val="auto"/>
              </w:rPr>
            </w:pPr>
            <w:r>
              <w:rPr>
                <w:rFonts w:ascii="Arial" w:cs="Arial" w:eastAsia="Arial" w:hAnsi="Arial"/>
                <w:sz w:val="16"/>
                <w:szCs w:val="16"/>
                <w:color w:val="51555C"/>
              </w:rPr>
              <w:t>program</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(30,008)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(30,008)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Vesting of restricted stock units</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804,323</w:t>
            </w:r>
          </w:p>
        </w:tc>
        <w:tc>
          <w:tcPr>
            <w:tcW w:w="120" w:type="dxa"/>
            <w:vAlign w:val="bottom"/>
            <w:shd w:val="clear" w:color="auto" w:fill="EBFBFF"/>
          </w:tcPr>
          <w:p>
            <w:pPr>
              <w:spacing w:after="0"/>
              <w:rPr>
                <w:sz w:val="21"/>
                <w:szCs w:val="21"/>
                <w:color w:val="auto"/>
              </w:rPr>
            </w:pPr>
          </w:p>
        </w:tc>
        <w:tc>
          <w:tcPr>
            <w:tcW w:w="5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40"/>
              <w:spacing w:after="0"/>
              <w:rPr>
                <w:sz w:val="20"/>
                <w:szCs w:val="20"/>
                <w:color w:val="auto"/>
              </w:rPr>
            </w:pPr>
            <w:r>
              <w:rPr>
                <w:rFonts w:ascii="Arial" w:cs="Arial" w:eastAsia="Arial" w:hAnsi="Arial"/>
                <w:sz w:val="16"/>
                <w:szCs w:val="16"/>
                <w:color w:val="51555C"/>
              </w:rPr>
              <w:t>Employee taxes paid for 285,521 withheld shares upon equity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40"/>
              <w:spacing w:after="0"/>
              <w:rPr>
                <w:sz w:val="20"/>
                <w:szCs w:val="20"/>
                <w:color w:val="auto"/>
              </w:rPr>
            </w:pPr>
            <w:r>
              <w:rPr>
                <w:rFonts w:ascii="Arial" w:cs="Arial" w:eastAsia="Arial" w:hAnsi="Arial"/>
                <w:sz w:val="16"/>
                <w:szCs w:val="16"/>
                <w:color w:val="51555C"/>
              </w:rPr>
              <w:t>award settlement</w:t>
            </w: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(20,286)</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(20,286)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Stock-based compensation</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21"/>
                <w:szCs w:val="21"/>
                <w:color w:val="auto"/>
              </w:rPr>
            </w:pPr>
          </w:p>
        </w:tc>
        <w:tc>
          <w:tcPr>
            <w:tcW w:w="5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30,528</w:t>
            </w:r>
          </w:p>
        </w:tc>
        <w:tc>
          <w:tcPr>
            <w:tcW w:w="16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21</w:t>
            </w:r>
          </w:p>
        </w:tc>
        <w:tc>
          <w:tcPr>
            <w:tcW w:w="22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30,549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51555C"/>
              </w:rPr>
              <w:t>Restricted stock grants</w:t>
            </w:r>
          </w:p>
        </w:tc>
        <w:tc>
          <w:tcPr>
            <w:tcW w:w="980" w:type="dxa"/>
            <w:vAlign w:val="bottom"/>
          </w:tcPr>
          <w:p>
            <w:pPr>
              <w:jc w:val="right"/>
              <w:spacing w:after="0"/>
              <w:rPr>
                <w:sz w:val="20"/>
                <w:szCs w:val="20"/>
                <w:color w:val="auto"/>
              </w:rPr>
            </w:pPr>
            <w:r>
              <w:rPr>
                <w:rFonts w:ascii="Arial" w:cs="Arial" w:eastAsia="Arial" w:hAnsi="Arial"/>
                <w:sz w:val="16"/>
                <w:szCs w:val="16"/>
                <w:color w:val="51555C"/>
              </w:rPr>
              <w:t>9,431</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Restricted stock cancellations</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(76,316)</w:t>
            </w:r>
          </w:p>
        </w:tc>
        <w:tc>
          <w:tcPr>
            <w:tcW w:w="120" w:type="dxa"/>
            <w:vAlign w:val="bottom"/>
            <w:shd w:val="clear" w:color="auto" w:fill="EBFBFF"/>
          </w:tcPr>
          <w:p>
            <w:pPr>
              <w:spacing w:after="0"/>
              <w:rPr>
                <w:sz w:val="21"/>
                <w:szCs w:val="21"/>
                <w:color w:val="auto"/>
              </w:rPr>
            </w:pPr>
          </w:p>
        </w:tc>
        <w:tc>
          <w:tcPr>
            <w:tcW w:w="5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80" w:type="dxa"/>
            <w:vAlign w:val="bottom"/>
            <w:tcBorders>
              <w:bottom w:val="single" w:sz="8" w:color="EBFBFF"/>
            </w:tcBorders>
          </w:tcPr>
          <w:p>
            <w:pPr>
              <w:ind w:left="140"/>
              <w:spacing w:after="0"/>
              <w:rPr>
                <w:sz w:val="20"/>
                <w:szCs w:val="20"/>
                <w:color w:val="auto"/>
              </w:rPr>
            </w:pPr>
            <w:r>
              <w:rPr>
                <w:rFonts w:ascii="Arial" w:cs="Arial" w:eastAsia="Arial" w:hAnsi="Arial"/>
                <w:sz w:val="16"/>
                <w:szCs w:val="16"/>
                <w:color w:val="51555C"/>
              </w:rPr>
              <w:t>Other comprehensive income</w:t>
            </w:r>
          </w:p>
        </w:tc>
        <w:tc>
          <w:tcPr>
            <w:tcW w:w="9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tcPr>
          <w:p>
            <w:pPr>
              <w:spacing w:after="0"/>
              <w:rPr>
                <w:sz w:val="20"/>
                <w:szCs w:val="20"/>
                <w:color w:val="auto"/>
              </w:rPr>
            </w:pPr>
          </w:p>
        </w:tc>
        <w:tc>
          <w:tcPr>
            <w:tcW w:w="5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51555C"/>
            </w:tcBorders>
          </w:tcPr>
          <w:p>
            <w:pPr>
              <w:spacing w:after="0"/>
              <w:rPr>
                <w:sz w:val="20"/>
                <w:szCs w:val="20"/>
                <w:color w:val="auto"/>
              </w:rPr>
            </w:pPr>
          </w:p>
        </w:tc>
        <w:tc>
          <w:tcPr>
            <w:tcW w:w="7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51555C"/>
            </w:tcBorders>
          </w:tcPr>
          <w:p>
            <w:pPr>
              <w:spacing w:after="0"/>
              <w:rPr>
                <w:sz w:val="20"/>
                <w:szCs w:val="20"/>
                <w:color w:val="auto"/>
              </w:rPr>
            </w:pPr>
          </w:p>
        </w:tc>
        <w:tc>
          <w:tcPr>
            <w:tcW w:w="7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51555C"/>
            </w:tcBorders>
          </w:tcPr>
          <w:p>
            <w:pPr>
              <w:spacing w:after="0"/>
              <w:rPr>
                <w:sz w:val="20"/>
                <w:szCs w:val="20"/>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2,128</w:t>
            </w:r>
          </w:p>
        </w:tc>
        <w:tc>
          <w:tcPr>
            <w:tcW w:w="200" w:type="dxa"/>
            <w:vAlign w:val="bottom"/>
            <w:tcBorders>
              <w:bottom w:val="single" w:sz="8" w:color="51555C"/>
            </w:tcBorders>
          </w:tcPr>
          <w:p>
            <w:pPr>
              <w:spacing w:after="0"/>
              <w:rPr>
                <w:sz w:val="20"/>
                <w:szCs w:val="20"/>
                <w:color w:val="auto"/>
              </w:rPr>
            </w:pPr>
          </w:p>
        </w:tc>
        <w:tc>
          <w:tcPr>
            <w:tcW w:w="7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220" w:type="dxa"/>
            <w:vAlign w:val="bottom"/>
            <w:tcBorders>
              <w:bottom w:val="single" w:sz="8" w:color="51555C"/>
            </w:tcBorders>
          </w:tcPr>
          <w:p>
            <w:pPr>
              <w:spacing w:after="0"/>
              <w:rPr>
                <w:sz w:val="20"/>
                <w:szCs w:val="20"/>
                <w:color w:val="auto"/>
              </w:rPr>
            </w:pPr>
          </w:p>
        </w:tc>
        <w:tc>
          <w:tcPr>
            <w:tcW w:w="7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2,128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Balance at June 30, 2021</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62,332,714</w:t>
            </w:r>
          </w:p>
        </w:tc>
        <w:tc>
          <w:tcPr>
            <w:tcW w:w="12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5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62</w:t>
            </w:r>
          </w:p>
        </w:tc>
        <w:tc>
          <w:tcPr>
            <w:tcW w:w="16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605,486</w:t>
            </w:r>
          </w:p>
        </w:tc>
        <w:tc>
          <w:tcPr>
            <w:tcW w:w="1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(449,877)</w:t>
            </w:r>
          </w:p>
        </w:tc>
        <w:tc>
          <w:tcPr>
            <w:tcW w:w="1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6,291</w:t>
            </w:r>
          </w:p>
        </w:tc>
        <w:tc>
          <w:tcPr>
            <w:tcW w:w="200" w:type="dxa"/>
            <w:vAlign w:val="bottom"/>
            <w:shd w:val="clear" w:color="auto" w:fill="EBFBFF"/>
          </w:tcPr>
          <w:p>
            <w:pPr>
              <w:jc w:val="right"/>
              <w:ind w:right="19"/>
              <w:spacing w:after="0"/>
              <w:rPr>
                <w:sz w:val="20"/>
                <w:szCs w:val="20"/>
                <w:color w:val="auto"/>
              </w:rPr>
            </w:pPr>
            <w:r>
              <w:rPr>
                <w:rFonts w:ascii="Arial" w:cs="Arial" w:eastAsia="Arial" w:hAnsi="Arial"/>
                <w:sz w:val="16"/>
                <w:szCs w:val="16"/>
                <w:color w:val="51555C"/>
                <w:w w:val="89"/>
              </w:rPr>
              <w:t>$</w:t>
            </w: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243,312</w:t>
            </w:r>
          </w:p>
        </w:tc>
        <w:tc>
          <w:tcPr>
            <w:tcW w:w="220" w:type="dxa"/>
            <w:vAlign w:val="bottom"/>
            <w:shd w:val="clear" w:color="auto" w:fill="EBFBFF"/>
          </w:tcPr>
          <w:p>
            <w:pPr>
              <w:jc w:val="right"/>
              <w:ind w:right="41"/>
              <w:spacing w:after="0"/>
              <w:rPr>
                <w:sz w:val="20"/>
                <w:szCs w:val="20"/>
                <w:color w:val="auto"/>
              </w:rPr>
            </w:pPr>
            <w:r>
              <w:rPr>
                <w:rFonts w:ascii="Arial" w:cs="Arial" w:eastAsia="Arial" w:hAnsi="Arial"/>
                <w:sz w:val="16"/>
                <w:szCs w:val="16"/>
                <w:color w:val="51555C"/>
                <w:w w:val="89"/>
              </w:rPr>
              <w:t>$</w:t>
            </w: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405,274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51555C"/>
              </w:rPr>
              <w:t>Net income</w:t>
            </w: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6,188</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6,188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Purchase of 583,280 treasury shares under stock repurchase</w:t>
            </w:r>
          </w:p>
        </w:tc>
        <w:tc>
          <w:tcPr>
            <w:tcW w:w="980" w:type="dxa"/>
            <w:vAlign w:val="bottom"/>
            <w:shd w:val="clear" w:color="auto" w:fill="EBFBFF"/>
          </w:tcPr>
          <w:p>
            <w:pPr>
              <w:spacing w:after="0"/>
              <w:rPr>
                <w:sz w:val="19"/>
                <w:szCs w:val="19"/>
                <w:color w:val="auto"/>
              </w:rPr>
            </w:pPr>
          </w:p>
        </w:tc>
        <w:tc>
          <w:tcPr>
            <w:tcW w:w="120" w:type="dxa"/>
            <w:vAlign w:val="bottom"/>
            <w:shd w:val="clear" w:color="auto" w:fill="EBFBFF"/>
          </w:tcPr>
          <w:p>
            <w:pPr>
              <w:spacing w:after="0"/>
              <w:rPr>
                <w:sz w:val="19"/>
                <w:szCs w:val="19"/>
                <w:color w:val="auto"/>
              </w:rPr>
            </w:pPr>
          </w:p>
        </w:tc>
        <w:tc>
          <w:tcPr>
            <w:tcW w:w="58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78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78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1000" w:type="dxa"/>
            <w:vAlign w:val="bottom"/>
            <w:shd w:val="clear" w:color="auto" w:fill="EBFBFF"/>
          </w:tcPr>
          <w:p>
            <w:pPr>
              <w:spacing w:after="0"/>
              <w:rPr>
                <w:sz w:val="19"/>
                <w:szCs w:val="19"/>
                <w:color w:val="auto"/>
              </w:rPr>
            </w:pPr>
          </w:p>
        </w:tc>
        <w:tc>
          <w:tcPr>
            <w:tcW w:w="200" w:type="dxa"/>
            <w:vAlign w:val="bottom"/>
            <w:shd w:val="clear" w:color="auto" w:fill="EBFBFF"/>
          </w:tcPr>
          <w:p>
            <w:pPr>
              <w:spacing w:after="0"/>
              <w:rPr>
                <w:sz w:val="19"/>
                <w:szCs w:val="19"/>
                <w:color w:val="auto"/>
              </w:rPr>
            </w:pPr>
          </w:p>
        </w:tc>
        <w:tc>
          <w:tcPr>
            <w:tcW w:w="740" w:type="dxa"/>
            <w:vAlign w:val="bottom"/>
            <w:shd w:val="clear" w:color="auto" w:fill="EBFBFF"/>
          </w:tcPr>
          <w:p>
            <w:pPr>
              <w:spacing w:after="0"/>
              <w:rPr>
                <w:sz w:val="19"/>
                <w:szCs w:val="19"/>
                <w:color w:val="auto"/>
              </w:rPr>
            </w:pPr>
          </w:p>
        </w:tc>
        <w:tc>
          <w:tcPr>
            <w:tcW w:w="220" w:type="dxa"/>
            <w:vAlign w:val="bottom"/>
            <w:shd w:val="clear" w:color="auto" w:fill="EBFBFF"/>
          </w:tcPr>
          <w:p>
            <w:pPr>
              <w:spacing w:after="0"/>
              <w:rPr>
                <w:sz w:val="19"/>
                <w:szCs w:val="19"/>
                <w:color w:val="auto"/>
              </w:rPr>
            </w:pPr>
          </w:p>
        </w:tc>
        <w:tc>
          <w:tcPr>
            <w:tcW w:w="780" w:type="dxa"/>
            <w:vAlign w:val="bottom"/>
            <w:shd w:val="clear" w:color="auto" w:fill="EBFB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program</w:t>
            </w:r>
          </w:p>
        </w:tc>
        <w:tc>
          <w:tcPr>
            <w:tcW w:w="980" w:type="dxa"/>
            <w:vAlign w:val="bottom"/>
            <w:shd w:val="clear" w:color="auto" w:fill="EBFBFF"/>
          </w:tcPr>
          <w:p>
            <w:pPr>
              <w:spacing w:after="0"/>
              <w:rPr>
                <w:sz w:val="19"/>
                <w:szCs w:val="19"/>
                <w:color w:val="auto"/>
              </w:rPr>
            </w:pPr>
          </w:p>
        </w:tc>
        <w:tc>
          <w:tcPr>
            <w:tcW w:w="120" w:type="dxa"/>
            <w:vAlign w:val="bottom"/>
            <w:shd w:val="clear" w:color="auto" w:fill="EBFBFF"/>
          </w:tcPr>
          <w:p>
            <w:pPr>
              <w:spacing w:after="0"/>
              <w:rPr>
                <w:sz w:val="19"/>
                <w:szCs w:val="19"/>
                <w:color w:val="auto"/>
              </w:rPr>
            </w:pPr>
          </w:p>
        </w:tc>
        <w:tc>
          <w:tcPr>
            <w:tcW w:w="58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78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(40,279)</w:t>
            </w:r>
          </w:p>
        </w:tc>
        <w:tc>
          <w:tcPr>
            <w:tcW w:w="160" w:type="dxa"/>
            <w:vAlign w:val="bottom"/>
            <w:shd w:val="clear" w:color="auto" w:fill="EBFBFF"/>
          </w:tcPr>
          <w:p>
            <w:pPr>
              <w:spacing w:after="0"/>
              <w:rPr>
                <w:sz w:val="19"/>
                <w:szCs w:val="19"/>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19"/>
                <w:szCs w:val="19"/>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19"/>
                <w:szCs w:val="19"/>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(40,279)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51555C"/>
              </w:rPr>
              <w:t>Vesting of restricted stock units</w:t>
            </w:r>
          </w:p>
        </w:tc>
        <w:tc>
          <w:tcPr>
            <w:tcW w:w="980" w:type="dxa"/>
            <w:vAlign w:val="bottom"/>
          </w:tcPr>
          <w:p>
            <w:pPr>
              <w:jc w:val="right"/>
              <w:spacing w:after="0"/>
              <w:rPr>
                <w:sz w:val="20"/>
                <w:szCs w:val="20"/>
                <w:color w:val="auto"/>
              </w:rPr>
            </w:pPr>
            <w:r>
              <w:rPr>
                <w:rFonts w:ascii="Arial" w:cs="Arial" w:eastAsia="Arial" w:hAnsi="Arial"/>
                <w:sz w:val="16"/>
                <w:szCs w:val="16"/>
                <w:color w:val="51555C"/>
              </w:rPr>
              <w:t>908</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Employee taxes paid for 4,313 withheld shares upon equity</w:t>
            </w:r>
          </w:p>
        </w:tc>
        <w:tc>
          <w:tcPr>
            <w:tcW w:w="980" w:type="dxa"/>
            <w:vAlign w:val="bottom"/>
            <w:shd w:val="clear" w:color="auto" w:fill="EBFBFF"/>
          </w:tcPr>
          <w:p>
            <w:pPr>
              <w:spacing w:after="0"/>
              <w:rPr>
                <w:sz w:val="19"/>
                <w:szCs w:val="19"/>
                <w:color w:val="auto"/>
              </w:rPr>
            </w:pPr>
          </w:p>
        </w:tc>
        <w:tc>
          <w:tcPr>
            <w:tcW w:w="120" w:type="dxa"/>
            <w:vAlign w:val="bottom"/>
            <w:shd w:val="clear" w:color="auto" w:fill="EBFBFF"/>
          </w:tcPr>
          <w:p>
            <w:pPr>
              <w:spacing w:after="0"/>
              <w:rPr>
                <w:sz w:val="19"/>
                <w:szCs w:val="19"/>
                <w:color w:val="auto"/>
              </w:rPr>
            </w:pPr>
          </w:p>
        </w:tc>
        <w:tc>
          <w:tcPr>
            <w:tcW w:w="58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78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780" w:type="dxa"/>
            <w:vAlign w:val="bottom"/>
            <w:shd w:val="clear" w:color="auto" w:fill="EBFBFF"/>
          </w:tcPr>
          <w:p>
            <w:pPr>
              <w:spacing w:after="0"/>
              <w:rPr>
                <w:sz w:val="19"/>
                <w:szCs w:val="19"/>
                <w:color w:val="auto"/>
              </w:rPr>
            </w:pPr>
          </w:p>
        </w:tc>
        <w:tc>
          <w:tcPr>
            <w:tcW w:w="160" w:type="dxa"/>
            <w:vAlign w:val="bottom"/>
            <w:shd w:val="clear" w:color="auto" w:fill="EBFBFF"/>
          </w:tcPr>
          <w:p>
            <w:pPr>
              <w:spacing w:after="0"/>
              <w:rPr>
                <w:sz w:val="19"/>
                <w:szCs w:val="19"/>
                <w:color w:val="auto"/>
              </w:rPr>
            </w:pPr>
          </w:p>
        </w:tc>
        <w:tc>
          <w:tcPr>
            <w:tcW w:w="1000" w:type="dxa"/>
            <w:vAlign w:val="bottom"/>
            <w:shd w:val="clear" w:color="auto" w:fill="EBFBFF"/>
          </w:tcPr>
          <w:p>
            <w:pPr>
              <w:spacing w:after="0"/>
              <w:rPr>
                <w:sz w:val="19"/>
                <w:szCs w:val="19"/>
                <w:color w:val="auto"/>
              </w:rPr>
            </w:pPr>
          </w:p>
        </w:tc>
        <w:tc>
          <w:tcPr>
            <w:tcW w:w="200" w:type="dxa"/>
            <w:vAlign w:val="bottom"/>
            <w:shd w:val="clear" w:color="auto" w:fill="EBFBFF"/>
          </w:tcPr>
          <w:p>
            <w:pPr>
              <w:spacing w:after="0"/>
              <w:rPr>
                <w:sz w:val="19"/>
                <w:szCs w:val="19"/>
                <w:color w:val="auto"/>
              </w:rPr>
            </w:pPr>
          </w:p>
        </w:tc>
        <w:tc>
          <w:tcPr>
            <w:tcW w:w="740" w:type="dxa"/>
            <w:vAlign w:val="bottom"/>
            <w:shd w:val="clear" w:color="auto" w:fill="EBFBFF"/>
          </w:tcPr>
          <w:p>
            <w:pPr>
              <w:spacing w:after="0"/>
              <w:rPr>
                <w:sz w:val="19"/>
                <w:szCs w:val="19"/>
                <w:color w:val="auto"/>
              </w:rPr>
            </w:pPr>
          </w:p>
        </w:tc>
        <w:tc>
          <w:tcPr>
            <w:tcW w:w="220" w:type="dxa"/>
            <w:vAlign w:val="bottom"/>
            <w:shd w:val="clear" w:color="auto" w:fill="EBFBFF"/>
          </w:tcPr>
          <w:p>
            <w:pPr>
              <w:spacing w:after="0"/>
              <w:rPr>
                <w:sz w:val="19"/>
                <w:szCs w:val="19"/>
                <w:color w:val="auto"/>
              </w:rPr>
            </w:pPr>
          </w:p>
        </w:tc>
        <w:tc>
          <w:tcPr>
            <w:tcW w:w="780" w:type="dxa"/>
            <w:vAlign w:val="bottom"/>
            <w:shd w:val="clear" w:color="auto" w:fill="EBFB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award settlement</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shd w:val="clear" w:color="auto" w:fill="EBFBFF"/>
          </w:tcPr>
          <w:p>
            <w:pPr>
              <w:spacing w:after="0"/>
              <w:rPr>
                <w:sz w:val="19"/>
                <w:szCs w:val="19"/>
                <w:color w:val="auto"/>
              </w:rPr>
            </w:pPr>
          </w:p>
        </w:tc>
        <w:tc>
          <w:tcPr>
            <w:tcW w:w="5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19"/>
                <w:szCs w:val="19"/>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19"/>
                <w:szCs w:val="19"/>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(300)</w:t>
            </w:r>
          </w:p>
        </w:tc>
        <w:tc>
          <w:tcPr>
            <w:tcW w:w="160" w:type="dxa"/>
            <w:vAlign w:val="bottom"/>
            <w:shd w:val="clear" w:color="auto" w:fill="EBFBFF"/>
          </w:tcPr>
          <w:p>
            <w:pPr>
              <w:spacing w:after="0"/>
              <w:rPr>
                <w:sz w:val="19"/>
                <w:szCs w:val="19"/>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19"/>
                <w:szCs w:val="19"/>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19"/>
                <w:szCs w:val="19"/>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51555C"/>
              </w:rPr>
              <w:t>Stock-based compensation</w:t>
            </w:r>
          </w:p>
        </w:tc>
        <w:tc>
          <w:tcPr>
            <w:tcW w:w="980" w:type="dxa"/>
            <w:vAlign w:val="bottom"/>
          </w:tcPr>
          <w:p>
            <w:pPr>
              <w:jc w:val="right"/>
              <w:spacing w:after="0"/>
              <w:rPr>
                <w:sz w:val="20"/>
                <w:szCs w:val="20"/>
                <w:color w:val="auto"/>
              </w:rPr>
            </w:pPr>
            <w:r>
              <w:rPr>
                <w:rFonts w:ascii="Arial" w:cs="Arial" w:eastAsia="Arial" w:hAnsi="Arial"/>
                <w:sz w:val="16"/>
                <w:szCs w:val="16"/>
                <w:color w:val="51555C"/>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28,920</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6</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28,926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Restricted stock grants</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54,132</w:t>
            </w:r>
          </w:p>
        </w:tc>
        <w:tc>
          <w:tcPr>
            <w:tcW w:w="120" w:type="dxa"/>
            <w:vAlign w:val="bottom"/>
            <w:shd w:val="clear" w:color="auto" w:fill="EBFBFF"/>
          </w:tcPr>
          <w:p>
            <w:pPr>
              <w:spacing w:after="0"/>
              <w:rPr>
                <w:sz w:val="21"/>
                <w:szCs w:val="21"/>
                <w:color w:val="auto"/>
              </w:rPr>
            </w:pPr>
          </w:p>
        </w:tc>
        <w:tc>
          <w:tcPr>
            <w:tcW w:w="5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shd w:val="clear" w:color="auto" w:fill="EBFBFF"/>
          </w:tcPr>
          <w:p>
            <w:pPr>
              <w:spacing w:after="0"/>
              <w:rPr>
                <w:sz w:val="21"/>
                <w:szCs w:val="21"/>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0" w:type="dxa"/>
            <w:vAlign w:val="bottom"/>
            <w:shd w:val="clear" w:color="auto" w:fill="EBFBFF"/>
          </w:tcPr>
          <w:p>
            <w:pPr>
              <w:spacing w:after="0"/>
              <w:rPr>
                <w:sz w:val="21"/>
                <w:szCs w:val="21"/>
                <w:color w:val="auto"/>
              </w:rPr>
            </w:pPr>
          </w:p>
        </w:tc>
        <w:tc>
          <w:tcPr>
            <w:tcW w:w="7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shd w:val="clear" w:color="auto" w:fill="EBFBFF"/>
          </w:tcPr>
          <w:p>
            <w:pPr>
              <w:spacing w:after="0"/>
              <w:rPr>
                <w:sz w:val="21"/>
                <w:szCs w:val="21"/>
                <w:color w:val="auto"/>
              </w:rPr>
            </w:pPr>
          </w:p>
        </w:tc>
        <w:tc>
          <w:tcPr>
            <w:tcW w:w="7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51555C"/>
              </w:rPr>
              <w:t>Restricted stock cancellations</w:t>
            </w:r>
          </w:p>
        </w:tc>
        <w:tc>
          <w:tcPr>
            <w:tcW w:w="980" w:type="dxa"/>
            <w:vAlign w:val="bottom"/>
          </w:tcPr>
          <w:p>
            <w:pPr>
              <w:jc w:val="right"/>
              <w:spacing w:after="0"/>
              <w:rPr>
                <w:sz w:val="20"/>
                <w:szCs w:val="20"/>
                <w:color w:val="auto"/>
              </w:rPr>
            </w:pPr>
            <w:r>
              <w:rPr>
                <w:rFonts w:ascii="Arial" w:cs="Arial" w:eastAsia="Arial" w:hAnsi="Arial"/>
                <w:sz w:val="16"/>
                <w:szCs w:val="16"/>
                <w:color w:val="51555C"/>
              </w:rPr>
              <w:t>(34,111)</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51555C"/>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Other comprehensive loss</w:t>
            </w:r>
          </w:p>
        </w:tc>
        <w:tc>
          <w:tcPr>
            <w:tcW w:w="9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20" w:type="dxa"/>
            <w:vAlign w:val="bottom"/>
            <w:tcBorders>
              <w:bottom w:val="single" w:sz="8" w:color="51555C"/>
            </w:tcBorders>
            <w:shd w:val="clear" w:color="auto" w:fill="EBFBFF"/>
          </w:tcPr>
          <w:p>
            <w:pPr>
              <w:spacing w:after="0"/>
              <w:rPr>
                <w:sz w:val="21"/>
                <w:szCs w:val="21"/>
                <w:color w:val="auto"/>
              </w:rPr>
            </w:pPr>
          </w:p>
        </w:tc>
        <w:tc>
          <w:tcPr>
            <w:tcW w:w="5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51555C"/>
            </w:tcBorders>
            <w:shd w:val="clear" w:color="auto" w:fill="EBFBFF"/>
          </w:tcPr>
          <w:p>
            <w:pPr>
              <w:spacing w:after="0"/>
              <w:rPr>
                <w:sz w:val="21"/>
                <w:szCs w:val="21"/>
                <w:color w:val="auto"/>
              </w:rPr>
            </w:pPr>
          </w:p>
        </w:tc>
        <w:tc>
          <w:tcPr>
            <w:tcW w:w="7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51555C"/>
            </w:tcBorders>
            <w:shd w:val="clear" w:color="auto" w:fill="EBFBFF"/>
          </w:tcPr>
          <w:p>
            <w:pPr>
              <w:spacing w:after="0"/>
              <w:rPr>
                <w:sz w:val="21"/>
                <w:szCs w:val="21"/>
                <w:color w:val="auto"/>
              </w:rPr>
            </w:pPr>
          </w:p>
        </w:tc>
        <w:tc>
          <w:tcPr>
            <w:tcW w:w="7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160" w:type="dxa"/>
            <w:vAlign w:val="bottom"/>
            <w:tcBorders>
              <w:bottom w:val="single" w:sz="8" w:color="51555C"/>
            </w:tcBorders>
            <w:shd w:val="clear" w:color="auto" w:fill="EBFBFF"/>
          </w:tcPr>
          <w:p>
            <w:pPr>
              <w:spacing w:after="0"/>
              <w:rPr>
                <w:sz w:val="21"/>
                <w:szCs w:val="21"/>
                <w:color w:val="auto"/>
              </w:rPr>
            </w:pPr>
          </w:p>
        </w:tc>
        <w:tc>
          <w:tcPr>
            <w:tcW w:w="10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(2,972)</w:t>
            </w:r>
          </w:p>
        </w:tc>
        <w:tc>
          <w:tcPr>
            <w:tcW w:w="200" w:type="dxa"/>
            <w:vAlign w:val="bottom"/>
            <w:tcBorders>
              <w:bottom w:val="single" w:sz="8" w:color="51555C"/>
            </w:tcBorders>
            <w:shd w:val="clear" w:color="auto" w:fill="EBFBFF"/>
          </w:tcPr>
          <w:p>
            <w:pPr>
              <w:spacing w:after="0"/>
              <w:rPr>
                <w:sz w:val="21"/>
                <w:szCs w:val="21"/>
                <w:color w:val="auto"/>
              </w:rPr>
            </w:pPr>
          </w:p>
        </w:tc>
        <w:tc>
          <w:tcPr>
            <w:tcW w:w="7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20" w:type="dxa"/>
            <w:vAlign w:val="bottom"/>
            <w:tcBorders>
              <w:bottom w:val="single" w:sz="8" w:color="51555C"/>
            </w:tcBorders>
            <w:shd w:val="clear" w:color="auto" w:fill="EBFBFF"/>
          </w:tcPr>
          <w:p>
            <w:pPr>
              <w:spacing w:after="0"/>
              <w:rPr>
                <w:sz w:val="21"/>
                <w:szCs w:val="21"/>
                <w:color w:val="auto"/>
              </w:rPr>
            </w:pPr>
          </w:p>
        </w:tc>
        <w:tc>
          <w:tcPr>
            <w:tcW w:w="7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(2,972)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0CD973"/>
            </w:tcBorders>
          </w:tcPr>
          <w:p>
            <w:pPr>
              <w:ind w:left="20"/>
              <w:spacing w:after="0"/>
              <w:rPr>
                <w:sz w:val="20"/>
                <w:szCs w:val="20"/>
                <w:color w:val="auto"/>
              </w:rPr>
            </w:pPr>
            <w:r>
              <w:rPr>
                <w:rFonts w:ascii="Arial" w:cs="Arial" w:eastAsia="Arial" w:hAnsi="Arial"/>
                <w:sz w:val="16"/>
                <w:szCs w:val="16"/>
                <w:b w:val="1"/>
                <w:bCs w:val="1"/>
                <w:color w:val="51555C"/>
              </w:rPr>
              <w:t>Balance at September 30, 2021</w:t>
            </w:r>
          </w:p>
        </w:tc>
        <w:tc>
          <w:tcPr>
            <w:tcW w:w="98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62,353,643</w:t>
            </w:r>
          </w:p>
        </w:tc>
        <w:tc>
          <w:tcPr>
            <w:tcW w:w="12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w w:val="89"/>
              </w:rPr>
              <w:t>$</w:t>
            </w:r>
          </w:p>
        </w:tc>
        <w:tc>
          <w:tcPr>
            <w:tcW w:w="58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62</w:t>
            </w:r>
          </w:p>
        </w:tc>
        <w:tc>
          <w:tcPr>
            <w:tcW w:w="16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w w:val="89"/>
              </w:rPr>
              <w:t>$</w:t>
            </w:r>
          </w:p>
        </w:tc>
        <w:tc>
          <w:tcPr>
            <w:tcW w:w="78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634,406</w:t>
            </w:r>
          </w:p>
        </w:tc>
        <w:tc>
          <w:tcPr>
            <w:tcW w:w="16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w:t>
            </w:r>
          </w:p>
        </w:tc>
        <w:tc>
          <w:tcPr>
            <w:tcW w:w="78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(490,456)</w:t>
            </w:r>
          </w:p>
        </w:tc>
        <w:tc>
          <w:tcPr>
            <w:tcW w:w="16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w:t>
            </w:r>
          </w:p>
        </w:tc>
        <w:tc>
          <w:tcPr>
            <w:tcW w:w="100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3,319</w:t>
            </w:r>
          </w:p>
        </w:tc>
        <w:tc>
          <w:tcPr>
            <w:tcW w:w="200" w:type="dxa"/>
            <w:vAlign w:val="bottom"/>
            <w:tcBorders>
              <w:bottom w:val="single" w:sz="8" w:color="0CD973"/>
            </w:tcBorders>
          </w:tcPr>
          <w:p>
            <w:pPr>
              <w:jc w:val="right"/>
              <w:ind w:right="19"/>
              <w:spacing w:after="0"/>
              <w:rPr>
                <w:sz w:val="20"/>
                <w:szCs w:val="20"/>
                <w:color w:val="auto"/>
              </w:rPr>
            </w:pPr>
            <w:r>
              <w:rPr>
                <w:rFonts w:ascii="Arial" w:cs="Arial" w:eastAsia="Arial" w:hAnsi="Arial"/>
                <w:sz w:val="16"/>
                <w:szCs w:val="16"/>
                <w:color w:val="51555C"/>
                <w:w w:val="89"/>
              </w:rPr>
              <w:t>$</w:t>
            </w:r>
          </w:p>
        </w:tc>
        <w:tc>
          <w:tcPr>
            <w:tcW w:w="74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249,506</w:t>
            </w:r>
          </w:p>
        </w:tc>
        <w:tc>
          <w:tcPr>
            <w:tcW w:w="220" w:type="dxa"/>
            <w:vAlign w:val="bottom"/>
            <w:tcBorders>
              <w:bottom w:val="single" w:sz="8" w:color="0CD973"/>
            </w:tcBorders>
          </w:tcPr>
          <w:p>
            <w:pPr>
              <w:jc w:val="right"/>
              <w:ind w:right="41"/>
              <w:spacing w:after="0"/>
              <w:rPr>
                <w:sz w:val="20"/>
                <w:szCs w:val="20"/>
                <w:color w:val="auto"/>
              </w:rPr>
            </w:pPr>
            <w:r>
              <w:rPr>
                <w:rFonts w:ascii="Arial" w:cs="Arial" w:eastAsia="Arial" w:hAnsi="Arial"/>
                <w:sz w:val="16"/>
                <w:szCs w:val="16"/>
                <w:color w:val="51555C"/>
                <w:w w:val="89"/>
              </w:rPr>
              <w:t>$</w:t>
            </w:r>
          </w:p>
        </w:tc>
        <w:tc>
          <w:tcPr>
            <w:tcW w:w="78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396,837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-5288280</wp:posOffset>
            </wp:positionV>
            <wp:extent cx="10718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51555C"/>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559435</wp:posOffset>
            </wp:positionV>
            <wp:extent cx="65976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480" w:type="dxa"/>
            <w:vAlign w:val="bottom"/>
          </w:tcPr>
          <w:p>
            <w:pPr>
              <w:ind w:left="7880"/>
              <w:spacing w:after="0"/>
              <w:rPr>
                <w:sz w:val="20"/>
                <w:szCs w:val="20"/>
                <w:color w:val="auto"/>
              </w:rPr>
            </w:pPr>
            <w:r>
              <w:rPr>
                <w:rFonts w:ascii="Arial" w:cs="Arial" w:eastAsia="Arial" w:hAnsi="Arial"/>
                <w:sz w:val="14"/>
                <w:szCs w:val="14"/>
                <w:color w:val="51555C"/>
              </w:rPr>
              <w:t>Third Quarter 2022 Form 10-Q</w:t>
            </w:r>
          </w:p>
        </w:tc>
        <w:tc>
          <w:tcPr>
            <w:tcW w:w="760" w:type="dxa"/>
            <w:vAlign w:val="bottom"/>
          </w:tcPr>
          <w:p>
            <w:pPr>
              <w:jc w:val="right"/>
              <w:spacing w:after="0"/>
              <w:rPr>
                <w:sz w:val="20"/>
                <w:szCs w:val="20"/>
                <w:color w:val="auto"/>
              </w:rPr>
            </w:pPr>
            <w:r>
              <w:rPr>
                <w:rFonts w:ascii="Arial" w:cs="Arial" w:eastAsia="Arial" w:hAnsi="Arial"/>
                <w:sz w:val="14"/>
                <w:szCs w:val="14"/>
                <w:color w:val="51555C"/>
              </w:rPr>
              <w:t>7</w:t>
            </w:r>
          </w:p>
        </w:tc>
      </w:tr>
      <w:tr>
        <w:trPr>
          <w:trHeight w:val="329"/>
        </w:trPr>
        <w:tc>
          <w:tcPr>
            <w:tcW w:w="10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to increase their impact through cloud software, services, expertise and data intelligence. Our portfolio is tailored to the unique needs of vertical markets, with solutions for fundraising and CRM, marketing, advocacy, peer-to-peer fundraising, corporate social responsibility (CSR) and environmental, social and governance (ESG), school management, ticketing, grantmaking, financial management, payment processing and analytics. Serving the industry for more than four decades, we are a remote-first company headquartered in Charleston, South Carolina, with operations in the United States, Australia, Canada, Costa Rica and the United Kingdom.</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2.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Unaudited condensed consolidated interim financial statements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The accompanying condensed consolidated interim financial statements have been prepared pursuant to the rules and regulations of the United States Securities and Exchange Commission ("SEC") for interim financial reporting. These consolidated statements are unaudited and, in the opinion of management, include all adjustments (consisting of normal recurring adjustments and accruals) necessary to state fairly the consolidated balance sheets, consolidated statements of comprehensive income, consolidated statements of cash flows and consolidated statements of stockholders’ equity, for the periods presented in accordance with accounting principles generally accepted in the United States ("U.S.") ("GAAP"). The consolidated balance sheet at December 31, 2021 has been derived from the audited consolidated financial statements at that date. Operating results and cash flows for the nine months ended September 30, 2022 are not necessarily indicative of the results that may be expected for the fiscal year ending December 31, 2022, or any other future period. Certain information and footnote disclosures normally included in annual financial statements prepared in accordance with GAAP have been omitted in accordance with the rules and regulations for interim reporting of the SEC. These condensed consolidated interim financial statements should be read in conjunction with the consolidated financial statements and notes thereto included in our Annual Report on Form 10-K for the year ended December 31, 2021, and other forms filed with the SEC from time to time.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Basis of consolidation</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The condensed consolidated financial statements include the accounts of Blackbaud, Inc. and its wholly owned subsidiaries. All intercompany balances and transactions have been eliminated in consolidation.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Reportable segment</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report our operating results and financial information in one operating and reportable segment. Our chief operating decision maker uses consolidated financial information to make operating decisions, assess financial performance and allocate resources. Our chief operating decision maker is our chief executive officer.</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We acquired EVERFI (as defined below) on December 31, 2021. During the third quarter of 2022, we reorganized our market groups and EVERFI is now included in the Corporate Sector market group. See Note 13 to these condensed consolidated financial statements for additional information about our market groups. This change did not impact our conclusions that we have one operating and reportable segment and one goodwill reporting unit.</w:t>
      </w:r>
    </w:p>
    <w:p>
      <w:pPr>
        <w:spacing w:after="0" w:line="323"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8</w:t>
      </w:r>
      <w:r>
        <w:rPr>
          <w:sz w:val="20"/>
          <w:szCs w:val="20"/>
          <w:color w:val="auto"/>
        </w:rPr>
        <w:tab/>
      </w:r>
      <w:r>
        <w:rPr>
          <w:sz w:val="1"/>
          <w:szCs w:val="1"/>
          <w:color w:val="auto"/>
        </w:rPr>
        <w:drawing>
          <wp:inline distT="0" distB="0" distL="0" distR="0">
            <wp:extent cx="651510" cy="1714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Risks and uncertainties related to COVID-19</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We are subject to risks and uncertainties as a result of the global COVID-19 pandemic. We believe that COVID-19 may continue to significantly impact our vertical markets and geographies, but the magnitude of the impact on our business cannot be determined at this time due to numerous uncertainties, including the duration of the outbreak, the severity of variants which may develop, travel restrictions and business closures, the effectiveness of vaccination programs and other actions taken to contain the disease and other unforeseeable consequences.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Use of estimates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business combinations, stock-based compensation, capitalization of software development costs, our allowances for credit losses and sales returns, costs of obtaining contracts, valuation of derivative instruments, loss contingencies and insurance recoveries, among others. Changes in the facts or circumstances underlying these estimates, including due to COVID-19, could result in material changes and actual results could materially differ from these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Recently adopted accounting pronouncements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 xml:space="preserve">In March 2020, the Financial Accounting Standards Board ("FASB") issued Accounting Standards Update ("ASU") 2020-04, </w:t>
      </w:r>
      <w:r>
        <w:rPr>
          <w:rFonts w:ascii="Arial" w:cs="Arial" w:eastAsia="Arial" w:hAnsi="Arial"/>
          <w:sz w:val="18"/>
          <w:szCs w:val="18"/>
          <w:i w:val="1"/>
          <w:iCs w:val="1"/>
          <w:color w:val="51555C"/>
        </w:rPr>
        <w:t>Reference Rate</w:t>
      </w:r>
      <w:r>
        <w:rPr>
          <w:rFonts w:ascii="Arial" w:cs="Arial" w:eastAsia="Arial" w:hAnsi="Arial"/>
          <w:sz w:val="18"/>
          <w:szCs w:val="18"/>
          <w:color w:val="51555C"/>
        </w:rPr>
        <w:t xml:space="preserve"> </w:t>
      </w:r>
      <w:r>
        <w:rPr>
          <w:rFonts w:ascii="Arial" w:cs="Arial" w:eastAsia="Arial" w:hAnsi="Arial"/>
          <w:sz w:val="18"/>
          <w:szCs w:val="18"/>
          <w:i w:val="1"/>
          <w:iCs w:val="1"/>
          <w:color w:val="51555C"/>
        </w:rPr>
        <w:t xml:space="preserve">Reform (Topic 848): Facilitation of the Effects of Reference Rate Reform on Financial Reporting </w:t>
      </w:r>
      <w:r>
        <w:rPr>
          <w:rFonts w:ascii="Arial" w:cs="Arial" w:eastAsia="Arial" w:hAnsi="Arial"/>
          <w:sz w:val="18"/>
          <w:szCs w:val="18"/>
          <w:color w:val="51555C"/>
        </w:rPr>
        <w:t>("ASU 2020-04")</w:t>
      </w:r>
      <w:r>
        <w:rPr>
          <w:rFonts w:ascii="Arial" w:cs="Arial" w:eastAsia="Arial" w:hAnsi="Arial"/>
          <w:sz w:val="18"/>
          <w:szCs w:val="18"/>
          <w:i w:val="1"/>
          <w:iCs w:val="1"/>
          <w:color w:val="51555C"/>
        </w:rPr>
        <w:t xml:space="preserve">. </w:t>
      </w:r>
      <w:r>
        <w:rPr>
          <w:rFonts w:ascii="Arial" w:cs="Arial" w:eastAsia="Arial" w:hAnsi="Arial"/>
          <w:sz w:val="18"/>
          <w:szCs w:val="18"/>
          <w:color w:val="51555C"/>
        </w:rPr>
        <w:t>This update provides for</w:t>
      </w:r>
      <w:r>
        <w:rPr>
          <w:rFonts w:ascii="Arial" w:cs="Arial" w:eastAsia="Arial" w:hAnsi="Arial"/>
          <w:sz w:val="18"/>
          <w:szCs w:val="18"/>
          <w:i w:val="1"/>
          <w:iCs w:val="1"/>
          <w:color w:val="51555C"/>
        </w:rPr>
        <w:t xml:space="preserve"> </w:t>
      </w:r>
      <w:r>
        <w:rPr>
          <w:rFonts w:ascii="Arial" w:cs="Arial" w:eastAsia="Arial" w:hAnsi="Arial"/>
          <w:sz w:val="18"/>
          <w:szCs w:val="18"/>
          <w:color w:val="51555C"/>
        </w:rPr>
        <w:t>optional financial reporting alternatives to reduce cost and complexity associated with accounting for contracts, hedging relationships, and other transactions affected by reference rate reform. This update applies only to contracts, hedging relationships, and other transactions that reference the London Interbank Offer Rate ("LIBOR") or other reference rates expected to be discontinued because of reference rate reform. The accommodations are available for all entities through December 31, 2022, with early adoption permitted. We adopted ASU 2020-04 prospectively as of July 1, 2022, and the adoption did not have a material impact on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Recently issued accounting pronouncements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There are no recently issued accounting pronouncements that we expect to have a material impact on our consolidated financial statements when adopted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Summary of significant accounting policies</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There have been no material changes to our significant accounting policies described in our Annual Report on Form 10-K for the year ended December 31, 2021, filed with the SEC on 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212090</wp:posOffset>
            </wp:positionV>
            <wp:extent cx="65976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880" w:type="dxa"/>
            <w:vAlign w:val="bottom"/>
          </w:tcPr>
          <w:p>
            <w:pPr>
              <w:jc w:val="right"/>
              <w:spacing w:after="0"/>
              <w:rPr>
                <w:sz w:val="20"/>
                <w:szCs w:val="20"/>
                <w:color w:val="auto"/>
              </w:rPr>
            </w:pPr>
            <w:r>
              <w:rPr>
                <w:rFonts w:ascii="Arial" w:cs="Arial" w:eastAsia="Arial" w:hAnsi="Arial"/>
                <w:sz w:val="14"/>
                <w:szCs w:val="14"/>
                <w:color w:val="51555C"/>
              </w:rPr>
              <w:t>9</w:t>
            </w:r>
          </w:p>
        </w:tc>
      </w:tr>
      <w:tr>
        <w:trPr>
          <w:trHeight w:val="330"/>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3. Business Combinations and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2022 Disposition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Blackbaud FIMS™ and DonorCentral® NXT</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On September 9, 2022, we sold our Foundation Information Management System ("FIMS") and DonorCentral NXT solutions to Fusion Laboratories, LLC for cash proceeds of approximately $6.4 million, subject to closing adjustments. We expect the sale of these solutions to allow us to reduce complexity and focus on innovation within our core products as we execute our strategic growth plans. During the three months ended June 30, 2022, we recognized a noncash impairment charge of $2.0 million against certain insignificant FIMS customer relationship intangible assets that were then held for sale. The impairment charge was recorded in general and administrative expense in our condensed consolidated statements of comprehensive income. During the three and nine months ended September 30, 2022, we recognized an insignificant loss on the disposal of FIMS held for sale assets and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2022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Kilter</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On August 19, 2022, we acquired all of the outstanding stock of Kilter, Inc. ("Kilter"), a Delaware corporation, pursuant to an agreement and plan of merger, for approximately $2.9 million in cash, subject to closing adjustments. The acquisition of Kilter's mobile application will allow us to expand activity-based peer-to-peer fundraising engagement, to support activity-based health and wellness initiatives for socially responsible companies, and to grow the ways individuals can connect with the causes they care about most through the activities they love. In addition to the consideration paid at closing, we may be required to pay up to a maximum of $3.0 million in additional cash consideration if during the two-year period commencing January 1, 2023 Kilter meets certain application participation targets. A liability for the contingent consideration was recorded at its acquisition-date fair value of $2.7 million in other liabilities in our condensed consolidated balance sheet. Any change in the fair value of the contingent liability, or any change upon final settlement, will be recognized in income from operations. Fair values were also assigned to the other assets acquired and liabilities assumed, primarily consisting of goodwill and a finite-lived developed technology intangible asset, which will be amortized over an estimated useful life of three years. The fair values are based on our best estimates and assumptions as of the reporting date and are considered preliminary pending finalization. Insignificant acquisition-related costs, which primarily consisted of legal services, were recorded as general and administrative expense during the nine months ended September 30,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2021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EVERFI</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On December 31, 2021, we acquired all of the outstanding equity securities, including all voting equity interests, of EVERFI, Inc., a Delaware corporation ("EVERFI"), pursuant to an agreement and plan of merger. The acquisition advanced our position as a leader in the rapidly evolving ESG and CSR spaces. We acquired the equity securities for approximately $441.8 million in cash consideration and 3,810,888 shares of our common stock, valued at approximately $301.0 million, for an aggregate purchase price of approximately $742.8 million, net of closing adjustments. The cash consideration and related expenses were funded primarily through cash on hand and new borrowings under the 2020 Credit Facility (as defined below). As a result of the acquisition, EVERFI has become a wholly owned subsidiary of ours. The operating results of EVERFI have been included in our consolidated financial statements from the date of acquisition. In accordance with applicable accounting rules, we determined that the impact of this acquisition was not material to our consolidated financial statements; therefore, revenue and earnings since the acquisition date and pro forma information are not required to be presented.</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The fair values assigned to the assets acquired and liabilities assumed in our acquisition of EVERFI are based on our best estimates and assumptions as of the reporting date and are considered preliminary pending finalization. The estimates and assumptions are subject to change as we obtain additional information during the measurement period, which may be up to one year from the acquisition date. The assets and liabilities, pending finalization, include the valuation of intangible assets as well as the assumed deferred income tax balances. During the nine months ended September 30, 2022, we recorded insignificant measurement period adjustments to the estimated fair value of the EVERFI assets acquired and liabilities</w:t>
      </w:r>
    </w:p>
    <w:p>
      <w:pPr>
        <w:spacing w:after="0" w:line="314"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10</w:t>
      </w:r>
      <w:r>
        <w:rPr>
          <w:sz w:val="20"/>
          <w:szCs w:val="20"/>
          <w:color w:val="auto"/>
        </w:rPr>
        <w:tab/>
      </w:r>
      <w:r>
        <w:rPr>
          <w:sz w:val="1"/>
          <w:szCs w:val="1"/>
          <w:color w:val="auto"/>
        </w:rPr>
        <w:drawing>
          <wp:inline distT="0" distB="0" distL="0" distR="0">
            <wp:extent cx="651510" cy="1714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51555C"/>
        </w:rPr>
        <w:t>assumed following the receipt of new information. The adjustments resulted in an increase to net working capital, excluding deferred revenue, with the corresponding offset to goodwill.</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4.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51555C"/>
        </w:rPr>
        <w:t>The change in goodwill during the nine months ended September 30, 2022, consisted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004054"/>
            </w:tcBorders>
            <w:shd w:val="clear" w:color="auto" w:fill="004054"/>
          </w:tcPr>
          <w:p>
            <w:pPr>
              <w:spacing w:after="0"/>
              <w:rPr>
                <w:sz w:val="20"/>
                <w:szCs w:val="20"/>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tcBorders>
              <w:bottom w:val="single" w:sz="8" w:color="004054"/>
            </w:tcBorders>
            <w:shd w:val="clear" w:color="auto" w:fill="004054"/>
          </w:tcPr>
          <w:p>
            <w:pPr>
              <w:spacing w:after="0"/>
              <w:rPr>
                <w:sz w:val="20"/>
                <w:szCs w:val="20"/>
                <w:color w:val="auto"/>
              </w:rPr>
            </w:pPr>
          </w:p>
        </w:tc>
      </w:tr>
      <w:tr>
        <w:trPr>
          <w:trHeight w:val="250"/>
        </w:trPr>
        <w:tc>
          <w:tcPr>
            <w:tcW w:w="98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Balance at December 31, 2021</w:t>
            </w:r>
          </w:p>
        </w:tc>
        <w:tc>
          <w:tcPr>
            <w:tcW w:w="340" w:type="dxa"/>
            <w:vAlign w:val="bottom"/>
            <w:tcBorders>
              <w:bottom w:val="single" w:sz="8" w:color="EBFBFF"/>
            </w:tcBorders>
            <w:shd w:val="clear" w:color="auto" w:fill="EBFBFF"/>
          </w:tcPr>
          <w:p>
            <w:pPr>
              <w:jc w:val="right"/>
              <w:ind w:right="130"/>
              <w:spacing w:after="0"/>
              <w:rPr>
                <w:sz w:val="20"/>
                <w:szCs w:val="20"/>
                <w:color w:val="auto"/>
              </w:rPr>
            </w:pPr>
            <w:r>
              <w:rPr>
                <w:rFonts w:ascii="Arial" w:cs="Arial" w:eastAsia="Arial" w:hAnsi="Arial"/>
                <w:sz w:val="18"/>
                <w:szCs w:val="18"/>
                <w:color w:val="51555C"/>
                <w:w w:val="99"/>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1,058,640</w:t>
            </w:r>
          </w:p>
        </w:tc>
        <w:tc>
          <w:tcPr>
            <w:tcW w:w="20" w:type="dxa"/>
            <w:vAlign w:val="bottom"/>
          </w:tcPr>
          <w:p>
            <w:pPr>
              <w:spacing w:after="0"/>
              <w:rPr>
                <w:sz w:val="21"/>
                <w:szCs w:val="21"/>
                <w:color w:val="auto"/>
              </w:rPr>
            </w:pPr>
          </w:p>
        </w:tc>
      </w:tr>
      <w:tr>
        <w:trPr>
          <w:trHeight w:val="324"/>
        </w:trPr>
        <w:tc>
          <w:tcPr>
            <w:tcW w:w="9800" w:type="dxa"/>
            <w:vAlign w:val="bottom"/>
          </w:tcPr>
          <w:p>
            <w:pPr>
              <w:ind w:left="20"/>
              <w:spacing w:after="0"/>
              <w:rPr>
                <w:sz w:val="20"/>
                <w:szCs w:val="20"/>
                <w:color w:val="auto"/>
              </w:rPr>
            </w:pPr>
            <w:r>
              <w:rPr>
                <w:rFonts w:ascii="Arial" w:cs="Arial" w:eastAsia="Arial" w:hAnsi="Arial"/>
                <w:sz w:val="18"/>
                <w:szCs w:val="18"/>
                <w:color w:val="51555C"/>
              </w:rPr>
              <w:t>Additions related to business combination</w:t>
            </w:r>
            <w:r>
              <w:rPr>
                <w:rFonts w:ascii="Arial" w:cs="Arial" w:eastAsia="Arial" w:hAnsi="Arial"/>
                <w:sz w:val="23"/>
                <w:szCs w:val="23"/>
                <w:color w:val="51555C"/>
                <w:vertAlign w:val="superscript"/>
              </w:rPr>
              <w:t>(1)</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3,774</w:t>
            </w:r>
          </w:p>
        </w:tc>
        <w:tc>
          <w:tcPr>
            <w:tcW w:w="20" w:type="dxa"/>
            <w:vAlign w:val="bottom"/>
          </w:tcPr>
          <w:p>
            <w:pPr>
              <w:spacing w:after="0"/>
              <w:rPr>
                <w:sz w:val="24"/>
                <w:szCs w:val="24"/>
                <w:color w:val="auto"/>
              </w:rPr>
            </w:pPr>
          </w:p>
        </w:tc>
      </w:tr>
      <w:tr>
        <w:trPr>
          <w:trHeight w:val="324"/>
        </w:trPr>
        <w:tc>
          <w:tcPr>
            <w:tcW w:w="980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Adjustments related to prior year business combination</w:t>
            </w:r>
            <w:r>
              <w:rPr>
                <w:rFonts w:ascii="Arial" w:cs="Arial" w:eastAsia="Arial" w:hAnsi="Arial"/>
                <w:sz w:val="23"/>
                <w:szCs w:val="23"/>
                <w:color w:val="51555C"/>
                <w:vertAlign w:val="superscript"/>
              </w:rPr>
              <w:t>(2)</w:t>
            </w:r>
          </w:p>
        </w:tc>
        <w:tc>
          <w:tcPr>
            <w:tcW w:w="340" w:type="dxa"/>
            <w:vAlign w:val="bottom"/>
            <w:shd w:val="clear" w:color="auto" w:fill="EBFBFF"/>
          </w:tcPr>
          <w:p>
            <w:pPr>
              <w:spacing w:after="0"/>
              <w:rPr>
                <w:sz w:val="24"/>
                <w:szCs w:val="24"/>
                <w:color w:val="auto"/>
              </w:rPr>
            </w:pPr>
          </w:p>
        </w:tc>
        <w:tc>
          <w:tcPr>
            <w:tcW w:w="110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(1,275)</w:t>
            </w:r>
          </w:p>
        </w:tc>
        <w:tc>
          <w:tcPr>
            <w:tcW w:w="20" w:type="dxa"/>
            <w:vAlign w:val="bottom"/>
          </w:tcPr>
          <w:p>
            <w:pPr>
              <w:spacing w:after="0"/>
              <w:rPr>
                <w:sz w:val="24"/>
                <w:szCs w:val="24"/>
                <w:color w:val="auto"/>
              </w:rPr>
            </w:pPr>
          </w:p>
        </w:tc>
      </w:tr>
      <w:tr>
        <w:trPr>
          <w:trHeight w:val="324"/>
        </w:trPr>
        <w:tc>
          <w:tcPr>
            <w:tcW w:w="9800" w:type="dxa"/>
            <w:vAlign w:val="bottom"/>
          </w:tcPr>
          <w:p>
            <w:pPr>
              <w:ind w:left="20"/>
              <w:spacing w:after="0"/>
              <w:rPr>
                <w:sz w:val="20"/>
                <w:szCs w:val="20"/>
                <w:color w:val="auto"/>
              </w:rPr>
            </w:pPr>
            <w:r>
              <w:rPr>
                <w:rFonts w:ascii="Arial" w:cs="Arial" w:eastAsia="Arial" w:hAnsi="Arial"/>
                <w:sz w:val="18"/>
                <w:szCs w:val="18"/>
                <w:color w:val="51555C"/>
              </w:rPr>
              <w:t>Adjustments related to dispositions</w:t>
            </w:r>
            <w:r>
              <w:rPr>
                <w:rFonts w:ascii="Arial" w:cs="Arial" w:eastAsia="Arial" w:hAnsi="Arial"/>
                <w:sz w:val="23"/>
                <w:szCs w:val="23"/>
                <w:color w:val="51555C"/>
                <w:vertAlign w:val="superscript"/>
              </w:rPr>
              <w:t>(3)</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(2,501)</w:t>
            </w:r>
          </w:p>
        </w:tc>
        <w:tc>
          <w:tcPr>
            <w:tcW w:w="20" w:type="dxa"/>
            <w:vAlign w:val="bottom"/>
          </w:tcPr>
          <w:p>
            <w:pPr>
              <w:spacing w:after="0"/>
              <w:rPr>
                <w:sz w:val="24"/>
                <w:szCs w:val="24"/>
                <w:color w:val="auto"/>
              </w:rPr>
            </w:pPr>
          </w:p>
        </w:tc>
      </w:tr>
      <w:tr>
        <w:trPr>
          <w:trHeight w:val="270"/>
        </w:trPr>
        <w:tc>
          <w:tcPr>
            <w:tcW w:w="98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Effect of foreign currency translation</w:t>
            </w:r>
          </w:p>
        </w:tc>
        <w:tc>
          <w:tcPr>
            <w:tcW w:w="340" w:type="dxa"/>
            <w:vAlign w:val="bottom"/>
            <w:tcBorders>
              <w:bottom w:val="single" w:sz="8" w:color="EBFBFF"/>
            </w:tcBorders>
            <w:shd w:val="clear" w:color="auto" w:fill="EBFBFF"/>
          </w:tcPr>
          <w:p>
            <w:pPr>
              <w:spacing w:after="0"/>
              <w:rPr>
                <w:sz w:val="23"/>
                <w:szCs w:val="23"/>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(11,460)</w:t>
            </w:r>
          </w:p>
        </w:tc>
        <w:tc>
          <w:tcPr>
            <w:tcW w:w="20" w:type="dxa"/>
            <w:vAlign w:val="bottom"/>
          </w:tcPr>
          <w:p>
            <w:pPr>
              <w:spacing w:after="0"/>
              <w:rPr>
                <w:sz w:val="23"/>
                <w:szCs w:val="23"/>
                <w:color w:val="auto"/>
              </w:rPr>
            </w:pPr>
          </w:p>
        </w:tc>
      </w:tr>
      <w:tr>
        <w:trPr>
          <w:trHeight w:val="237"/>
        </w:trPr>
        <w:tc>
          <w:tcPr>
            <w:tcW w:w="9800" w:type="dxa"/>
            <w:vAlign w:val="bottom"/>
          </w:tcPr>
          <w:p>
            <w:pPr>
              <w:ind w:left="20"/>
              <w:spacing w:after="0"/>
              <w:rPr>
                <w:sz w:val="20"/>
                <w:szCs w:val="20"/>
                <w:color w:val="auto"/>
              </w:rPr>
            </w:pPr>
            <w:r>
              <w:rPr>
                <w:rFonts w:ascii="Arial" w:cs="Arial" w:eastAsia="Arial" w:hAnsi="Arial"/>
                <w:sz w:val="18"/>
                <w:szCs w:val="18"/>
                <w:b w:val="1"/>
                <w:bCs w:val="1"/>
                <w:color w:val="51555C"/>
              </w:rPr>
              <w:t>Balance at September 30, 2022</w:t>
            </w:r>
          </w:p>
        </w:tc>
        <w:tc>
          <w:tcPr>
            <w:tcW w:w="340" w:type="dxa"/>
            <w:vAlign w:val="bottom"/>
            <w:tcBorders>
              <w:top w:val="single" w:sz="8" w:color="51555C"/>
            </w:tcBorders>
          </w:tcPr>
          <w:p>
            <w:pPr>
              <w:jc w:val="right"/>
              <w:ind w:right="130"/>
              <w:spacing w:after="0"/>
              <w:rPr>
                <w:sz w:val="20"/>
                <w:szCs w:val="20"/>
                <w:color w:val="auto"/>
              </w:rPr>
            </w:pPr>
            <w:r>
              <w:rPr>
                <w:rFonts w:ascii="Arial" w:cs="Arial" w:eastAsia="Arial" w:hAnsi="Arial"/>
                <w:sz w:val="18"/>
                <w:szCs w:val="18"/>
                <w:color w:val="51555C"/>
                <w:w w:val="99"/>
              </w:rPr>
              <w:t>$</w:t>
            </w:r>
          </w:p>
        </w:tc>
        <w:tc>
          <w:tcPr>
            <w:tcW w:w="11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1,047,178</w:t>
            </w:r>
          </w:p>
        </w:tc>
        <w:tc>
          <w:tcPr>
            <w:tcW w:w="20" w:type="dxa"/>
            <w:vAlign w:val="bottom"/>
          </w:tcPr>
          <w:p>
            <w:pPr>
              <w:spacing w:after="0"/>
              <w:rPr>
                <w:sz w:val="20"/>
                <w:szCs w:val="20"/>
                <w:color w:val="auto"/>
              </w:rPr>
            </w:pPr>
          </w:p>
        </w:tc>
      </w:tr>
      <w:tr>
        <w:trPr>
          <w:trHeight w:val="27"/>
        </w:trPr>
        <w:tc>
          <w:tcPr>
            <w:tcW w:w="9800" w:type="dxa"/>
            <w:vAlign w:val="bottom"/>
            <w:tcBorders>
              <w:bottom w:val="single" w:sz="8" w:color="0CD973"/>
            </w:tcBorders>
          </w:tcPr>
          <w:p>
            <w:pPr>
              <w:spacing w:after="0"/>
              <w:rPr>
                <w:sz w:val="2"/>
                <w:szCs w:val="2"/>
                <w:color w:val="auto"/>
              </w:rPr>
            </w:pPr>
          </w:p>
        </w:tc>
        <w:tc>
          <w:tcPr>
            <w:tcW w:w="340" w:type="dxa"/>
            <w:vAlign w:val="bottom"/>
            <w:tcBorders>
              <w:bottom w:val="single" w:sz="8" w:color="0CD973"/>
            </w:tcBorders>
          </w:tcPr>
          <w:p>
            <w:pPr>
              <w:spacing w:after="0"/>
              <w:rPr>
                <w:sz w:val="2"/>
                <w:szCs w:val="2"/>
                <w:color w:val="auto"/>
              </w:rPr>
            </w:pPr>
          </w:p>
        </w:tc>
        <w:tc>
          <w:tcPr>
            <w:tcW w:w="110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8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51555C"/>
        </w:rPr>
      </w:pPr>
      <w:r>
        <w:rPr>
          <w:rFonts w:ascii="Arial" w:cs="Arial" w:eastAsia="Arial" w:hAnsi="Arial"/>
          <w:sz w:val="14"/>
          <w:szCs w:val="14"/>
          <w:color w:val="51555C"/>
        </w:rPr>
        <w:t>See Note 3 to these condensed consolidated financial statements for a discussion of our acquisition of Kilter.</w:t>
      </w:r>
    </w:p>
    <w:p>
      <w:pPr>
        <w:spacing w:after="0" w:line="14" w:lineRule="exact"/>
        <w:rPr>
          <w:rFonts w:ascii="Arial" w:cs="Arial" w:eastAsia="Arial" w:hAnsi="Arial"/>
          <w:sz w:val="14"/>
          <w:szCs w:val="14"/>
          <w:color w:val="51555C"/>
        </w:rPr>
      </w:pPr>
    </w:p>
    <w:p>
      <w:pPr>
        <w:ind w:left="340" w:right="20" w:hanging="332"/>
        <w:spacing w:after="0" w:line="261" w:lineRule="auto"/>
        <w:tabs>
          <w:tab w:leader="none" w:pos="354" w:val="left"/>
        </w:tabs>
        <w:numPr>
          <w:ilvl w:val="0"/>
          <w:numId w:val="6"/>
        </w:numPr>
        <w:rPr>
          <w:rFonts w:ascii="Arial" w:cs="Arial" w:eastAsia="Arial" w:hAnsi="Arial"/>
          <w:sz w:val="14"/>
          <w:szCs w:val="14"/>
          <w:color w:val="51555C"/>
        </w:rPr>
      </w:pPr>
      <w:r>
        <w:rPr>
          <w:rFonts w:ascii="Arial" w:cs="Arial" w:eastAsia="Arial" w:hAnsi="Arial"/>
          <w:sz w:val="14"/>
          <w:szCs w:val="14"/>
          <w:color w:val="51555C"/>
        </w:rPr>
        <w:t>See Note 3 to these condensed consolidated financial statements for a discussion of the measurement period adjustments during the nine months ended September 30, 2022 to the estimated fair value of the EVERFI assets acquired and liabilities assumed.</w:t>
      </w:r>
    </w:p>
    <w:p>
      <w:pPr>
        <w:ind w:left="340" w:hanging="332"/>
        <w:spacing w:after="0"/>
        <w:tabs>
          <w:tab w:leader="none" w:pos="340" w:val="left"/>
        </w:tabs>
        <w:numPr>
          <w:ilvl w:val="0"/>
          <w:numId w:val="6"/>
        </w:numPr>
        <w:rPr>
          <w:rFonts w:ascii="Arial" w:cs="Arial" w:eastAsia="Arial" w:hAnsi="Arial"/>
          <w:sz w:val="14"/>
          <w:szCs w:val="14"/>
          <w:color w:val="51555C"/>
        </w:rPr>
      </w:pPr>
      <w:r>
        <w:rPr>
          <w:rFonts w:ascii="Arial" w:cs="Arial" w:eastAsia="Arial" w:hAnsi="Arial"/>
          <w:sz w:val="14"/>
          <w:szCs w:val="14"/>
          <w:color w:val="51555C"/>
        </w:rPr>
        <w:t>See Note 3 to these condensed consolidated financial statements for a summary of our disposition of Blackbaud FIMS and DonorCentral NXT.</w:t>
      </w:r>
    </w:p>
    <w:p>
      <w:pPr>
        <w:spacing w:after="0" w:line="260" w:lineRule="exact"/>
        <w:rPr>
          <w:rFonts w:ascii="Arial" w:cs="Arial" w:eastAsia="Arial" w:hAnsi="Arial"/>
          <w:sz w:val="14"/>
          <w:szCs w:val="14"/>
          <w:color w:val="51555C"/>
        </w:rPr>
      </w:pPr>
    </w:p>
    <w:p>
      <w:pPr>
        <w:ind w:left="260" w:hanging="234"/>
        <w:spacing w:after="0"/>
        <w:tabs>
          <w:tab w:leader="none" w:pos="260" w:val="left"/>
        </w:tabs>
        <w:numPr>
          <w:ilvl w:val="1"/>
          <w:numId w:val="6"/>
        </w:numPr>
        <w:rPr>
          <w:rFonts w:ascii="Arial" w:cs="Arial" w:eastAsia="Arial" w:hAnsi="Arial"/>
          <w:sz w:val="22"/>
          <w:szCs w:val="22"/>
          <w:b w:val="1"/>
          <w:bCs w:val="1"/>
          <w:color w:val="006880"/>
        </w:rPr>
      </w:pPr>
      <w:r>
        <w:rPr>
          <w:rFonts w:ascii="Arial" w:cs="Arial" w:eastAsia="Arial" w:hAnsi="Arial"/>
          <w:sz w:val="22"/>
          <w:szCs w:val="22"/>
          <w:b w:val="1"/>
          <w:bCs w:val="1"/>
          <w:color w:val="006880"/>
        </w:rPr>
        <w:t>(Loss)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5"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We compute basic (loss) earnings per share by dividing net (loss) income available to common stockholders by the weighted average number of common shares outstanding during the period. Diluted (loss) earnings per share is computed by dividing net (loss) income available to common stockholders by the weighted average number of common shares and dilutive potential common shares outstanding during the period. Diluted (loss) earnings per share reflect the assumed exercise, settlement and vesting of all dilutive securities using the “treasury stock method” except when the effect is anti-dilutive. Potentially dilutive securities consist of shares issuable upon the exercise of stock options, settlement of stock appreciation rights and vesting of restricted stock awards and units. Diluted loss per share for the three and nine months ended September 30, 2022 was the same as basic loss per share as there was a net loss in the period and inclusion of potentially dilutive securities was anti-dilutive.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sets forth the computation of basic and diluted (loss) earnings per share: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00" w:type="dxa"/>
            <w:vAlign w:val="bottom"/>
            <w:shd w:val="clear" w:color="auto" w:fill="004054"/>
          </w:tcPr>
          <w:p>
            <w:pPr>
              <w:spacing w:after="0"/>
              <w:rPr>
                <w:sz w:val="17"/>
                <w:szCs w:val="17"/>
                <w:color w:val="auto"/>
              </w:rPr>
            </w:pPr>
          </w:p>
        </w:tc>
        <w:tc>
          <w:tcPr>
            <w:tcW w:w="262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7"/>
                <w:szCs w:val="17"/>
                <w:color w:val="auto"/>
              </w:rPr>
            </w:pPr>
          </w:p>
        </w:tc>
        <w:tc>
          <w:tcPr>
            <w:tcW w:w="264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r>
      <w:tr>
        <w:trPr>
          <w:trHeight w:val="190"/>
        </w:trPr>
        <w:tc>
          <w:tcPr>
            <w:tcW w:w="5900" w:type="dxa"/>
            <w:vAlign w:val="bottom"/>
            <w:shd w:val="clear" w:color="auto" w:fill="004054"/>
          </w:tcPr>
          <w:p>
            <w:pPr>
              <w:spacing w:after="0"/>
              <w:rPr>
                <w:sz w:val="16"/>
                <w:szCs w:val="16"/>
                <w:color w:val="auto"/>
              </w:rPr>
            </w:pPr>
          </w:p>
        </w:tc>
        <w:tc>
          <w:tcPr>
            <w:tcW w:w="1310" w:type="dxa"/>
            <w:vAlign w:val="bottom"/>
            <w:shd w:val="clear" w:color="auto" w:fill="004054"/>
          </w:tcPr>
          <w:p>
            <w:pPr>
              <w:spacing w:after="0"/>
              <w:rPr>
                <w:sz w:val="16"/>
                <w:szCs w:val="16"/>
                <w:color w:val="auto"/>
              </w:rPr>
            </w:pPr>
          </w:p>
        </w:tc>
        <w:tc>
          <w:tcPr>
            <w:tcW w:w="131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6"/>
                <w:szCs w:val="16"/>
                <w:color w:val="auto"/>
              </w:rPr>
            </w:pPr>
          </w:p>
        </w:tc>
        <w:tc>
          <w:tcPr>
            <w:tcW w:w="1320" w:type="dxa"/>
            <w:vAlign w:val="bottom"/>
            <w:shd w:val="clear" w:color="auto" w:fill="004054"/>
          </w:tcPr>
          <w:p>
            <w:pPr>
              <w:spacing w:after="0"/>
              <w:rPr>
                <w:sz w:val="16"/>
                <w:szCs w:val="16"/>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r>
      <w:tr>
        <w:trPr>
          <w:trHeight w:val="243"/>
        </w:trPr>
        <w:tc>
          <w:tcPr>
            <w:tcW w:w="590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131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31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00" w:type="dxa"/>
            <w:vAlign w:val="bottom"/>
          </w:tcPr>
          <w:p>
            <w:pPr>
              <w:spacing w:after="0"/>
              <w:rPr>
                <w:sz w:val="21"/>
                <w:szCs w:val="21"/>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r>
      <w:tr>
        <w:trPr>
          <w:trHeight w:val="39"/>
        </w:trPr>
        <w:tc>
          <w:tcPr>
            <w:tcW w:w="5900" w:type="dxa"/>
            <w:vAlign w:val="bottom"/>
            <w:shd w:val="clear" w:color="auto" w:fill="004054"/>
          </w:tcPr>
          <w:p>
            <w:pPr>
              <w:spacing w:after="0"/>
              <w:rPr>
                <w:sz w:val="3"/>
                <w:szCs w:val="3"/>
                <w:color w:val="auto"/>
              </w:rPr>
            </w:pPr>
          </w:p>
        </w:tc>
        <w:tc>
          <w:tcPr>
            <w:tcW w:w="1310" w:type="dxa"/>
            <w:vAlign w:val="bottom"/>
            <w:shd w:val="clear" w:color="auto" w:fill="004054"/>
          </w:tcPr>
          <w:p>
            <w:pPr>
              <w:spacing w:after="0"/>
              <w:rPr>
                <w:sz w:val="3"/>
                <w:szCs w:val="3"/>
                <w:color w:val="auto"/>
              </w:rPr>
            </w:pPr>
          </w:p>
        </w:tc>
        <w:tc>
          <w:tcPr>
            <w:tcW w:w="1310" w:type="dxa"/>
            <w:vAlign w:val="bottom"/>
            <w:shd w:val="clear" w:color="auto" w:fill="004054"/>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shd w:val="clear" w:color="auto" w:fill="004054"/>
          </w:tcPr>
          <w:p>
            <w:pPr>
              <w:spacing w:after="0"/>
              <w:rPr>
                <w:sz w:val="3"/>
                <w:szCs w:val="3"/>
                <w:color w:val="auto"/>
              </w:rPr>
            </w:pPr>
          </w:p>
        </w:tc>
        <w:tc>
          <w:tcPr>
            <w:tcW w:w="1320" w:type="dxa"/>
            <w:vAlign w:val="bottom"/>
            <w:shd w:val="clear" w:color="auto" w:fill="004054"/>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-162560</wp:posOffset>
            </wp:positionV>
            <wp:extent cx="34029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Numerator: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00" w:type="dxa"/>
            <w:vAlign w:val="bottom"/>
          </w:tcPr>
          <w:p>
            <w:pPr>
              <w:ind w:left="140"/>
              <w:spacing w:after="0"/>
              <w:rPr>
                <w:sz w:val="20"/>
                <w:szCs w:val="20"/>
                <w:color w:val="auto"/>
              </w:rPr>
            </w:pPr>
            <w:r>
              <w:rPr>
                <w:rFonts w:ascii="Arial" w:cs="Arial" w:eastAsia="Arial" w:hAnsi="Arial"/>
                <w:sz w:val="18"/>
                <w:szCs w:val="18"/>
                <w:color w:val="51555C"/>
              </w:rPr>
              <w:t>Net (loss)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51555C"/>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51555C"/>
              </w:rPr>
              <w:t>(10,319)</w:t>
            </w:r>
          </w:p>
        </w:tc>
        <w:tc>
          <w:tcPr>
            <w:tcW w:w="220" w:type="dxa"/>
            <w:vAlign w:val="bottom"/>
          </w:tcPr>
          <w:p>
            <w:pPr>
              <w:jc w:val="right"/>
              <w:ind w:right="10"/>
              <w:spacing w:after="0"/>
              <w:rPr>
                <w:sz w:val="20"/>
                <w:szCs w:val="20"/>
                <w:color w:val="auto"/>
              </w:rPr>
            </w:pPr>
            <w:r>
              <w:rPr>
                <w:rFonts w:ascii="Arial" w:cs="Arial" w:eastAsia="Arial" w:hAnsi="Arial"/>
                <w:sz w:val="18"/>
                <w:szCs w:val="18"/>
                <w:color w:val="51555C"/>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51555C"/>
              </w:rPr>
              <w:t>6,188</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51555C"/>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51555C"/>
              </w:rPr>
              <w:t>(24,148)</w:t>
            </w:r>
          </w:p>
        </w:tc>
        <w:tc>
          <w:tcPr>
            <w:tcW w:w="240" w:type="dxa"/>
            <w:vAlign w:val="bottom"/>
          </w:tcPr>
          <w:p>
            <w:pPr>
              <w:jc w:val="right"/>
              <w:ind w:right="30"/>
              <w:spacing w:after="0"/>
              <w:rPr>
                <w:sz w:val="20"/>
                <w:szCs w:val="20"/>
                <w:color w:val="auto"/>
              </w:rPr>
            </w:pPr>
            <w:r>
              <w:rPr>
                <w:rFonts w:ascii="Arial" w:cs="Arial" w:eastAsia="Arial" w:hAnsi="Arial"/>
                <w:sz w:val="18"/>
                <w:szCs w:val="18"/>
                <w:color w:val="51555C"/>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51555C"/>
              </w:rPr>
              <w:t>12,755</w:t>
            </w:r>
          </w:p>
        </w:tc>
      </w:tr>
      <w:tr>
        <w:trPr>
          <w:trHeight w:val="27"/>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Denominator:</w:t>
            </w:r>
          </w:p>
        </w:tc>
        <w:tc>
          <w:tcPr>
            <w:tcW w:w="22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c>
          <w:tcPr>
            <w:tcW w:w="22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2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r>
      <w:tr>
        <w:trPr>
          <w:trHeight w:val="243"/>
        </w:trPr>
        <w:tc>
          <w:tcPr>
            <w:tcW w:w="5900" w:type="dxa"/>
            <w:vAlign w:val="bottom"/>
          </w:tcPr>
          <w:p>
            <w:pPr>
              <w:ind w:left="140"/>
              <w:spacing w:after="0"/>
              <w:rPr>
                <w:sz w:val="20"/>
                <w:szCs w:val="20"/>
                <w:color w:val="auto"/>
              </w:rPr>
            </w:pPr>
            <w:r>
              <w:rPr>
                <w:rFonts w:ascii="Arial" w:cs="Arial" w:eastAsia="Arial" w:hAnsi="Arial"/>
                <w:sz w:val="18"/>
                <w:szCs w:val="18"/>
                <w:color w:val="51555C"/>
              </w:rPr>
              <w:t>Weighted average common shares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51,692,152</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47,542,746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51,519,340</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47,554,746</w:t>
            </w:r>
          </w:p>
        </w:tc>
      </w:tr>
      <w:tr>
        <w:trPr>
          <w:trHeight w:val="27"/>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Add effect of dilutive securities:</w:t>
            </w:r>
          </w:p>
        </w:tc>
        <w:tc>
          <w:tcPr>
            <w:tcW w:w="22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c>
          <w:tcPr>
            <w:tcW w:w="22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2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r>
      <w:tr>
        <w:trPr>
          <w:trHeight w:val="243"/>
        </w:trPr>
        <w:tc>
          <w:tcPr>
            <w:tcW w:w="5900" w:type="dxa"/>
            <w:vAlign w:val="bottom"/>
          </w:tcPr>
          <w:p>
            <w:pPr>
              <w:ind w:left="360"/>
              <w:spacing w:after="0"/>
              <w:rPr>
                <w:sz w:val="20"/>
                <w:szCs w:val="20"/>
                <w:color w:val="auto"/>
              </w:rPr>
            </w:pPr>
            <w:r>
              <w:rPr>
                <w:rFonts w:ascii="Arial" w:cs="Arial" w:eastAsia="Arial" w:hAnsi="Arial"/>
                <w:sz w:val="18"/>
                <w:szCs w:val="18"/>
                <w:color w:val="51555C"/>
              </w:rPr>
              <w:t>Stock-based awards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731,326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705,210</w:t>
            </w:r>
          </w:p>
        </w:tc>
      </w:tr>
      <w:tr>
        <w:trPr>
          <w:trHeight w:val="27"/>
        </w:trPr>
        <w:tc>
          <w:tcPr>
            <w:tcW w:w="5900" w:type="dxa"/>
            <w:vAlign w:val="bottom"/>
            <w:tcBorders>
              <w:bottom w:val="single" w:sz="8" w:color="EBFBFF"/>
            </w:tcBorders>
          </w:tcPr>
          <w:p>
            <w:pPr>
              <w:spacing w:after="0"/>
              <w:rPr>
                <w:sz w:val="2"/>
                <w:szCs w:val="2"/>
                <w:color w:val="auto"/>
              </w:rPr>
            </w:pPr>
          </w:p>
        </w:tc>
        <w:tc>
          <w:tcPr>
            <w:tcW w:w="220" w:type="dxa"/>
            <w:vAlign w:val="bottom"/>
            <w:tcBorders>
              <w:bottom w:val="single" w:sz="8" w:color="51555C"/>
            </w:tcBorders>
          </w:tcPr>
          <w:p>
            <w:pPr>
              <w:spacing w:after="0"/>
              <w:rPr>
                <w:sz w:val="2"/>
                <w:szCs w:val="2"/>
                <w:color w:val="auto"/>
              </w:rPr>
            </w:pPr>
          </w:p>
        </w:tc>
        <w:tc>
          <w:tcPr>
            <w:tcW w:w="1080" w:type="dxa"/>
            <w:vAlign w:val="bottom"/>
            <w:tcBorders>
              <w:bottom w:val="single" w:sz="8" w:color="51555C"/>
            </w:tcBorders>
          </w:tcPr>
          <w:p>
            <w:pPr>
              <w:spacing w:after="0"/>
              <w:rPr>
                <w:sz w:val="2"/>
                <w:szCs w:val="2"/>
                <w:color w:val="auto"/>
              </w:rPr>
            </w:pPr>
          </w:p>
        </w:tc>
        <w:tc>
          <w:tcPr>
            <w:tcW w:w="220" w:type="dxa"/>
            <w:vAlign w:val="bottom"/>
            <w:tcBorders>
              <w:bottom w:val="single" w:sz="8" w:color="51555C"/>
            </w:tcBorders>
          </w:tcPr>
          <w:p>
            <w:pPr>
              <w:spacing w:after="0"/>
              <w:rPr>
                <w:sz w:val="2"/>
                <w:szCs w:val="2"/>
                <w:color w:val="auto"/>
              </w:rPr>
            </w:pPr>
          </w:p>
        </w:tc>
        <w:tc>
          <w:tcPr>
            <w:tcW w:w="110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220" w:type="dxa"/>
            <w:vAlign w:val="bottom"/>
            <w:tcBorders>
              <w:bottom w:val="single" w:sz="8" w:color="51555C"/>
            </w:tcBorders>
          </w:tcPr>
          <w:p>
            <w:pPr>
              <w:spacing w:after="0"/>
              <w:rPr>
                <w:sz w:val="2"/>
                <w:szCs w:val="2"/>
                <w:color w:val="auto"/>
              </w:rPr>
            </w:pPr>
          </w:p>
        </w:tc>
        <w:tc>
          <w:tcPr>
            <w:tcW w:w="1080" w:type="dxa"/>
            <w:vAlign w:val="bottom"/>
            <w:tcBorders>
              <w:bottom w:val="single" w:sz="8" w:color="51555C"/>
            </w:tcBorders>
          </w:tcPr>
          <w:p>
            <w:pPr>
              <w:spacing w:after="0"/>
              <w:rPr>
                <w:sz w:val="2"/>
                <w:szCs w:val="2"/>
                <w:color w:val="auto"/>
              </w:rPr>
            </w:pPr>
          </w:p>
        </w:tc>
        <w:tc>
          <w:tcPr>
            <w:tcW w:w="240" w:type="dxa"/>
            <w:vAlign w:val="bottom"/>
            <w:tcBorders>
              <w:bottom w:val="single" w:sz="8" w:color="51555C"/>
            </w:tcBorders>
          </w:tcPr>
          <w:p>
            <w:pPr>
              <w:spacing w:after="0"/>
              <w:rPr>
                <w:sz w:val="2"/>
                <w:szCs w:val="2"/>
                <w:color w:val="auto"/>
              </w:rPr>
            </w:pPr>
          </w:p>
        </w:tc>
        <w:tc>
          <w:tcPr>
            <w:tcW w:w="1080" w:type="dxa"/>
            <w:vAlign w:val="bottom"/>
            <w:tcBorders>
              <w:bottom w:val="single" w:sz="8" w:color="51555C"/>
            </w:tcBorders>
          </w:tcPr>
          <w:p>
            <w:pPr>
              <w:spacing w:after="0"/>
              <w:rPr>
                <w:sz w:val="2"/>
                <w:szCs w:val="2"/>
                <w:color w:val="auto"/>
              </w:rPr>
            </w:pPr>
          </w:p>
        </w:tc>
      </w:tr>
      <w:tr>
        <w:trPr>
          <w:trHeight w:val="263"/>
        </w:trPr>
        <w:tc>
          <w:tcPr>
            <w:tcW w:w="5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Weighted average common shares assuming dilution</w:t>
            </w:r>
          </w:p>
        </w:tc>
        <w:tc>
          <w:tcPr>
            <w:tcW w:w="220" w:type="dxa"/>
            <w:vAlign w:val="bottom"/>
            <w:tcBorders>
              <w:bottom w:val="single" w:sz="8" w:color="EBFBFF"/>
            </w:tcBorders>
            <w:shd w:val="clear" w:color="auto" w:fill="EBFBFF"/>
          </w:tcPr>
          <w:p>
            <w:pPr>
              <w:spacing w:after="0"/>
              <w:rPr>
                <w:sz w:val="22"/>
                <w:szCs w:val="22"/>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51,692,152</w:t>
            </w:r>
          </w:p>
        </w:tc>
        <w:tc>
          <w:tcPr>
            <w:tcW w:w="220" w:type="dxa"/>
            <w:vAlign w:val="bottom"/>
            <w:tcBorders>
              <w:bottom w:val="single" w:sz="8" w:color="EBFBFF"/>
            </w:tcBorders>
            <w:shd w:val="clear" w:color="auto" w:fill="EBFBFF"/>
          </w:tcPr>
          <w:p>
            <w:pPr>
              <w:spacing w:after="0"/>
              <w:rPr>
                <w:sz w:val="22"/>
                <w:szCs w:val="22"/>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48,274,072</w:t>
            </w:r>
          </w:p>
        </w:tc>
        <w:tc>
          <w:tcPr>
            <w:tcW w:w="100" w:type="dxa"/>
            <w:vAlign w:val="bottom"/>
            <w:tcBorders>
              <w:bottom w:val="single" w:sz="8" w:color="EBFBFF"/>
            </w:tcBorders>
            <w:shd w:val="clear" w:color="auto" w:fill="EBFBFF"/>
          </w:tcPr>
          <w:p>
            <w:pPr>
              <w:spacing w:after="0"/>
              <w:rPr>
                <w:sz w:val="22"/>
                <w:szCs w:val="22"/>
                <w:color w:val="auto"/>
              </w:rPr>
            </w:pPr>
          </w:p>
        </w:tc>
        <w:tc>
          <w:tcPr>
            <w:tcW w:w="220" w:type="dxa"/>
            <w:vAlign w:val="bottom"/>
            <w:tcBorders>
              <w:bottom w:val="single" w:sz="8" w:color="EBFBFF"/>
            </w:tcBorders>
            <w:shd w:val="clear" w:color="auto" w:fill="EBFBFF"/>
          </w:tcPr>
          <w:p>
            <w:pPr>
              <w:spacing w:after="0"/>
              <w:rPr>
                <w:sz w:val="22"/>
                <w:szCs w:val="22"/>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51,519,340</w:t>
            </w:r>
          </w:p>
        </w:tc>
        <w:tc>
          <w:tcPr>
            <w:tcW w:w="240" w:type="dxa"/>
            <w:vAlign w:val="bottom"/>
            <w:tcBorders>
              <w:bottom w:val="single" w:sz="8" w:color="EBFBFF"/>
            </w:tcBorders>
            <w:shd w:val="clear" w:color="auto" w:fill="EBFBFF"/>
          </w:tcPr>
          <w:p>
            <w:pPr>
              <w:spacing w:after="0"/>
              <w:rPr>
                <w:sz w:val="22"/>
                <w:szCs w:val="22"/>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48,259,956</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51555C"/>
              </w:rPr>
              <w:t>(Loss) earnings per share:</w:t>
            </w:r>
          </w:p>
        </w:tc>
        <w:tc>
          <w:tcPr>
            <w:tcW w:w="220" w:type="dxa"/>
            <w:vAlign w:val="bottom"/>
            <w:tcBorders>
              <w:top w:val="single" w:sz="8" w:color="51555C"/>
            </w:tcBorders>
          </w:tcPr>
          <w:p>
            <w:pPr>
              <w:spacing w:after="0"/>
              <w:rPr>
                <w:sz w:val="19"/>
                <w:szCs w:val="19"/>
                <w:color w:val="auto"/>
              </w:rPr>
            </w:pPr>
          </w:p>
        </w:tc>
        <w:tc>
          <w:tcPr>
            <w:tcW w:w="1080" w:type="dxa"/>
            <w:vAlign w:val="bottom"/>
            <w:tcBorders>
              <w:top w:val="single" w:sz="8" w:color="51555C"/>
            </w:tcBorders>
          </w:tcPr>
          <w:p>
            <w:pPr>
              <w:spacing w:after="0"/>
              <w:rPr>
                <w:sz w:val="19"/>
                <w:szCs w:val="19"/>
                <w:color w:val="auto"/>
              </w:rPr>
            </w:pPr>
          </w:p>
        </w:tc>
        <w:tc>
          <w:tcPr>
            <w:tcW w:w="220" w:type="dxa"/>
            <w:vAlign w:val="bottom"/>
            <w:tcBorders>
              <w:top w:val="single" w:sz="8" w:color="51555C"/>
            </w:tcBorders>
          </w:tcPr>
          <w:p>
            <w:pPr>
              <w:spacing w:after="0"/>
              <w:rPr>
                <w:sz w:val="19"/>
                <w:szCs w:val="19"/>
                <w:color w:val="auto"/>
              </w:rPr>
            </w:pPr>
          </w:p>
        </w:tc>
        <w:tc>
          <w:tcPr>
            <w:tcW w:w="1100" w:type="dxa"/>
            <w:vAlign w:val="bottom"/>
            <w:tcBorders>
              <w:top w:val="single" w:sz="8" w:color="51555C"/>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51555C"/>
            </w:tcBorders>
          </w:tcPr>
          <w:p>
            <w:pPr>
              <w:spacing w:after="0"/>
              <w:rPr>
                <w:sz w:val="19"/>
                <w:szCs w:val="19"/>
                <w:color w:val="auto"/>
              </w:rPr>
            </w:pPr>
          </w:p>
        </w:tc>
        <w:tc>
          <w:tcPr>
            <w:tcW w:w="1080" w:type="dxa"/>
            <w:vAlign w:val="bottom"/>
            <w:tcBorders>
              <w:top w:val="single" w:sz="8" w:color="51555C"/>
            </w:tcBorders>
          </w:tcPr>
          <w:p>
            <w:pPr>
              <w:spacing w:after="0"/>
              <w:rPr>
                <w:sz w:val="19"/>
                <w:szCs w:val="19"/>
                <w:color w:val="auto"/>
              </w:rPr>
            </w:pPr>
          </w:p>
        </w:tc>
        <w:tc>
          <w:tcPr>
            <w:tcW w:w="240" w:type="dxa"/>
            <w:vAlign w:val="bottom"/>
            <w:tcBorders>
              <w:top w:val="single" w:sz="8" w:color="51555C"/>
            </w:tcBorders>
          </w:tcPr>
          <w:p>
            <w:pPr>
              <w:spacing w:after="0"/>
              <w:rPr>
                <w:sz w:val="19"/>
                <w:szCs w:val="19"/>
                <w:color w:val="auto"/>
              </w:rPr>
            </w:pPr>
          </w:p>
        </w:tc>
        <w:tc>
          <w:tcPr>
            <w:tcW w:w="1080" w:type="dxa"/>
            <w:vAlign w:val="bottom"/>
            <w:tcBorders>
              <w:top w:val="single" w:sz="8" w:color="51555C"/>
            </w:tcBorders>
          </w:tcPr>
          <w:p>
            <w:pPr>
              <w:spacing w:after="0"/>
              <w:rPr>
                <w:sz w:val="19"/>
                <w:szCs w:val="19"/>
                <w:color w:val="auto"/>
              </w:rPr>
            </w:pPr>
          </w:p>
        </w:tc>
      </w:tr>
      <w:tr>
        <w:trPr>
          <w:trHeight w:val="27"/>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Basic</w:t>
            </w:r>
          </w:p>
        </w:tc>
        <w:tc>
          <w:tcPr>
            <w:tcW w:w="22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99"/>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(0.20)</w:t>
            </w:r>
          </w:p>
        </w:tc>
        <w:tc>
          <w:tcPr>
            <w:tcW w:w="22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99"/>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0.13</w:t>
            </w:r>
          </w:p>
        </w:tc>
        <w:tc>
          <w:tcPr>
            <w:tcW w:w="100" w:type="dxa"/>
            <w:vAlign w:val="bottom"/>
            <w:tcBorders>
              <w:bottom w:val="single" w:sz="8" w:color="EBFBFF"/>
            </w:tcBorders>
            <w:shd w:val="clear" w:color="auto" w:fill="EBFBFF"/>
          </w:tcPr>
          <w:p>
            <w:pPr>
              <w:spacing w:after="0"/>
              <w:rPr>
                <w:sz w:val="21"/>
                <w:szCs w:val="21"/>
                <w:color w:val="auto"/>
              </w:rPr>
            </w:pPr>
          </w:p>
        </w:tc>
        <w:tc>
          <w:tcPr>
            <w:tcW w:w="22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99"/>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(0.47)</w:t>
            </w:r>
          </w:p>
        </w:tc>
        <w:tc>
          <w:tcPr>
            <w:tcW w:w="240" w:type="dxa"/>
            <w:vAlign w:val="bottom"/>
            <w:tcBorders>
              <w:bottom w:val="single" w:sz="8" w:color="EBFBFF"/>
            </w:tcBorders>
            <w:shd w:val="clear" w:color="auto" w:fill="EBFBFF"/>
          </w:tcPr>
          <w:p>
            <w:pPr>
              <w:jc w:val="right"/>
              <w:ind w:right="30"/>
              <w:spacing w:after="0"/>
              <w:rPr>
                <w:sz w:val="20"/>
                <w:szCs w:val="20"/>
                <w:color w:val="auto"/>
              </w:rPr>
            </w:pPr>
            <w:r>
              <w:rPr>
                <w:rFonts w:ascii="Arial" w:cs="Arial" w:eastAsia="Arial" w:hAnsi="Arial"/>
                <w:sz w:val="18"/>
                <w:szCs w:val="18"/>
                <w:color w:val="51555C"/>
                <w:w w:val="99"/>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0.27</w:t>
            </w:r>
          </w:p>
        </w:tc>
      </w:tr>
      <w:tr>
        <w:trPr>
          <w:trHeight w:val="243"/>
        </w:trPr>
        <w:tc>
          <w:tcPr>
            <w:tcW w:w="5900" w:type="dxa"/>
            <w:vAlign w:val="bottom"/>
          </w:tcPr>
          <w:p>
            <w:pPr>
              <w:ind w:left="140"/>
              <w:spacing w:after="0"/>
              <w:rPr>
                <w:sz w:val="20"/>
                <w:szCs w:val="20"/>
                <w:color w:val="auto"/>
              </w:rPr>
            </w:pPr>
            <w:r>
              <w:rPr>
                <w:rFonts w:ascii="Arial" w:cs="Arial" w:eastAsia="Arial" w:hAnsi="Arial"/>
                <w:sz w:val="18"/>
                <w:szCs w:val="18"/>
                <w:color w:val="51555C"/>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51555C"/>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51555C"/>
              </w:rPr>
              <w:t>(0.20)</w:t>
            </w:r>
          </w:p>
        </w:tc>
        <w:tc>
          <w:tcPr>
            <w:tcW w:w="220" w:type="dxa"/>
            <w:vAlign w:val="bottom"/>
          </w:tcPr>
          <w:p>
            <w:pPr>
              <w:jc w:val="right"/>
              <w:ind w:right="10"/>
              <w:spacing w:after="0"/>
              <w:rPr>
                <w:sz w:val="20"/>
                <w:szCs w:val="20"/>
                <w:color w:val="auto"/>
              </w:rPr>
            </w:pPr>
            <w:r>
              <w:rPr>
                <w:rFonts w:ascii="Arial" w:cs="Arial" w:eastAsia="Arial" w:hAnsi="Arial"/>
                <w:sz w:val="18"/>
                <w:szCs w:val="18"/>
                <w:color w:val="51555C"/>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51555C"/>
              </w:rPr>
              <w:t>0.13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51555C"/>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51555C"/>
              </w:rPr>
              <w:t>(0.47)</w:t>
            </w:r>
          </w:p>
        </w:tc>
        <w:tc>
          <w:tcPr>
            <w:tcW w:w="240" w:type="dxa"/>
            <w:vAlign w:val="bottom"/>
          </w:tcPr>
          <w:p>
            <w:pPr>
              <w:jc w:val="right"/>
              <w:ind w:right="30"/>
              <w:spacing w:after="0"/>
              <w:rPr>
                <w:sz w:val="20"/>
                <w:szCs w:val="20"/>
                <w:color w:val="auto"/>
              </w:rPr>
            </w:pPr>
            <w:r>
              <w:rPr>
                <w:rFonts w:ascii="Arial" w:cs="Arial" w:eastAsia="Arial" w:hAnsi="Arial"/>
                <w:sz w:val="18"/>
                <w:szCs w:val="18"/>
                <w:color w:val="51555C"/>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51555C"/>
              </w:rPr>
              <w:t>0.26</w:t>
            </w:r>
          </w:p>
        </w:tc>
      </w:tr>
      <w:tr>
        <w:trPr>
          <w:trHeight w:val="27"/>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900" w:type="dxa"/>
            <w:vAlign w:val="bottom"/>
            <w:shd w:val="clear" w:color="auto" w:fill="EBFBFF"/>
          </w:tcPr>
          <w:p>
            <w:pPr>
              <w:spacing w:after="0"/>
              <w:rPr>
                <w:sz w:val="23"/>
                <w:szCs w:val="23"/>
                <w:color w:val="auto"/>
              </w:rPr>
            </w:pPr>
          </w:p>
        </w:tc>
        <w:tc>
          <w:tcPr>
            <w:tcW w:w="220" w:type="dxa"/>
            <w:vAlign w:val="bottom"/>
            <w:shd w:val="clear" w:color="auto" w:fill="EBFBFF"/>
          </w:tcPr>
          <w:p>
            <w:pPr>
              <w:spacing w:after="0"/>
              <w:rPr>
                <w:sz w:val="23"/>
                <w:szCs w:val="23"/>
                <w:color w:val="auto"/>
              </w:rPr>
            </w:pPr>
          </w:p>
        </w:tc>
        <w:tc>
          <w:tcPr>
            <w:tcW w:w="1080" w:type="dxa"/>
            <w:vAlign w:val="bottom"/>
            <w:shd w:val="clear" w:color="auto" w:fill="EBFBFF"/>
          </w:tcPr>
          <w:p>
            <w:pPr>
              <w:spacing w:after="0"/>
              <w:rPr>
                <w:sz w:val="23"/>
                <w:szCs w:val="23"/>
                <w:color w:val="auto"/>
              </w:rPr>
            </w:pPr>
          </w:p>
        </w:tc>
        <w:tc>
          <w:tcPr>
            <w:tcW w:w="220" w:type="dxa"/>
            <w:vAlign w:val="bottom"/>
            <w:shd w:val="clear" w:color="auto" w:fill="EBFBFF"/>
          </w:tcPr>
          <w:p>
            <w:pPr>
              <w:spacing w:after="0"/>
              <w:rPr>
                <w:sz w:val="23"/>
                <w:szCs w:val="23"/>
                <w:color w:val="auto"/>
              </w:rPr>
            </w:pPr>
          </w:p>
        </w:tc>
        <w:tc>
          <w:tcPr>
            <w:tcW w:w="1100" w:type="dxa"/>
            <w:vAlign w:val="bottom"/>
            <w:shd w:val="clear" w:color="auto" w:fill="EBFBFF"/>
          </w:tcPr>
          <w:p>
            <w:pPr>
              <w:spacing w:after="0"/>
              <w:rPr>
                <w:sz w:val="23"/>
                <w:szCs w:val="23"/>
                <w:color w:val="auto"/>
              </w:rPr>
            </w:pPr>
          </w:p>
        </w:tc>
        <w:tc>
          <w:tcPr>
            <w:tcW w:w="100" w:type="dxa"/>
            <w:vAlign w:val="bottom"/>
            <w:shd w:val="clear" w:color="auto" w:fill="EBFBFF"/>
          </w:tcPr>
          <w:p>
            <w:pPr>
              <w:spacing w:after="0"/>
              <w:rPr>
                <w:sz w:val="23"/>
                <w:szCs w:val="23"/>
                <w:color w:val="auto"/>
              </w:rPr>
            </w:pPr>
          </w:p>
        </w:tc>
        <w:tc>
          <w:tcPr>
            <w:tcW w:w="220" w:type="dxa"/>
            <w:vAlign w:val="bottom"/>
            <w:shd w:val="clear" w:color="auto" w:fill="EBFBFF"/>
          </w:tcPr>
          <w:p>
            <w:pPr>
              <w:spacing w:after="0"/>
              <w:rPr>
                <w:sz w:val="23"/>
                <w:szCs w:val="23"/>
                <w:color w:val="auto"/>
              </w:rPr>
            </w:pPr>
          </w:p>
        </w:tc>
        <w:tc>
          <w:tcPr>
            <w:tcW w:w="1080" w:type="dxa"/>
            <w:vAlign w:val="bottom"/>
            <w:shd w:val="clear" w:color="auto" w:fill="EBFBFF"/>
          </w:tcPr>
          <w:p>
            <w:pPr>
              <w:spacing w:after="0"/>
              <w:rPr>
                <w:sz w:val="23"/>
                <w:szCs w:val="23"/>
                <w:color w:val="auto"/>
              </w:rPr>
            </w:pPr>
          </w:p>
        </w:tc>
        <w:tc>
          <w:tcPr>
            <w:tcW w:w="240" w:type="dxa"/>
            <w:vAlign w:val="bottom"/>
            <w:shd w:val="clear" w:color="auto" w:fill="EBFBFF"/>
          </w:tcPr>
          <w:p>
            <w:pPr>
              <w:spacing w:after="0"/>
              <w:rPr>
                <w:sz w:val="23"/>
                <w:szCs w:val="23"/>
                <w:color w:val="auto"/>
              </w:rPr>
            </w:pPr>
          </w:p>
        </w:tc>
        <w:tc>
          <w:tcPr>
            <w:tcW w:w="1080" w:type="dxa"/>
            <w:vAlign w:val="bottom"/>
            <w:shd w:val="clear" w:color="auto" w:fill="EBFBFF"/>
          </w:tcPr>
          <w:p>
            <w:pPr>
              <w:spacing w:after="0"/>
              <w:rPr>
                <w:sz w:val="23"/>
                <w:szCs w:val="23"/>
                <w:color w:val="auto"/>
              </w:rPr>
            </w:pPr>
          </w:p>
        </w:tc>
      </w:tr>
      <w:tr>
        <w:trPr>
          <w:trHeight w:val="242"/>
        </w:trPr>
        <w:tc>
          <w:tcPr>
            <w:tcW w:w="5900" w:type="dxa"/>
            <w:vAlign w:val="bottom"/>
          </w:tcPr>
          <w:p>
            <w:pPr>
              <w:ind w:left="20"/>
              <w:spacing w:after="0"/>
              <w:rPr>
                <w:sz w:val="20"/>
                <w:szCs w:val="20"/>
                <w:color w:val="auto"/>
              </w:rPr>
            </w:pPr>
            <w:r>
              <w:rPr>
                <w:rFonts w:ascii="Arial" w:cs="Arial" w:eastAsia="Arial" w:hAnsi="Arial"/>
                <w:sz w:val="18"/>
                <w:szCs w:val="18"/>
                <w:color w:val="51555C"/>
              </w:rPr>
              <w:t>Anti-dilutive shares excluded from calculations of diluted (loss) earnings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7"/>
        </w:trPr>
        <w:tc>
          <w:tcPr>
            <w:tcW w:w="5900" w:type="dxa"/>
            <w:vAlign w:val="bottom"/>
          </w:tcPr>
          <w:p>
            <w:pPr>
              <w:ind w:left="20"/>
              <w:spacing w:after="0"/>
              <w:rPr>
                <w:sz w:val="20"/>
                <w:szCs w:val="20"/>
                <w:color w:val="auto"/>
              </w:rPr>
            </w:pPr>
            <w:r>
              <w:rPr>
                <w:rFonts w:ascii="Arial" w:cs="Arial" w:eastAsia="Arial" w:hAnsi="Arial"/>
                <w:sz w:val="18"/>
                <w:szCs w:val="18"/>
                <w:color w:val="51555C"/>
              </w:rPr>
              <w:t>per share</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936,214</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904,100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1,195,709</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1,034,091</w:t>
            </w:r>
          </w:p>
        </w:tc>
      </w:tr>
      <w:tr>
        <w:trPr>
          <w:trHeight w:val="27"/>
        </w:trPr>
        <w:tc>
          <w:tcPr>
            <w:tcW w:w="5900" w:type="dxa"/>
            <w:vAlign w:val="bottom"/>
            <w:tcBorders>
              <w:bottom w:val="single" w:sz="8" w:color="0CD973"/>
            </w:tcBorders>
          </w:tcPr>
          <w:p>
            <w:pPr>
              <w:spacing w:after="0"/>
              <w:rPr>
                <w:sz w:val="2"/>
                <w:szCs w:val="2"/>
                <w:color w:val="auto"/>
              </w:rPr>
            </w:pPr>
          </w:p>
        </w:tc>
        <w:tc>
          <w:tcPr>
            <w:tcW w:w="220" w:type="dxa"/>
            <w:vAlign w:val="bottom"/>
            <w:tcBorders>
              <w:bottom w:val="single" w:sz="8" w:color="0CD973"/>
            </w:tcBorders>
          </w:tcPr>
          <w:p>
            <w:pPr>
              <w:spacing w:after="0"/>
              <w:rPr>
                <w:sz w:val="2"/>
                <w:szCs w:val="2"/>
                <w:color w:val="auto"/>
              </w:rPr>
            </w:pPr>
          </w:p>
        </w:tc>
        <w:tc>
          <w:tcPr>
            <w:tcW w:w="1080" w:type="dxa"/>
            <w:vAlign w:val="bottom"/>
            <w:tcBorders>
              <w:bottom w:val="single" w:sz="8" w:color="0CD973"/>
            </w:tcBorders>
          </w:tcPr>
          <w:p>
            <w:pPr>
              <w:spacing w:after="0"/>
              <w:rPr>
                <w:sz w:val="2"/>
                <w:szCs w:val="2"/>
                <w:color w:val="auto"/>
              </w:rPr>
            </w:pPr>
          </w:p>
        </w:tc>
        <w:tc>
          <w:tcPr>
            <w:tcW w:w="220" w:type="dxa"/>
            <w:vAlign w:val="bottom"/>
            <w:tcBorders>
              <w:bottom w:val="single" w:sz="8" w:color="0CD973"/>
            </w:tcBorders>
          </w:tcPr>
          <w:p>
            <w:pPr>
              <w:spacing w:after="0"/>
              <w:rPr>
                <w:sz w:val="2"/>
                <w:szCs w:val="2"/>
                <w:color w:val="auto"/>
              </w:rPr>
            </w:pPr>
          </w:p>
        </w:tc>
        <w:tc>
          <w:tcPr>
            <w:tcW w:w="1100" w:type="dxa"/>
            <w:vAlign w:val="bottom"/>
            <w:tcBorders>
              <w:bottom w:val="single" w:sz="8" w:color="0CD973"/>
            </w:tcBorders>
          </w:tcPr>
          <w:p>
            <w:pPr>
              <w:spacing w:after="0"/>
              <w:rPr>
                <w:sz w:val="2"/>
                <w:szCs w:val="2"/>
                <w:color w:val="auto"/>
              </w:rPr>
            </w:pPr>
          </w:p>
        </w:tc>
        <w:tc>
          <w:tcPr>
            <w:tcW w:w="1400" w:type="dxa"/>
            <w:vAlign w:val="bottom"/>
            <w:tcBorders>
              <w:bottom w:val="single" w:sz="8" w:color="0CD973"/>
            </w:tcBorders>
            <w:gridSpan w:val="3"/>
          </w:tcPr>
          <w:p>
            <w:pPr>
              <w:spacing w:after="0"/>
              <w:rPr>
                <w:sz w:val="2"/>
                <w:szCs w:val="2"/>
                <w:color w:val="auto"/>
              </w:rPr>
            </w:pPr>
          </w:p>
        </w:tc>
        <w:tc>
          <w:tcPr>
            <w:tcW w:w="240" w:type="dxa"/>
            <w:vAlign w:val="bottom"/>
            <w:tcBorders>
              <w:bottom w:val="single" w:sz="8" w:color="0CD973"/>
            </w:tcBorders>
          </w:tcPr>
          <w:p>
            <w:pPr>
              <w:spacing w:after="0"/>
              <w:rPr>
                <w:sz w:val="2"/>
                <w:szCs w:val="2"/>
                <w:color w:val="auto"/>
              </w:rPr>
            </w:pPr>
          </w:p>
        </w:tc>
        <w:tc>
          <w:tcPr>
            <w:tcW w:w="1080" w:type="dxa"/>
            <w:vAlign w:val="bottom"/>
            <w:tcBorders>
              <w:bottom w:val="single" w:sz="8" w:color="0CD973"/>
            </w:tcBorders>
          </w:tcPr>
          <w:p>
            <w:pPr>
              <w:spacing w:after="0"/>
              <w:rPr>
                <w:sz w:val="2"/>
                <w:szCs w:val="2"/>
                <w:color w:val="auto"/>
              </w:rPr>
            </w:pPr>
          </w:p>
        </w:tc>
      </w:tr>
      <w:tr>
        <w:trPr>
          <w:trHeight w:val="684"/>
        </w:trPr>
        <w:tc>
          <w:tcPr>
            <w:tcW w:w="5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4"/>
          </w:tcPr>
          <w:p>
            <w:pPr>
              <w:jc w:val="right"/>
              <w:ind w:right="250"/>
              <w:spacing w:after="0"/>
              <w:rPr>
                <w:sz w:val="20"/>
                <w:szCs w:val="20"/>
                <w:color w:val="auto"/>
              </w:rPr>
            </w:pPr>
            <w:r>
              <w:rPr>
                <w:rFonts w:ascii="Arial" w:cs="Arial" w:eastAsia="Arial" w:hAnsi="Arial"/>
                <w:sz w:val="14"/>
                <w:szCs w:val="14"/>
                <w:color w:val="51555C"/>
              </w:rPr>
              <w:t>Third Quarter 2022 Form 10-Q</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51555C"/>
              </w:rPr>
              <w:t>11</w:t>
            </w:r>
          </w:p>
        </w:tc>
      </w:tr>
      <w:tr>
        <w:trPr>
          <w:trHeight w:val="329"/>
        </w:trPr>
        <w:tc>
          <w:tcPr>
            <w:tcW w:w="5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-376555</wp:posOffset>
            </wp:positionV>
            <wp:extent cx="65976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6.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51555C"/>
        </w:rPr>
        <w:t>We use a three-tier fair value hierarchy to measure fair value. This hierarchy prioritizes the inputs into three broad levels as follows:</w:t>
      </w:r>
    </w:p>
    <w:p>
      <w:pPr>
        <w:spacing w:after="0" w:line="171" w:lineRule="exact"/>
        <w:rPr>
          <w:sz w:val="20"/>
          <w:szCs w:val="20"/>
          <w:color w:val="auto"/>
        </w:rPr>
      </w:pPr>
    </w:p>
    <w:p>
      <w:pPr>
        <w:ind w:left="700" w:hanging="287"/>
        <w:spacing w:after="0"/>
        <w:tabs>
          <w:tab w:leader="none" w:pos="700" w:val="left"/>
        </w:tabs>
        <w:numPr>
          <w:ilvl w:val="0"/>
          <w:numId w:val="7"/>
        </w:numPr>
        <w:rPr>
          <w:rFonts w:ascii="Arial" w:cs="Arial" w:eastAsia="Arial" w:hAnsi="Arial"/>
          <w:sz w:val="18"/>
          <w:szCs w:val="18"/>
          <w:color w:val="51555C"/>
        </w:rPr>
      </w:pPr>
      <w:r>
        <w:rPr>
          <w:rFonts w:ascii="Arial" w:cs="Arial" w:eastAsia="Arial" w:hAnsi="Arial"/>
          <w:sz w:val="18"/>
          <w:szCs w:val="18"/>
          <w:color w:val="51555C"/>
        </w:rPr>
        <w:t>Level 1 - Quoted prices for identical assets or liabilities in active markets;</w:t>
      </w:r>
    </w:p>
    <w:p>
      <w:pPr>
        <w:spacing w:after="0" w:line="171" w:lineRule="exact"/>
        <w:rPr>
          <w:rFonts w:ascii="Arial" w:cs="Arial" w:eastAsia="Arial" w:hAnsi="Arial"/>
          <w:sz w:val="18"/>
          <w:szCs w:val="18"/>
          <w:color w:val="51555C"/>
        </w:rPr>
      </w:pPr>
    </w:p>
    <w:p>
      <w:pPr>
        <w:jc w:val="both"/>
        <w:ind w:left="740" w:right="20" w:hanging="327"/>
        <w:spacing w:after="0" w:line="256" w:lineRule="auto"/>
        <w:tabs>
          <w:tab w:leader="none" w:pos="708" w:val="left"/>
        </w:tabs>
        <w:numPr>
          <w:ilvl w:val="0"/>
          <w:numId w:val="7"/>
        </w:numPr>
        <w:rPr>
          <w:rFonts w:ascii="Arial" w:cs="Arial" w:eastAsia="Arial" w:hAnsi="Arial"/>
          <w:sz w:val="18"/>
          <w:szCs w:val="18"/>
          <w:color w:val="51555C"/>
        </w:rPr>
      </w:pPr>
      <w:r>
        <w:rPr>
          <w:rFonts w:ascii="Arial" w:cs="Arial" w:eastAsia="Arial" w:hAnsi="Arial"/>
          <w:sz w:val="18"/>
          <w:szCs w:val="18"/>
          <w:color w:val="51555C"/>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spacing w:after="0" w:line="147" w:lineRule="exact"/>
        <w:rPr>
          <w:rFonts w:ascii="Arial" w:cs="Arial" w:eastAsia="Arial" w:hAnsi="Arial"/>
          <w:sz w:val="18"/>
          <w:szCs w:val="18"/>
          <w:color w:val="51555C"/>
        </w:rPr>
      </w:pPr>
    </w:p>
    <w:p>
      <w:pPr>
        <w:ind w:left="700" w:hanging="287"/>
        <w:spacing w:after="0"/>
        <w:tabs>
          <w:tab w:leader="none" w:pos="700" w:val="left"/>
        </w:tabs>
        <w:numPr>
          <w:ilvl w:val="0"/>
          <w:numId w:val="7"/>
        </w:numPr>
        <w:rPr>
          <w:rFonts w:ascii="Arial" w:cs="Arial" w:eastAsia="Arial" w:hAnsi="Arial"/>
          <w:sz w:val="18"/>
          <w:szCs w:val="18"/>
          <w:color w:val="51555C"/>
        </w:rPr>
      </w:pPr>
      <w:r>
        <w:rPr>
          <w:rFonts w:ascii="Arial" w:cs="Arial" w:eastAsia="Arial" w:hAnsi="Arial"/>
          <w:sz w:val="18"/>
          <w:szCs w:val="18"/>
          <w:color w:val="51555C"/>
        </w:rPr>
        <w:t>Level 3 - Valuations derived from valuation techniques in which one or more significant inputs are unobservable.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Recurring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51555C"/>
        </w:rPr>
        <w:t>Financial assets and liabilities that are measured at fair value on a recurring basis consisted of the following, as of the dates indicated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00" w:type="dxa"/>
            <w:vAlign w:val="bottom"/>
            <w:shd w:val="clear" w:color="auto" w:fill="004054"/>
          </w:tcPr>
          <w:p>
            <w:pPr>
              <w:spacing w:after="0"/>
              <w:rPr>
                <w:sz w:val="18"/>
                <w:szCs w:val="18"/>
                <w:color w:val="auto"/>
              </w:rPr>
            </w:pPr>
          </w:p>
        </w:tc>
        <w:tc>
          <w:tcPr>
            <w:tcW w:w="180" w:type="dxa"/>
            <w:vAlign w:val="bottom"/>
            <w:shd w:val="clear" w:color="auto" w:fill="004054"/>
          </w:tcPr>
          <w:p>
            <w:pPr>
              <w:spacing w:after="0"/>
              <w:rPr>
                <w:sz w:val="18"/>
                <w:szCs w:val="18"/>
                <w:color w:val="auto"/>
              </w:rPr>
            </w:pPr>
          </w:p>
        </w:tc>
        <w:tc>
          <w:tcPr>
            <w:tcW w:w="1320" w:type="dxa"/>
            <w:vAlign w:val="bottom"/>
            <w:shd w:val="clear" w:color="auto" w:fill="004054"/>
          </w:tcPr>
          <w:p>
            <w:pPr>
              <w:spacing w:after="0"/>
              <w:rPr>
                <w:sz w:val="18"/>
                <w:szCs w:val="18"/>
                <w:color w:val="auto"/>
              </w:rPr>
            </w:pPr>
          </w:p>
        </w:tc>
        <w:tc>
          <w:tcPr>
            <w:tcW w:w="120" w:type="dxa"/>
            <w:vAlign w:val="bottom"/>
            <w:shd w:val="clear" w:color="auto" w:fill="004054"/>
          </w:tcPr>
          <w:p>
            <w:pPr>
              <w:spacing w:after="0"/>
              <w:rPr>
                <w:sz w:val="18"/>
                <w:szCs w:val="18"/>
                <w:color w:val="auto"/>
              </w:rPr>
            </w:pPr>
          </w:p>
        </w:tc>
        <w:tc>
          <w:tcPr>
            <w:tcW w:w="140" w:type="dxa"/>
            <w:vAlign w:val="bottom"/>
            <w:shd w:val="clear" w:color="auto" w:fill="004054"/>
          </w:tcPr>
          <w:p>
            <w:pPr>
              <w:spacing w:after="0"/>
              <w:rPr>
                <w:sz w:val="18"/>
                <w:szCs w:val="18"/>
                <w:color w:val="auto"/>
              </w:rPr>
            </w:pPr>
          </w:p>
        </w:tc>
        <w:tc>
          <w:tcPr>
            <w:tcW w:w="2980" w:type="dxa"/>
            <w:vAlign w:val="bottom"/>
            <w:gridSpan w:val="4"/>
            <w:shd w:val="clear" w:color="auto" w:fill="004054"/>
          </w:tcPr>
          <w:p>
            <w:pPr>
              <w:jc w:val="right"/>
              <w:spacing w:after="0"/>
              <w:rPr>
                <w:sz w:val="20"/>
                <w:szCs w:val="20"/>
                <w:color w:val="auto"/>
              </w:rPr>
            </w:pPr>
            <w:r>
              <w:rPr>
                <w:rFonts w:ascii="Arial" w:cs="Arial" w:eastAsia="Arial" w:hAnsi="Arial"/>
                <w:sz w:val="14"/>
                <w:szCs w:val="14"/>
                <w:b w:val="1"/>
                <w:bCs w:val="1"/>
                <w:color w:val="FFFFFF"/>
              </w:rPr>
              <w:t>Fair value measurement using</w:t>
            </w:r>
          </w:p>
        </w:tc>
        <w:tc>
          <w:tcPr>
            <w:tcW w:w="100" w:type="dxa"/>
            <w:vAlign w:val="bottom"/>
            <w:shd w:val="clear" w:color="auto" w:fill="004054"/>
          </w:tcPr>
          <w:p>
            <w:pPr>
              <w:spacing w:after="0"/>
              <w:rPr>
                <w:sz w:val="18"/>
                <w:szCs w:val="18"/>
                <w:color w:val="auto"/>
              </w:rPr>
            </w:pPr>
          </w:p>
        </w:tc>
        <w:tc>
          <w:tcPr>
            <w:tcW w:w="500" w:type="dxa"/>
            <w:vAlign w:val="bottom"/>
            <w:shd w:val="clear" w:color="auto" w:fill="004054"/>
          </w:tcPr>
          <w:p>
            <w:pPr>
              <w:spacing w:after="0"/>
              <w:rPr>
                <w:sz w:val="18"/>
                <w:szCs w:val="18"/>
                <w:color w:val="auto"/>
              </w:rPr>
            </w:pPr>
          </w:p>
        </w:tc>
        <w:tc>
          <w:tcPr>
            <w:tcW w:w="100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r>
      <w:tr>
        <w:trPr>
          <w:trHeight w:val="215"/>
        </w:trPr>
        <w:tc>
          <w:tcPr>
            <w:tcW w:w="4900" w:type="dxa"/>
            <w:vAlign w:val="bottom"/>
            <w:shd w:val="clear" w:color="auto" w:fill="004054"/>
          </w:tcPr>
          <w:p>
            <w:pPr>
              <w:spacing w:after="0"/>
              <w:rPr>
                <w:sz w:val="18"/>
                <w:szCs w:val="18"/>
                <w:color w:val="auto"/>
              </w:rPr>
            </w:pPr>
          </w:p>
        </w:tc>
        <w:tc>
          <w:tcPr>
            <w:tcW w:w="180" w:type="dxa"/>
            <w:vAlign w:val="bottom"/>
            <w:shd w:val="clear" w:color="auto" w:fill="004054"/>
          </w:tcPr>
          <w:p>
            <w:pPr>
              <w:spacing w:after="0"/>
              <w:rPr>
                <w:sz w:val="18"/>
                <w:szCs w:val="18"/>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Quoted Prices in</w:t>
            </w:r>
          </w:p>
        </w:tc>
        <w:tc>
          <w:tcPr>
            <w:tcW w:w="120" w:type="dxa"/>
            <w:vAlign w:val="bottom"/>
            <w:shd w:val="clear" w:color="auto" w:fill="004054"/>
          </w:tcPr>
          <w:p>
            <w:pPr>
              <w:spacing w:after="0"/>
              <w:rPr>
                <w:sz w:val="18"/>
                <w:szCs w:val="18"/>
                <w:color w:val="auto"/>
              </w:rPr>
            </w:pPr>
          </w:p>
        </w:tc>
        <w:tc>
          <w:tcPr>
            <w:tcW w:w="140" w:type="dxa"/>
            <w:vAlign w:val="bottom"/>
            <w:shd w:val="clear" w:color="auto" w:fill="004054"/>
          </w:tcPr>
          <w:p>
            <w:pPr>
              <w:spacing w:after="0"/>
              <w:rPr>
                <w:sz w:val="18"/>
                <w:szCs w:val="18"/>
                <w:color w:val="auto"/>
              </w:rPr>
            </w:pPr>
          </w:p>
        </w:tc>
        <w:tc>
          <w:tcPr>
            <w:tcW w:w="1360" w:type="dxa"/>
            <w:vAlign w:val="bottom"/>
            <w:shd w:val="clear" w:color="auto" w:fill="004054"/>
          </w:tcPr>
          <w:p>
            <w:pPr>
              <w:spacing w:after="0"/>
              <w:rPr>
                <w:sz w:val="18"/>
                <w:szCs w:val="18"/>
                <w:color w:val="auto"/>
              </w:rPr>
            </w:pPr>
          </w:p>
        </w:tc>
        <w:tc>
          <w:tcPr>
            <w:tcW w:w="100" w:type="dxa"/>
            <w:vAlign w:val="bottom"/>
            <w:shd w:val="clear" w:color="auto" w:fill="004054"/>
          </w:tcPr>
          <w:p>
            <w:pPr>
              <w:spacing w:after="0"/>
              <w:rPr>
                <w:sz w:val="18"/>
                <w:szCs w:val="18"/>
                <w:color w:val="auto"/>
              </w:rPr>
            </w:pPr>
          </w:p>
        </w:tc>
        <w:tc>
          <w:tcPr>
            <w:tcW w:w="440" w:type="dxa"/>
            <w:vAlign w:val="bottom"/>
            <w:shd w:val="clear" w:color="auto" w:fill="004054"/>
          </w:tcPr>
          <w:p>
            <w:pPr>
              <w:spacing w:after="0"/>
              <w:rPr>
                <w:sz w:val="18"/>
                <w:szCs w:val="18"/>
                <w:color w:val="auto"/>
              </w:rPr>
            </w:pPr>
          </w:p>
        </w:tc>
        <w:tc>
          <w:tcPr>
            <w:tcW w:w="1080" w:type="dxa"/>
            <w:vAlign w:val="bottom"/>
            <w:shd w:val="clear" w:color="auto" w:fill="004054"/>
          </w:tcPr>
          <w:p>
            <w:pPr>
              <w:spacing w:after="0"/>
              <w:rPr>
                <w:sz w:val="18"/>
                <w:szCs w:val="18"/>
                <w:color w:val="auto"/>
              </w:rPr>
            </w:pPr>
          </w:p>
        </w:tc>
        <w:tc>
          <w:tcPr>
            <w:tcW w:w="100" w:type="dxa"/>
            <w:vAlign w:val="bottom"/>
            <w:shd w:val="clear" w:color="auto" w:fill="004054"/>
          </w:tcPr>
          <w:p>
            <w:pPr>
              <w:spacing w:after="0"/>
              <w:rPr>
                <w:sz w:val="18"/>
                <w:szCs w:val="18"/>
                <w:color w:val="auto"/>
              </w:rPr>
            </w:pPr>
          </w:p>
        </w:tc>
        <w:tc>
          <w:tcPr>
            <w:tcW w:w="500" w:type="dxa"/>
            <w:vAlign w:val="bottom"/>
            <w:shd w:val="clear" w:color="auto" w:fill="004054"/>
          </w:tcPr>
          <w:p>
            <w:pPr>
              <w:spacing w:after="0"/>
              <w:rPr>
                <w:sz w:val="18"/>
                <w:szCs w:val="18"/>
                <w:color w:val="auto"/>
              </w:rPr>
            </w:pPr>
          </w:p>
        </w:tc>
        <w:tc>
          <w:tcPr>
            <w:tcW w:w="100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r>
      <w:tr>
        <w:trPr>
          <w:trHeight w:val="176"/>
        </w:trPr>
        <w:tc>
          <w:tcPr>
            <w:tcW w:w="490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Active Markets for</w:t>
            </w:r>
          </w:p>
        </w:tc>
        <w:tc>
          <w:tcPr>
            <w:tcW w:w="12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440" w:type="dxa"/>
            <w:vAlign w:val="bottom"/>
            <w:shd w:val="clear" w:color="auto" w:fill="004054"/>
          </w:tcPr>
          <w:p>
            <w:pPr>
              <w:spacing w:after="0"/>
              <w:rPr>
                <w:sz w:val="15"/>
                <w:szCs w:val="15"/>
                <w:color w:val="auto"/>
              </w:rPr>
            </w:pPr>
          </w:p>
        </w:tc>
        <w:tc>
          <w:tcPr>
            <w:tcW w:w="108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100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r>
      <w:tr>
        <w:trPr>
          <w:trHeight w:val="175"/>
        </w:trPr>
        <w:tc>
          <w:tcPr>
            <w:tcW w:w="4900" w:type="dxa"/>
            <w:vAlign w:val="bottom"/>
            <w:shd w:val="clear" w:color="auto" w:fill="004054"/>
          </w:tcPr>
          <w:p>
            <w:pPr>
              <w:spacing w:after="0"/>
              <w:rPr>
                <w:sz w:val="15"/>
                <w:szCs w:val="15"/>
                <w:color w:val="auto"/>
              </w:rPr>
            </w:pPr>
          </w:p>
        </w:tc>
        <w:tc>
          <w:tcPr>
            <w:tcW w:w="150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Identical Assets and</w:t>
            </w:r>
          </w:p>
        </w:tc>
        <w:tc>
          <w:tcPr>
            <w:tcW w:w="12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Significant Other</w:t>
            </w:r>
          </w:p>
        </w:tc>
        <w:tc>
          <w:tcPr>
            <w:tcW w:w="100" w:type="dxa"/>
            <w:vAlign w:val="bottom"/>
            <w:shd w:val="clear" w:color="auto" w:fill="004054"/>
          </w:tcPr>
          <w:p>
            <w:pPr>
              <w:spacing w:after="0"/>
              <w:rPr>
                <w:sz w:val="15"/>
                <w:szCs w:val="15"/>
                <w:color w:val="auto"/>
              </w:rPr>
            </w:pPr>
          </w:p>
        </w:tc>
        <w:tc>
          <w:tcPr>
            <w:tcW w:w="44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Significant</w:t>
            </w:r>
          </w:p>
        </w:tc>
        <w:tc>
          <w:tcPr>
            <w:tcW w:w="10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100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r>
      <w:tr>
        <w:trPr>
          <w:trHeight w:val="176"/>
        </w:trPr>
        <w:tc>
          <w:tcPr>
            <w:tcW w:w="490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Liabilities</w:t>
            </w:r>
          </w:p>
        </w:tc>
        <w:tc>
          <w:tcPr>
            <w:tcW w:w="12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Observable Inputs</w:t>
            </w:r>
          </w:p>
        </w:tc>
        <w:tc>
          <w:tcPr>
            <w:tcW w:w="100" w:type="dxa"/>
            <w:vAlign w:val="bottom"/>
            <w:shd w:val="clear" w:color="auto" w:fill="004054"/>
          </w:tcPr>
          <w:p>
            <w:pPr>
              <w:spacing w:after="0"/>
              <w:rPr>
                <w:sz w:val="15"/>
                <w:szCs w:val="15"/>
                <w:color w:val="auto"/>
              </w:rPr>
            </w:pPr>
          </w:p>
        </w:tc>
        <w:tc>
          <w:tcPr>
            <w:tcW w:w="1520" w:type="dxa"/>
            <w:vAlign w:val="bottom"/>
            <w:gridSpan w:val="2"/>
            <w:shd w:val="clear" w:color="auto" w:fill="004054"/>
          </w:tcPr>
          <w:p>
            <w:pPr>
              <w:ind w:left="40"/>
              <w:spacing w:after="0"/>
              <w:rPr>
                <w:sz w:val="20"/>
                <w:szCs w:val="20"/>
                <w:color w:val="auto"/>
              </w:rPr>
            </w:pPr>
            <w:r>
              <w:rPr>
                <w:rFonts w:ascii="Arial" w:cs="Arial" w:eastAsia="Arial" w:hAnsi="Arial"/>
                <w:sz w:val="14"/>
                <w:szCs w:val="14"/>
                <w:b w:val="1"/>
                <w:bCs w:val="1"/>
                <w:color w:val="FFFFFF"/>
              </w:rPr>
              <w:t>Unobservable Inputs</w:t>
            </w:r>
          </w:p>
        </w:tc>
        <w:tc>
          <w:tcPr>
            <w:tcW w:w="10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100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r>
      <w:tr>
        <w:trPr>
          <w:trHeight w:val="209"/>
        </w:trPr>
        <w:tc>
          <w:tcPr>
            <w:tcW w:w="49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80" w:type="dxa"/>
            <w:vAlign w:val="bottom"/>
            <w:tcBorders>
              <w:bottom w:val="single" w:sz="8" w:color="004054"/>
            </w:tcBorders>
            <w:shd w:val="clear" w:color="auto" w:fill="004054"/>
          </w:tcPr>
          <w:p>
            <w:pPr>
              <w:spacing w:after="0"/>
              <w:rPr>
                <w:sz w:val="18"/>
                <w:szCs w:val="18"/>
                <w:color w:val="auto"/>
              </w:rPr>
            </w:pPr>
          </w:p>
        </w:tc>
        <w:tc>
          <w:tcPr>
            <w:tcW w:w="13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(Level 1)</w:t>
            </w:r>
          </w:p>
        </w:tc>
        <w:tc>
          <w:tcPr>
            <w:tcW w:w="120" w:type="dxa"/>
            <w:vAlign w:val="bottom"/>
            <w:tcBorders>
              <w:bottom w:val="single" w:sz="8" w:color="004054"/>
            </w:tcBorders>
            <w:shd w:val="clear" w:color="auto" w:fill="004054"/>
          </w:tcPr>
          <w:p>
            <w:pPr>
              <w:spacing w:after="0"/>
              <w:rPr>
                <w:sz w:val="18"/>
                <w:szCs w:val="18"/>
                <w:color w:val="auto"/>
              </w:rPr>
            </w:pPr>
          </w:p>
        </w:tc>
        <w:tc>
          <w:tcPr>
            <w:tcW w:w="140" w:type="dxa"/>
            <w:vAlign w:val="bottom"/>
            <w:tcBorders>
              <w:bottom w:val="single" w:sz="8" w:color="004054"/>
            </w:tcBorders>
            <w:shd w:val="clear" w:color="auto" w:fill="004054"/>
          </w:tcPr>
          <w:p>
            <w:pPr>
              <w:spacing w:after="0"/>
              <w:rPr>
                <w:sz w:val="18"/>
                <w:szCs w:val="18"/>
                <w:color w:val="auto"/>
              </w:rPr>
            </w:pPr>
          </w:p>
        </w:tc>
        <w:tc>
          <w:tcPr>
            <w:tcW w:w="13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(Level 2)</w:t>
            </w:r>
          </w:p>
        </w:tc>
        <w:tc>
          <w:tcPr>
            <w:tcW w:w="100" w:type="dxa"/>
            <w:vAlign w:val="bottom"/>
            <w:tcBorders>
              <w:bottom w:val="single" w:sz="8" w:color="004054"/>
            </w:tcBorders>
            <w:shd w:val="clear" w:color="auto" w:fill="004054"/>
          </w:tcPr>
          <w:p>
            <w:pPr>
              <w:spacing w:after="0"/>
              <w:rPr>
                <w:sz w:val="18"/>
                <w:szCs w:val="18"/>
                <w:color w:val="auto"/>
              </w:rPr>
            </w:pPr>
          </w:p>
        </w:tc>
        <w:tc>
          <w:tcPr>
            <w:tcW w:w="440" w:type="dxa"/>
            <w:vAlign w:val="bottom"/>
            <w:tcBorders>
              <w:bottom w:val="single" w:sz="8" w:color="004054"/>
            </w:tcBorders>
            <w:shd w:val="clear" w:color="auto" w:fill="004054"/>
          </w:tcPr>
          <w:p>
            <w:pPr>
              <w:spacing w:after="0"/>
              <w:rPr>
                <w:sz w:val="18"/>
                <w:szCs w:val="18"/>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(Level 3)</w:t>
            </w:r>
          </w:p>
        </w:tc>
        <w:tc>
          <w:tcPr>
            <w:tcW w:w="100" w:type="dxa"/>
            <w:vAlign w:val="bottom"/>
            <w:tcBorders>
              <w:bottom w:val="single" w:sz="8" w:color="004054"/>
            </w:tcBorders>
            <w:shd w:val="clear" w:color="auto" w:fill="004054"/>
          </w:tcPr>
          <w:p>
            <w:pPr>
              <w:spacing w:after="0"/>
              <w:rPr>
                <w:sz w:val="18"/>
                <w:szCs w:val="18"/>
                <w:color w:val="auto"/>
              </w:rPr>
            </w:pPr>
          </w:p>
        </w:tc>
        <w:tc>
          <w:tcPr>
            <w:tcW w:w="500" w:type="dxa"/>
            <w:vAlign w:val="bottom"/>
            <w:tcBorders>
              <w:bottom w:val="single" w:sz="8" w:color="004054"/>
            </w:tcBorders>
            <w:shd w:val="clear" w:color="auto" w:fill="004054"/>
          </w:tcPr>
          <w:p>
            <w:pPr>
              <w:spacing w:after="0"/>
              <w:rPr>
                <w:sz w:val="18"/>
                <w:szCs w:val="18"/>
                <w:color w:val="auto"/>
              </w:rPr>
            </w:pPr>
          </w:p>
        </w:tc>
        <w:tc>
          <w:tcPr>
            <w:tcW w:w="10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tcBorders>
              <w:bottom w:val="single" w:sz="8" w:color="004054"/>
            </w:tcBorders>
            <w:shd w:val="clear" w:color="auto" w:fill="004054"/>
          </w:tcPr>
          <w:p>
            <w:pPr>
              <w:spacing w:after="0"/>
              <w:rPr>
                <w:sz w:val="18"/>
                <w:szCs w:val="18"/>
                <w:color w:val="auto"/>
              </w:rPr>
            </w:pPr>
          </w:p>
        </w:tc>
      </w:tr>
      <w:tr>
        <w:trPr>
          <w:trHeight w:val="250"/>
        </w:trPr>
        <w:tc>
          <w:tcPr>
            <w:tcW w:w="4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Fair value as of September 30, 2022</w:t>
            </w:r>
          </w:p>
        </w:tc>
        <w:tc>
          <w:tcPr>
            <w:tcW w:w="18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13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97"/>
        </w:trPr>
        <w:tc>
          <w:tcPr>
            <w:tcW w:w="4900" w:type="dxa"/>
            <w:vAlign w:val="bottom"/>
          </w:tcPr>
          <w:p>
            <w:pPr>
              <w:ind w:left="20"/>
              <w:spacing w:after="0"/>
              <w:rPr>
                <w:sz w:val="20"/>
                <w:szCs w:val="20"/>
                <w:color w:val="auto"/>
              </w:rPr>
            </w:pPr>
            <w:r>
              <w:rPr>
                <w:rFonts w:ascii="Arial" w:cs="Arial" w:eastAsia="Arial" w:hAnsi="Arial"/>
                <w:sz w:val="18"/>
                <w:szCs w:val="18"/>
                <w:color w:val="51555C"/>
              </w:rPr>
              <w:t>Derivative instruments: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i w:val="1"/>
                <w:iCs w:val="1"/>
                <w:color w:val="51555C"/>
              </w:rPr>
              <w:t>Interest rate swaps</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440" w:type="dxa"/>
            <w:vAlign w:val="bottom"/>
            <w:tcBorders>
              <w:bottom w:val="single" w:sz="8" w:color="EBFBFF"/>
            </w:tcBorders>
            <w:gridSpan w:val="2"/>
            <w:shd w:val="clear" w:color="auto" w:fill="EBFBFF"/>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33,120</w:t>
            </w:r>
          </w:p>
        </w:tc>
        <w:tc>
          <w:tcPr>
            <w:tcW w:w="10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w:t>
            </w:r>
          </w:p>
        </w:tc>
        <w:tc>
          <w:tcPr>
            <w:tcW w:w="1180" w:type="dxa"/>
            <w:vAlign w:val="bottom"/>
            <w:tcBorders>
              <w:bottom w:val="single" w:sz="8" w:color="EBFBFF"/>
            </w:tcBorders>
            <w:gridSpan w:val="2"/>
            <w:shd w:val="clear" w:color="auto" w:fill="EBFBFF"/>
          </w:tcPr>
          <w:p>
            <w:pPr>
              <w:jc w:val="right"/>
              <w:ind w:right="180"/>
              <w:spacing w:after="0"/>
              <w:rPr>
                <w:sz w:val="20"/>
                <w:szCs w:val="20"/>
                <w:color w:val="auto"/>
              </w:rPr>
            </w:pPr>
            <w:r>
              <w:rPr>
                <w:rFonts w:ascii="Arial" w:cs="Arial" w:eastAsia="Arial" w:hAnsi="Arial"/>
                <w:sz w:val="18"/>
                <w:szCs w:val="18"/>
                <w:color w:val="51555C"/>
              </w:rPr>
              <w:t>—</w:t>
            </w: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33,120</w:t>
            </w:r>
          </w:p>
        </w:tc>
        <w:tc>
          <w:tcPr>
            <w:tcW w:w="20" w:type="dxa"/>
            <w:vAlign w:val="bottom"/>
          </w:tcPr>
          <w:p>
            <w:pPr>
              <w:spacing w:after="0"/>
              <w:rPr>
                <w:sz w:val="21"/>
                <w:szCs w:val="21"/>
                <w:color w:val="auto"/>
              </w:rPr>
            </w:pPr>
          </w:p>
        </w:tc>
      </w:tr>
      <w:tr>
        <w:trPr>
          <w:trHeight w:val="243"/>
        </w:trPr>
        <w:tc>
          <w:tcPr>
            <w:tcW w:w="4900" w:type="dxa"/>
            <w:vAlign w:val="bottom"/>
          </w:tcPr>
          <w:p>
            <w:pPr>
              <w:ind w:left="140"/>
              <w:spacing w:after="0"/>
              <w:rPr>
                <w:sz w:val="20"/>
                <w:szCs w:val="20"/>
                <w:color w:val="auto"/>
              </w:rPr>
            </w:pPr>
            <w:r>
              <w:rPr>
                <w:rFonts w:ascii="Arial" w:cs="Arial" w:eastAsia="Arial" w:hAnsi="Arial"/>
                <w:sz w:val="18"/>
                <w:szCs w:val="18"/>
                <w:i w:val="1"/>
                <w:iCs w:val="1"/>
                <w:color w:val="51555C"/>
              </w:rPr>
              <w:t>Foreign currency forward contracts</w:t>
            </w:r>
          </w:p>
        </w:tc>
        <w:tc>
          <w:tcPr>
            <w:tcW w:w="180" w:type="dxa"/>
            <w:vAlign w:val="bottom"/>
          </w:tcPr>
          <w:p>
            <w:pPr>
              <w:spacing w:after="0"/>
              <w:rPr>
                <w:sz w:val="21"/>
                <w:szCs w:val="21"/>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51555C"/>
              </w:rPr>
              <w:t>1,464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51555C"/>
              </w:rPr>
              <w:t>—</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51555C"/>
              </w:rPr>
              <w:t>1,464</w:t>
            </w:r>
          </w:p>
        </w:tc>
        <w:tc>
          <w:tcPr>
            <w:tcW w:w="20" w:type="dxa"/>
            <w:vAlign w:val="bottom"/>
          </w:tcPr>
          <w:p>
            <w:pPr>
              <w:spacing w:after="0"/>
              <w:rPr>
                <w:sz w:val="21"/>
                <w:szCs w:val="21"/>
                <w:color w:val="auto"/>
              </w:rPr>
            </w:pPr>
          </w:p>
        </w:tc>
      </w:tr>
      <w:tr>
        <w:trPr>
          <w:trHeight w:val="27"/>
        </w:trPr>
        <w:tc>
          <w:tcPr>
            <w:tcW w:w="4900" w:type="dxa"/>
            <w:vAlign w:val="bottom"/>
            <w:tcBorders>
              <w:bottom w:val="single" w:sz="8" w:color="EBFBFF"/>
            </w:tcBorders>
          </w:tcPr>
          <w:p>
            <w:pPr>
              <w:spacing w:after="0"/>
              <w:rPr>
                <w:sz w:val="2"/>
                <w:szCs w:val="2"/>
                <w:color w:val="auto"/>
              </w:rPr>
            </w:pPr>
          </w:p>
        </w:tc>
        <w:tc>
          <w:tcPr>
            <w:tcW w:w="180" w:type="dxa"/>
            <w:vAlign w:val="bottom"/>
            <w:tcBorders>
              <w:bottom w:val="single" w:sz="8" w:color="51555C"/>
            </w:tcBorders>
          </w:tcPr>
          <w:p>
            <w:pPr>
              <w:spacing w:after="0"/>
              <w:rPr>
                <w:sz w:val="2"/>
                <w:szCs w:val="2"/>
                <w:color w:val="auto"/>
              </w:rPr>
            </w:pPr>
          </w:p>
        </w:tc>
        <w:tc>
          <w:tcPr>
            <w:tcW w:w="1320" w:type="dxa"/>
            <w:vAlign w:val="bottom"/>
            <w:tcBorders>
              <w:bottom w:val="single" w:sz="8" w:color="51555C"/>
            </w:tcBorders>
          </w:tcPr>
          <w:p>
            <w:pPr>
              <w:spacing w:after="0"/>
              <w:rPr>
                <w:sz w:val="2"/>
                <w:szCs w:val="2"/>
                <w:color w:val="auto"/>
              </w:rPr>
            </w:pPr>
          </w:p>
        </w:tc>
        <w:tc>
          <w:tcPr>
            <w:tcW w:w="120" w:type="dxa"/>
            <w:vAlign w:val="bottom"/>
            <w:tcBorders>
              <w:bottom w:val="single" w:sz="8" w:color="EBFBFF"/>
            </w:tcBorders>
          </w:tcPr>
          <w:p>
            <w:pPr>
              <w:spacing w:after="0"/>
              <w:rPr>
                <w:sz w:val="2"/>
                <w:szCs w:val="2"/>
                <w:color w:val="auto"/>
              </w:rPr>
            </w:pPr>
          </w:p>
        </w:tc>
        <w:tc>
          <w:tcPr>
            <w:tcW w:w="140" w:type="dxa"/>
            <w:vAlign w:val="bottom"/>
            <w:tcBorders>
              <w:bottom w:val="single" w:sz="8" w:color="51555C"/>
            </w:tcBorders>
          </w:tcPr>
          <w:p>
            <w:pPr>
              <w:spacing w:after="0"/>
              <w:rPr>
                <w:sz w:val="2"/>
                <w:szCs w:val="2"/>
                <w:color w:val="auto"/>
              </w:rPr>
            </w:pPr>
          </w:p>
        </w:tc>
        <w:tc>
          <w:tcPr>
            <w:tcW w:w="136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440" w:type="dxa"/>
            <w:vAlign w:val="bottom"/>
            <w:tcBorders>
              <w:bottom w:val="single" w:sz="8" w:color="51555C"/>
            </w:tcBorders>
          </w:tcPr>
          <w:p>
            <w:pPr>
              <w:spacing w:after="0"/>
              <w:rPr>
                <w:sz w:val="2"/>
                <w:szCs w:val="2"/>
                <w:color w:val="auto"/>
              </w:rPr>
            </w:pPr>
          </w:p>
        </w:tc>
        <w:tc>
          <w:tcPr>
            <w:tcW w:w="108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500" w:type="dxa"/>
            <w:vAlign w:val="bottom"/>
            <w:tcBorders>
              <w:bottom w:val="single" w:sz="8" w:color="51555C"/>
            </w:tcBorders>
          </w:tcPr>
          <w:p>
            <w:pPr>
              <w:spacing w:after="0"/>
              <w:rPr>
                <w:sz w:val="2"/>
                <w:szCs w:val="2"/>
                <w:color w:val="auto"/>
              </w:rPr>
            </w:pPr>
          </w:p>
        </w:tc>
        <w:tc>
          <w:tcPr>
            <w:tcW w:w="100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90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8"/>
                <w:szCs w:val="18"/>
                <w:color w:val="51555C"/>
              </w:rPr>
              <w:t>Total financial assets</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440" w:type="dxa"/>
            <w:vAlign w:val="bottom"/>
            <w:tcBorders>
              <w:bottom w:val="single" w:sz="8" w:color="EBFBFF"/>
            </w:tcBorders>
            <w:gridSpan w:val="2"/>
            <w:shd w:val="clear" w:color="auto" w:fill="EBFBFF"/>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34,584</w:t>
            </w:r>
          </w:p>
        </w:tc>
        <w:tc>
          <w:tcPr>
            <w:tcW w:w="10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w:t>
            </w:r>
          </w:p>
        </w:tc>
        <w:tc>
          <w:tcPr>
            <w:tcW w:w="1180" w:type="dxa"/>
            <w:vAlign w:val="bottom"/>
            <w:tcBorders>
              <w:bottom w:val="single" w:sz="8" w:color="EBFBFF"/>
            </w:tcBorders>
            <w:gridSpan w:val="2"/>
            <w:shd w:val="clear" w:color="auto" w:fill="EBFBFF"/>
          </w:tcPr>
          <w:p>
            <w:pPr>
              <w:jc w:val="right"/>
              <w:ind w:right="180"/>
              <w:spacing w:after="0"/>
              <w:rPr>
                <w:sz w:val="20"/>
                <w:szCs w:val="20"/>
                <w:color w:val="auto"/>
              </w:rPr>
            </w:pPr>
            <w:r>
              <w:rPr>
                <w:rFonts w:ascii="Arial" w:cs="Arial" w:eastAsia="Arial" w:hAnsi="Arial"/>
                <w:sz w:val="18"/>
                <w:szCs w:val="18"/>
                <w:color w:val="51555C"/>
              </w:rPr>
              <w:t>—</w:t>
            </w: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34,584</w:t>
            </w:r>
          </w:p>
        </w:tc>
        <w:tc>
          <w:tcPr>
            <w:tcW w:w="20" w:type="dxa"/>
            <w:vAlign w:val="bottom"/>
          </w:tcPr>
          <w:p>
            <w:pPr>
              <w:spacing w:after="0"/>
              <w:rPr>
                <w:sz w:val="21"/>
                <w:szCs w:val="21"/>
                <w:color w:val="auto"/>
              </w:rPr>
            </w:pPr>
          </w:p>
        </w:tc>
      </w:tr>
      <w:tr>
        <w:trPr>
          <w:trHeight w:val="270"/>
        </w:trPr>
        <w:tc>
          <w:tcPr>
            <w:tcW w:w="4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4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Fair value as of September 30, 2022</w:t>
            </w:r>
          </w:p>
        </w:tc>
        <w:tc>
          <w:tcPr>
            <w:tcW w:w="18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13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51555C"/>
              </w:rPr>
              <w:t>Contingent consideration obligations</w:t>
            </w:r>
          </w:p>
        </w:tc>
        <w:tc>
          <w:tcPr>
            <w:tcW w:w="18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51555C"/>
              </w:rPr>
              <w:t>—</w:t>
            </w:r>
          </w:p>
        </w:tc>
        <w:tc>
          <w:tcPr>
            <w:tcW w:w="440" w:type="dxa"/>
            <w:vAlign w:val="bottom"/>
          </w:tcPr>
          <w:p>
            <w:pPr>
              <w:ind w:left="20"/>
              <w:spacing w:after="0"/>
              <w:rPr>
                <w:sz w:val="20"/>
                <w:szCs w:val="20"/>
                <w:color w:val="auto"/>
              </w:rPr>
            </w:pPr>
            <w:r>
              <w:rPr>
                <w:rFonts w:ascii="Arial" w:cs="Arial" w:eastAsia="Arial" w:hAnsi="Arial"/>
                <w:sz w:val="18"/>
                <w:szCs w:val="18"/>
                <w:color w:val="51555C"/>
              </w:rPr>
              <w:t>$</w:t>
            </w:r>
          </w:p>
        </w:tc>
        <w:tc>
          <w:tcPr>
            <w:tcW w:w="1080" w:type="dxa"/>
            <w:vAlign w:val="bottom"/>
          </w:tcPr>
          <w:p>
            <w:pPr>
              <w:jc w:val="right"/>
              <w:spacing w:after="0"/>
              <w:rPr>
                <w:sz w:val="20"/>
                <w:szCs w:val="20"/>
                <w:color w:val="auto"/>
              </w:rPr>
            </w:pPr>
            <w:r>
              <w:rPr>
                <w:rFonts w:ascii="Arial" w:cs="Arial" w:eastAsia="Arial" w:hAnsi="Arial"/>
                <w:sz w:val="18"/>
                <w:szCs w:val="18"/>
                <w:color w:val="51555C"/>
              </w:rPr>
              <w:t>2,710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51555C"/>
              </w:rPr>
              <w:t>2,710</w:t>
            </w:r>
          </w:p>
        </w:tc>
        <w:tc>
          <w:tcPr>
            <w:tcW w:w="20" w:type="dxa"/>
            <w:vAlign w:val="bottom"/>
          </w:tcPr>
          <w:p>
            <w:pPr>
              <w:spacing w:after="0"/>
              <w:rPr>
                <w:sz w:val="21"/>
                <w:szCs w:val="21"/>
                <w:color w:val="auto"/>
              </w:rPr>
            </w:pPr>
          </w:p>
        </w:tc>
      </w:tr>
      <w:tr>
        <w:trPr>
          <w:trHeight w:val="27"/>
        </w:trPr>
        <w:tc>
          <w:tcPr>
            <w:tcW w:w="4900" w:type="dxa"/>
            <w:vAlign w:val="bottom"/>
            <w:tcBorders>
              <w:bottom w:val="single" w:sz="8" w:color="EBFBFF"/>
            </w:tcBorders>
          </w:tcPr>
          <w:p>
            <w:pPr>
              <w:spacing w:after="0"/>
              <w:rPr>
                <w:sz w:val="2"/>
                <w:szCs w:val="2"/>
                <w:color w:val="auto"/>
              </w:rPr>
            </w:pPr>
          </w:p>
        </w:tc>
        <w:tc>
          <w:tcPr>
            <w:tcW w:w="180" w:type="dxa"/>
            <w:vAlign w:val="bottom"/>
            <w:tcBorders>
              <w:bottom w:val="single" w:sz="8" w:color="51555C"/>
            </w:tcBorders>
          </w:tcPr>
          <w:p>
            <w:pPr>
              <w:spacing w:after="0"/>
              <w:rPr>
                <w:sz w:val="2"/>
                <w:szCs w:val="2"/>
                <w:color w:val="auto"/>
              </w:rPr>
            </w:pPr>
          </w:p>
        </w:tc>
        <w:tc>
          <w:tcPr>
            <w:tcW w:w="1320" w:type="dxa"/>
            <w:vAlign w:val="bottom"/>
            <w:tcBorders>
              <w:bottom w:val="single" w:sz="8" w:color="51555C"/>
            </w:tcBorders>
          </w:tcPr>
          <w:p>
            <w:pPr>
              <w:spacing w:after="0"/>
              <w:rPr>
                <w:sz w:val="2"/>
                <w:szCs w:val="2"/>
                <w:color w:val="auto"/>
              </w:rPr>
            </w:pPr>
          </w:p>
        </w:tc>
        <w:tc>
          <w:tcPr>
            <w:tcW w:w="120" w:type="dxa"/>
            <w:vAlign w:val="bottom"/>
            <w:tcBorders>
              <w:bottom w:val="single" w:sz="8" w:color="EBFBFF"/>
            </w:tcBorders>
          </w:tcPr>
          <w:p>
            <w:pPr>
              <w:spacing w:after="0"/>
              <w:rPr>
                <w:sz w:val="2"/>
                <w:szCs w:val="2"/>
                <w:color w:val="auto"/>
              </w:rPr>
            </w:pPr>
          </w:p>
        </w:tc>
        <w:tc>
          <w:tcPr>
            <w:tcW w:w="140" w:type="dxa"/>
            <w:vAlign w:val="bottom"/>
            <w:tcBorders>
              <w:bottom w:val="single" w:sz="8" w:color="51555C"/>
            </w:tcBorders>
          </w:tcPr>
          <w:p>
            <w:pPr>
              <w:spacing w:after="0"/>
              <w:rPr>
                <w:sz w:val="2"/>
                <w:szCs w:val="2"/>
                <w:color w:val="auto"/>
              </w:rPr>
            </w:pPr>
          </w:p>
        </w:tc>
        <w:tc>
          <w:tcPr>
            <w:tcW w:w="136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440" w:type="dxa"/>
            <w:vAlign w:val="bottom"/>
            <w:tcBorders>
              <w:bottom w:val="single" w:sz="8" w:color="51555C"/>
            </w:tcBorders>
          </w:tcPr>
          <w:p>
            <w:pPr>
              <w:spacing w:after="0"/>
              <w:rPr>
                <w:sz w:val="2"/>
                <w:szCs w:val="2"/>
                <w:color w:val="auto"/>
              </w:rPr>
            </w:pPr>
          </w:p>
        </w:tc>
        <w:tc>
          <w:tcPr>
            <w:tcW w:w="108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500" w:type="dxa"/>
            <w:vAlign w:val="bottom"/>
            <w:tcBorders>
              <w:bottom w:val="single" w:sz="8" w:color="51555C"/>
            </w:tcBorders>
          </w:tcPr>
          <w:p>
            <w:pPr>
              <w:spacing w:after="0"/>
              <w:rPr>
                <w:sz w:val="2"/>
                <w:szCs w:val="2"/>
                <w:color w:val="auto"/>
              </w:rPr>
            </w:pPr>
          </w:p>
        </w:tc>
        <w:tc>
          <w:tcPr>
            <w:tcW w:w="100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90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8"/>
                <w:szCs w:val="18"/>
                <w:color w:val="51555C"/>
              </w:rPr>
              <w:t>Total financial liabilities</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440" w:type="dxa"/>
            <w:vAlign w:val="bottom"/>
            <w:tcBorders>
              <w:bottom w:val="single" w:sz="8" w:color="EBFBFF"/>
            </w:tcBorders>
            <w:gridSpan w:val="2"/>
            <w:shd w:val="clear" w:color="auto" w:fill="EBFBFF"/>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460" w:type="dxa"/>
            <w:vAlign w:val="bottom"/>
            <w:tcBorders>
              <w:bottom w:val="single" w:sz="8" w:color="EBFBFF"/>
            </w:tcBorders>
            <w:gridSpan w:val="2"/>
            <w:shd w:val="clear" w:color="auto" w:fill="EBFBFF"/>
          </w:tcPr>
          <w:p>
            <w:pPr>
              <w:jc w:val="right"/>
              <w:ind w:right="180"/>
              <w:spacing w:after="0"/>
              <w:rPr>
                <w:sz w:val="20"/>
                <w:szCs w:val="20"/>
                <w:color w:val="auto"/>
              </w:rPr>
            </w:pPr>
            <w:r>
              <w:rPr>
                <w:rFonts w:ascii="Arial" w:cs="Arial" w:eastAsia="Arial" w:hAnsi="Arial"/>
                <w:sz w:val="18"/>
                <w:szCs w:val="18"/>
                <w:color w:val="51555C"/>
              </w:rPr>
              <w:t>—</w:t>
            </w:r>
          </w:p>
        </w:tc>
        <w:tc>
          <w:tcPr>
            <w:tcW w:w="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2,710</w:t>
            </w:r>
          </w:p>
        </w:tc>
        <w:tc>
          <w:tcPr>
            <w:tcW w:w="10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2,710</w:t>
            </w:r>
          </w:p>
        </w:tc>
        <w:tc>
          <w:tcPr>
            <w:tcW w:w="20" w:type="dxa"/>
            <w:vAlign w:val="bottom"/>
          </w:tcPr>
          <w:p>
            <w:pPr>
              <w:spacing w:after="0"/>
              <w:rPr>
                <w:sz w:val="21"/>
                <w:szCs w:val="21"/>
                <w:color w:val="auto"/>
              </w:rPr>
            </w:pPr>
          </w:p>
        </w:tc>
      </w:tr>
      <w:tr>
        <w:trPr>
          <w:trHeight w:val="270"/>
        </w:trPr>
        <w:tc>
          <w:tcPr>
            <w:tcW w:w="4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4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Fair value as of December 31, 2021</w:t>
            </w:r>
          </w:p>
        </w:tc>
        <w:tc>
          <w:tcPr>
            <w:tcW w:w="18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13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97"/>
        </w:trPr>
        <w:tc>
          <w:tcPr>
            <w:tcW w:w="4900" w:type="dxa"/>
            <w:vAlign w:val="bottom"/>
          </w:tcPr>
          <w:p>
            <w:pPr>
              <w:ind w:left="20"/>
              <w:spacing w:after="0"/>
              <w:rPr>
                <w:sz w:val="20"/>
                <w:szCs w:val="20"/>
                <w:color w:val="auto"/>
              </w:rPr>
            </w:pPr>
            <w:r>
              <w:rPr>
                <w:rFonts w:ascii="Arial" w:cs="Arial" w:eastAsia="Arial" w:hAnsi="Arial"/>
                <w:sz w:val="18"/>
                <w:szCs w:val="18"/>
                <w:color w:val="51555C"/>
              </w:rPr>
              <w:t>Derivative instruments: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i w:val="1"/>
                <w:iCs w:val="1"/>
                <w:color w:val="51555C"/>
              </w:rPr>
              <w:t>Interest rate swaps</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440" w:type="dxa"/>
            <w:vAlign w:val="bottom"/>
            <w:tcBorders>
              <w:bottom w:val="single" w:sz="8" w:color="EBFBFF"/>
            </w:tcBorders>
            <w:gridSpan w:val="2"/>
            <w:shd w:val="clear" w:color="auto" w:fill="EBFBFF"/>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7,160</w:t>
            </w:r>
          </w:p>
        </w:tc>
        <w:tc>
          <w:tcPr>
            <w:tcW w:w="100" w:type="dxa"/>
            <w:vAlign w:val="bottom"/>
            <w:tcBorders>
              <w:bottom w:val="single" w:sz="8" w:color="EBFBFF"/>
            </w:tcBorders>
            <w:shd w:val="clear" w:color="auto" w:fill="EBFBFF"/>
          </w:tcPr>
          <w:p>
            <w:pPr>
              <w:spacing w:after="0"/>
              <w:rPr>
                <w:sz w:val="23"/>
                <w:szCs w:val="23"/>
                <w:color w:val="auto"/>
              </w:rPr>
            </w:pPr>
          </w:p>
        </w:tc>
        <w:tc>
          <w:tcPr>
            <w:tcW w:w="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w:t>
            </w:r>
          </w:p>
        </w:tc>
        <w:tc>
          <w:tcPr>
            <w:tcW w:w="1180" w:type="dxa"/>
            <w:vAlign w:val="bottom"/>
            <w:tcBorders>
              <w:bottom w:val="single" w:sz="8" w:color="EBFBFF"/>
            </w:tcBorders>
            <w:gridSpan w:val="2"/>
            <w:shd w:val="clear" w:color="auto" w:fill="EBFBFF"/>
          </w:tcPr>
          <w:p>
            <w:pPr>
              <w:jc w:val="right"/>
              <w:ind w:right="180"/>
              <w:spacing w:after="0"/>
              <w:rPr>
                <w:sz w:val="20"/>
                <w:szCs w:val="20"/>
                <w:color w:val="auto"/>
              </w:rPr>
            </w:pPr>
            <w:r>
              <w:rPr>
                <w:rFonts w:ascii="Arial" w:cs="Arial" w:eastAsia="Arial" w:hAnsi="Arial"/>
                <w:sz w:val="18"/>
                <w:szCs w:val="18"/>
                <w:color w:val="51555C"/>
              </w:rPr>
              <w:t>—</w:t>
            </w: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7,160</w:t>
            </w:r>
          </w:p>
        </w:tc>
        <w:tc>
          <w:tcPr>
            <w:tcW w:w="20" w:type="dxa"/>
            <w:vAlign w:val="bottom"/>
          </w:tcPr>
          <w:p>
            <w:pPr>
              <w:spacing w:after="0"/>
              <w:rPr>
                <w:sz w:val="23"/>
                <w:szCs w:val="23"/>
                <w:color w:val="auto"/>
              </w:rPr>
            </w:pPr>
          </w:p>
        </w:tc>
      </w:tr>
      <w:tr>
        <w:trPr>
          <w:trHeight w:val="237"/>
        </w:trPr>
        <w:tc>
          <w:tcPr>
            <w:tcW w:w="4900" w:type="dxa"/>
            <w:vAlign w:val="bottom"/>
          </w:tcPr>
          <w:p>
            <w:pPr>
              <w:ind w:left="240"/>
              <w:spacing w:after="0"/>
              <w:rPr>
                <w:sz w:val="20"/>
                <w:szCs w:val="20"/>
                <w:color w:val="auto"/>
              </w:rPr>
            </w:pPr>
            <w:r>
              <w:rPr>
                <w:rFonts w:ascii="Arial" w:cs="Arial" w:eastAsia="Arial" w:hAnsi="Arial"/>
                <w:sz w:val="18"/>
                <w:szCs w:val="18"/>
                <w:color w:val="51555C"/>
              </w:rPr>
              <w:t>Total financial assets</w:t>
            </w:r>
          </w:p>
        </w:tc>
        <w:tc>
          <w:tcPr>
            <w:tcW w:w="1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320" w:type="dxa"/>
            <w:vAlign w:val="bottom"/>
            <w:tcBorders>
              <w:top w:val="single" w:sz="8" w:color="51555C"/>
            </w:tcBorders>
          </w:tcPr>
          <w:p>
            <w:pPr>
              <w:ind w:left="1080"/>
              <w:spacing w:after="0"/>
              <w:rPr>
                <w:sz w:val="20"/>
                <w:szCs w:val="20"/>
                <w:color w:val="auto"/>
              </w:rPr>
            </w:pPr>
            <w:r>
              <w:rPr>
                <w:rFonts w:ascii="Arial" w:cs="Arial" w:eastAsia="Arial" w:hAnsi="Arial"/>
                <w:sz w:val="18"/>
                <w:szCs w:val="18"/>
                <w:color w:val="51555C"/>
              </w:rPr>
              <w:t>—</w:t>
            </w:r>
          </w:p>
        </w:tc>
        <w:tc>
          <w:tcPr>
            <w:tcW w:w="120" w:type="dxa"/>
            <w:vAlign w:val="bottom"/>
          </w:tcPr>
          <w:p>
            <w:pPr>
              <w:spacing w:after="0"/>
              <w:rPr>
                <w:sz w:val="20"/>
                <w:szCs w:val="20"/>
                <w:color w:val="auto"/>
              </w:rPr>
            </w:pPr>
          </w:p>
        </w:tc>
        <w:tc>
          <w:tcPr>
            <w:tcW w:w="1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7,160</w:t>
            </w:r>
          </w:p>
        </w:tc>
        <w:tc>
          <w:tcPr>
            <w:tcW w:w="100" w:type="dxa"/>
            <w:vAlign w:val="bottom"/>
          </w:tcPr>
          <w:p>
            <w:pPr>
              <w:spacing w:after="0"/>
              <w:rPr>
                <w:sz w:val="20"/>
                <w:szCs w:val="20"/>
                <w:color w:val="auto"/>
              </w:rPr>
            </w:pPr>
          </w:p>
        </w:tc>
        <w:tc>
          <w:tcPr>
            <w:tcW w:w="440" w:type="dxa"/>
            <w:vAlign w:val="bottom"/>
            <w:tcBorders>
              <w:top w:val="single" w:sz="8" w:color="51555C"/>
            </w:tcBorders>
          </w:tcPr>
          <w:p>
            <w:pPr>
              <w:ind w:left="20"/>
              <w:spacing w:after="0"/>
              <w:rPr>
                <w:sz w:val="20"/>
                <w:szCs w:val="20"/>
                <w:color w:val="auto"/>
              </w:rPr>
            </w:pPr>
            <w:r>
              <w:rPr>
                <w:rFonts w:ascii="Arial" w:cs="Arial" w:eastAsia="Arial" w:hAnsi="Arial"/>
                <w:sz w:val="18"/>
                <w:szCs w:val="18"/>
                <w:color w:val="51555C"/>
              </w:rPr>
              <w:t>$</w:t>
            </w:r>
          </w:p>
        </w:tc>
        <w:tc>
          <w:tcPr>
            <w:tcW w:w="10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w:t>
            </w:r>
          </w:p>
        </w:tc>
        <w:tc>
          <w:tcPr>
            <w:tcW w:w="100" w:type="dxa"/>
            <w:vAlign w:val="bottom"/>
          </w:tcPr>
          <w:p>
            <w:pPr>
              <w:spacing w:after="0"/>
              <w:rPr>
                <w:sz w:val="20"/>
                <w:szCs w:val="20"/>
                <w:color w:val="auto"/>
              </w:rPr>
            </w:pPr>
          </w:p>
        </w:tc>
        <w:tc>
          <w:tcPr>
            <w:tcW w:w="500" w:type="dxa"/>
            <w:vAlign w:val="bottom"/>
            <w:tcBorders>
              <w:top w:val="single" w:sz="8" w:color="51555C"/>
            </w:tcBorders>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7,160</w:t>
            </w:r>
          </w:p>
        </w:tc>
        <w:tc>
          <w:tcPr>
            <w:tcW w:w="20" w:type="dxa"/>
            <w:vAlign w:val="bottom"/>
          </w:tcPr>
          <w:p>
            <w:pPr>
              <w:spacing w:after="0"/>
              <w:rPr>
                <w:sz w:val="20"/>
                <w:szCs w:val="20"/>
                <w:color w:val="auto"/>
              </w:rPr>
            </w:pPr>
          </w:p>
        </w:tc>
      </w:tr>
      <w:tr>
        <w:trPr>
          <w:trHeight w:val="27"/>
        </w:trPr>
        <w:tc>
          <w:tcPr>
            <w:tcW w:w="4900" w:type="dxa"/>
            <w:vAlign w:val="bottom"/>
            <w:tcBorders>
              <w:bottom w:val="single" w:sz="8" w:color="0CD973"/>
            </w:tcBorders>
          </w:tcPr>
          <w:p>
            <w:pPr>
              <w:spacing w:after="0"/>
              <w:rPr>
                <w:sz w:val="2"/>
                <w:szCs w:val="2"/>
                <w:color w:val="auto"/>
              </w:rPr>
            </w:pPr>
          </w:p>
        </w:tc>
        <w:tc>
          <w:tcPr>
            <w:tcW w:w="180" w:type="dxa"/>
            <w:vAlign w:val="bottom"/>
            <w:tcBorders>
              <w:bottom w:val="single" w:sz="8" w:color="0CD973"/>
            </w:tcBorders>
          </w:tcPr>
          <w:p>
            <w:pPr>
              <w:spacing w:after="0"/>
              <w:rPr>
                <w:sz w:val="2"/>
                <w:szCs w:val="2"/>
                <w:color w:val="auto"/>
              </w:rPr>
            </w:pPr>
          </w:p>
        </w:tc>
        <w:tc>
          <w:tcPr>
            <w:tcW w:w="1320" w:type="dxa"/>
            <w:vAlign w:val="bottom"/>
            <w:tcBorders>
              <w:bottom w:val="single" w:sz="8" w:color="0CD973"/>
            </w:tcBorders>
          </w:tcPr>
          <w:p>
            <w:pPr>
              <w:spacing w:after="0"/>
              <w:rPr>
                <w:sz w:val="2"/>
                <w:szCs w:val="2"/>
                <w:color w:val="auto"/>
              </w:rPr>
            </w:pPr>
          </w:p>
        </w:tc>
        <w:tc>
          <w:tcPr>
            <w:tcW w:w="120" w:type="dxa"/>
            <w:vAlign w:val="bottom"/>
            <w:tcBorders>
              <w:bottom w:val="single" w:sz="8" w:color="0CD973"/>
            </w:tcBorders>
          </w:tcPr>
          <w:p>
            <w:pPr>
              <w:spacing w:after="0"/>
              <w:rPr>
                <w:sz w:val="2"/>
                <w:szCs w:val="2"/>
                <w:color w:val="auto"/>
              </w:rPr>
            </w:pPr>
          </w:p>
        </w:tc>
        <w:tc>
          <w:tcPr>
            <w:tcW w:w="140" w:type="dxa"/>
            <w:vAlign w:val="bottom"/>
            <w:tcBorders>
              <w:bottom w:val="single" w:sz="8" w:color="0CD973"/>
            </w:tcBorders>
          </w:tcPr>
          <w:p>
            <w:pPr>
              <w:spacing w:after="0"/>
              <w:rPr>
                <w:sz w:val="2"/>
                <w:szCs w:val="2"/>
                <w:color w:val="auto"/>
              </w:rPr>
            </w:pPr>
          </w:p>
        </w:tc>
        <w:tc>
          <w:tcPr>
            <w:tcW w:w="136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440" w:type="dxa"/>
            <w:vAlign w:val="bottom"/>
            <w:tcBorders>
              <w:bottom w:val="single" w:sz="8" w:color="0CD973"/>
            </w:tcBorders>
          </w:tcPr>
          <w:p>
            <w:pPr>
              <w:spacing w:after="0"/>
              <w:rPr>
                <w:sz w:val="2"/>
                <w:szCs w:val="2"/>
                <w:color w:val="auto"/>
              </w:rPr>
            </w:pPr>
          </w:p>
        </w:tc>
        <w:tc>
          <w:tcPr>
            <w:tcW w:w="108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500" w:type="dxa"/>
            <w:vAlign w:val="bottom"/>
            <w:tcBorders>
              <w:bottom w:val="single" w:sz="8" w:color="0CD973"/>
            </w:tcBorders>
          </w:tcPr>
          <w:p>
            <w:pPr>
              <w:spacing w:after="0"/>
              <w:rPr>
                <w:sz w:val="2"/>
                <w:szCs w:val="2"/>
                <w:color w:val="auto"/>
              </w:rPr>
            </w:pPr>
          </w:p>
        </w:tc>
        <w:tc>
          <w:tcPr>
            <w:tcW w:w="100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-3102610</wp:posOffset>
            </wp:positionV>
            <wp:extent cx="30086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19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51555C"/>
        </w:rPr>
        <w:t xml:space="preserve">Our derivative instruments within the scope of Accounting Standards Codification ("ASC") 815, </w:t>
      </w:r>
      <w:r>
        <w:rPr>
          <w:rFonts w:ascii="Arial" w:cs="Arial" w:eastAsia="Arial" w:hAnsi="Arial"/>
          <w:sz w:val="18"/>
          <w:szCs w:val="18"/>
          <w:i w:val="1"/>
          <w:iCs w:val="1"/>
          <w:color w:val="51555C"/>
        </w:rPr>
        <w:t>Derivatives and Hedging</w:t>
      </w:r>
      <w:r>
        <w:rPr>
          <w:rFonts w:ascii="Arial" w:cs="Arial" w:eastAsia="Arial" w:hAnsi="Arial"/>
          <w:sz w:val="18"/>
          <w:szCs w:val="18"/>
          <w:color w:val="51555C"/>
        </w:rPr>
        <w:t>, are required to be recorded at fair value. Our derivative instruments that are recorded at fair value include interest rate swaps and foreign currency forward contracts. See Note 9 to these condensed consolidated financial statements for additional information about our derivative instruments.</w:t>
      </w:r>
    </w:p>
    <w:p>
      <w:pPr>
        <w:spacing w:after="0" w:line="14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The fair value of our interest rate swaps and foreign currency forward contracts are based on model-driven valuations using Secured Overnight Financing Rate ("SOFR") rates and foreign currency forward rates, respectively, which are observable at commonly quoted intervals. Accordingly, our interest rate swaps and foreign currency forward contracts are classified within Level 2 of the fair value hierarchy. Our financial contracts that were indexed to LIBOR were modified to reference SOFR during the three months ended September 30, 2022. These modifications did not have a significant financial impact.</w:t>
      </w:r>
    </w:p>
    <w:p>
      <w:pPr>
        <w:spacing w:after="0" w:line="325"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12</w:t>
      </w:r>
      <w:r>
        <w:rPr>
          <w:sz w:val="20"/>
          <w:szCs w:val="20"/>
          <w:color w:val="auto"/>
        </w:rPr>
        <w:tab/>
      </w:r>
      <w:r>
        <w:rPr>
          <w:sz w:val="1"/>
          <w:szCs w:val="1"/>
          <w:color w:val="auto"/>
        </w:rPr>
        <w:drawing>
          <wp:inline distT="0" distB="0" distL="0" distR="0">
            <wp:extent cx="651510" cy="17145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Contingent consideration obligations arise from business acquisitions. The fair values are based on discounted cash flow analyses reflecting a probability-weighted assessment approach derived from the likelihood of possible achievement of specified performance measures or events and captures the contractual nature of the contingencies, commercial risk, and the time value of money. As the fair value measurements for our contingent consideration obligations contain significant unobservable inputs, they are classified within Level 3 of the fair value hierarchy. See Note 3 to these condensed consolidated financial statements for additional information about our contingent consideration obligations.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believe the carrying amounts of our cash and cash equivalents, restricted cash, accounts receivable, trade accounts payable, accrued expenses and other current liabilities and due to customers approximate their fair values at September 30, 2022 and December 31, 2021, due to the immediate or short-term maturity of these instruments.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We believe the carrying amount of our debt approximates its fair value at September 30, 2022 and December 31, 2021, as the debt bears interest rates that approximate market value. As SOFR and LIBOR rates are observable at commonly quoted intervals, our debt under the 2020 Credit Facility (as defined below) is classified within Level 2 of the fair value hierarchy. Our fixed rate debt is also classified within Level 2 of the fair value hierarchy.</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We did not transfer any assets or liabilities among the levels within the fair value hierarchy during the nine months ended September 30,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Non-recurring fair value measurements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Assets and liabilities that are measured at fair value on a non-recurring basis include long-lived assets, intangible assets, goodwill and operating lease right-of-use ("ROU") assets. These assets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 impairment testing, we estimate fair value using market-based methods including the use of market capitalization and consideration of a control premium.</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During the three and nine months ended September 30, 2022, we recorded noncash impairment charges of $1.0 million against certain operating lease ROU assets and $0.3 million against certain property and equipment assets. These impairment charges resulted primarily from our decision to cease using a portion of our leased office space, and the charges are reflected in general and administrative expense on the statements of comprehensive income.</w:t>
      </w:r>
    </w:p>
    <w:p>
      <w:pPr>
        <w:spacing w:after="0" w:line="15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During the nine months ended September 30, 2022, we recorded a noncash impairment charge of $2.3 million against certain previously capitalized software development costs that reduced the carrying value of those assets to zero. The impairment charge is reflected in general and administrative expense and resulted primarily from our decision to end customer support for certain solutions.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During the nine months ended September 30, 2022, we recorded a noncash impairment charge of $2.0 million against certain insignificant customer relationship intangible assets that were held for sale. Those assets were subsequently sold during the third quarter as part of our disposition of FIMS. See Note 3 to these condensed consolidated financial statements for additional information. The impairment charge is reflected in general and administrative expense.</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There were no other non-recurring fair value adjustments during the nine months ended September 30, 2022 except for certain insignificant business combination accounting adjustments to the initial fair value estimates of assets acquired and liabilities assumed at the acquisition date from updated estimates and assumptions during the measurement period. See Note 3 to these condensed consolidated financial statements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215900</wp:posOffset>
            </wp:positionV>
            <wp:extent cx="65976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13</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7. Consolidated Financial 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Restricted cash</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shd w:val="clear" w:color="auto" w:fill="004054"/>
          </w:tcPr>
          <w:p>
            <w:pPr>
              <w:spacing w:after="0"/>
              <w:rPr>
                <w:sz w:val="16"/>
                <w:szCs w:val="16"/>
                <w:color w:val="auto"/>
              </w:rPr>
            </w:pPr>
          </w:p>
        </w:tc>
        <w:tc>
          <w:tcPr>
            <w:tcW w:w="380" w:type="dxa"/>
            <w:vAlign w:val="bottom"/>
            <w:shd w:val="clear" w:color="auto" w:fill="004054"/>
          </w:tcPr>
          <w:p>
            <w:pPr>
              <w:spacing w:after="0"/>
              <w:rPr>
                <w:sz w:val="16"/>
                <w:szCs w:val="16"/>
                <w:color w:val="auto"/>
              </w:rPr>
            </w:pPr>
          </w:p>
        </w:tc>
        <w:tc>
          <w:tcPr>
            <w:tcW w:w="12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400" w:type="dxa"/>
            <w:vAlign w:val="bottom"/>
            <w:shd w:val="clear" w:color="auto" w:fill="004054"/>
          </w:tcPr>
          <w:p>
            <w:pPr>
              <w:spacing w:after="0"/>
              <w:rPr>
                <w:sz w:val="16"/>
                <w:szCs w:val="16"/>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223"/>
        </w:trPr>
        <w:tc>
          <w:tcPr>
            <w:tcW w:w="79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80" w:type="dxa"/>
            <w:vAlign w:val="bottom"/>
            <w:tcBorders>
              <w:bottom w:val="single" w:sz="8" w:color="004054"/>
            </w:tcBorders>
            <w:shd w:val="clear" w:color="auto" w:fill="004054"/>
          </w:tcPr>
          <w:p>
            <w:pPr>
              <w:spacing w:after="0"/>
              <w:rPr>
                <w:sz w:val="19"/>
                <w:szCs w:val="19"/>
                <w:color w:val="auto"/>
              </w:rPr>
            </w:pPr>
          </w:p>
        </w:tc>
        <w:tc>
          <w:tcPr>
            <w:tcW w:w="12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004054"/>
            </w:tcBorders>
            <w:shd w:val="clear" w:color="auto" w:fill="004054"/>
          </w:tcPr>
          <w:p>
            <w:pPr>
              <w:spacing w:after="0"/>
              <w:rPr>
                <w:sz w:val="19"/>
                <w:szCs w:val="19"/>
                <w:color w:val="auto"/>
              </w:rPr>
            </w:pPr>
          </w:p>
        </w:tc>
        <w:tc>
          <w:tcPr>
            <w:tcW w:w="12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19"/>
                <w:szCs w:val="19"/>
                <w:color w:val="auto"/>
              </w:rPr>
            </w:pPr>
          </w:p>
        </w:tc>
      </w:tr>
      <w:tr>
        <w:trPr>
          <w:trHeight w:val="25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Restricted cash due to customers</w:t>
            </w:r>
          </w:p>
        </w:tc>
        <w:tc>
          <w:tcPr>
            <w:tcW w:w="380" w:type="dxa"/>
            <w:vAlign w:val="bottom"/>
            <w:tcBorders>
              <w:bottom w:val="single" w:sz="8" w:color="EBFBFF"/>
            </w:tcBorders>
            <w:shd w:val="clear" w:color="auto" w:fill="EBFBFF"/>
          </w:tcPr>
          <w:p>
            <w:pPr>
              <w:jc w:val="right"/>
              <w:ind w:right="170"/>
              <w:spacing w:after="0"/>
              <w:rPr>
                <w:sz w:val="20"/>
                <w:szCs w:val="20"/>
                <w:color w:val="auto"/>
              </w:rPr>
            </w:pPr>
            <w:r>
              <w:rPr>
                <w:rFonts w:ascii="Arial" w:cs="Arial" w:eastAsia="Arial" w:hAnsi="Arial"/>
                <w:sz w:val="18"/>
                <w:szCs w:val="18"/>
                <w:color w:val="51555C"/>
                <w:w w:val="99"/>
              </w:rPr>
              <w:t>$</w:t>
            </w:r>
          </w:p>
        </w:tc>
        <w:tc>
          <w:tcPr>
            <w:tcW w:w="12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342,452</w:t>
            </w:r>
          </w:p>
        </w:tc>
        <w:tc>
          <w:tcPr>
            <w:tcW w:w="400" w:type="dxa"/>
            <w:vAlign w:val="bottom"/>
            <w:tcBorders>
              <w:bottom w:val="single" w:sz="8" w:color="EBFBFF"/>
            </w:tcBorders>
            <w:shd w:val="clear" w:color="auto" w:fill="EBFBFF"/>
          </w:tcPr>
          <w:p>
            <w:pPr>
              <w:jc w:val="right"/>
              <w:ind w:right="190"/>
              <w:spacing w:after="0"/>
              <w:rPr>
                <w:sz w:val="20"/>
                <w:szCs w:val="20"/>
                <w:color w:val="auto"/>
              </w:rPr>
            </w:pPr>
            <w:r>
              <w:rPr>
                <w:rFonts w:ascii="Arial" w:cs="Arial" w:eastAsia="Arial" w:hAnsi="Arial"/>
                <w:sz w:val="18"/>
                <w:szCs w:val="18"/>
                <w:color w:val="51555C"/>
                <w:w w:val="99"/>
              </w:rPr>
              <w:t>$</w:t>
            </w: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593,296</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51555C"/>
              </w:rPr>
              <w:t>Letters of credit for operating leases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51555C"/>
              </w:rPr>
              <w:t>—</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2,186</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Real estate escrow balances and other</w:t>
            </w:r>
          </w:p>
        </w:tc>
        <w:tc>
          <w:tcPr>
            <w:tcW w:w="380" w:type="dxa"/>
            <w:vAlign w:val="bottom"/>
            <w:tcBorders>
              <w:bottom w:val="single" w:sz="8" w:color="EBFBFF"/>
            </w:tcBorders>
            <w:shd w:val="clear" w:color="auto" w:fill="EBFBFF"/>
          </w:tcPr>
          <w:p>
            <w:pPr>
              <w:spacing w:after="0"/>
              <w:rPr>
                <w:sz w:val="24"/>
                <w:szCs w:val="24"/>
                <w:color w:val="auto"/>
              </w:rPr>
            </w:pPr>
          </w:p>
        </w:tc>
        <w:tc>
          <w:tcPr>
            <w:tcW w:w="12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1,476</w:t>
            </w:r>
          </w:p>
        </w:tc>
        <w:tc>
          <w:tcPr>
            <w:tcW w:w="400" w:type="dxa"/>
            <w:vAlign w:val="bottom"/>
            <w:tcBorders>
              <w:bottom w:val="single" w:sz="8" w:color="EBFBFF"/>
            </w:tcBorders>
            <w:shd w:val="clear" w:color="auto" w:fill="EBFBFF"/>
          </w:tcPr>
          <w:p>
            <w:pPr>
              <w:spacing w:after="0"/>
              <w:rPr>
                <w:sz w:val="24"/>
                <w:szCs w:val="24"/>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1,134</w:t>
            </w:r>
          </w:p>
        </w:tc>
        <w:tc>
          <w:tcPr>
            <w:tcW w:w="20" w:type="dxa"/>
            <w:vAlign w:val="bottom"/>
          </w:tcPr>
          <w:p>
            <w:pPr>
              <w:spacing w:after="0"/>
              <w:rPr>
                <w:sz w:val="24"/>
                <w:szCs w:val="24"/>
                <w:color w:val="auto"/>
              </w:rPr>
            </w:pPr>
          </w:p>
        </w:tc>
      </w:tr>
      <w:tr>
        <w:trPr>
          <w:trHeight w:val="237"/>
        </w:trPr>
        <w:tc>
          <w:tcPr>
            <w:tcW w:w="7940" w:type="dxa"/>
            <w:vAlign w:val="bottom"/>
          </w:tcPr>
          <w:p>
            <w:pPr>
              <w:ind w:left="140"/>
              <w:spacing w:after="0"/>
              <w:rPr>
                <w:sz w:val="20"/>
                <w:szCs w:val="20"/>
                <w:color w:val="auto"/>
              </w:rPr>
            </w:pPr>
            <w:r>
              <w:rPr>
                <w:rFonts w:ascii="Arial" w:cs="Arial" w:eastAsia="Arial" w:hAnsi="Arial"/>
                <w:sz w:val="18"/>
                <w:szCs w:val="18"/>
                <w:color w:val="51555C"/>
              </w:rPr>
              <w:t>Total restricted cash</w:t>
            </w:r>
          </w:p>
        </w:tc>
        <w:tc>
          <w:tcPr>
            <w:tcW w:w="380" w:type="dxa"/>
            <w:vAlign w:val="bottom"/>
            <w:tcBorders>
              <w:top w:val="single" w:sz="8" w:color="51555C"/>
            </w:tcBorders>
          </w:tcPr>
          <w:p>
            <w:pPr>
              <w:jc w:val="right"/>
              <w:ind w:right="170"/>
              <w:spacing w:after="0"/>
              <w:rPr>
                <w:sz w:val="20"/>
                <w:szCs w:val="20"/>
                <w:color w:val="auto"/>
              </w:rPr>
            </w:pPr>
            <w:r>
              <w:rPr>
                <w:rFonts w:ascii="Arial" w:cs="Arial" w:eastAsia="Arial" w:hAnsi="Arial"/>
                <w:sz w:val="18"/>
                <w:szCs w:val="18"/>
                <w:color w:val="51555C"/>
                <w:w w:val="99"/>
              </w:rPr>
              <w:t>$</w:t>
            </w:r>
          </w:p>
        </w:tc>
        <w:tc>
          <w:tcPr>
            <w:tcW w:w="12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343,928</w:t>
            </w:r>
          </w:p>
        </w:tc>
        <w:tc>
          <w:tcPr>
            <w:tcW w:w="400" w:type="dxa"/>
            <w:vAlign w:val="bottom"/>
            <w:tcBorders>
              <w:top w:val="single" w:sz="8" w:color="51555C"/>
            </w:tcBorders>
          </w:tcPr>
          <w:p>
            <w:pPr>
              <w:jc w:val="right"/>
              <w:ind w:right="190"/>
              <w:spacing w:after="0"/>
              <w:rPr>
                <w:sz w:val="20"/>
                <w:szCs w:val="20"/>
                <w:color w:val="auto"/>
              </w:rPr>
            </w:pPr>
            <w:r>
              <w:rPr>
                <w:rFonts w:ascii="Arial" w:cs="Arial" w:eastAsia="Arial" w:hAnsi="Arial"/>
                <w:sz w:val="18"/>
                <w:szCs w:val="18"/>
                <w:color w:val="51555C"/>
                <w:w w:val="99"/>
              </w:rPr>
              <w:t>$</w:t>
            </w:r>
          </w:p>
        </w:tc>
        <w:tc>
          <w:tcPr>
            <w:tcW w:w="12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596,616</w:t>
            </w:r>
          </w:p>
        </w:tc>
        <w:tc>
          <w:tcPr>
            <w:tcW w:w="20" w:type="dxa"/>
            <w:vAlign w:val="bottom"/>
          </w:tcPr>
          <w:p>
            <w:pPr>
              <w:spacing w:after="0"/>
              <w:rPr>
                <w:sz w:val="20"/>
                <w:szCs w:val="20"/>
                <w:color w:val="auto"/>
              </w:rPr>
            </w:pPr>
          </w:p>
        </w:tc>
      </w:tr>
      <w:tr>
        <w:trPr>
          <w:trHeight w:val="27"/>
        </w:trPr>
        <w:tc>
          <w:tcPr>
            <w:tcW w:w="7940" w:type="dxa"/>
            <w:vAlign w:val="bottom"/>
            <w:tcBorders>
              <w:bottom w:val="single" w:sz="8" w:color="0CD973"/>
            </w:tcBorders>
          </w:tcPr>
          <w:p>
            <w:pPr>
              <w:spacing w:after="0"/>
              <w:rPr>
                <w:sz w:val="2"/>
                <w:szCs w:val="2"/>
                <w:color w:val="auto"/>
              </w:rPr>
            </w:pPr>
          </w:p>
        </w:tc>
        <w:tc>
          <w:tcPr>
            <w:tcW w:w="380" w:type="dxa"/>
            <w:vAlign w:val="bottom"/>
            <w:tcBorders>
              <w:bottom w:val="single" w:sz="8" w:color="0CD973"/>
            </w:tcBorders>
          </w:tcPr>
          <w:p>
            <w:pPr>
              <w:spacing w:after="0"/>
              <w:rPr>
                <w:sz w:val="2"/>
                <w:szCs w:val="2"/>
                <w:color w:val="auto"/>
              </w:rPr>
            </w:pPr>
          </w:p>
        </w:tc>
        <w:tc>
          <w:tcPr>
            <w:tcW w:w="1280" w:type="dxa"/>
            <w:vAlign w:val="bottom"/>
            <w:tcBorders>
              <w:bottom w:val="single" w:sz="8" w:color="0CD973"/>
            </w:tcBorders>
          </w:tcPr>
          <w:p>
            <w:pPr>
              <w:spacing w:after="0"/>
              <w:rPr>
                <w:sz w:val="2"/>
                <w:szCs w:val="2"/>
                <w:color w:val="auto"/>
              </w:rPr>
            </w:pPr>
          </w:p>
        </w:tc>
        <w:tc>
          <w:tcPr>
            <w:tcW w:w="400" w:type="dxa"/>
            <w:vAlign w:val="bottom"/>
            <w:tcBorders>
              <w:bottom w:val="single" w:sz="8" w:color="0CD973"/>
            </w:tcBorders>
          </w:tcPr>
          <w:p>
            <w:pPr>
              <w:spacing w:after="0"/>
              <w:rPr>
                <w:sz w:val="2"/>
                <w:szCs w:val="2"/>
                <w:color w:val="auto"/>
              </w:rPr>
            </w:pPr>
          </w:p>
        </w:tc>
        <w:tc>
          <w:tcPr>
            <w:tcW w:w="124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r>
        <w:trPr>
          <w:trHeight w:val="858"/>
        </w:trPr>
        <w:tc>
          <w:tcPr>
            <w:tcW w:w="7940" w:type="dxa"/>
            <w:vAlign w:val="bottom"/>
          </w:tcPr>
          <w:p>
            <w:pPr>
              <w:spacing w:after="0"/>
              <w:rPr>
                <w:sz w:val="20"/>
                <w:szCs w:val="20"/>
                <w:color w:val="auto"/>
              </w:rPr>
            </w:pPr>
            <w:r>
              <w:rPr>
                <w:rFonts w:ascii="Arial" w:cs="Arial" w:eastAsia="Arial" w:hAnsi="Arial"/>
                <w:sz w:val="18"/>
                <w:szCs w:val="18"/>
                <w:b w:val="1"/>
                <w:bCs w:val="1"/>
                <w:color w:val="51555C"/>
              </w:rPr>
              <w:t>Prepaid expenses and other assets</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7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03"/>
        </w:trPr>
        <w:tc>
          <w:tcPr>
            <w:tcW w:w="7940" w:type="dxa"/>
            <w:vAlign w:val="bottom"/>
            <w:shd w:val="clear" w:color="auto" w:fill="004054"/>
          </w:tcPr>
          <w:p>
            <w:pPr>
              <w:spacing w:after="0"/>
              <w:rPr>
                <w:sz w:val="17"/>
                <w:szCs w:val="17"/>
                <w:color w:val="auto"/>
              </w:rPr>
            </w:pPr>
          </w:p>
        </w:tc>
        <w:tc>
          <w:tcPr>
            <w:tcW w:w="380" w:type="dxa"/>
            <w:vAlign w:val="bottom"/>
            <w:shd w:val="clear" w:color="auto" w:fill="004054"/>
          </w:tcPr>
          <w:p>
            <w:pPr>
              <w:spacing w:after="0"/>
              <w:rPr>
                <w:sz w:val="17"/>
                <w:szCs w:val="17"/>
                <w:color w:val="auto"/>
              </w:rPr>
            </w:pPr>
          </w:p>
        </w:tc>
        <w:tc>
          <w:tcPr>
            <w:tcW w:w="12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400" w:type="dxa"/>
            <w:vAlign w:val="bottom"/>
            <w:shd w:val="clear" w:color="auto" w:fill="004054"/>
          </w:tcPr>
          <w:p>
            <w:pPr>
              <w:spacing w:after="0"/>
              <w:rPr>
                <w:sz w:val="17"/>
                <w:szCs w:val="17"/>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9"/>
        </w:trPr>
        <w:tc>
          <w:tcPr>
            <w:tcW w:w="79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80" w:type="dxa"/>
            <w:vAlign w:val="bottom"/>
            <w:tcBorders>
              <w:bottom w:val="single" w:sz="8" w:color="004054"/>
            </w:tcBorders>
            <w:shd w:val="clear" w:color="auto" w:fill="004054"/>
          </w:tcPr>
          <w:p>
            <w:pPr>
              <w:spacing w:after="0"/>
              <w:rPr>
                <w:sz w:val="18"/>
                <w:szCs w:val="18"/>
                <w:color w:val="auto"/>
              </w:rPr>
            </w:pPr>
          </w:p>
        </w:tc>
        <w:tc>
          <w:tcPr>
            <w:tcW w:w="12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004054"/>
            </w:tcBorders>
            <w:shd w:val="clear" w:color="auto" w:fill="004054"/>
          </w:tcPr>
          <w:p>
            <w:pPr>
              <w:spacing w:after="0"/>
              <w:rPr>
                <w:sz w:val="18"/>
                <w:szCs w:val="18"/>
                <w:color w:val="auto"/>
              </w:rPr>
            </w:pPr>
          </w:p>
        </w:tc>
        <w:tc>
          <w:tcPr>
            <w:tcW w:w="12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18"/>
                <w:szCs w:val="18"/>
                <w:color w:val="auto"/>
              </w:rPr>
            </w:pPr>
          </w:p>
        </w:tc>
      </w:tr>
      <w:tr>
        <w:trPr>
          <w:trHeight w:val="324"/>
        </w:trPr>
        <w:tc>
          <w:tcPr>
            <w:tcW w:w="794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Costs of obtaining contracts</w:t>
            </w:r>
            <w:r>
              <w:rPr>
                <w:rFonts w:ascii="Arial" w:cs="Arial" w:eastAsia="Arial" w:hAnsi="Arial"/>
                <w:sz w:val="23"/>
                <w:szCs w:val="23"/>
                <w:color w:val="51555C"/>
                <w:vertAlign w:val="superscript"/>
              </w:rPr>
              <w:t>(1)(2)</w:t>
            </w:r>
          </w:p>
        </w:tc>
        <w:tc>
          <w:tcPr>
            <w:tcW w:w="380" w:type="dxa"/>
            <w:vAlign w:val="bottom"/>
            <w:shd w:val="clear" w:color="auto" w:fill="EBFBFF"/>
          </w:tcPr>
          <w:p>
            <w:pPr>
              <w:jc w:val="right"/>
              <w:ind w:right="170"/>
              <w:spacing w:after="0"/>
              <w:rPr>
                <w:sz w:val="20"/>
                <w:szCs w:val="20"/>
                <w:color w:val="auto"/>
              </w:rPr>
            </w:pPr>
            <w:r>
              <w:rPr>
                <w:rFonts w:ascii="Arial" w:cs="Arial" w:eastAsia="Arial" w:hAnsi="Arial"/>
                <w:sz w:val="18"/>
                <w:szCs w:val="18"/>
                <w:color w:val="51555C"/>
                <w:w w:val="99"/>
              </w:rPr>
              <w:t>$</w:t>
            </w:r>
          </w:p>
        </w:tc>
        <w:tc>
          <w:tcPr>
            <w:tcW w:w="12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72,673</w:t>
            </w:r>
          </w:p>
        </w:tc>
        <w:tc>
          <w:tcPr>
            <w:tcW w:w="400" w:type="dxa"/>
            <w:vAlign w:val="bottom"/>
            <w:shd w:val="clear" w:color="auto" w:fill="EBFBFF"/>
          </w:tcPr>
          <w:p>
            <w:pPr>
              <w:jc w:val="right"/>
              <w:ind w:right="190"/>
              <w:spacing w:after="0"/>
              <w:rPr>
                <w:sz w:val="20"/>
                <w:szCs w:val="20"/>
                <w:color w:val="auto"/>
              </w:rPr>
            </w:pPr>
            <w:r>
              <w:rPr>
                <w:rFonts w:ascii="Arial" w:cs="Arial" w:eastAsia="Arial" w:hAnsi="Arial"/>
                <w:sz w:val="18"/>
                <w:szCs w:val="18"/>
                <w:color w:val="51555C"/>
                <w:w w:val="99"/>
              </w:rPr>
              <w:t>$</w:t>
            </w:r>
          </w:p>
        </w:tc>
        <w:tc>
          <w:tcPr>
            <w:tcW w:w="12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78,465</w:t>
            </w:r>
          </w:p>
        </w:tc>
        <w:tc>
          <w:tcPr>
            <w:tcW w:w="20" w:type="dxa"/>
            <w:vAlign w:val="bottom"/>
          </w:tcPr>
          <w:p>
            <w:pPr>
              <w:spacing w:after="0"/>
              <w:rPr>
                <w:sz w:val="24"/>
                <w:szCs w:val="24"/>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51555C"/>
              </w:rPr>
              <w:t>Derivative instruments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51555C"/>
              </w:rPr>
              <w:t>34,584</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7,160</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794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Prepaid software maintenance and subscriptions</w:t>
            </w:r>
            <w:r>
              <w:rPr>
                <w:rFonts w:ascii="Arial" w:cs="Arial" w:eastAsia="Arial" w:hAnsi="Arial"/>
                <w:sz w:val="23"/>
                <w:szCs w:val="23"/>
                <w:color w:val="51555C"/>
                <w:vertAlign w:val="superscript"/>
              </w:rPr>
              <w:t>(3)</w:t>
            </w:r>
          </w:p>
        </w:tc>
        <w:tc>
          <w:tcPr>
            <w:tcW w:w="380" w:type="dxa"/>
            <w:vAlign w:val="bottom"/>
            <w:shd w:val="clear" w:color="auto" w:fill="EBFBFF"/>
          </w:tcPr>
          <w:p>
            <w:pPr>
              <w:spacing w:after="0"/>
              <w:rPr>
                <w:sz w:val="24"/>
                <w:szCs w:val="24"/>
                <w:color w:val="auto"/>
              </w:rPr>
            </w:pPr>
          </w:p>
        </w:tc>
        <w:tc>
          <w:tcPr>
            <w:tcW w:w="12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27,392</w:t>
            </w:r>
          </w:p>
        </w:tc>
        <w:tc>
          <w:tcPr>
            <w:tcW w:w="400" w:type="dxa"/>
            <w:vAlign w:val="bottom"/>
            <w:shd w:val="clear" w:color="auto" w:fill="EBFBFF"/>
          </w:tcPr>
          <w:p>
            <w:pPr>
              <w:spacing w:after="0"/>
              <w:rPr>
                <w:sz w:val="24"/>
                <w:szCs w:val="24"/>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28,880</w:t>
            </w:r>
          </w:p>
        </w:tc>
        <w:tc>
          <w:tcPr>
            <w:tcW w:w="20" w:type="dxa"/>
            <w:vAlign w:val="bottom"/>
          </w:tcPr>
          <w:p>
            <w:pPr>
              <w:spacing w:after="0"/>
              <w:rPr>
                <w:sz w:val="24"/>
                <w:szCs w:val="24"/>
                <w:color w:val="auto"/>
              </w:rPr>
            </w:pP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51555C"/>
              </w:rPr>
              <w:t>Implementation costs for cloud computing arrangements, net</w:t>
            </w:r>
            <w:r>
              <w:rPr>
                <w:rFonts w:ascii="Arial" w:cs="Arial" w:eastAsia="Arial" w:hAnsi="Arial"/>
                <w:sz w:val="23"/>
                <w:szCs w:val="23"/>
                <w:color w:val="51555C"/>
                <w:vertAlign w:val="superscript"/>
              </w:rPr>
              <w:t>(4)(5)</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51555C"/>
              </w:rPr>
              <w:t>10,461</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11,892</w:t>
            </w:r>
          </w:p>
        </w:tc>
        <w:tc>
          <w:tcPr>
            <w:tcW w:w="20" w:type="dxa"/>
            <w:vAlign w:val="bottom"/>
          </w:tcPr>
          <w:p>
            <w:pPr>
              <w:spacing w:after="0"/>
              <w:rPr>
                <w:sz w:val="24"/>
                <w:szCs w:val="24"/>
                <w:color w:val="auto"/>
              </w:rPr>
            </w:pPr>
          </w:p>
        </w:tc>
      </w:tr>
      <w:tr>
        <w:trPr>
          <w:trHeight w:val="324"/>
        </w:trPr>
        <w:tc>
          <w:tcPr>
            <w:tcW w:w="794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Receivables for probable insurance recoveries</w:t>
            </w:r>
            <w:r>
              <w:rPr>
                <w:rFonts w:ascii="Arial" w:cs="Arial" w:eastAsia="Arial" w:hAnsi="Arial"/>
                <w:sz w:val="23"/>
                <w:szCs w:val="23"/>
                <w:color w:val="51555C"/>
                <w:vertAlign w:val="superscript"/>
              </w:rPr>
              <w:t>(6)(7)</w:t>
            </w:r>
          </w:p>
        </w:tc>
        <w:tc>
          <w:tcPr>
            <w:tcW w:w="380" w:type="dxa"/>
            <w:vAlign w:val="bottom"/>
            <w:shd w:val="clear" w:color="auto" w:fill="EBFBFF"/>
          </w:tcPr>
          <w:p>
            <w:pPr>
              <w:spacing w:after="0"/>
              <w:rPr>
                <w:sz w:val="24"/>
                <w:szCs w:val="24"/>
                <w:color w:val="auto"/>
              </w:rPr>
            </w:pPr>
          </w:p>
        </w:tc>
        <w:tc>
          <w:tcPr>
            <w:tcW w:w="12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400" w:type="dxa"/>
            <w:vAlign w:val="bottom"/>
            <w:shd w:val="clear" w:color="auto" w:fill="EBFBFF"/>
          </w:tcPr>
          <w:p>
            <w:pPr>
              <w:spacing w:after="0"/>
              <w:rPr>
                <w:sz w:val="24"/>
                <w:szCs w:val="24"/>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18,202</w:t>
            </w:r>
          </w:p>
        </w:tc>
        <w:tc>
          <w:tcPr>
            <w:tcW w:w="20" w:type="dxa"/>
            <w:vAlign w:val="bottom"/>
          </w:tcPr>
          <w:p>
            <w:pPr>
              <w:spacing w:after="0"/>
              <w:rPr>
                <w:sz w:val="24"/>
                <w:szCs w:val="24"/>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51555C"/>
              </w:rPr>
              <w:t>Prepaid insurance</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51555C"/>
              </w:rPr>
              <w:t>7,155</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5,363</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Unbilled accounts receivable</w:t>
            </w:r>
          </w:p>
        </w:tc>
        <w:tc>
          <w:tcPr>
            <w:tcW w:w="38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7,109</w:t>
            </w:r>
          </w:p>
        </w:tc>
        <w:tc>
          <w:tcPr>
            <w:tcW w:w="40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5,443</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51555C"/>
              </w:rPr>
              <w:t>Taxes, prepaid and receivable</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51555C"/>
              </w:rPr>
              <w:t>4,042</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3,986</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Deferred tax assets</w:t>
            </w:r>
          </w:p>
        </w:tc>
        <w:tc>
          <w:tcPr>
            <w:tcW w:w="38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1,471</w:t>
            </w:r>
          </w:p>
        </w:tc>
        <w:tc>
          <w:tcPr>
            <w:tcW w:w="40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1,546</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51555C"/>
              </w:rPr>
              <w:t>Other assets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51555C"/>
              </w:rPr>
              <w:t>14,128</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11,835</w:t>
            </w:r>
          </w:p>
        </w:tc>
        <w:tc>
          <w:tcPr>
            <w:tcW w:w="20" w:type="dxa"/>
            <w:vAlign w:val="bottom"/>
          </w:tcPr>
          <w:p>
            <w:pPr>
              <w:spacing w:after="0"/>
              <w:rPr>
                <w:sz w:val="21"/>
                <w:szCs w:val="21"/>
                <w:color w:val="auto"/>
              </w:rPr>
            </w:pPr>
          </w:p>
        </w:tc>
      </w:tr>
      <w:tr>
        <w:trPr>
          <w:trHeight w:val="27"/>
        </w:trPr>
        <w:tc>
          <w:tcPr>
            <w:tcW w:w="7940" w:type="dxa"/>
            <w:vAlign w:val="bottom"/>
            <w:tcBorders>
              <w:bottom w:val="single" w:sz="8" w:color="EBFBFF"/>
            </w:tcBorders>
          </w:tcPr>
          <w:p>
            <w:pPr>
              <w:spacing w:after="0"/>
              <w:rPr>
                <w:sz w:val="2"/>
                <w:szCs w:val="2"/>
                <w:color w:val="auto"/>
              </w:rPr>
            </w:pPr>
          </w:p>
        </w:tc>
        <w:tc>
          <w:tcPr>
            <w:tcW w:w="380" w:type="dxa"/>
            <w:vAlign w:val="bottom"/>
            <w:tcBorders>
              <w:bottom w:val="single" w:sz="8" w:color="51555C"/>
            </w:tcBorders>
          </w:tcPr>
          <w:p>
            <w:pPr>
              <w:spacing w:after="0"/>
              <w:rPr>
                <w:sz w:val="2"/>
                <w:szCs w:val="2"/>
                <w:color w:val="auto"/>
              </w:rPr>
            </w:pPr>
          </w:p>
        </w:tc>
        <w:tc>
          <w:tcPr>
            <w:tcW w:w="1280" w:type="dxa"/>
            <w:vAlign w:val="bottom"/>
            <w:tcBorders>
              <w:bottom w:val="single" w:sz="8" w:color="51555C"/>
            </w:tcBorders>
          </w:tcPr>
          <w:p>
            <w:pPr>
              <w:spacing w:after="0"/>
              <w:rPr>
                <w:sz w:val="2"/>
                <w:szCs w:val="2"/>
                <w:color w:val="auto"/>
              </w:rPr>
            </w:pPr>
          </w:p>
        </w:tc>
        <w:tc>
          <w:tcPr>
            <w:tcW w:w="400" w:type="dxa"/>
            <w:vAlign w:val="bottom"/>
            <w:tcBorders>
              <w:bottom w:val="single" w:sz="8" w:color="51555C"/>
            </w:tcBorders>
          </w:tcPr>
          <w:p>
            <w:pPr>
              <w:spacing w:after="0"/>
              <w:rPr>
                <w:sz w:val="2"/>
                <w:szCs w:val="2"/>
                <w:color w:val="auto"/>
              </w:rPr>
            </w:pPr>
          </w:p>
        </w:tc>
        <w:tc>
          <w:tcPr>
            <w:tcW w:w="124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9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Total prepaid expenses and other assets</w:t>
            </w:r>
          </w:p>
        </w:tc>
        <w:tc>
          <w:tcPr>
            <w:tcW w:w="38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179,015</w:t>
            </w:r>
          </w:p>
        </w:tc>
        <w:tc>
          <w:tcPr>
            <w:tcW w:w="40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172,772</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51555C"/>
              </w:rPr>
              <w:t>Less: Long-term portion</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51555C"/>
              </w:rPr>
              <w:t>95,376</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77,266</w:t>
            </w:r>
          </w:p>
        </w:tc>
        <w:tc>
          <w:tcPr>
            <w:tcW w:w="20" w:type="dxa"/>
            <w:vAlign w:val="bottom"/>
          </w:tcPr>
          <w:p>
            <w:pPr>
              <w:spacing w:after="0"/>
              <w:rPr>
                <w:sz w:val="21"/>
                <w:szCs w:val="21"/>
                <w:color w:val="auto"/>
              </w:rPr>
            </w:pPr>
          </w:p>
        </w:tc>
      </w:tr>
      <w:tr>
        <w:trPr>
          <w:trHeight w:val="27"/>
        </w:trPr>
        <w:tc>
          <w:tcPr>
            <w:tcW w:w="7940" w:type="dxa"/>
            <w:vAlign w:val="bottom"/>
            <w:tcBorders>
              <w:bottom w:val="single" w:sz="8" w:color="EBFBFF"/>
            </w:tcBorders>
          </w:tcPr>
          <w:p>
            <w:pPr>
              <w:spacing w:after="0"/>
              <w:rPr>
                <w:sz w:val="2"/>
                <w:szCs w:val="2"/>
                <w:color w:val="auto"/>
              </w:rPr>
            </w:pPr>
          </w:p>
        </w:tc>
        <w:tc>
          <w:tcPr>
            <w:tcW w:w="380" w:type="dxa"/>
            <w:vAlign w:val="bottom"/>
            <w:tcBorders>
              <w:bottom w:val="single" w:sz="8" w:color="51555C"/>
            </w:tcBorders>
          </w:tcPr>
          <w:p>
            <w:pPr>
              <w:spacing w:after="0"/>
              <w:rPr>
                <w:sz w:val="2"/>
                <w:szCs w:val="2"/>
                <w:color w:val="auto"/>
              </w:rPr>
            </w:pPr>
          </w:p>
        </w:tc>
        <w:tc>
          <w:tcPr>
            <w:tcW w:w="1280" w:type="dxa"/>
            <w:vAlign w:val="bottom"/>
            <w:tcBorders>
              <w:bottom w:val="single" w:sz="8" w:color="51555C"/>
            </w:tcBorders>
          </w:tcPr>
          <w:p>
            <w:pPr>
              <w:spacing w:after="0"/>
              <w:rPr>
                <w:sz w:val="2"/>
                <w:szCs w:val="2"/>
                <w:color w:val="auto"/>
              </w:rPr>
            </w:pPr>
          </w:p>
        </w:tc>
        <w:tc>
          <w:tcPr>
            <w:tcW w:w="400" w:type="dxa"/>
            <w:vAlign w:val="bottom"/>
            <w:tcBorders>
              <w:bottom w:val="single" w:sz="8" w:color="51555C"/>
            </w:tcBorders>
          </w:tcPr>
          <w:p>
            <w:pPr>
              <w:spacing w:after="0"/>
              <w:rPr>
                <w:sz w:val="2"/>
                <w:szCs w:val="2"/>
                <w:color w:val="auto"/>
              </w:rPr>
            </w:pPr>
          </w:p>
        </w:tc>
        <w:tc>
          <w:tcPr>
            <w:tcW w:w="124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Prepaid expenses and other current assets</w:t>
            </w:r>
          </w:p>
        </w:tc>
        <w:tc>
          <w:tcPr>
            <w:tcW w:w="380" w:type="dxa"/>
            <w:vAlign w:val="bottom"/>
            <w:tcBorders>
              <w:bottom w:val="single" w:sz="8" w:color="EBFBFF"/>
            </w:tcBorders>
            <w:shd w:val="clear" w:color="auto" w:fill="EBFBFF"/>
          </w:tcPr>
          <w:p>
            <w:pPr>
              <w:jc w:val="right"/>
              <w:ind w:right="170"/>
              <w:spacing w:after="0"/>
              <w:rPr>
                <w:sz w:val="20"/>
                <w:szCs w:val="20"/>
                <w:color w:val="auto"/>
              </w:rPr>
            </w:pPr>
            <w:r>
              <w:rPr>
                <w:rFonts w:ascii="Arial" w:cs="Arial" w:eastAsia="Arial" w:hAnsi="Arial"/>
                <w:sz w:val="18"/>
                <w:szCs w:val="18"/>
                <w:color w:val="51555C"/>
                <w:w w:val="99"/>
              </w:rPr>
              <w:t>$</w:t>
            </w:r>
          </w:p>
        </w:tc>
        <w:tc>
          <w:tcPr>
            <w:tcW w:w="12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83,639</w:t>
            </w:r>
          </w:p>
        </w:tc>
        <w:tc>
          <w:tcPr>
            <w:tcW w:w="400" w:type="dxa"/>
            <w:vAlign w:val="bottom"/>
            <w:tcBorders>
              <w:bottom w:val="single" w:sz="8" w:color="EBFBFF"/>
            </w:tcBorders>
            <w:shd w:val="clear" w:color="auto" w:fill="EBFBFF"/>
          </w:tcPr>
          <w:p>
            <w:pPr>
              <w:jc w:val="right"/>
              <w:ind w:right="190"/>
              <w:spacing w:after="0"/>
              <w:rPr>
                <w:sz w:val="20"/>
                <w:szCs w:val="20"/>
                <w:color w:val="auto"/>
              </w:rPr>
            </w:pPr>
            <w:r>
              <w:rPr>
                <w:rFonts w:ascii="Arial" w:cs="Arial" w:eastAsia="Arial" w:hAnsi="Arial"/>
                <w:sz w:val="18"/>
                <w:szCs w:val="18"/>
                <w:color w:val="51555C"/>
                <w:w w:val="99"/>
              </w:rPr>
              <w:t>$</w:t>
            </w: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95,506</w:t>
            </w:r>
          </w:p>
        </w:tc>
        <w:tc>
          <w:tcPr>
            <w:tcW w:w="20" w:type="dxa"/>
            <w:vAlign w:val="bottom"/>
          </w:tcPr>
          <w:p>
            <w:pPr>
              <w:spacing w:after="0"/>
              <w:rPr>
                <w:sz w:val="21"/>
                <w:szCs w:val="21"/>
                <w:color w:val="auto"/>
              </w:rPr>
            </w:pPr>
          </w:p>
        </w:tc>
      </w:tr>
      <w:tr>
        <w:trPr>
          <w:trHeight w:val="20"/>
        </w:trPr>
        <w:tc>
          <w:tcPr>
            <w:tcW w:w="7940" w:type="dxa"/>
            <w:vAlign w:val="bottom"/>
            <w:shd w:val="clear" w:color="auto" w:fill="0CD973"/>
          </w:tcPr>
          <w:p>
            <w:pPr>
              <w:spacing w:after="0" w:line="20" w:lineRule="exact"/>
              <w:rPr>
                <w:sz w:val="1"/>
                <w:szCs w:val="1"/>
                <w:color w:val="auto"/>
              </w:rPr>
            </w:pPr>
          </w:p>
        </w:tc>
        <w:tc>
          <w:tcPr>
            <w:tcW w:w="380" w:type="dxa"/>
            <w:vAlign w:val="bottom"/>
            <w:shd w:val="clear" w:color="auto" w:fill="0CD973"/>
          </w:tcPr>
          <w:p>
            <w:pPr>
              <w:spacing w:after="0" w:line="20" w:lineRule="exact"/>
              <w:rPr>
                <w:sz w:val="1"/>
                <w:szCs w:val="1"/>
                <w:color w:val="auto"/>
              </w:rPr>
            </w:pPr>
          </w:p>
        </w:tc>
        <w:tc>
          <w:tcPr>
            <w:tcW w:w="1280" w:type="dxa"/>
            <w:vAlign w:val="bottom"/>
            <w:shd w:val="clear" w:color="auto" w:fill="0CD973"/>
          </w:tcPr>
          <w:p>
            <w:pPr>
              <w:spacing w:after="0" w:line="20" w:lineRule="exact"/>
              <w:rPr>
                <w:sz w:val="1"/>
                <w:szCs w:val="1"/>
                <w:color w:val="auto"/>
              </w:rPr>
            </w:pPr>
          </w:p>
        </w:tc>
        <w:tc>
          <w:tcPr>
            <w:tcW w:w="400" w:type="dxa"/>
            <w:vAlign w:val="bottom"/>
            <w:shd w:val="clear" w:color="auto" w:fill="0CD973"/>
          </w:tcPr>
          <w:p>
            <w:pPr>
              <w:spacing w:after="0" w:line="20" w:lineRule="exact"/>
              <w:rPr>
                <w:sz w:val="1"/>
                <w:szCs w:val="1"/>
                <w:color w:val="auto"/>
              </w:rPr>
            </w:pPr>
          </w:p>
        </w:tc>
        <w:tc>
          <w:tcPr>
            <w:tcW w:w="12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right="40" w:hanging="332"/>
        <w:spacing w:after="0" w:line="261" w:lineRule="auto"/>
        <w:tabs>
          <w:tab w:leader="none" w:pos="354" w:val="left"/>
        </w:tabs>
        <w:numPr>
          <w:ilvl w:val="0"/>
          <w:numId w:val="8"/>
        </w:numPr>
        <w:rPr>
          <w:rFonts w:ascii="Arial" w:cs="Arial" w:eastAsia="Arial" w:hAnsi="Arial"/>
          <w:sz w:val="14"/>
          <w:szCs w:val="14"/>
          <w:color w:val="51555C"/>
        </w:rPr>
      </w:pPr>
      <w:r>
        <w:rPr>
          <w:rFonts w:ascii="Arial" w:cs="Arial" w:eastAsia="Arial" w:hAnsi="Arial"/>
          <w:sz w:val="14"/>
          <w:szCs w:val="14"/>
          <w:color w:val="51555C"/>
        </w:rPr>
        <w:t>Amortization expense from costs of obtaining contracts was $8.4 million and $25.4 million for the three and nine months ended September 30, 2022, respectively, and $8.8 million and $26.9 million for the three and nine months ended September 30, 2021.</w:t>
      </w:r>
    </w:p>
    <w:p>
      <w:pPr>
        <w:ind w:left="340" w:hanging="332"/>
        <w:spacing w:after="0"/>
        <w:tabs>
          <w:tab w:leader="none" w:pos="340" w:val="left"/>
        </w:tabs>
        <w:numPr>
          <w:ilvl w:val="0"/>
          <w:numId w:val="8"/>
        </w:numPr>
        <w:rPr>
          <w:rFonts w:ascii="Arial" w:cs="Arial" w:eastAsia="Arial" w:hAnsi="Arial"/>
          <w:sz w:val="14"/>
          <w:szCs w:val="14"/>
          <w:color w:val="51555C"/>
        </w:rPr>
      </w:pPr>
      <w:r>
        <w:rPr>
          <w:rFonts w:ascii="Arial" w:cs="Arial" w:eastAsia="Arial" w:hAnsi="Arial"/>
          <w:sz w:val="14"/>
          <w:szCs w:val="14"/>
          <w:color w:val="51555C"/>
        </w:rPr>
        <w:t>The current portion of costs of obtaining contracts as of September 30, 2022 and December 31, 2021 was $28.6 million and $30.2 million, respectively.</w:t>
      </w:r>
    </w:p>
    <w:p>
      <w:pPr>
        <w:spacing w:after="0" w:line="1" w:lineRule="exact"/>
        <w:rPr>
          <w:rFonts w:ascii="Arial" w:cs="Arial" w:eastAsia="Arial" w:hAnsi="Arial"/>
          <w:sz w:val="14"/>
          <w:szCs w:val="14"/>
          <w:color w:val="51555C"/>
        </w:rPr>
      </w:pPr>
    </w:p>
    <w:p>
      <w:pPr>
        <w:ind w:left="340" w:right="20" w:hanging="332"/>
        <w:spacing w:after="0" w:line="259" w:lineRule="auto"/>
        <w:tabs>
          <w:tab w:leader="none" w:pos="354" w:val="left"/>
        </w:tabs>
        <w:numPr>
          <w:ilvl w:val="0"/>
          <w:numId w:val="8"/>
        </w:numPr>
        <w:rPr>
          <w:rFonts w:ascii="Arial" w:cs="Arial" w:eastAsia="Arial" w:hAnsi="Arial"/>
          <w:sz w:val="14"/>
          <w:szCs w:val="14"/>
          <w:color w:val="51555C"/>
        </w:rPr>
      </w:pPr>
      <w:r>
        <w:rPr>
          <w:rFonts w:ascii="Arial" w:cs="Arial" w:eastAsia="Arial" w:hAnsi="Arial"/>
          <w:sz w:val="14"/>
          <w:szCs w:val="14"/>
          <w:color w:val="51555C"/>
        </w:rPr>
        <w:t>The current portion of prepaid software maintenance and subscriptions as of September 30, 2022 and December 31, 2021 was $24.8 million and $24.7 million, respectively.</w:t>
      </w:r>
    </w:p>
    <w:p>
      <w:pPr>
        <w:spacing w:after="0" w:line="177" w:lineRule="exact"/>
        <w:rPr>
          <w:rFonts w:ascii="Arial" w:cs="Arial" w:eastAsia="Arial" w:hAnsi="Arial"/>
          <w:sz w:val="14"/>
          <w:szCs w:val="14"/>
          <w:color w:val="51555C"/>
        </w:rPr>
      </w:pPr>
    </w:p>
    <w:p>
      <w:pPr>
        <w:ind w:left="340" w:hanging="332"/>
        <w:spacing w:after="0"/>
        <w:tabs>
          <w:tab w:leader="none" w:pos="340" w:val="left"/>
        </w:tabs>
        <w:numPr>
          <w:ilvl w:val="0"/>
          <w:numId w:val="8"/>
        </w:numPr>
        <w:rPr>
          <w:rFonts w:ascii="Arial" w:cs="Arial" w:eastAsia="Arial" w:hAnsi="Arial"/>
          <w:sz w:val="14"/>
          <w:szCs w:val="14"/>
          <w:color w:val="51555C"/>
        </w:rPr>
      </w:pPr>
      <w:r>
        <w:rPr>
          <w:rFonts w:ascii="Arial" w:cs="Arial" w:eastAsia="Arial" w:hAnsi="Arial"/>
          <w:sz w:val="14"/>
          <w:szCs w:val="14"/>
          <w:color w:val="51555C"/>
        </w:rPr>
        <w:t>These costs primarily relate to the multi-year implementations of our new global enterprise resource planning and customer relationship management systems.</w:t>
      </w:r>
    </w:p>
    <w:p>
      <w:pPr>
        <w:spacing w:after="0" w:line="14" w:lineRule="exact"/>
        <w:rPr>
          <w:rFonts w:ascii="Arial" w:cs="Arial" w:eastAsia="Arial" w:hAnsi="Arial"/>
          <w:sz w:val="14"/>
          <w:szCs w:val="14"/>
          <w:color w:val="51555C"/>
        </w:rPr>
      </w:pPr>
    </w:p>
    <w:p>
      <w:pPr>
        <w:jc w:val="both"/>
        <w:ind w:left="340" w:right="20" w:hanging="332"/>
        <w:spacing w:after="0" w:line="254" w:lineRule="auto"/>
        <w:tabs>
          <w:tab w:leader="none" w:pos="354" w:val="left"/>
        </w:tabs>
        <w:numPr>
          <w:ilvl w:val="0"/>
          <w:numId w:val="8"/>
        </w:numPr>
        <w:rPr>
          <w:rFonts w:ascii="Arial" w:cs="Arial" w:eastAsia="Arial" w:hAnsi="Arial"/>
          <w:sz w:val="14"/>
          <w:szCs w:val="14"/>
          <w:color w:val="51555C"/>
        </w:rPr>
      </w:pPr>
      <w:r>
        <w:rPr>
          <w:rFonts w:ascii="Arial" w:cs="Arial" w:eastAsia="Arial" w:hAnsi="Arial"/>
          <w:sz w:val="14"/>
          <w:szCs w:val="14"/>
          <w:color w:val="51555C"/>
        </w:rPr>
        <w:t>Amortization expense from capitalized cloud computing implementation costs was insignificant for the three months ended September 30, 2022 and 2021, respectively, and $1.6 million and $1.3 million for the nine months ended September 30, 2022 and 2021, respectively. Accumulated amortization for these costs was $4.6 million and $3.0 million as of September 30, 2022 and December 31, 2021, respectively.</w:t>
      </w:r>
    </w:p>
    <w:p>
      <w:pPr>
        <w:spacing w:after="0" w:line="1" w:lineRule="exact"/>
        <w:rPr>
          <w:rFonts w:ascii="Arial" w:cs="Arial" w:eastAsia="Arial" w:hAnsi="Arial"/>
          <w:sz w:val="14"/>
          <w:szCs w:val="14"/>
          <w:color w:val="51555C"/>
        </w:rPr>
      </w:pPr>
    </w:p>
    <w:p>
      <w:pPr>
        <w:ind w:left="340" w:hanging="332"/>
        <w:spacing w:after="0"/>
        <w:tabs>
          <w:tab w:leader="none" w:pos="340" w:val="left"/>
        </w:tabs>
        <w:numPr>
          <w:ilvl w:val="0"/>
          <w:numId w:val="8"/>
        </w:numPr>
        <w:rPr>
          <w:rFonts w:ascii="Arial" w:cs="Arial" w:eastAsia="Arial" w:hAnsi="Arial"/>
          <w:sz w:val="14"/>
          <w:szCs w:val="14"/>
          <w:color w:val="51555C"/>
        </w:rPr>
      </w:pPr>
      <w:r>
        <w:rPr>
          <w:rFonts w:ascii="Arial" w:cs="Arial" w:eastAsia="Arial" w:hAnsi="Arial"/>
          <w:sz w:val="14"/>
          <w:szCs w:val="14"/>
          <w:color w:val="51555C"/>
        </w:rPr>
        <w:t>All receivables for probable insurance recoveries were classified as current.</w:t>
      </w:r>
    </w:p>
    <w:p>
      <w:pPr>
        <w:spacing w:after="0" w:line="14" w:lineRule="exact"/>
        <w:rPr>
          <w:rFonts w:ascii="Arial" w:cs="Arial" w:eastAsia="Arial" w:hAnsi="Arial"/>
          <w:sz w:val="14"/>
          <w:szCs w:val="14"/>
          <w:color w:val="51555C"/>
        </w:rPr>
      </w:pPr>
    </w:p>
    <w:p>
      <w:pPr>
        <w:ind w:left="340" w:hanging="332"/>
        <w:spacing w:after="0"/>
        <w:tabs>
          <w:tab w:leader="none" w:pos="340" w:val="left"/>
        </w:tabs>
        <w:numPr>
          <w:ilvl w:val="0"/>
          <w:numId w:val="8"/>
        </w:numPr>
        <w:rPr>
          <w:rFonts w:ascii="Arial" w:cs="Arial" w:eastAsia="Arial" w:hAnsi="Arial"/>
          <w:sz w:val="14"/>
          <w:szCs w:val="14"/>
          <w:color w:val="51555C"/>
        </w:rPr>
      </w:pPr>
      <w:r>
        <w:rPr>
          <w:rFonts w:ascii="Arial" w:cs="Arial" w:eastAsia="Arial" w:hAnsi="Arial"/>
          <w:sz w:val="14"/>
          <w:szCs w:val="14"/>
          <w:color w:val="51555C"/>
        </w:rPr>
        <w:t>See discussion of the Security Incident at Note 10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14</w:t>
      </w:r>
      <w:r>
        <w:rPr>
          <w:sz w:val="20"/>
          <w:szCs w:val="20"/>
          <w:color w:val="auto"/>
        </w:rPr>
        <w:tab/>
      </w:r>
      <w:r>
        <w:rPr>
          <w:sz w:val="1"/>
          <w:szCs w:val="1"/>
          <w:color w:val="auto"/>
        </w:rPr>
        <w:drawing>
          <wp:inline distT="0" distB="0" distL="0" distR="0">
            <wp:extent cx="651510" cy="1714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Accrued expenses and other liabilities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40" w:type="dxa"/>
            <w:vAlign w:val="bottom"/>
            <w:shd w:val="clear" w:color="auto" w:fill="004054"/>
          </w:tcPr>
          <w:p>
            <w:pPr>
              <w:spacing w:after="0"/>
              <w:rPr>
                <w:sz w:val="17"/>
                <w:szCs w:val="17"/>
                <w:color w:val="auto"/>
              </w:rPr>
            </w:pPr>
          </w:p>
        </w:tc>
        <w:tc>
          <w:tcPr>
            <w:tcW w:w="380" w:type="dxa"/>
            <w:vAlign w:val="bottom"/>
            <w:shd w:val="clear" w:color="auto" w:fill="004054"/>
          </w:tcPr>
          <w:p>
            <w:pPr>
              <w:spacing w:after="0"/>
              <w:rPr>
                <w:sz w:val="17"/>
                <w:szCs w:val="17"/>
                <w:color w:val="auto"/>
              </w:rPr>
            </w:pPr>
          </w:p>
        </w:tc>
        <w:tc>
          <w:tcPr>
            <w:tcW w:w="12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400" w:type="dxa"/>
            <w:vAlign w:val="bottom"/>
            <w:shd w:val="clear" w:color="auto" w:fill="004054"/>
          </w:tcPr>
          <w:p>
            <w:pPr>
              <w:spacing w:after="0"/>
              <w:rPr>
                <w:sz w:val="17"/>
                <w:szCs w:val="17"/>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9"/>
        </w:trPr>
        <w:tc>
          <w:tcPr>
            <w:tcW w:w="79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80" w:type="dxa"/>
            <w:vAlign w:val="bottom"/>
            <w:tcBorders>
              <w:bottom w:val="single" w:sz="8" w:color="004054"/>
            </w:tcBorders>
            <w:shd w:val="clear" w:color="auto" w:fill="004054"/>
          </w:tcPr>
          <w:p>
            <w:pPr>
              <w:spacing w:after="0"/>
              <w:rPr>
                <w:sz w:val="18"/>
                <w:szCs w:val="18"/>
                <w:color w:val="auto"/>
              </w:rPr>
            </w:pPr>
          </w:p>
        </w:tc>
        <w:tc>
          <w:tcPr>
            <w:tcW w:w="12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004054"/>
            </w:tcBorders>
            <w:shd w:val="clear" w:color="auto" w:fill="004054"/>
          </w:tcPr>
          <w:p>
            <w:pPr>
              <w:spacing w:after="0"/>
              <w:rPr>
                <w:sz w:val="18"/>
                <w:szCs w:val="18"/>
                <w:color w:val="auto"/>
              </w:rPr>
            </w:pPr>
          </w:p>
        </w:tc>
        <w:tc>
          <w:tcPr>
            <w:tcW w:w="12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18"/>
                <w:szCs w:val="18"/>
                <w:color w:val="auto"/>
              </w:rPr>
            </w:pPr>
          </w:p>
        </w:tc>
      </w:tr>
      <w:tr>
        <w:trPr>
          <w:trHeight w:val="324"/>
        </w:trPr>
        <w:tc>
          <w:tcPr>
            <w:tcW w:w="794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Taxes payable</w:t>
            </w:r>
            <w:r>
              <w:rPr>
                <w:rFonts w:ascii="Arial" w:cs="Arial" w:eastAsia="Arial" w:hAnsi="Arial"/>
                <w:sz w:val="23"/>
                <w:szCs w:val="23"/>
                <w:color w:val="51555C"/>
                <w:vertAlign w:val="superscript"/>
              </w:rPr>
              <w:t>(1)</w:t>
            </w:r>
          </w:p>
        </w:tc>
        <w:tc>
          <w:tcPr>
            <w:tcW w:w="380" w:type="dxa"/>
            <w:vAlign w:val="bottom"/>
            <w:shd w:val="clear" w:color="auto" w:fill="EBFBFF"/>
          </w:tcPr>
          <w:p>
            <w:pPr>
              <w:jc w:val="right"/>
              <w:ind w:right="170"/>
              <w:spacing w:after="0"/>
              <w:rPr>
                <w:sz w:val="20"/>
                <w:szCs w:val="20"/>
                <w:color w:val="auto"/>
              </w:rPr>
            </w:pPr>
            <w:r>
              <w:rPr>
                <w:rFonts w:ascii="Arial" w:cs="Arial" w:eastAsia="Arial" w:hAnsi="Arial"/>
                <w:sz w:val="18"/>
                <w:szCs w:val="18"/>
                <w:color w:val="51555C"/>
                <w:w w:val="99"/>
              </w:rPr>
              <w:t>$</w:t>
            </w:r>
          </w:p>
        </w:tc>
        <w:tc>
          <w:tcPr>
            <w:tcW w:w="12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28,133</w:t>
            </w:r>
          </w:p>
        </w:tc>
        <w:tc>
          <w:tcPr>
            <w:tcW w:w="400" w:type="dxa"/>
            <w:vAlign w:val="bottom"/>
            <w:shd w:val="clear" w:color="auto" w:fill="EBFBFF"/>
          </w:tcPr>
          <w:p>
            <w:pPr>
              <w:jc w:val="right"/>
              <w:ind w:right="190"/>
              <w:spacing w:after="0"/>
              <w:rPr>
                <w:sz w:val="20"/>
                <w:szCs w:val="20"/>
                <w:color w:val="auto"/>
              </w:rPr>
            </w:pPr>
            <w:r>
              <w:rPr>
                <w:rFonts w:ascii="Arial" w:cs="Arial" w:eastAsia="Arial" w:hAnsi="Arial"/>
                <w:sz w:val="18"/>
                <w:szCs w:val="18"/>
                <w:color w:val="51555C"/>
                <w:w w:val="99"/>
              </w:rPr>
              <w:t>$</w:t>
            </w:r>
          </w:p>
        </w:tc>
        <w:tc>
          <w:tcPr>
            <w:tcW w:w="12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19,777</w:t>
            </w:r>
          </w:p>
        </w:tc>
        <w:tc>
          <w:tcPr>
            <w:tcW w:w="20" w:type="dxa"/>
            <w:vAlign w:val="bottom"/>
          </w:tcPr>
          <w:p>
            <w:pPr>
              <w:spacing w:after="0"/>
              <w:rPr>
                <w:sz w:val="24"/>
                <w:szCs w:val="24"/>
                <w:color w:val="auto"/>
              </w:rPr>
            </w:pP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51555C"/>
              </w:rPr>
              <w:t>Accrued legal costs</w:t>
            </w:r>
            <w:r>
              <w:rPr>
                <w:rFonts w:ascii="Arial" w:cs="Arial" w:eastAsia="Arial" w:hAnsi="Arial"/>
                <w:sz w:val="23"/>
                <w:szCs w:val="23"/>
                <w:color w:val="51555C"/>
                <w:vertAlign w:val="superscript"/>
              </w:rPr>
              <w:t>(2)</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51555C"/>
              </w:rPr>
              <w:t>15,051</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11,724</w:t>
            </w:r>
          </w:p>
        </w:tc>
        <w:tc>
          <w:tcPr>
            <w:tcW w:w="20" w:type="dxa"/>
            <w:vAlign w:val="bottom"/>
          </w:tcPr>
          <w:p>
            <w:pPr>
              <w:spacing w:after="0"/>
              <w:rPr>
                <w:sz w:val="24"/>
                <w:szCs w:val="24"/>
                <w:color w:val="auto"/>
              </w:rPr>
            </w:pPr>
          </w:p>
        </w:tc>
      </w:tr>
      <w:tr>
        <w:trPr>
          <w:trHeight w:val="25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Operating lease liabilities, current portion</w:t>
            </w:r>
          </w:p>
        </w:tc>
        <w:tc>
          <w:tcPr>
            <w:tcW w:w="38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8,144</w:t>
            </w:r>
          </w:p>
        </w:tc>
        <w:tc>
          <w:tcPr>
            <w:tcW w:w="40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9,170</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51555C"/>
              </w:rPr>
              <w:t>Customer credit balances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51555C"/>
              </w:rPr>
              <w:t>7,488</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8,403</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Accrued commissions and salaries</w:t>
            </w:r>
          </w:p>
        </w:tc>
        <w:tc>
          <w:tcPr>
            <w:tcW w:w="38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4,503</w:t>
            </w:r>
          </w:p>
        </w:tc>
        <w:tc>
          <w:tcPr>
            <w:tcW w:w="40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7,872</w:t>
            </w:r>
          </w:p>
        </w:tc>
        <w:tc>
          <w:tcPr>
            <w:tcW w:w="20" w:type="dxa"/>
            <w:vAlign w:val="bottom"/>
          </w:tcPr>
          <w:p>
            <w:pPr>
              <w:spacing w:after="0"/>
              <w:rPr>
                <w:sz w:val="21"/>
                <w:szCs w:val="21"/>
                <w:color w:val="auto"/>
              </w:rPr>
            </w:pP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51555C"/>
              </w:rPr>
              <w:t>Contingent consideration liability</w:t>
            </w:r>
            <w:r>
              <w:rPr>
                <w:rFonts w:ascii="Arial" w:cs="Arial" w:eastAsia="Arial" w:hAnsi="Arial"/>
                <w:sz w:val="23"/>
                <w:szCs w:val="23"/>
                <w:color w:val="51555C"/>
                <w:vertAlign w:val="superscript"/>
              </w:rPr>
              <w:t>(3)</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51555C"/>
              </w:rPr>
              <w:t>2,710</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r>
      <w:tr>
        <w:trPr>
          <w:trHeight w:val="25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Accrued vacation costs</w:t>
            </w:r>
          </w:p>
        </w:tc>
        <w:tc>
          <w:tcPr>
            <w:tcW w:w="38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2,369</w:t>
            </w:r>
          </w:p>
        </w:tc>
        <w:tc>
          <w:tcPr>
            <w:tcW w:w="40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2,234</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51555C"/>
              </w:rPr>
              <w:t>Accrued health care costs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51555C"/>
              </w:rPr>
              <w:t>2,305</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3,042</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Accrued transaction-based costs related to payments services</w:t>
            </w:r>
          </w:p>
        </w:tc>
        <w:tc>
          <w:tcPr>
            <w:tcW w:w="38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2,142</w:t>
            </w:r>
          </w:p>
        </w:tc>
        <w:tc>
          <w:tcPr>
            <w:tcW w:w="40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5,427</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51555C"/>
              </w:rPr>
              <w:t>Accrued bonuses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51555C"/>
              </w:rPr>
              <w:t>1,705</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5,829</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Unrecognized tax benefit</w:t>
            </w:r>
          </w:p>
        </w:tc>
        <w:tc>
          <w:tcPr>
            <w:tcW w:w="38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1,671</w:t>
            </w:r>
          </w:p>
        </w:tc>
        <w:tc>
          <w:tcPr>
            <w:tcW w:w="40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1,248</w:t>
            </w:r>
          </w:p>
        </w:tc>
        <w:tc>
          <w:tcPr>
            <w:tcW w:w="20" w:type="dxa"/>
            <w:vAlign w:val="bottom"/>
          </w:tcPr>
          <w:p>
            <w:pPr>
              <w:spacing w:after="0"/>
              <w:rPr>
                <w:sz w:val="21"/>
                <w:szCs w:val="21"/>
                <w:color w:val="auto"/>
              </w:rPr>
            </w:pP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51555C"/>
              </w:rPr>
              <w:t>Amounts payable to former EVERFI option holders</w:t>
            </w:r>
            <w:r>
              <w:rPr>
                <w:rFonts w:ascii="Arial" w:cs="Arial" w:eastAsia="Arial" w:hAnsi="Arial"/>
                <w:sz w:val="23"/>
                <w:szCs w:val="23"/>
                <w:color w:val="51555C"/>
                <w:vertAlign w:val="superscript"/>
              </w:rPr>
              <w:t>(4)</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51555C"/>
              </w:rPr>
              <w:t>—</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17,404</w:t>
            </w:r>
          </w:p>
        </w:tc>
        <w:tc>
          <w:tcPr>
            <w:tcW w:w="20" w:type="dxa"/>
            <w:vAlign w:val="bottom"/>
          </w:tcPr>
          <w:p>
            <w:pPr>
              <w:spacing w:after="0"/>
              <w:rPr>
                <w:sz w:val="24"/>
                <w:szCs w:val="24"/>
                <w:color w:val="auto"/>
              </w:rPr>
            </w:pPr>
          </w:p>
        </w:tc>
      </w:tr>
      <w:tr>
        <w:trPr>
          <w:trHeight w:val="27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 liabilities</w:t>
            </w:r>
          </w:p>
        </w:tc>
        <w:tc>
          <w:tcPr>
            <w:tcW w:w="380" w:type="dxa"/>
            <w:vAlign w:val="bottom"/>
            <w:tcBorders>
              <w:bottom w:val="single" w:sz="8" w:color="EBFBFF"/>
            </w:tcBorders>
            <w:shd w:val="clear" w:color="auto" w:fill="EBFBFF"/>
          </w:tcPr>
          <w:p>
            <w:pPr>
              <w:spacing w:after="0"/>
              <w:rPr>
                <w:sz w:val="23"/>
                <w:szCs w:val="23"/>
                <w:color w:val="auto"/>
              </w:rPr>
            </w:pPr>
          </w:p>
        </w:tc>
        <w:tc>
          <w:tcPr>
            <w:tcW w:w="12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8,025</w:t>
            </w:r>
          </w:p>
        </w:tc>
        <w:tc>
          <w:tcPr>
            <w:tcW w:w="400" w:type="dxa"/>
            <w:vAlign w:val="bottom"/>
            <w:tcBorders>
              <w:bottom w:val="single" w:sz="8" w:color="EBFBFF"/>
            </w:tcBorders>
            <w:shd w:val="clear" w:color="auto" w:fill="EBFBFF"/>
          </w:tcPr>
          <w:p>
            <w:pPr>
              <w:spacing w:after="0"/>
              <w:rPr>
                <w:sz w:val="23"/>
                <w:szCs w:val="23"/>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9,310</w:t>
            </w:r>
          </w:p>
        </w:tc>
        <w:tc>
          <w:tcPr>
            <w:tcW w:w="20" w:type="dxa"/>
            <w:vAlign w:val="bottom"/>
          </w:tcPr>
          <w:p>
            <w:pPr>
              <w:spacing w:after="0"/>
              <w:rPr>
                <w:sz w:val="23"/>
                <w:szCs w:val="23"/>
                <w:color w:val="auto"/>
              </w:rPr>
            </w:pPr>
          </w:p>
        </w:tc>
      </w:tr>
      <w:tr>
        <w:trPr>
          <w:trHeight w:val="237"/>
        </w:trPr>
        <w:tc>
          <w:tcPr>
            <w:tcW w:w="7940" w:type="dxa"/>
            <w:vAlign w:val="bottom"/>
          </w:tcPr>
          <w:p>
            <w:pPr>
              <w:ind w:left="140"/>
              <w:spacing w:after="0"/>
              <w:rPr>
                <w:sz w:val="20"/>
                <w:szCs w:val="20"/>
                <w:color w:val="auto"/>
              </w:rPr>
            </w:pPr>
            <w:r>
              <w:rPr>
                <w:rFonts w:ascii="Arial" w:cs="Arial" w:eastAsia="Arial" w:hAnsi="Arial"/>
                <w:sz w:val="18"/>
                <w:szCs w:val="18"/>
                <w:color w:val="51555C"/>
              </w:rPr>
              <w:t>Total accrued expenses and other liabilities</w:t>
            </w:r>
          </w:p>
        </w:tc>
        <w:tc>
          <w:tcPr>
            <w:tcW w:w="380" w:type="dxa"/>
            <w:vAlign w:val="bottom"/>
            <w:tcBorders>
              <w:top w:val="single" w:sz="8" w:color="51555C"/>
            </w:tcBorders>
          </w:tcPr>
          <w:p>
            <w:pPr>
              <w:spacing w:after="0"/>
              <w:rPr>
                <w:sz w:val="20"/>
                <w:szCs w:val="20"/>
                <w:color w:val="auto"/>
              </w:rPr>
            </w:pPr>
          </w:p>
        </w:tc>
        <w:tc>
          <w:tcPr>
            <w:tcW w:w="12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84,246</w:t>
            </w:r>
          </w:p>
        </w:tc>
        <w:tc>
          <w:tcPr>
            <w:tcW w:w="400" w:type="dxa"/>
            <w:vAlign w:val="bottom"/>
            <w:tcBorders>
              <w:top w:val="single" w:sz="8" w:color="51555C"/>
            </w:tcBorders>
          </w:tcPr>
          <w:p>
            <w:pPr>
              <w:spacing w:after="0"/>
              <w:rPr>
                <w:sz w:val="20"/>
                <w:szCs w:val="20"/>
                <w:color w:val="auto"/>
              </w:rPr>
            </w:pPr>
          </w:p>
        </w:tc>
        <w:tc>
          <w:tcPr>
            <w:tcW w:w="12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101,440</w:t>
            </w:r>
          </w:p>
        </w:tc>
        <w:tc>
          <w:tcPr>
            <w:tcW w:w="20" w:type="dxa"/>
            <w:vAlign w:val="bottom"/>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Less: Long-term portion</w:t>
            </w:r>
          </w:p>
        </w:tc>
        <w:tc>
          <w:tcPr>
            <w:tcW w:w="380" w:type="dxa"/>
            <w:vAlign w:val="bottom"/>
            <w:tcBorders>
              <w:bottom w:val="single" w:sz="8" w:color="EBFBFF"/>
            </w:tcBorders>
            <w:shd w:val="clear" w:color="auto" w:fill="EBFBFF"/>
          </w:tcPr>
          <w:p>
            <w:pPr>
              <w:spacing w:after="0"/>
              <w:rPr>
                <w:sz w:val="23"/>
                <w:szCs w:val="23"/>
                <w:color w:val="auto"/>
              </w:rPr>
            </w:pPr>
          </w:p>
        </w:tc>
        <w:tc>
          <w:tcPr>
            <w:tcW w:w="12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5,775</w:t>
            </w:r>
          </w:p>
        </w:tc>
        <w:tc>
          <w:tcPr>
            <w:tcW w:w="400" w:type="dxa"/>
            <w:vAlign w:val="bottom"/>
            <w:tcBorders>
              <w:bottom w:val="single" w:sz="8" w:color="EBFBFF"/>
            </w:tcBorders>
            <w:shd w:val="clear" w:color="auto" w:fill="EBFBFF"/>
          </w:tcPr>
          <w:p>
            <w:pPr>
              <w:spacing w:after="0"/>
              <w:rPr>
                <w:sz w:val="23"/>
                <w:szCs w:val="23"/>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1,344</w:t>
            </w:r>
          </w:p>
        </w:tc>
        <w:tc>
          <w:tcPr>
            <w:tcW w:w="20" w:type="dxa"/>
            <w:vAlign w:val="bottom"/>
          </w:tcPr>
          <w:p>
            <w:pPr>
              <w:spacing w:after="0"/>
              <w:rPr>
                <w:sz w:val="23"/>
                <w:szCs w:val="23"/>
                <w:color w:val="auto"/>
              </w:rPr>
            </w:pP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color w:val="51555C"/>
              </w:rPr>
              <w:t>Accrued expenses and other current liabilities</w:t>
            </w:r>
          </w:p>
        </w:tc>
        <w:tc>
          <w:tcPr>
            <w:tcW w:w="380" w:type="dxa"/>
            <w:vAlign w:val="bottom"/>
            <w:tcBorders>
              <w:top w:val="single" w:sz="8" w:color="51555C"/>
            </w:tcBorders>
          </w:tcPr>
          <w:p>
            <w:pPr>
              <w:jc w:val="right"/>
              <w:ind w:right="170"/>
              <w:spacing w:after="0"/>
              <w:rPr>
                <w:sz w:val="20"/>
                <w:szCs w:val="20"/>
                <w:color w:val="auto"/>
              </w:rPr>
            </w:pPr>
            <w:r>
              <w:rPr>
                <w:rFonts w:ascii="Arial" w:cs="Arial" w:eastAsia="Arial" w:hAnsi="Arial"/>
                <w:sz w:val="18"/>
                <w:szCs w:val="18"/>
                <w:color w:val="51555C"/>
                <w:w w:val="99"/>
              </w:rPr>
              <w:t>$</w:t>
            </w:r>
          </w:p>
        </w:tc>
        <w:tc>
          <w:tcPr>
            <w:tcW w:w="12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78,471</w:t>
            </w:r>
          </w:p>
        </w:tc>
        <w:tc>
          <w:tcPr>
            <w:tcW w:w="400" w:type="dxa"/>
            <w:vAlign w:val="bottom"/>
            <w:tcBorders>
              <w:top w:val="single" w:sz="8" w:color="51555C"/>
            </w:tcBorders>
          </w:tcPr>
          <w:p>
            <w:pPr>
              <w:jc w:val="right"/>
              <w:ind w:right="190"/>
              <w:spacing w:after="0"/>
              <w:rPr>
                <w:sz w:val="20"/>
                <w:szCs w:val="20"/>
                <w:color w:val="auto"/>
              </w:rPr>
            </w:pPr>
            <w:r>
              <w:rPr>
                <w:rFonts w:ascii="Arial" w:cs="Arial" w:eastAsia="Arial" w:hAnsi="Arial"/>
                <w:sz w:val="18"/>
                <w:szCs w:val="18"/>
                <w:color w:val="51555C"/>
                <w:w w:val="99"/>
              </w:rPr>
              <w:t>$</w:t>
            </w:r>
          </w:p>
        </w:tc>
        <w:tc>
          <w:tcPr>
            <w:tcW w:w="12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100,096</w:t>
            </w:r>
          </w:p>
        </w:tc>
        <w:tc>
          <w:tcPr>
            <w:tcW w:w="20" w:type="dxa"/>
            <w:vAlign w:val="bottom"/>
          </w:tcPr>
          <w:p>
            <w:pPr>
              <w:spacing w:after="0"/>
              <w:rPr>
                <w:sz w:val="20"/>
                <w:szCs w:val="20"/>
                <w:color w:val="auto"/>
              </w:rPr>
            </w:pPr>
          </w:p>
        </w:tc>
      </w:tr>
      <w:tr>
        <w:trPr>
          <w:trHeight w:val="27"/>
        </w:trPr>
        <w:tc>
          <w:tcPr>
            <w:tcW w:w="7940" w:type="dxa"/>
            <w:vAlign w:val="bottom"/>
            <w:tcBorders>
              <w:bottom w:val="single" w:sz="8" w:color="0CD973"/>
            </w:tcBorders>
          </w:tcPr>
          <w:p>
            <w:pPr>
              <w:spacing w:after="0"/>
              <w:rPr>
                <w:sz w:val="2"/>
                <w:szCs w:val="2"/>
                <w:color w:val="auto"/>
              </w:rPr>
            </w:pPr>
          </w:p>
        </w:tc>
        <w:tc>
          <w:tcPr>
            <w:tcW w:w="380" w:type="dxa"/>
            <w:vAlign w:val="bottom"/>
            <w:tcBorders>
              <w:bottom w:val="single" w:sz="8" w:color="0CD973"/>
            </w:tcBorders>
          </w:tcPr>
          <w:p>
            <w:pPr>
              <w:spacing w:after="0"/>
              <w:rPr>
                <w:sz w:val="2"/>
                <w:szCs w:val="2"/>
                <w:color w:val="auto"/>
              </w:rPr>
            </w:pPr>
          </w:p>
        </w:tc>
        <w:tc>
          <w:tcPr>
            <w:tcW w:w="1280" w:type="dxa"/>
            <w:vAlign w:val="bottom"/>
            <w:tcBorders>
              <w:bottom w:val="single" w:sz="8" w:color="0CD973"/>
            </w:tcBorders>
          </w:tcPr>
          <w:p>
            <w:pPr>
              <w:spacing w:after="0"/>
              <w:rPr>
                <w:sz w:val="2"/>
                <w:szCs w:val="2"/>
                <w:color w:val="auto"/>
              </w:rPr>
            </w:pPr>
          </w:p>
        </w:tc>
        <w:tc>
          <w:tcPr>
            <w:tcW w:w="400" w:type="dxa"/>
            <w:vAlign w:val="bottom"/>
            <w:tcBorders>
              <w:bottom w:val="single" w:sz="8" w:color="0CD973"/>
            </w:tcBorders>
          </w:tcPr>
          <w:p>
            <w:pPr>
              <w:spacing w:after="0"/>
              <w:rPr>
                <w:sz w:val="2"/>
                <w:szCs w:val="2"/>
                <w:color w:val="auto"/>
              </w:rPr>
            </w:pPr>
          </w:p>
        </w:tc>
        <w:tc>
          <w:tcPr>
            <w:tcW w:w="124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99" w:lineRule="exact"/>
        <w:rPr>
          <w:sz w:val="20"/>
          <w:szCs w:val="20"/>
          <w:color w:val="auto"/>
        </w:rPr>
      </w:pPr>
    </w:p>
    <w:p>
      <w:pPr>
        <w:ind w:left="340" w:right="20" w:hanging="332"/>
        <w:spacing w:after="0" w:line="251" w:lineRule="auto"/>
        <w:tabs>
          <w:tab w:leader="none" w:pos="354"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We deferred payments of the employer's portion of Social Security taxes during 2020 under the Coronavirus, Aid, Relief and Economic Security Act, half of which was due by the end of calendar year 2021 with the remainder due by the end of calendar year 2022.</w:t>
      </w:r>
    </w:p>
    <w:p>
      <w:pPr>
        <w:ind w:left="340" w:hanging="332"/>
        <w:spacing w:after="0"/>
        <w:tabs>
          <w:tab w:leader="none" w:pos="340"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All accrued legal costs are classified as current.</w:t>
      </w:r>
    </w:p>
    <w:p>
      <w:pPr>
        <w:spacing w:after="0" w:line="14" w:lineRule="exact"/>
        <w:rPr>
          <w:rFonts w:ascii="Arial" w:cs="Arial" w:eastAsia="Arial" w:hAnsi="Arial"/>
          <w:sz w:val="14"/>
          <w:szCs w:val="14"/>
          <w:color w:val="51555C"/>
        </w:rPr>
      </w:pPr>
    </w:p>
    <w:p>
      <w:pPr>
        <w:ind w:left="340" w:hanging="332"/>
        <w:spacing w:after="0"/>
        <w:tabs>
          <w:tab w:leader="none" w:pos="340"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See discussion of our acquisition of Kilter at Note 3 to these condensed consolidated financial statements.</w:t>
      </w:r>
    </w:p>
    <w:p>
      <w:pPr>
        <w:spacing w:after="0" w:line="14" w:lineRule="exact"/>
        <w:rPr>
          <w:rFonts w:ascii="Arial" w:cs="Arial" w:eastAsia="Arial" w:hAnsi="Arial"/>
          <w:sz w:val="14"/>
          <w:szCs w:val="14"/>
          <w:color w:val="51555C"/>
        </w:rPr>
      </w:pPr>
    </w:p>
    <w:p>
      <w:pPr>
        <w:ind w:left="340" w:right="20" w:hanging="332"/>
        <w:spacing w:after="0" w:line="278" w:lineRule="auto"/>
        <w:tabs>
          <w:tab w:leader="none" w:pos="354"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Represents amounts that had not been paid by EVERFI to its former option holders as of December 31, 2021, solely due to the timing of the acquisition on the last day of 2021. See Note 3 to these condensed consolidated financial statements for additional information regarding our acquisition of EVERFI.</w:t>
      </w:r>
    </w:p>
    <w:p>
      <w:pPr>
        <w:spacing w:after="0" w:line="200" w:lineRule="exact"/>
        <w:rPr>
          <w:sz w:val="20"/>
          <w:szCs w:val="20"/>
          <w:color w:val="auto"/>
        </w:rPr>
      </w:pPr>
    </w:p>
    <w:p>
      <w:pPr>
        <w:spacing w:after="0" w:line="3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51555C"/>
        </w:rPr>
        <w:t>Other income, net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0" w:type="dxa"/>
            <w:vAlign w:val="bottom"/>
            <w:shd w:val="clear" w:color="auto" w:fill="004054"/>
          </w:tcPr>
          <w:p>
            <w:pPr>
              <w:spacing w:after="0"/>
              <w:rPr>
                <w:sz w:val="17"/>
                <w:szCs w:val="17"/>
                <w:color w:val="auto"/>
              </w:rPr>
            </w:pPr>
          </w:p>
        </w:tc>
        <w:tc>
          <w:tcPr>
            <w:tcW w:w="620" w:type="dxa"/>
            <w:vAlign w:val="bottom"/>
            <w:shd w:val="clear" w:color="auto" w:fill="004054"/>
          </w:tcPr>
          <w:p>
            <w:pPr>
              <w:spacing w:after="0"/>
              <w:rPr>
                <w:sz w:val="17"/>
                <w:szCs w:val="17"/>
                <w:color w:val="auto"/>
              </w:rPr>
            </w:pPr>
          </w:p>
        </w:tc>
        <w:tc>
          <w:tcPr>
            <w:tcW w:w="1020" w:type="dxa"/>
            <w:vAlign w:val="bottom"/>
            <w:shd w:val="clear" w:color="auto" w:fill="004054"/>
          </w:tcPr>
          <w:p>
            <w:pPr>
              <w:spacing w:after="0"/>
              <w:rPr>
                <w:sz w:val="17"/>
                <w:szCs w:val="17"/>
                <w:color w:val="auto"/>
              </w:rPr>
            </w:pPr>
          </w:p>
        </w:tc>
        <w:tc>
          <w:tcPr>
            <w:tcW w:w="160" w:type="dxa"/>
            <w:vAlign w:val="bottom"/>
            <w:shd w:val="clear" w:color="auto" w:fill="004054"/>
          </w:tcPr>
          <w:p>
            <w:pPr>
              <w:spacing w:after="0"/>
              <w:rPr>
                <w:sz w:val="17"/>
                <w:szCs w:val="17"/>
                <w:color w:val="auto"/>
              </w:rPr>
            </w:pPr>
          </w:p>
        </w:tc>
        <w:tc>
          <w:tcPr>
            <w:tcW w:w="148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7"/>
                <w:szCs w:val="17"/>
                <w:color w:val="auto"/>
              </w:rPr>
            </w:pPr>
          </w:p>
        </w:tc>
        <w:tc>
          <w:tcPr>
            <w:tcW w:w="600" w:type="dxa"/>
            <w:vAlign w:val="bottom"/>
            <w:shd w:val="clear" w:color="auto" w:fill="004054"/>
          </w:tcPr>
          <w:p>
            <w:pPr>
              <w:spacing w:after="0"/>
              <w:rPr>
                <w:sz w:val="17"/>
                <w:szCs w:val="17"/>
                <w:color w:val="auto"/>
              </w:rPr>
            </w:pPr>
          </w:p>
        </w:tc>
        <w:tc>
          <w:tcPr>
            <w:tcW w:w="1020" w:type="dxa"/>
            <w:vAlign w:val="bottom"/>
            <w:shd w:val="clear" w:color="auto" w:fill="004054"/>
          </w:tcPr>
          <w:p>
            <w:pPr>
              <w:spacing w:after="0"/>
              <w:rPr>
                <w:sz w:val="17"/>
                <w:szCs w:val="17"/>
                <w:color w:val="auto"/>
              </w:rPr>
            </w:pPr>
          </w:p>
        </w:tc>
        <w:tc>
          <w:tcPr>
            <w:tcW w:w="200" w:type="dxa"/>
            <w:vAlign w:val="bottom"/>
            <w:shd w:val="clear" w:color="auto" w:fill="004054"/>
          </w:tcPr>
          <w:p>
            <w:pPr>
              <w:spacing w:after="0"/>
              <w:rPr>
                <w:sz w:val="17"/>
                <w:szCs w:val="17"/>
                <w:color w:val="auto"/>
              </w:rPr>
            </w:pPr>
          </w:p>
        </w:tc>
        <w:tc>
          <w:tcPr>
            <w:tcW w:w="14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7"/>
                <w:szCs w:val="17"/>
                <w:color w:val="auto"/>
              </w:rPr>
            </w:pPr>
          </w:p>
        </w:tc>
      </w:tr>
      <w:tr>
        <w:trPr>
          <w:trHeight w:val="190"/>
        </w:trPr>
        <w:tc>
          <w:tcPr>
            <w:tcW w:w="4600" w:type="dxa"/>
            <w:vAlign w:val="bottom"/>
            <w:shd w:val="clear" w:color="auto" w:fill="004054"/>
          </w:tcPr>
          <w:p>
            <w:pPr>
              <w:spacing w:after="0"/>
              <w:rPr>
                <w:sz w:val="16"/>
                <w:szCs w:val="16"/>
                <w:color w:val="auto"/>
              </w:rPr>
            </w:pPr>
          </w:p>
        </w:tc>
        <w:tc>
          <w:tcPr>
            <w:tcW w:w="620" w:type="dxa"/>
            <w:vAlign w:val="bottom"/>
            <w:shd w:val="clear" w:color="auto" w:fill="004054"/>
          </w:tcPr>
          <w:p>
            <w:pPr>
              <w:spacing w:after="0"/>
              <w:rPr>
                <w:sz w:val="16"/>
                <w:szCs w:val="16"/>
                <w:color w:val="auto"/>
              </w:rPr>
            </w:pPr>
          </w:p>
        </w:tc>
        <w:tc>
          <w:tcPr>
            <w:tcW w:w="1020" w:type="dxa"/>
            <w:vAlign w:val="bottom"/>
            <w:shd w:val="clear" w:color="auto" w:fill="004054"/>
          </w:tcPr>
          <w:p>
            <w:pPr>
              <w:spacing w:after="0"/>
              <w:rPr>
                <w:sz w:val="16"/>
                <w:szCs w:val="16"/>
                <w:color w:val="auto"/>
              </w:rPr>
            </w:pPr>
          </w:p>
        </w:tc>
        <w:tc>
          <w:tcPr>
            <w:tcW w:w="160" w:type="dxa"/>
            <w:vAlign w:val="bottom"/>
            <w:shd w:val="clear" w:color="auto" w:fill="004054"/>
          </w:tcPr>
          <w:p>
            <w:pPr>
              <w:spacing w:after="0"/>
              <w:rPr>
                <w:sz w:val="16"/>
                <w:szCs w:val="16"/>
                <w:color w:val="auto"/>
              </w:rPr>
            </w:pPr>
          </w:p>
        </w:tc>
        <w:tc>
          <w:tcPr>
            <w:tcW w:w="148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6"/>
                <w:szCs w:val="16"/>
                <w:color w:val="auto"/>
              </w:rPr>
            </w:pPr>
          </w:p>
        </w:tc>
        <w:tc>
          <w:tcPr>
            <w:tcW w:w="600" w:type="dxa"/>
            <w:vAlign w:val="bottom"/>
            <w:shd w:val="clear" w:color="auto" w:fill="004054"/>
          </w:tcPr>
          <w:p>
            <w:pPr>
              <w:spacing w:after="0"/>
              <w:rPr>
                <w:sz w:val="16"/>
                <w:szCs w:val="16"/>
                <w:color w:val="auto"/>
              </w:rPr>
            </w:pPr>
          </w:p>
        </w:tc>
        <w:tc>
          <w:tcPr>
            <w:tcW w:w="1020" w:type="dxa"/>
            <w:vAlign w:val="bottom"/>
            <w:shd w:val="clear" w:color="auto" w:fill="004054"/>
          </w:tcPr>
          <w:p>
            <w:pPr>
              <w:spacing w:after="0"/>
              <w:rPr>
                <w:sz w:val="16"/>
                <w:szCs w:val="16"/>
                <w:color w:val="auto"/>
              </w:rPr>
            </w:pPr>
          </w:p>
        </w:tc>
        <w:tc>
          <w:tcPr>
            <w:tcW w:w="200" w:type="dxa"/>
            <w:vAlign w:val="bottom"/>
            <w:shd w:val="clear" w:color="auto" w:fill="004054"/>
          </w:tcPr>
          <w:p>
            <w:pPr>
              <w:spacing w:after="0"/>
              <w:rPr>
                <w:sz w:val="16"/>
                <w:szCs w:val="16"/>
                <w:color w:val="auto"/>
              </w:rPr>
            </w:pPr>
          </w:p>
        </w:tc>
        <w:tc>
          <w:tcPr>
            <w:tcW w:w="14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6"/>
                <w:szCs w:val="16"/>
                <w:color w:val="auto"/>
              </w:rPr>
            </w:pPr>
          </w:p>
        </w:tc>
      </w:tr>
      <w:tr>
        <w:trPr>
          <w:trHeight w:val="243"/>
        </w:trPr>
        <w:tc>
          <w:tcPr>
            <w:tcW w:w="460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620" w:type="dxa"/>
            <w:vAlign w:val="bottom"/>
            <w:shd w:val="clear" w:color="auto" w:fill="004054"/>
          </w:tcPr>
          <w:p>
            <w:pPr>
              <w:spacing w:after="0"/>
              <w:rPr>
                <w:sz w:val="21"/>
                <w:szCs w:val="21"/>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60" w:type="dxa"/>
            <w:vAlign w:val="bottom"/>
            <w:shd w:val="clear" w:color="auto" w:fill="004054"/>
          </w:tcPr>
          <w:p>
            <w:pPr>
              <w:spacing w:after="0"/>
              <w:rPr>
                <w:sz w:val="21"/>
                <w:szCs w:val="21"/>
                <w:color w:val="auto"/>
              </w:rPr>
            </w:pPr>
          </w:p>
        </w:tc>
        <w:tc>
          <w:tcPr>
            <w:tcW w:w="148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00" w:type="dxa"/>
            <w:vAlign w:val="bottom"/>
          </w:tcPr>
          <w:p>
            <w:pPr>
              <w:spacing w:after="0"/>
              <w:rPr>
                <w:sz w:val="21"/>
                <w:szCs w:val="21"/>
                <w:color w:val="auto"/>
              </w:rPr>
            </w:pPr>
          </w:p>
        </w:tc>
        <w:tc>
          <w:tcPr>
            <w:tcW w:w="600" w:type="dxa"/>
            <w:vAlign w:val="bottom"/>
            <w:shd w:val="clear" w:color="auto" w:fill="004054"/>
          </w:tcPr>
          <w:p>
            <w:pPr>
              <w:spacing w:after="0"/>
              <w:rPr>
                <w:sz w:val="21"/>
                <w:szCs w:val="21"/>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00" w:type="dxa"/>
            <w:vAlign w:val="bottom"/>
            <w:shd w:val="clear" w:color="auto" w:fill="004054"/>
          </w:tcPr>
          <w:p>
            <w:pPr>
              <w:spacing w:after="0"/>
              <w:rPr>
                <w:sz w:val="21"/>
                <w:szCs w:val="21"/>
                <w:color w:val="auto"/>
              </w:rPr>
            </w:pPr>
          </w:p>
        </w:tc>
        <w:tc>
          <w:tcPr>
            <w:tcW w:w="14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shd w:val="clear" w:color="auto" w:fill="004054"/>
          </w:tcPr>
          <w:p>
            <w:pPr>
              <w:spacing w:after="0"/>
              <w:rPr>
                <w:sz w:val="21"/>
                <w:szCs w:val="21"/>
                <w:color w:val="auto"/>
              </w:rPr>
            </w:pPr>
          </w:p>
        </w:tc>
      </w:tr>
      <w:tr>
        <w:trPr>
          <w:trHeight w:val="25"/>
        </w:trPr>
        <w:tc>
          <w:tcPr>
            <w:tcW w:w="4600" w:type="dxa"/>
            <w:vAlign w:val="bottom"/>
            <w:tcBorders>
              <w:bottom w:val="single" w:sz="8" w:color="004054"/>
            </w:tcBorders>
            <w:shd w:val="clear" w:color="auto" w:fill="004054"/>
          </w:tcPr>
          <w:p>
            <w:pPr>
              <w:spacing w:after="0"/>
              <w:rPr>
                <w:sz w:val="2"/>
                <w:szCs w:val="2"/>
                <w:color w:val="auto"/>
              </w:rPr>
            </w:pPr>
          </w:p>
        </w:tc>
        <w:tc>
          <w:tcPr>
            <w:tcW w:w="620" w:type="dxa"/>
            <w:vAlign w:val="bottom"/>
            <w:tcBorders>
              <w:bottom w:val="single" w:sz="8" w:color="004054"/>
            </w:tcBorders>
            <w:shd w:val="clear" w:color="auto" w:fill="004054"/>
          </w:tcPr>
          <w:p>
            <w:pPr>
              <w:spacing w:after="0"/>
              <w:rPr>
                <w:sz w:val="2"/>
                <w:szCs w:val="2"/>
                <w:color w:val="auto"/>
              </w:rPr>
            </w:pPr>
          </w:p>
        </w:tc>
        <w:tc>
          <w:tcPr>
            <w:tcW w:w="1020" w:type="dxa"/>
            <w:vAlign w:val="bottom"/>
            <w:tcBorders>
              <w:bottom w:val="single" w:sz="8" w:color="004054"/>
            </w:tcBorders>
            <w:shd w:val="clear" w:color="auto" w:fill="004054"/>
          </w:tcPr>
          <w:p>
            <w:pPr>
              <w:spacing w:after="0"/>
              <w:rPr>
                <w:sz w:val="2"/>
                <w:szCs w:val="2"/>
                <w:color w:val="auto"/>
              </w:rPr>
            </w:pPr>
          </w:p>
        </w:tc>
        <w:tc>
          <w:tcPr>
            <w:tcW w:w="160" w:type="dxa"/>
            <w:vAlign w:val="bottom"/>
            <w:tcBorders>
              <w:bottom w:val="single" w:sz="8" w:color="004054"/>
            </w:tcBorders>
            <w:shd w:val="clear" w:color="auto" w:fill="004054"/>
          </w:tcPr>
          <w:p>
            <w:pPr>
              <w:spacing w:after="0"/>
              <w:rPr>
                <w:sz w:val="2"/>
                <w:szCs w:val="2"/>
                <w:color w:val="auto"/>
              </w:rPr>
            </w:pPr>
          </w:p>
        </w:tc>
        <w:tc>
          <w:tcPr>
            <w:tcW w:w="1480" w:type="dxa"/>
            <w:vAlign w:val="bottom"/>
            <w:tcBorders>
              <w:bottom w:val="single" w:sz="8" w:color="004054"/>
              <w:right w:val="single" w:sz="8" w:color="004054"/>
            </w:tcBorders>
            <w:shd w:val="clear" w:color="auto" w:fill="004054"/>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600" w:type="dxa"/>
            <w:vAlign w:val="bottom"/>
            <w:tcBorders>
              <w:bottom w:val="single" w:sz="8" w:color="004054"/>
            </w:tcBorders>
            <w:shd w:val="clear" w:color="auto" w:fill="004054"/>
          </w:tcPr>
          <w:p>
            <w:pPr>
              <w:spacing w:after="0"/>
              <w:rPr>
                <w:sz w:val="2"/>
                <w:szCs w:val="2"/>
                <w:color w:val="auto"/>
              </w:rPr>
            </w:pPr>
          </w:p>
        </w:tc>
        <w:tc>
          <w:tcPr>
            <w:tcW w:w="1020" w:type="dxa"/>
            <w:vAlign w:val="bottom"/>
            <w:tcBorders>
              <w:bottom w:val="single" w:sz="8" w:color="004054"/>
            </w:tcBorders>
            <w:shd w:val="clear" w:color="auto" w:fill="004054"/>
          </w:tcPr>
          <w:p>
            <w:pPr>
              <w:spacing w:after="0"/>
              <w:rPr>
                <w:sz w:val="2"/>
                <w:szCs w:val="2"/>
                <w:color w:val="auto"/>
              </w:rPr>
            </w:pPr>
          </w:p>
        </w:tc>
        <w:tc>
          <w:tcPr>
            <w:tcW w:w="200" w:type="dxa"/>
            <w:vAlign w:val="bottom"/>
            <w:tcBorders>
              <w:bottom w:val="single" w:sz="8" w:color="004054"/>
            </w:tcBorders>
            <w:shd w:val="clear" w:color="auto" w:fill="004054"/>
          </w:tcPr>
          <w:p>
            <w:pPr>
              <w:spacing w:after="0"/>
              <w:rPr>
                <w:sz w:val="2"/>
                <w:szCs w:val="2"/>
                <w:color w:val="auto"/>
              </w:rPr>
            </w:pPr>
          </w:p>
        </w:tc>
        <w:tc>
          <w:tcPr>
            <w:tcW w:w="1440" w:type="dxa"/>
            <w:vAlign w:val="bottom"/>
            <w:tcBorders>
              <w:bottom w:val="single" w:sz="8" w:color="004054"/>
            </w:tcBorders>
            <w:shd w:val="clear" w:color="auto" w:fill="004054"/>
          </w:tcPr>
          <w:p>
            <w:pPr>
              <w:spacing w:after="0"/>
              <w:rPr>
                <w:sz w:val="2"/>
                <w:szCs w:val="2"/>
                <w:color w:val="auto"/>
              </w:rPr>
            </w:pPr>
          </w:p>
        </w:tc>
        <w:tc>
          <w:tcPr>
            <w:tcW w:w="20" w:type="dxa"/>
            <w:vAlign w:val="bottom"/>
            <w:tcBorders>
              <w:bottom w:val="single" w:sz="8" w:color="004054"/>
            </w:tcBorders>
            <w:shd w:val="clear" w:color="auto" w:fill="004054"/>
          </w:tcPr>
          <w:p>
            <w:pPr>
              <w:spacing w:after="0"/>
              <w:rPr>
                <w:sz w:val="2"/>
                <w:szCs w:val="2"/>
                <w:color w:val="auto"/>
              </w:rPr>
            </w:pPr>
          </w:p>
        </w:tc>
      </w:tr>
      <w:tr>
        <w:trPr>
          <w:trHeight w:val="243"/>
        </w:trPr>
        <w:tc>
          <w:tcPr>
            <w:tcW w:w="46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Interest income</w:t>
            </w:r>
          </w:p>
        </w:tc>
        <w:tc>
          <w:tcPr>
            <w:tcW w:w="620" w:type="dxa"/>
            <w:vAlign w:val="bottom"/>
            <w:tcBorders>
              <w:bottom w:val="single" w:sz="8" w:color="EBFBFF"/>
            </w:tcBorders>
            <w:shd w:val="clear" w:color="auto" w:fill="EBFBFF"/>
          </w:tcPr>
          <w:p>
            <w:pPr>
              <w:jc w:val="right"/>
              <w:ind w:right="410"/>
              <w:spacing w:after="0"/>
              <w:rPr>
                <w:sz w:val="20"/>
                <w:szCs w:val="20"/>
                <w:color w:val="auto"/>
              </w:rPr>
            </w:pPr>
            <w:r>
              <w:rPr>
                <w:rFonts w:ascii="Arial" w:cs="Arial" w:eastAsia="Arial" w:hAnsi="Arial"/>
                <w:sz w:val="18"/>
                <w:szCs w:val="18"/>
                <w:color w:val="51555C"/>
                <w:w w:val="99"/>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671</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79"/>
              </w:rPr>
              <w:t>$</w:t>
            </w:r>
          </w:p>
        </w:tc>
        <w:tc>
          <w:tcPr>
            <w:tcW w:w="1480" w:type="dxa"/>
            <w:vAlign w:val="bottom"/>
            <w:tcBorders>
              <w:bottom w:val="single" w:sz="8" w:color="EBFBFF"/>
              <w:right w:val="single" w:sz="8" w:color="EBFBFF"/>
            </w:tcBorders>
            <w:shd w:val="clear" w:color="auto" w:fill="EBFBFF"/>
          </w:tcPr>
          <w:p>
            <w:pPr>
              <w:jc w:val="right"/>
              <w:ind w:right="19"/>
              <w:spacing w:after="0"/>
              <w:rPr>
                <w:sz w:val="20"/>
                <w:szCs w:val="20"/>
                <w:color w:val="auto"/>
              </w:rPr>
            </w:pPr>
            <w:r>
              <w:rPr>
                <w:rFonts w:ascii="Arial" w:cs="Arial" w:eastAsia="Arial" w:hAnsi="Arial"/>
                <w:sz w:val="18"/>
                <w:szCs w:val="18"/>
                <w:color w:val="51555C"/>
              </w:rPr>
              <w:t>82</w:t>
            </w:r>
          </w:p>
        </w:tc>
        <w:tc>
          <w:tcPr>
            <w:tcW w:w="700" w:type="dxa"/>
            <w:vAlign w:val="bottom"/>
            <w:tcBorders>
              <w:bottom w:val="single" w:sz="8" w:color="EBFBFF"/>
            </w:tcBorders>
            <w:gridSpan w:val="2"/>
            <w:shd w:val="clear" w:color="auto" w:fill="EBFBFF"/>
          </w:tcPr>
          <w:p>
            <w:pPr>
              <w:jc w:val="right"/>
              <w:ind w:right="390"/>
              <w:spacing w:after="0"/>
              <w:rPr>
                <w:sz w:val="20"/>
                <w:szCs w:val="20"/>
                <w:color w:val="auto"/>
              </w:rPr>
            </w:pPr>
            <w:r>
              <w:rPr>
                <w:rFonts w:ascii="Arial" w:cs="Arial" w:eastAsia="Arial" w:hAnsi="Arial"/>
                <w:sz w:val="18"/>
                <w:szCs w:val="18"/>
                <w:color w:val="51555C"/>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908</w:t>
            </w:r>
          </w:p>
        </w:tc>
        <w:tc>
          <w:tcPr>
            <w:tcW w:w="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440" w:type="dxa"/>
            <w:vAlign w:val="bottom"/>
            <w:tcBorders>
              <w:bottom w:val="single" w:sz="8" w:color="EBFBFF"/>
            </w:tcBorders>
            <w:shd w:val="clear" w:color="auto" w:fill="EBFBFF"/>
          </w:tcPr>
          <w:p>
            <w:pPr>
              <w:jc w:val="center"/>
              <w:ind w:left="899"/>
              <w:spacing w:after="0"/>
              <w:rPr>
                <w:sz w:val="20"/>
                <w:szCs w:val="20"/>
                <w:color w:val="auto"/>
              </w:rPr>
            </w:pPr>
            <w:r>
              <w:rPr>
                <w:rFonts w:ascii="Arial" w:cs="Arial" w:eastAsia="Arial" w:hAnsi="Arial"/>
                <w:sz w:val="18"/>
                <w:szCs w:val="18"/>
                <w:color w:val="51555C"/>
                <w:w w:val="99"/>
              </w:rPr>
              <w:t>311</w:t>
            </w:r>
          </w:p>
        </w:tc>
        <w:tc>
          <w:tcPr>
            <w:tcW w:w="20" w:type="dxa"/>
            <w:vAlign w:val="bottom"/>
          </w:tcPr>
          <w:p>
            <w:pPr>
              <w:spacing w:after="0"/>
              <w:rPr>
                <w:sz w:val="21"/>
                <w:szCs w:val="2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51555C"/>
              </w:rPr>
              <w:t>Currency revaluation gains (losses)</w:t>
            </w: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2,991</w:t>
            </w:r>
          </w:p>
        </w:tc>
        <w:tc>
          <w:tcPr>
            <w:tcW w:w="16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51555C"/>
              </w:rPr>
              <w:t>609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5,843</w:t>
            </w:r>
          </w:p>
        </w:tc>
        <w:tc>
          <w:tcPr>
            <w:tcW w:w="200" w:type="dxa"/>
            <w:vAlign w:val="bottom"/>
          </w:tcPr>
          <w:p>
            <w:pPr>
              <w:spacing w:after="0"/>
              <w:rPr>
                <w:sz w:val="21"/>
                <w:szCs w:val="21"/>
                <w:color w:val="auto"/>
              </w:rPr>
            </w:pPr>
          </w:p>
        </w:tc>
        <w:tc>
          <w:tcPr>
            <w:tcW w:w="1440" w:type="dxa"/>
            <w:vAlign w:val="bottom"/>
          </w:tcPr>
          <w:p>
            <w:pPr>
              <w:jc w:val="center"/>
              <w:ind w:left="899"/>
              <w:spacing w:after="0"/>
              <w:rPr>
                <w:sz w:val="20"/>
                <w:szCs w:val="20"/>
                <w:color w:val="auto"/>
              </w:rPr>
            </w:pPr>
            <w:r>
              <w:rPr>
                <w:rFonts w:ascii="Arial" w:cs="Arial" w:eastAsia="Arial" w:hAnsi="Arial"/>
                <w:sz w:val="18"/>
                <w:szCs w:val="18"/>
                <w:color w:val="51555C"/>
                <w:w w:val="99"/>
              </w:rPr>
              <w:t>(558)</w:t>
            </w:r>
          </w:p>
        </w:tc>
        <w:tc>
          <w:tcPr>
            <w:tcW w:w="2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6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 income, net</w:t>
            </w:r>
          </w:p>
        </w:tc>
        <w:tc>
          <w:tcPr>
            <w:tcW w:w="62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792</w:t>
            </w:r>
          </w:p>
        </w:tc>
        <w:tc>
          <w:tcPr>
            <w:tcW w:w="160" w:type="dxa"/>
            <w:vAlign w:val="bottom"/>
            <w:tcBorders>
              <w:bottom w:val="single" w:sz="8" w:color="EBFBFF"/>
            </w:tcBorders>
            <w:shd w:val="clear" w:color="auto" w:fill="EBFBFF"/>
          </w:tcPr>
          <w:p>
            <w:pPr>
              <w:spacing w:after="0"/>
              <w:rPr>
                <w:sz w:val="23"/>
                <w:szCs w:val="23"/>
                <w:color w:val="auto"/>
              </w:rPr>
            </w:pPr>
          </w:p>
        </w:tc>
        <w:tc>
          <w:tcPr>
            <w:tcW w:w="1480" w:type="dxa"/>
            <w:vAlign w:val="bottom"/>
            <w:tcBorders>
              <w:bottom w:val="single" w:sz="8" w:color="EBFBFF"/>
              <w:right w:val="single" w:sz="8" w:color="EBFBFF"/>
            </w:tcBorders>
            <w:shd w:val="clear" w:color="auto" w:fill="EBFBFF"/>
          </w:tcPr>
          <w:p>
            <w:pPr>
              <w:jc w:val="right"/>
              <w:ind w:right="19"/>
              <w:spacing w:after="0"/>
              <w:rPr>
                <w:sz w:val="20"/>
                <w:szCs w:val="20"/>
                <w:color w:val="auto"/>
              </w:rPr>
            </w:pPr>
            <w:r>
              <w:rPr>
                <w:rFonts w:ascii="Arial" w:cs="Arial" w:eastAsia="Arial" w:hAnsi="Arial"/>
                <w:sz w:val="18"/>
                <w:szCs w:val="18"/>
                <w:color w:val="51555C"/>
              </w:rPr>
              <w:t>171</w:t>
            </w:r>
          </w:p>
        </w:tc>
        <w:tc>
          <w:tcPr>
            <w:tcW w:w="100" w:type="dxa"/>
            <w:vAlign w:val="bottom"/>
            <w:tcBorders>
              <w:bottom w:val="single" w:sz="8" w:color="EBFBFF"/>
            </w:tcBorders>
            <w:shd w:val="clear" w:color="auto" w:fill="EBFBFF"/>
          </w:tcPr>
          <w:p>
            <w:pPr>
              <w:spacing w:after="0"/>
              <w:rPr>
                <w:sz w:val="23"/>
                <w:szCs w:val="23"/>
                <w:color w:val="auto"/>
              </w:rPr>
            </w:pPr>
          </w:p>
        </w:tc>
        <w:tc>
          <w:tcPr>
            <w:tcW w:w="60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1,957</w:t>
            </w:r>
          </w:p>
        </w:tc>
        <w:tc>
          <w:tcPr>
            <w:tcW w:w="200" w:type="dxa"/>
            <w:vAlign w:val="bottom"/>
            <w:tcBorders>
              <w:bottom w:val="single" w:sz="8" w:color="EBFBFF"/>
            </w:tcBorders>
            <w:shd w:val="clear" w:color="auto" w:fill="EBFBFF"/>
          </w:tcPr>
          <w:p>
            <w:pPr>
              <w:spacing w:after="0"/>
              <w:rPr>
                <w:sz w:val="23"/>
                <w:szCs w:val="23"/>
                <w:color w:val="auto"/>
              </w:rPr>
            </w:pPr>
          </w:p>
        </w:tc>
        <w:tc>
          <w:tcPr>
            <w:tcW w:w="1440" w:type="dxa"/>
            <w:vAlign w:val="bottom"/>
            <w:tcBorders>
              <w:bottom w:val="single" w:sz="8" w:color="EBFBFF"/>
            </w:tcBorders>
            <w:shd w:val="clear" w:color="auto" w:fill="EBFBFF"/>
          </w:tcPr>
          <w:p>
            <w:pPr>
              <w:jc w:val="center"/>
              <w:ind w:left="899"/>
              <w:spacing w:after="0"/>
              <w:rPr>
                <w:sz w:val="20"/>
                <w:szCs w:val="20"/>
                <w:color w:val="auto"/>
              </w:rPr>
            </w:pPr>
            <w:r>
              <w:rPr>
                <w:rFonts w:ascii="Arial" w:cs="Arial" w:eastAsia="Arial" w:hAnsi="Arial"/>
                <w:sz w:val="18"/>
                <w:szCs w:val="18"/>
                <w:color w:val="51555C"/>
                <w:w w:val="99"/>
              </w:rPr>
              <w:t>586</w:t>
            </w:r>
          </w:p>
        </w:tc>
        <w:tc>
          <w:tcPr>
            <w:tcW w:w="20" w:type="dxa"/>
            <w:vAlign w:val="bottom"/>
          </w:tcPr>
          <w:p>
            <w:pPr>
              <w:spacing w:after="0"/>
              <w:rPr>
                <w:sz w:val="23"/>
                <w:szCs w:val="23"/>
                <w:color w:val="auto"/>
              </w:rPr>
            </w:pPr>
          </w:p>
        </w:tc>
      </w:tr>
      <w:tr>
        <w:trPr>
          <w:trHeight w:val="237"/>
        </w:trPr>
        <w:tc>
          <w:tcPr>
            <w:tcW w:w="4600" w:type="dxa"/>
            <w:vAlign w:val="bottom"/>
          </w:tcPr>
          <w:p>
            <w:pPr>
              <w:ind w:left="140"/>
              <w:spacing w:after="0"/>
              <w:rPr>
                <w:sz w:val="20"/>
                <w:szCs w:val="20"/>
                <w:color w:val="auto"/>
              </w:rPr>
            </w:pPr>
            <w:r>
              <w:rPr>
                <w:rFonts w:ascii="Arial" w:cs="Arial" w:eastAsia="Arial" w:hAnsi="Arial"/>
                <w:sz w:val="18"/>
                <w:szCs w:val="18"/>
                <w:color w:val="51555C"/>
              </w:rPr>
              <w:t>Other income, net</w:t>
            </w:r>
          </w:p>
        </w:tc>
        <w:tc>
          <w:tcPr>
            <w:tcW w:w="620" w:type="dxa"/>
            <w:vAlign w:val="bottom"/>
            <w:tcBorders>
              <w:top w:val="single" w:sz="8" w:color="51555C"/>
            </w:tcBorders>
          </w:tcPr>
          <w:p>
            <w:pPr>
              <w:jc w:val="right"/>
              <w:ind w:right="410"/>
              <w:spacing w:after="0"/>
              <w:rPr>
                <w:sz w:val="20"/>
                <w:szCs w:val="20"/>
                <w:color w:val="auto"/>
              </w:rPr>
            </w:pPr>
            <w:r>
              <w:rPr>
                <w:rFonts w:ascii="Arial" w:cs="Arial" w:eastAsia="Arial" w:hAnsi="Arial"/>
                <w:sz w:val="18"/>
                <w:szCs w:val="18"/>
                <w:color w:val="51555C"/>
                <w:w w:val="99"/>
              </w:rPr>
              <w:t>$</w:t>
            </w:r>
          </w:p>
        </w:tc>
        <w:tc>
          <w:tcPr>
            <w:tcW w:w="10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4,454</w:t>
            </w:r>
          </w:p>
        </w:tc>
        <w:tc>
          <w:tcPr>
            <w:tcW w:w="1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79"/>
              </w:rPr>
              <w:t>$</w:t>
            </w:r>
          </w:p>
        </w:tc>
        <w:tc>
          <w:tcPr>
            <w:tcW w:w="1480" w:type="dxa"/>
            <w:vAlign w:val="bottom"/>
            <w:tcBorders>
              <w:top w:val="single" w:sz="8" w:color="51555C"/>
            </w:tcBorders>
          </w:tcPr>
          <w:p>
            <w:pPr>
              <w:jc w:val="right"/>
              <w:ind w:right="19"/>
              <w:spacing w:after="0"/>
              <w:rPr>
                <w:sz w:val="20"/>
                <w:szCs w:val="20"/>
                <w:color w:val="auto"/>
              </w:rPr>
            </w:pPr>
            <w:r>
              <w:rPr>
                <w:rFonts w:ascii="Arial" w:cs="Arial" w:eastAsia="Arial" w:hAnsi="Arial"/>
                <w:sz w:val="18"/>
                <w:szCs w:val="18"/>
                <w:color w:val="51555C"/>
              </w:rPr>
              <w:t>862</w:t>
            </w:r>
          </w:p>
        </w:tc>
        <w:tc>
          <w:tcPr>
            <w:tcW w:w="100" w:type="dxa"/>
            <w:vAlign w:val="bottom"/>
          </w:tcPr>
          <w:p>
            <w:pPr>
              <w:spacing w:after="0"/>
              <w:rPr>
                <w:sz w:val="20"/>
                <w:szCs w:val="20"/>
                <w:color w:val="auto"/>
              </w:rPr>
            </w:pPr>
          </w:p>
        </w:tc>
        <w:tc>
          <w:tcPr>
            <w:tcW w:w="600" w:type="dxa"/>
            <w:vAlign w:val="bottom"/>
            <w:tcBorders>
              <w:top w:val="single" w:sz="8" w:color="51555C"/>
            </w:tcBorders>
          </w:tcPr>
          <w:p>
            <w:pPr>
              <w:jc w:val="right"/>
              <w:ind w:right="390"/>
              <w:spacing w:after="0"/>
              <w:rPr>
                <w:sz w:val="20"/>
                <w:szCs w:val="20"/>
                <w:color w:val="auto"/>
              </w:rPr>
            </w:pPr>
            <w:r>
              <w:rPr>
                <w:rFonts w:ascii="Arial" w:cs="Arial" w:eastAsia="Arial" w:hAnsi="Arial"/>
                <w:sz w:val="18"/>
                <w:szCs w:val="18"/>
                <w:color w:val="51555C"/>
                <w:w w:val="99"/>
              </w:rPr>
              <w:t>$</w:t>
            </w:r>
          </w:p>
        </w:tc>
        <w:tc>
          <w:tcPr>
            <w:tcW w:w="10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8,708</w:t>
            </w:r>
          </w:p>
        </w:tc>
        <w:tc>
          <w:tcPr>
            <w:tcW w:w="2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440" w:type="dxa"/>
            <w:vAlign w:val="bottom"/>
            <w:tcBorders>
              <w:top w:val="single" w:sz="8" w:color="51555C"/>
            </w:tcBorders>
          </w:tcPr>
          <w:p>
            <w:pPr>
              <w:jc w:val="center"/>
              <w:ind w:left="899"/>
              <w:spacing w:after="0"/>
              <w:rPr>
                <w:sz w:val="20"/>
                <w:szCs w:val="20"/>
                <w:color w:val="auto"/>
              </w:rPr>
            </w:pPr>
            <w:r>
              <w:rPr>
                <w:rFonts w:ascii="Arial" w:cs="Arial" w:eastAsia="Arial" w:hAnsi="Arial"/>
                <w:sz w:val="18"/>
                <w:szCs w:val="18"/>
                <w:color w:val="51555C"/>
                <w:w w:val="99"/>
              </w:rPr>
              <w:t>339</w:t>
            </w:r>
          </w:p>
        </w:tc>
        <w:tc>
          <w:tcPr>
            <w:tcW w:w="20" w:type="dxa"/>
            <w:vAlign w:val="bottom"/>
          </w:tcPr>
          <w:p>
            <w:pPr>
              <w:spacing w:after="0"/>
              <w:rPr>
                <w:sz w:val="20"/>
                <w:szCs w:val="20"/>
                <w:color w:val="auto"/>
              </w:rPr>
            </w:pPr>
          </w:p>
        </w:tc>
      </w:tr>
      <w:tr>
        <w:trPr>
          <w:trHeight w:val="27"/>
        </w:trPr>
        <w:tc>
          <w:tcPr>
            <w:tcW w:w="4600" w:type="dxa"/>
            <w:vAlign w:val="bottom"/>
            <w:tcBorders>
              <w:bottom w:val="single" w:sz="8" w:color="0CD973"/>
            </w:tcBorders>
          </w:tcPr>
          <w:p>
            <w:pPr>
              <w:spacing w:after="0"/>
              <w:rPr>
                <w:sz w:val="2"/>
                <w:szCs w:val="2"/>
                <w:color w:val="auto"/>
              </w:rPr>
            </w:pPr>
          </w:p>
        </w:tc>
        <w:tc>
          <w:tcPr>
            <w:tcW w:w="620" w:type="dxa"/>
            <w:vAlign w:val="bottom"/>
            <w:tcBorders>
              <w:bottom w:val="single" w:sz="8" w:color="0CD973"/>
            </w:tcBorders>
          </w:tcPr>
          <w:p>
            <w:pPr>
              <w:spacing w:after="0"/>
              <w:rPr>
                <w:sz w:val="2"/>
                <w:szCs w:val="2"/>
                <w:color w:val="auto"/>
              </w:rPr>
            </w:pPr>
          </w:p>
        </w:tc>
        <w:tc>
          <w:tcPr>
            <w:tcW w:w="1020" w:type="dxa"/>
            <w:vAlign w:val="bottom"/>
            <w:tcBorders>
              <w:bottom w:val="single" w:sz="8" w:color="0CD973"/>
            </w:tcBorders>
          </w:tcPr>
          <w:p>
            <w:pPr>
              <w:spacing w:after="0"/>
              <w:rPr>
                <w:sz w:val="2"/>
                <w:szCs w:val="2"/>
                <w:color w:val="auto"/>
              </w:rPr>
            </w:pPr>
          </w:p>
        </w:tc>
        <w:tc>
          <w:tcPr>
            <w:tcW w:w="160" w:type="dxa"/>
            <w:vAlign w:val="bottom"/>
            <w:tcBorders>
              <w:bottom w:val="single" w:sz="8" w:color="0CD973"/>
            </w:tcBorders>
          </w:tcPr>
          <w:p>
            <w:pPr>
              <w:spacing w:after="0"/>
              <w:rPr>
                <w:sz w:val="2"/>
                <w:szCs w:val="2"/>
                <w:color w:val="auto"/>
              </w:rPr>
            </w:pPr>
          </w:p>
        </w:tc>
        <w:tc>
          <w:tcPr>
            <w:tcW w:w="148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1620" w:type="dxa"/>
            <w:vAlign w:val="bottom"/>
            <w:tcBorders>
              <w:bottom w:val="single" w:sz="8" w:color="0CD973"/>
            </w:tcBorders>
            <w:gridSpan w:val="2"/>
          </w:tcPr>
          <w:p>
            <w:pPr>
              <w:spacing w:after="0"/>
              <w:rPr>
                <w:sz w:val="2"/>
                <w:szCs w:val="2"/>
                <w:color w:val="auto"/>
              </w:rPr>
            </w:pPr>
          </w:p>
        </w:tc>
        <w:tc>
          <w:tcPr>
            <w:tcW w:w="200" w:type="dxa"/>
            <w:vAlign w:val="bottom"/>
            <w:tcBorders>
              <w:bottom w:val="single" w:sz="8" w:color="0CD973"/>
            </w:tcBorders>
          </w:tcPr>
          <w:p>
            <w:pPr>
              <w:spacing w:after="0"/>
              <w:rPr>
                <w:sz w:val="2"/>
                <w:szCs w:val="2"/>
                <w:color w:val="auto"/>
              </w:rPr>
            </w:pPr>
          </w:p>
        </w:tc>
        <w:tc>
          <w:tcPr>
            <w:tcW w:w="144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r>
        <w:trPr>
          <w:trHeight w:val="670"/>
        </w:trPr>
        <w:tc>
          <w:tcPr>
            <w:tcW w:w="4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gridSpan w:val="4"/>
          </w:tcPr>
          <w:p>
            <w:pPr>
              <w:jc w:val="right"/>
              <w:spacing w:after="0"/>
              <w:rPr>
                <w:sz w:val="20"/>
                <w:szCs w:val="20"/>
                <w:color w:val="auto"/>
              </w:rPr>
            </w:pPr>
            <w:r>
              <w:rPr>
                <w:rFonts w:ascii="Arial" w:cs="Arial" w:eastAsia="Arial" w:hAnsi="Arial"/>
                <w:sz w:val="14"/>
                <w:szCs w:val="14"/>
                <w:color w:val="51555C"/>
              </w:rPr>
              <w:t>Third Quarter 2022 Form 10-Q</w:t>
            </w: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51555C"/>
              </w:rPr>
              <w:t>15</w:t>
            </w:r>
          </w:p>
        </w:tc>
        <w:tc>
          <w:tcPr>
            <w:tcW w:w="20" w:type="dxa"/>
            <w:vAlign w:val="bottom"/>
          </w:tcPr>
          <w:p>
            <w:pPr>
              <w:spacing w:after="0"/>
              <w:rPr>
                <w:sz w:val="24"/>
                <w:szCs w:val="24"/>
                <w:color w:val="auto"/>
              </w:rPr>
            </w:pPr>
          </w:p>
        </w:tc>
      </w:tr>
      <w:tr>
        <w:trPr>
          <w:trHeight w:val="330"/>
        </w:trPr>
        <w:tc>
          <w:tcPr>
            <w:tcW w:w="46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-1516380</wp:posOffset>
            </wp:positionV>
            <wp:extent cx="42259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2259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-376555</wp:posOffset>
            </wp:positionV>
            <wp:extent cx="65976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8.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The following table summarizes our debt balances and the related weighted average effective interest rates, which includes the effect of interest rate swap agreements.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1200" w:type="dxa"/>
            <w:vAlign w:val="bottom"/>
            <w:shd w:val="clear" w:color="auto" w:fill="004054"/>
          </w:tcPr>
          <w:p>
            <w:pPr>
              <w:spacing w:after="0"/>
              <w:rPr>
                <w:sz w:val="16"/>
                <w:szCs w:val="16"/>
                <w:color w:val="auto"/>
              </w:rPr>
            </w:pPr>
          </w:p>
        </w:tc>
        <w:tc>
          <w:tcPr>
            <w:tcW w:w="260" w:type="dxa"/>
            <w:vAlign w:val="bottom"/>
            <w:shd w:val="clear" w:color="auto" w:fill="004054"/>
          </w:tcPr>
          <w:p>
            <w:pPr>
              <w:spacing w:after="0"/>
              <w:rPr>
                <w:sz w:val="16"/>
                <w:szCs w:val="16"/>
                <w:color w:val="auto"/>
              </w:rPr>
            </w:pPr>
          </w:p>
        </w:tc>
        <w:tc>
          <w:tcPr>
            <w:tcW w:w="1240" w:type="dxa"/>
            <w:vAlign w:val="bottom"/>
            <w:shd w:val="clear" w:color="auto" w:fill="004054"/>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shd w:val="clear" w:color="auto" w:fill="004054"/>
          </w:tcPr>
          <w:p>
            <w:pPr>
              <w:spacing w:after="0"/>
              <w:rPr>
                <w:sz w:val="16"/>
                <w:szCs w:val="16"/>
                <w:color w:val="auto"/>
              </w:rPr>
            </w:pP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Weighted average</w:t>
            </w:r>
          </w:p>
        </w:tc>
        <w:tc>
          <w:tcPr>
            <w:tcW w:w="20" w:type="dxa"/>
            <w:vAlign w:val="bottom"/>
            <w:shd w:val="clear" w:color="auto" w:fill="004054"/>
          </w:tcPr>
          <w:p>
            <w:pPr>
              <w:spacing w:after="0"/>
              <w:rPr>
                <w:sz w:val="16"/>
                <w:szCs w:val="16"/>
                <w:color w:val="auto"/>
              </w:rPr>
            </w:pPr>
          </w:p>
        </w:tc>
      </w:tr>
      <w:tr>
        <w:trPr>
          <w:trHeight w:val="204"/>
        </w:trPr>
        <w:tc>
          <w:tcPr>
            <w:tcW w:w="4820" w:type="dxa"/>
            <w:vAlign w:val="bottom"/>
            <w:shd w:val="clear" w:color="auto" w:fill="004054"/>
          </w:tcPr>
          <w:p>
            <w:pPr>
              <w:spacing w:after="0"/>
              <w:rPr>
                <w:sz w:val="17"/>
                <w:szCs w:val="17"/>
                <w:color w:val="auto"/>
              </w:rPr>
            </w:pPr>
          </w:p>
        </w:tc>
        <w:tc>
          <w:tcPr>
            <w:tcW w:w="300" w:type="dxa"/>
            <w:vAlign w:val="bottom"/>
            <w:shd w:val="clear" w:color="auto" w:fill="004054"/>
          </w:tcPr>
          <w:p>
            <w:pPr>
              <w:spacing w:after="0"/>
              <w:rPr>
                <w:sz w:val="17"/>
                <w:szCs w:val="17"/>
                <w:color w:val="auto"/>
              </w:rPr>
            </w:pPr>
          </w:p>
        </w:tc>
        <w:tc>
          <w:tcPr>
            <w:tcW w:w="1200" w:type="dxa"/>
            <w:vAlign w:val="bottom"/>
            <w:shd w:val="clear" w:color="auto" w:fill="004054"/>
          </w:tcPr>
          <w:p>
            <w:pPr>
              <w:spacing w:after="0"/>
              <w:rPr>
                <w:sz w:val="17"/>
                <w:szCs w:val="17"/>
                <w:color w:val="auto"/>
              </w:rPr>
            </w:pPr>
          </w:p>
        </w:tc>
        <w:tc>
          <w:tcPr>
            <w:tcW w:w="260" w:type="dxa"/>
            <w:vAlign w:val="bottom"/>
            <w:shd w:val="clear" w:color="auto" w:fill="004054"/>
          </w:tcPr>
          <w:p>
            <w:pPr>
              <w:spacing w:after="0"/>
              <w:rPr>
                <w:sz w:val="17"/>
                <w:szCs w:val="17"/>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Debt balance at</w:t>
            </w:r>
          </w:p>
        </w:tc>
        <w:tc>
          <w:tcPr>
            <w:tcW w:w="100" w:type="dxa"/>
            <w:vAlign w:val="bottom"/>
          </w:tcPr>
          <w:p>
            <w:pPr>
              <w:spacing w:after="0"/>
              <w:rPr>
                <w:sz w:val="17"/>
                <w:szCs w:val="17"/>
                <w:color w:val="auto"/>
              </w:rPr>
            </w:pPr>
          </w:p>
        </w:tc>
        <w:tc>
          <w:tcPr>
            <w:tcW w:w="1660" w:type="dxa"/>
            <w:vAlign w:val="bottom"/>
            <w:shd w:val="clear" w:color="auto" w:fill="004054"/>
          </w:tcPr>
          <w:p>
            <w:pPr>
              <w:spacing w:after="0"/>
              <w:rPr>
                <w:sz w:val="17"/>
                <w:szCs w:val="17"/>
                <w:color w:val="auto"/>
              </w:rPr>
            </w:pP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effective interest rate at</w:t>
            </w:r>
          </w:p>
        </w:tc>
        <w:tc>
          <w:tcPr>
            <w:tcW w:w="20" w:type="dxa"/>
            <w:vAlign w:val="bottom"/>
            <w:shd w:val="clear" w:color="auto" w:fill="004054"/>
          </w:tcPr>
          <w:p>
            <w:pPr>
              <w:spacing w:after="0"/>
              <w:rPr>
                <w:sz w:val="17"/>
                <w:szCs w:val="17"/>
                <w:color w:val="auto"/>
              </w:rPr>
            </w:pPr>
          </w:p>
        </w:tc>
      </w:tr>
      <w:tr>
        <w:trPr>
          <w:trHeight w:val="215"/>
        </w:trPr>
        <w:tc>
          <w:tcPr>
            <w:tcW w:w="4820" w:type="dxa"/>
            <w:vAlign w:val="bottom"/>
            <w:shd w:val="clear" w:color="auto" w:fill="004054"/>
          </w:tcPr>
          <w:p>
            <w:pPr>
              <w:spacing w:after="0"/>
              <w:rPr>
                <w:sz w:val="18"/>
                <w:szCs w:val="18"/>
                <w:color w:val="auto"/>
              </w:rPr>
            </w:pPr>
          </w:p>
        </w:tc>
        <w:tc>
          <w:tcPr>
            <w:tcW w:w="300" w:type="dxa"/>
            <w:vAlign w:val="bottom"/>
            <w:shd w:val="clear" w:color="auto" w:fill="004054"/>
          </w:tcPr>
          <w:p>
            <w:pPr>
              <w:spacing w:after="0"/>
              <w:rPr>
                <w:sz w:val="18"/>
                <w:szCs w:val="18"/>
                <w:color w:val="auto"/>
              </w:rPr>
            </w:pPr>
          </w:p>
        </w:tc>
        <w:tc>
          <w:tcPr>
            <w:tcW w:w="1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60" w:type="dxa"/>
            <w:vAlign w:val="bottom"/>
            <w:shd w:val="clear" w:color="auto" w:fill="004054"/>
          </w:tcPr>
          <w:p>
            <w:pPr>
              <w:spacing w:after="0"/>
              <w:rPr>
                <w:sz w:val="18"/>
                <w:szCs w:val="18"/>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00" w:type="dxa"/>
            <w:vAlign w:val="bottom"/>
          </w:tcPr>
          <w:p>
            <w:pPr>
              <w:spacing w:after="0"/>
              <w:rPr>
                <w:sz w:val="18"/>
                <w:szCs w:val="18"/>
                <w:color w:val="auto"/>
              </w:rPr>
            </w:pP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8"/>
                <w:szCs w:val="18"/>
                <w:color w:val="auto"/>
              </w:rPr>
            </w:pPr>
          </w:p>
        </w:tc>
      </w:tr>
      <w:tr>
        <w:trPr>
          <w:trHeight w:val="204"/>
        </w:trPr>
        <w:tc>
          <w:tcPr>
            <w:tcW w:w="482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00" w:type="dxa"/>
            <w:vAlign w:val="bottom"/>
            <w:shd w:val="clear" w:color="auto" w:fill="004054"/>
          </w:tcPr>
          <w:p>
            <w:pPr>
              <w:spacing w:after="0"/>
              <w:rPr>
                <w:sz w:val="17"/>
                <w:szCs w:val="17"/>
                <w:color w:val="auto"/>
              </w:rPr>
            </w:pPr>
          </w:p>
        </w:tc>
        <w:tc>
          <w:tcPr>
            <w:tcW w:w="1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60" w:type="dxa"/>
            <w:vAlign w:val="bottom"/>
            <w:shd w:val="clear" w:color="auto" w:fill="004054"/>
          </w:tcPr>
          <w:p>
            <w:pPr>
              <w:spacing w:after="0"/>
              <w:rPr>
                <w:sz w:val="17"/>
                <w:szCs w:val="17"/>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00" w:type="dxa"/>
            <w:vAlign w:val="bottom"/>
          </w:tcPr>
          <w:p>
            <w:pPr>
              <w:spacing w:after="0"/>
              <w:rPr>
                <w:sz w:val="17"/>
                <w:szCs w:val="17"/>
                <w:color w:val="auto"/>
              </w:rPr>
            </w:pP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shd w:val="clear" w:color="auto" w:fill="004054"/>
          </w:tcPr>
          <w:p>
            <w:pPr>
              <w:spacing w:after="0"/>
              <w:rPr>
                <w:sz w:val="17"/>
                <w:szCs w:val="17"/>
                <w:color w:val="auto"/>
              </w:rPr>
            </w:pPr>
          </w:p>
        </w:tc>
      </w:tr>
      <w:tr>
        <w:trPr>
          <w:trHeight w:val="26"/>
        </w:trPr>
        <w:tc>
          <w:tcPr>
            <w:tcW w:w="4820" w:type="dxa"/>
            <w:vAlign w:val="bottom"/>
            <w:tcBorders>
              <w:bottom w:val="single" w:sz="8" w:color="004054"/>
            </w:tcBorders>
            <w:shd w:val="clear" w:color="auto" w:fill="004054"/>
          </w:tcPr>
          <w:p>
            <w:pPr>
              <w:spacing w:after="0"/>
              <w:rPr>
                <w:sz w:val="2"/>
                <w:szCs w:val="2"/>
                <w:color w:val="auto"/>
              </w:rPr>
            </w:pPr>
          </w:p>
        </w:tc>
        <w:tc>
          <w:tcPr>
            <w:tcW w:w="300" w:type="dxa"/>
            <w:vAlign w:val="bottom"/>
            <w:tcBorders>
              <w:bottom w:val="single" w:sz="8" w:color="004054"/>
            </w:tcBorders>
            <w:shd w:val="clear" w:color="auto" w:fill="004054"/>
          </w:tcPr>
          <w:p>
            <w:pPr>
              <w:spacing w:after="0"/>
              <w:rPr>
                <w:sz w:val="2"/>
                <w:szCs w:val="2"/>
                <w:color w:val="auto"/>
              </w:rPr>
            </w:pPr>
          </w:p>
        </w:tc>
        <w:tc>
          <w:tcPr>
            <w:tcW w:w="1200" w:type="dxa"/>
            <w:vAlign w:val="bottom"/>
            <w:tcBorders>
              <w:bottom w:val="single" w:sz="8" w:color="004054"/>
            </w:tcBorders>
            <w:shd w:val="clear" w:color="auto" w:fill="004054"/>
          </w:tcPr>
          <w:p>
            <w:pPr>
              <w:spacing w:after="0"/>
              <w:rPr>
                <w:sz w:val="2"/>
                <w:szCs w:val="2"/>
                <w:color w:val="auto"/>
              </w:rPr>
            </w:pPr>
          </w:p>
        </w:tc>
        <w:tc>
          <w:tcPr>
            <w:tcW w:w="260" w:type="dxa"/>
            <w:vAlign w:val="bottom"/>
            <w:tcBorders>
              <w:bottom w:val="single" w:sz="8" w:color="004054"/>
            </w:tcBorders>
            <w:shd w:val="clear" w:color="auto" w:fill="004054"/>
          </w:tcPr>
          <w:p>
            <w:pPr>
              <w:spacing w:after="0"/>
              <w:rPr>
                <w:sz w:val="2"/>
                <w:szCs w:val="2"/>
                <w:color w:val="auto"/>
              </w:rPr>
            </w:pPr>
          </w:p>
        </w:tc>
        <w:tc>
          <w:tcPr>
            <w:tcW w:w="1240" w:type="dxa"/>
            <w:vAlign w:val="bottom"/>
            <w:tcBorders>
              <w:bottom w:val="single" w:sz="8" w:color="004054"/>
            </w:tcBorders>
            <w:shd w:val="clear" w:color="auto" w:fill="004054"/>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1660" w:type="dxa"/>
            <w:vAlign w:val="bottom"/>
            <w:tcBorders>
              <w:bottom w:val="single" w:sz="8" w:color="004054"/>
            </w:tcBorders>
            <w:shd w:val="clear" w:color="auto" w:fill="004054"/>
          </w:tcPr>
          <w:p>
            <w:pPr>
              <w:spacing w:after="0"/>
              <w:rPr>
                <w:sz w:val="2"/>
                <w:szCs w:val="2"/>
                <w:color w:val="auto"/>
              </w:rPr>
            </w:pPr>
          </w:p>
        </w:tc>
        <w:tc>
          <w:tcPr>
            <w:tcW w:w="1660" w:type="dxa"/>
            <w:vAlign w:val="bottom"/>
            <w:tcBorders>
              <w:bottom w:val="single" w:sz="8" w:color="004054"/>
            </w:tcBorders>
            <w:shd w:val="clear" w:color="auto" w:fill="004054"/>
          </w:tcPr>
          <w:p>
            <w:pPr>
              <w:spacing w:after="0"/>
              <w:rPr>
                <w:sz w:val="2"/>
                <w:szCs w:val="2"/>
                <w:color w:val="auto"/>
              </w:rPr>
            </w:pPr>
          </w:p>
        </w:tc>
        <w:tc>
          <w:tcPr>
            <w:tcW w:w="20" w:type="dxa"/>
            <w:vAlign w:val="bottom"/>
            <w:tcBorders>
              <w:bottom w:val="single" w:sz="8" w:color="004054"/>
            </w:tcBorders>
            <w:shd w:val="clear" w:color="auto" w:fill="004054"/>
          </w:tcPr>
          <w:p>
            <w:pPr>
              <w:spacing w:after="0"/>
              <w:rPr>
                <w:sz w:val="2"/>
                <w:szCs w:val="2"/>
                <w:color w:val="auto"/>
              </w:rPr>
            </w:pPr>
          </w:p>
        </w:tc>
      </w:tr>
      <w:tr>
        <w:trPr>
          <w:trHeight w:val="244"/>
        </w:trPr>
        <w:tc>
          <w:tcPr>
            <w:tcW w:w="48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Credit facility:</w:t>
            </w:r>
          </w:p>
        </w:tc>
        <w:tc>
          <w:tcPr>
            <w:tcW w:w="300" w:type="dxa"/>
            <w:vAlign w:val="bottom"/>
            <w:tcBorders>
              <w:bottom w:val="single" w:sz="8" w:color="EBFBFF"/>
            </w:tcBorders>
            <w:shd w:val="clear" w:color="auto" w:fill="EBFBFF"/>
          </w:tcPr>
          <w:p>
            <w:pPr>
              <w:spacing w:after="0"/>
              <w:rPr>
                <w:sz w:val="21"/>
                <w:szCs w:val="21"/>
                <w:color w:val="auto"/>
              </w:rPr>
            </w:pPr>
          </w:p>
        </w:tc>
        <w:tc>
          <w:tcPr>
            <w:tcW w:w="120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1660" w:type="dxa"/>
            <w:vAlign w:val="bottom"/>
            <w:tcBorders>
              <w:bottom w:val="single" w:sz="8" w:color="EBFBFF"/>
            </w:tcBorders>
            <w:shd w:val="clear" w:color="auto" w:fill="EBFBFF"/>
          </w:tcPr>
          <w:p>
            <w:pPr>
              <w:spacing w:after="0"/>
              <w:rPr>
                <w:sz w:val="21"/>
                <w:szCs w:val="21"/>
                <w:color w:val="auto"/>
              </w:rPr>
            </w:pPr>
          </w:p>
        </w:tc>
        <w:tc>
          <w:tcPr>
            <w:tcW w:w="166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820" w:type="dxa"/>
            <w:vAlign w:val="bottom"/>
          </w:tcPr>
          <w:p>
            <w:pPr>
              <w:ind w:left="140"/>
              <w:spacing w:after="0"/>
              <w:rPr>
                <w:sz w:val="20"/>
                <w:szCs w:val="20"/>
                <w:color w:val="auto"/>
              </w:rPr>
            </w:pPr>
            <w:r>
              <w:rPr>
                <w:rFonts w:ascii="Arial" w:cs="Arial" w:eastAsia="Arial" w:hAnsi="Arial"/>
                <w:sz w:val="18"/>
                <w:szCs w:val="18"/>
                <w:color w:val="51555C"/>
              </w:rPr>
              <w:t>Revolving credit loans</w:t>
            </w:r>
          </w:p>
        </w:tc>
        <w:tc>
          <w:tcPr>
            <w:tcW w:w="300" w:type="dxa"/>
            <w:vAlign w:val="bottom"/>
          </w:tcPr>
          <w:p>
            <w:pPr>
              <w:jc w:val="right"/>
              <w:ind w:right="90"/>
              <w:spacing w:after="0"/>
              <w:rPr>
                <w:sz w:val="20"/>
                <w:szCs w:val="20"/>
                <w:color w:val="auto"/>
              </w:rPr>
            </w:pPr>
            <w:r>
              <w:rPr>
                <w:rFonts w:ascii="Arial" w:cs="Arial" w:eastAsia="Arial" w:hAnsi="Arial"/>
                <w:sz w:val="18"/>
                <w:szCs w:val="18"/>
                <w:color w:val="51555C"/>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51555C"/>
              </w:rPr>
              <w:t>170,600</w:t>
            </w:r>
          </w:p>
        </w:tc>
        <w:tc>
          <w:tcPr>
            <w:tcW w:w="260" w:type="dxa"/>
            <w:vAlign w:val="bottom"/>
          </w:tcPr>
          <w:p>
            <w:pPr>
              <w:jc w:val="right"/>
              <w:ind w:right="50"/>
              <w:spacing w:after="0"/>
              <w:rPr>
                <w:sz w:val="20"/>
                <w:szCs w:val="20"/>
                <w:color w:val="auto"/>
              </w:rPr>
            </w:pPr>
            <w:r>
              <w:rPr>
                <w:rFonts w:ascii="Arial" w:cs="Arial" w:eastAsia="Arial" w:hAnsi="Arial"/>
                <w:sz w:val="18"/>
                <w:szCs w:val="18"/>
                <w:color w:val="51555C"/>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51555C"/>
              </w:rPr>
              <w:t>260,000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51555C"/>
              </w:rPr>
              <w:t>4.20 %</w:t>
            </w:r>
          </w:p>
        </w:tc>
        <w:tc>
          <w:tcPr>
            <w:tcW w:w="1660" w:type="dxa"/>
            <w:vAlign w:val="bottom"/>
          </w:tcPr>
          <w:p>
            <w:pPr>
              <w:jc w:val="right"/>
              <w:spacing w:after="0"/>
              <w:rPr>
                <w:sz w:val="20"/>
                <w:szCs w:val="20"/>
                <w:color w:val="auto"/>
              </w:rPr>
            </w:pPr>
            <w:r>
              <w:rPr>
                <w:rFonts w:ascii="Arial" w:cs="Arial" w:eastAsia="Arial" w:hAnsi="Arial"/>
                <w:sz w:val="18"/>
                <w:szCs w:val="18"/>
                <w:color w:val="51555C"/>
              </w:rPr>
              <w:t>3.27 %</w:t>
            </w:r>
          </w:p>
        </w:tc>
        <w:tc>
          <w:tcPr>
            <w:tcW w:w="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Term loans</w:t>
            </w:r>
          </w:p>
        </w:tc>
        <w:tc>
          <w:tcPr>
            <w:tcW w:w="300" w:type="dxa"/>
            <w:vAlign w:val="bottom"/>
            <w:tcBorders>
              <w:bottom w:val="single" w:sz="8" w:color="EBFBFF"/>
            </w:tcBorders>
            <w:shd w:val="clear" w:color="auto" w:fill="EBFBFF"/>
          </w:tcPr>
          <w:p>
            <w:pPr>
              <w:spacing w:after="0"/>
              <w:rPr>
                <w:sz w:val="21"/>
                <w:szCs w:val="21"/>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627,813</w:t>
            </w:r>
          </w:p>
        </w:tc>
        <w:tc>
          <w:tcPr>
            <w:tcW w:w="26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640,000</w:t>
            </w:r>
          </w:p>
        </w:tc>
        <w:tc>
          <w:tcPr>
            <w:tcW w:w="176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3.65 %</w:t>
            </w:r>
          </w:p>
        </w:tc>
        <w:tc>
          <w:tcPr>
            <w:tcW w:w="1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3.02 %</w:t>
            </w:r>
          </w:p>
        </w:tc>
        <w:tc>
          <w:tcPr>
            <w:tcW w:w="20" w:type="dxa"/>
            <w:vAlign w:val="bottom"/>
          </w:tcPr>
          <w:p>
            <w:pPr>
              <w:spacing w:after="0"/>
              <w:rPr>
                <w:sz w:val="21"/>
                <w:szCs w:val="2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51555C"/>
              </w:rPr>
              <w:t>Real estate loans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51555C"/>
              </w:rPr>
              <w:t>58,525</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59,480</w:t>
            </w:r>
          </w:p>
        </w:tc>
        <w:tc>
          <w:tcPr>
            <w:tcW w:w="1760" w:type="dxa"/>
            <w:vAlign w:val="bottom"/>
            <w:gridSpan w:val="2"/>
          </w:tcPr>
          <w:p>
            <w:pPr>
              <w:jc w:val="right"/>
              <w:spacing w:after="0"/>
              <w:rPr>
                <w:sz w:val="20"/>
                <w:szCs w:val="20"/>
                <w:color w:val="auto"/>
              </w:rPr>
            </w:pPr>
            <w:r>
              <w:rPr>
                <w:rFonts w:ascii="Arial" w:cs="Arial" w:eastAsia="Arial" w:hAnsi="Arial"/>
                <w:sz w:val="18"/>
                <w:szCs w:val="18"/>
                <w:color w:val="51555C"/>
              </w:rPr>
              <w:t>5.22 %</w:t>
            </w:r>
          </w:p>
        </w:tc>
        <w:tc>
          <w:tcPr>
            <w:tcW w:w="1660" w:type="dxa"/>
            <w:vAlign w:val="bottom"/>
          </w:tcPr>
          <w:p>
            <w:pPr>
              <w:jc w:val="right"/>
              <w:spacing w:after="0"/>
              <w:rPr>
                <w:sz w:val="20"/>
                <w:szCs w:val="20"/>
                <w:color w:val="auto"/>
              </w:rPr>
            </w:pPr>
            <w:r>
              <w:rPr>
                <w:rFonts w:ascii="Arial" w:cs="Arial" w:eastAsia="Arial" w:hAnsi="Arial"/>
                <w:sz w:val="18"/>
                <w:szCs w:val="18"/>
                <w:color w:val="51555C"/>
              </w:rPr>
              <w:t>5.22 %</w:t>
            </w:r>
          </w:p>
        </w:tc>
        <w:tc>
          <w:tcPr>
            <w:tcW w:w="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8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 debt</w:t>
            </w:r>
          </w:p>
        </w:tc>
        <w:tc>
          <w:tcPr>
            <w:tcW w:w="300" w:type="dxa"/>
            <w:vAlign w:val="bottom"/>
            <w:tcBorders>
              <w:bottom w:val="single" w:sz="8" w:color="EBFBFF"/>
            </w:tcBorders>
            <w:shd w:val="clear" w:color="auto" w:fill="EBFBFF"/>
          </w:tcPr>
          <w:p>
            <w:pPr>
              <w:spacing w:after="0"/>
              <w:rPr>
                <w:sz w:val="23"/>
                <w:szCs w:val="23"/>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538</w:t>
            </w:r>
          </w:p>
        </w:tc>
        <w:tc>
          <w:tcPr>
            <w:tcW w:w="260" w:type="dxa"/>
            <w:vAlign w:val="bottom"/>
            <w:tcBorders>
              <w:bottom w:val="single" w:sz="8" w:color="EBFBFF"/>
            </w:tcBorders>
            <w:shd w:val="clear" w:color="auto" w:fill="EBFBFF"/>
          </w:tcPr>
          <w:p>
            <w:pPr>
              <w:spacing w:after="0"/>
              <w:rPr>
                <w:sz w:val="23"/>
                <w:szCs w:val="23"/>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1,694</w:t>
            </w:r>
          </w:p>
        </w:tc>
        <w:tc>
          <w:tcPr>
            <w:tcW w:w="176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5.00 %</w:t>
            </w:r>
          </w:p>
        </w:tc>
        <w:tc>
          <w:tcPr>
            <w:tcW w:w="1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5.00 %</w:t>
            </w:r>
          </w:p>
        </w:tc>
        <w:tc>
          <w:tcPr>
            <w:tcW w:w="20" w:type="dxa"/>
            <w:vAlign w:val="bottom"/>
          </w:tcPr>
          <w:p>
            <w:pPr>
              <w:spacing w:after="0"/>
              <w:rPr>
                <w:sz w:val="23"/>
                <w:szCs w:val="23"/>
                <w:color w:val="auto"/>
              </w:rPr>
            </w:pPr>
          </w:p>
        </w:tc>
      </w:tr>
      <w:tr>
        <w:trPr>
          <w:trHeight w:val="237"/>
        </w:trPr>
        <w:tc>
          <w:tcPr>
            <w:tcW w:w="4820" w:type="dxa"/>
            <w:vAlign w:val="bottom"/>
          </w:tcPr>
          <w:p>
            <w:pPr>
              <w:ind w:left="360"/>
              <w:spacing w:after="0"/>
              <w:rPr>
                <w:sz w:val="20"/>
                <w:szCs w:val="20"/>
                <w:color w:val="auto"/>
              </w:rPr>
            </w:pPr>
            <w:r>
              <w:rPr>
                <w:rFonts w:ascii="Arial" w:cs="Arial" w:eastAsia="Arial" w:hAnsi="Arial"/>
                <w:sz w:val="18"/>
                <w:szCs w:val="18"/>
                <w:color w:val="51555C"/>
              </w:rPr>
              <w:t>Total debt</w:t>
            </w:r>
          </w:p>
        </w:tc>
        <w:tc>
          <w:tcPr>
            <w:tcW w:w="300" w:type="dxa"/>
            <w:vAlign w:val="bottom"/>
            <w:tcBorders>
              <w:top w:val="single" w:sz="8" w:color="51555C"/>
            </w:tcBorders>
          </w:tcPr>
          <w:p>
            <w:pPr>
              <w:spacing w:after="0"/>
              <w:rPr>
                <w:sz w:val="20"/>
                <w:szCs w:val="20"/>
                <w:color w:val="auto"/>
              </w:rPr>
            </w:pPr>
          </w:p>
        </w:tc>
        <w:tc>
          <w:tcPr>
            <w:tcW w:w="12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857,476</w:t>
            </w:r>
          </w:p>
        </w:tc>
        <w:tc>
          <w:tcPr>
            <w:tcW w:w="260" w:type="dxa"/>
            <w:vAlign w:val="bottom"/>
            <w:tcBorders>
              <w:top w:val="single" w:sz="8" w:color="51555C"/>
            </w:tcBorders>
          </w:tcPr>
          <w:p>
            <w:pPr>
              <w:spacing w:after="0"/>
              <w:rPr>
                <w:sz w:val="20"/>
                <w:szCs w:val="20"/>
                <w:color w:val="auto"/>
              </w:rPr>
            </w:pPr>
          </w:p>
        </w:tc>
        <w:tc>
          <w:tcPr>
            <w:tcW w:w="12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961,174</w:t>
            </w:r>
          </w:p>
        </w:tc>
        <w:tc>
          <w:tcPr>
            <w:tcW w:w="100" w:type="dxa"/>
            <w:vAlign w:val="bottom"/>
          </w:tcPr>
          <w:p>
            <w:pPr>
              <w:spacing w:after="0"/>
              <w:rPr>
                <w:sz w:val="20"/>
                <w:szCs w:val="20"/>
                <w:color w:val="auto"/>
              </w:rPr>
            </w:pPr>
          </w:p>
        </w:tc>
        <w:tc>
          <w:tcPr>
            <w:tcW w:w="16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3.87 %</w:t>
            </w:r>
          </w:p>
        </w:tc>
        <w:tc>
          <w:tcPr>
            <w:tcW w:w="16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3.23 %</w:t>
            </w:r>
          </w:p>
        </w:tc>
        <w:tc>
          <w:tcPr>
            <w:tcW w:w="2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Less: Unamortized discount and debt issuance costs</w:t>
            </w:r>
          </w:p>
        </w:tc>
        <w:tc>
          <w:tcPr>
            <w:tcW w:w="300" w:type="dxa"/>
            <w:vAlign w:val="bottom"/>
            <w:tcBorders>
              <w:bottom w:val="single" w:sz="8" w:color="EBFBFF"/>
            </w:tcBorders>
            <w:shd w:val="clear" w:color="auto" w:fill="EBFBFF"/>
          </w:tcPr>
          <w:p>
            <w:pPr>
              <w:spacing w:after="0"/>
              <w:rPr>
                <w:sz w:val="21"/>
                <w:szCs w:val="21"/>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3,402</w:t>
            </w:r>
          </w:p>
        </w:tc>
        <w:tc>
          <w:tcPr>
            <w:tcW w:w="26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4,994</w:t>
            </w:r>
          </w:p>
        </w:tc>
        <w:tc>
          <w:tcPr>
            <w:tcW w:w="100" w:type="dxa"/>
            <w:vAlign w:val="bottom"/>
            <w:tcBorders>
              <w:bottom w:val="single" w:sz="8" w:color="EBFBFF"/>
            </w:tcBorders>
            <w:shd w:val="clear" w:color="auto" w:fill="EBFBFF"/>
          </w:tcPr>
          <w:p>
            <w:pPr>
              <w:spacing w:after="0"/>
              <w:rPr>
                <w:sz w:val="21"/>
                <w:szCs w:val="21"/>
                <w:color w:val="auto"/>
              </w:rPr>
            </w:pPr>
          </w:p>
        </w:tc>
        <w:tc>
          <w:tcPr>
            <w:tcW w:w="1660" w:type="dxa"/>
            <w:vAlign w:val="bottom"/>
            <w:tcBorders>
              <w:bottom w:val="single" w:sz="8" w:color="EBFBFF"/>
            </w:tcBorders>
            <w:shd w:val="clear" w:color="auto" w:fill="EBFBFF"/>
          </w:tcPr>
          <w:p>
            <w:pPr>
              <w:spacing w:after="0"/>
              <w:rPr>
                <w:sz w:val="21"/>
                <w:szCs w:val="21"/>
                <w:color w:val="auto"/>
              </w:rPr>
            </w:pPr>
          </w:p>
        </w:tc>
        <w:tc>
          <w:tcPr>
            <w:tcW w:w="166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51555C"/>
              </w:rPr>
              <w:t>Less: Debt, current portion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51555C"/>
              </w:rPr>
              <w:t>18,193</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18,697</w:t>
            </w:r>
          </w:p>
        </w:tc>
        <w:tc>
          <w:tcPr>
            <w:tcW w:w="1760" w:type="dxa"/>
            <w:vAlign w:val="bottom"/>
            <w:gridSpan w:val="2"/>
          </w:tcPr>
          <w:p>
            <w:pPr>
              <w:jc w:val="right"/>
              <w:spacing w:after="0"/>
              <w:rPr>
                <w:sz w:val="20"/>
                <w:szCs w:val="20"/>
                <w:color w:val="auto"/>
              </w:rPr>
            </w:pPr>
            <w:r>
              <w:rPr>
                <w:rFonts w:ascii="Arial" w:cs="Arial" w:eastAsia="Arial" w:hAnsi="Arial"/>
                <w:sz w:val="18"/>
                <w:szCs w:val="18"/>
                <w:color w:val="51555C"/>
              </w:rPr>
              <w:t>5.25 %</w:t>
            </w:r>
          </w:p>
        </w:tc>
        <w:tc>
          <w:tcPr>
            <w:tcW w:w="1660" w:type="dxa"/>
            <w:vAlign w:val="bottom"/>
          </w:tcPr>
          <w:p>
            <w:pPr>
              <w:jc w:val="right"/>
              <w:spacing w:after="0"/>
              <w:rPr>
                <w:sz w:val="20"/>
                <w:szCs w:val="20"/>
                <w:color w:val="auto"/>
              </w:rPr>
            </w:pPr>
            <w:r>
              <w:rPr>
                <w:rFonts w:ascii="Arial" w:cs="Arial" w:eastAsia="Arial" w:hAnsi="Arial"/>
                <w:sz w:val="18"/>
                <w:szCs w:val="18"/>
                <w:color w:val="51555C"/>
              </w:rPr>
              <w:t>3.11 %</w:t>
            </w:r>
          </w:p>
        </w:tc>
        <w:tc>
          <w:tcPr>
            <w:tcW w:w="20" w:type="dxa"/>
            <w:vAlign w:val="bottom"/>
          </w:tcPr>
          <w:p>
            <w:pPr>
              <w:spacing w:after="0"/>
              <w:rPr>
                <w:sz w:val="21"/>
                <w:szCs w:val="21"/>
                <w:color w:val="auto"/>
              </w:rPr>
            </w:pPr>
          </w:p>
        </w:tc>
      </w:tr>
      <w:tr>
        <w:trPr>
          <w:trHeight w:val="27"/>
        </w:trPr>
        <w:tc>
          <w:tcPr>
            <w:tcW w:w="4820" w:type="dxa"/>
            <w:vAlign w:val="bottom"/>
            <w:tcBorders>
              <w:bottom w:val="single" w:sz="8" w:color="EBFBFF"/>
            </w:tcBorders>
          </w:tcPr>
          <w:p>
            <w:pPr>
              <w:spacing w:after="0"/>
              <w:rPr>
                <w:sz w:val="2"/>
                <w:szCs w:val="2"/>
                <w:color w:val="auto"/>
              </w:rPr>
            </w:pPr>
          </w:p>
        </w:tc>
        <w:tc>
          <w:tcPr>
            <w:tcW w:w="300" w:type="dxa"/>
            <w:vAlign w:val="bottom"/>
            <w:tcBorders>
              <w:bottom w:val="single" w:sz="8" w:color="51555C"/>
            </w:tcBorders>
          </w:tcPr>
          <w:p>
            <w:pPr>
              <w:spacing w:after="0"/>
              <w:rPr>
                <w:sz w:val="2"/>
                <w:szCs w:val="2"/>
                <w:color w:val="auto"/>
              </w:rPr>
            </w:pPr>
          </w:p>
        </w:tc>
        <w:tc>
          <w:tcPr>
            <w:tcW w:w="1200" w:type="dxa"/>
            <w:vAlign w:val="bottom"/>
            <w:tcBorders>
              <w:bottom w:val="single" w:sz="8" w:color="51555C"/>
            </w:tcBorders>
          </w:tcPr>
          <w:p>
            <w:pPr>
              <w:spacing w:after="0"/>
              <w:rPr>
                <w:sz w:val="2"/>
                <w:szCs w:val="2"/>
                <w:color w:val="auto"/>
              </w:rPr>
            </w:pPr>
          </w:p>
        </w:tc>
        <w:tc>
          <w:tcPr>
            <w:tcW w:w="260" w:type="dxa"/>
            <w:vAlign w:val="bottom"/>
            <w:tcBorders>
              <w:bottom w:val="single" w:sz="8" w:color="51555C"/>
            </w:tcBorders>
          </w:tcPr>
          <w:p>
            <w:pPr>
              <w:spacing w:after="0"/>
              <w:rPr>
                <w:sz w:val="2"/>
                <w:szCs w:val="2"/>
                <w:color w:val="auto"/>
              </w:rPr>
            </w:pPr>
          </w:p>
        </w:tc>
        <w:tc>
          <w:tcPr>
            <w:tcW w:w="124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1660" w:type="dxa"/>
            <w:vAlign w:val="bottom"/>
            <w:tcBorders>
              <w:bottom w:val="single" w:sz="8" w:color="51555C"/>
            </w:tcBorders>
          </w:tcPr>
          <w:p>
            <w:pPr>
              <w:spacing w:after="0"/>
              <w:rPr>
                <w:sz w:val="2"/>
                <w:szCs w:val="2"/>
                <w:color w:val="auto"/>
              </w:rPr>
            </w:pPr>
          </w:p>
        </w:tc>
        <w:tc>
          <w:tcPr>
            <w:tcW w:w="166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8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Debt, net of current portion</w:t>
            </w:r>
          </w:p>
        </w:tc>
        <w:tc>
          <w:tcPr>
            <w:tcW w:w="300" w:type="dxa"/>
            <w:vAlign w:val="bottom"/>
            <w:tcBorders>
              <w:bottom w:val="single" w:sz="8" w:color="EBFBFF"/>
            </w:tcBorders>
            <w:shd w:val="clear" w:color="auto" w:fill="EBFBFF"/>
          </w:tcPr>
          <w:p>
            <w:pPr>
              <w:jc w:val="right"/>
              <w:ind w:right="90"/>
              <w:spacing w:after="0"/>
              <w:rPr>
                <w:sz w:val="20"/>
                <w:szCs w:val="20"/>
                <w:color w:val="auto"/>
              </w:rPr>
            </w:pPr>
            <w:r>
              <w:rPr>
                <w:rFonts w:ascii="Arial" w:cs="Arial" w:eastAsia="Arial" w:hAnsi="Arial"/>
                <w:sz w:val="18"/>
                <w:szCs w:val="18"/>
                <w:color w:val="51555C"/>
                <w:w w:val="99"/>
              </w:rPr>
              <w:t>$</w:t>
            </w: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835,881</w:t>
            </w:r>
          </w:p>
        </w:tc>
        <w:tc>
          <w:tcPr>
            <w:tcW w:w="260" w:type="dxa"/>
            <w:vAlign w:val="bottom"/>
            <w:tcBorders>
              <w:bottom w:val="single" w:sz="8" w:color="EBFBFF"/>
            </w:tcBorders>
            <w:shd w:val="clear" w:color="auto" w:fill="EBFBFF"/>
          </w:tcPr>
          <w:p>
            <w:pPr>
              <w:jc w:val="right"/>
              <w:ind w:right="50"/>
              <w:spacing w:after="0"/>
              <w:rPr>
                <w:sz w:val="20"/>
                <w:szCs w:val="20"/>
                <w:color w:val="auto"/>
              </w:rPr>
            </w:pPr>
            <w:r>
              <w:rPr>
                <w:rFonts w:ascii="Arial" w:cs="Arial" w:eastAsia="Arial" w:hAnsi="Arial"/>
                <w:sz w:val="18"/>
                <w:szCs w:val="18"/>
                <w:color w:val="51555C"/>
                <w:w w:val="99"/>
              </w:rPr>
              <w:t>$</w:t>
            </w: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937,483</w:t>
            </w:r>
          </w:p>
        </w:tc>
        <w:tc>
          <w:tcPr>
            <w:tcW w:w="176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3.84 %</w:t>
            </w:r>
          </w:p>
        </w:tc>
        <w:tc>
          <w:tcPr>
            <w:tcW w:w="1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3.23 %</w:t>
            </w:r>
          </w:p>
        </w:tc>
        <w:tc>
          <w:tcPr>
            <w:tcW w:w="20" w:type="dxa"/>
            <w:vAlign w:val="bottom"/>
          </w:tcPr>
          <w:p>
            <w:pPr>
              <w:spacing w:after="0"/>
              <w:rPr>
                <w:sz w:val="21"/>
                <w:szCs w:val="21"/>
                <w:color w:val="auto"/>
              </w:rPr>
            </w:pPr>
          </w:p>
        </w:tc>
      </w:tr>
      <w:tr>
        <w:trPr>
          <w:trHeight w:val="20"/>
        </w:trPr>
        <w:tc>
          <w:tcPr>
            <w:tcW w:w="482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1200" w:type="dxa"/>
            <w:vAlign w:val="bottom"/>
            <w:shd w:val="clear" w:color="auto" w:fill="0CD973"/>
          </w:tcPr>
          <w:p>
            <w:pPr>
              <w:spacing w:after="0" w:line="20" w:lineRule="exact"/>
              <w:rPr>
                <w:sz w:val="1"/>
                <w:szCs w:val="1"/>
                <w:color w:val="auto"/>
              </w:rPr>
            </w:pPr>
          </w:p>
        </w:tc>
        <w:tc>
          <w:tcPr>
            <w:tcW w:w="260" w:type="dxa"/>
            <w:vAlign w:val="bottom"/>
            <w:shd w:val="clear" w:color="auto" w:fill="0CD973"/>
          </w:tcPr>
          <w:p>
            <w:pPr>
              <w:spacing w:after="0" w:line="20" w:lineRule="exact"/>
              <w:rPr>
                <w:sz w:val="1"/>
                <w:szCs w:val="1"/>
                <w:color w:val="auto"/>
              </w:rPr>
            </w:pPr>
          </w:p>
        </w:tc>
        <w:tc>
          <w:tcPr>
            <w:tcW w:w="124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1660" w:type="dxa"/>
            <w:vAlign w:val="bottom"/>
            <w:shd w:val="clear" w:color="auto" w:fill="0CD973"/>
          </w:tcPr>
          <w:p>
            <w:pPr>
              <w:spacing w:after="0" w:line="20" w:lineRule="exact"/>
              <w:rPr>
                <w:sz w:val="1"/>
                <w:szCs w:val="1"/>
                <w:color w:val="auto"/>
              </w:rPr>
            </w:pPr>
          </w:p>
        </w:tc>
        <w:tc>
          <w:tcPr>
            <w:tcW w:w="166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-1842770</wp:posOffset>
            </wp:positionV>
            <wp:extent cx="40887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8876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2020 credit facility</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In October 2020, we entered into a five-year $900.0 million senior credit facility (the "2020 Credit Facility"). At September 30, 2022, we were in compliance with our debt covenants under the 2020 Credit Facility.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First incremental term loan</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In December 2021, we entered into the First Incremental Term Loan Agreement (the "Incremental Amendment"). The Incremental Amendment amended the 2020 Credit Facility and, among other things, provided for a $250.0 million incremental term loan (the “2021 Incremental Term Loan”).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Financing for EVERFI acquisition</w:t>
      </w:r>
    </w:p>
    <w:p>
      <w:pPr>
        <w:spacing w:after="0" w:line="19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On December 31, 2021, we acquired EVERFI for approximately $441.8 million in cash consideration and 3,810,888 shares of our common stock, valued at approximately $301.0 million, for an aggregate purchase price of approximately $742.8 million, net of closing adjustments. We financed the cash consideration and related expenses through cash on hand and new borrowings under the 2020 Credit Facility, including $250.0 million under the 2021 Incremental Term Loan.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First amendment to 2020 Credit Facility</w:t>
      </w:r>
    </w:p>
    <w:p>
      <w:pPr>
        <w:spacing w:after="0" w:line="19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On January 31, 2022, we entered into the First Amendment to Credit Agreement (the “Amendment”). The Amendment amended the 2020 Credit Facility to, among other things, (i) modify the definition of “Applicable Margin”, (ii) modify the net leverage ratio financial covenant to require a net leverage ratio of (A) 4.00:1.00 or less for the fiscal quarter ended December 31, 2021 and for fiscal quarters ending thereafter through December 31, 2023 and (B) 3.75:1.00 or less for the fiscal quarters ending March 31, 2024 and thereafter, (iii) reset the $250.0 million fixed dollar basket with respect to the accordion feature and (iv) modify certain negative covenants to provide additional operational flexibility.</w:t>
      </w:r>
    </w:p>
    <w:p>
      <w:pPr>
        <w:spacing w:after="0" w:line="32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16</w:t>
      </w:r>
      <w:r>
        <w:rPr>
          <w:sz w:val="20"/>
          <w:szCs w:val="20"/>
          <w:color w:val="auto"/>
        </w:rPr>
        <w:tab/>
      </w:r>
      <w:r>
        <w:rPr>
          <w:sz w:val="1"/>
          <w:szCs w:val="1"/>
          <w:color w:val="auto"/>
        </w:rPr>
        <w:drawing>
          <wp:inline distT="0" distB="0" distL="0" distR="0">
            <wp:extent cx="651510" cy="1714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LIBOR transition amendment</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On August 26, 2022, we entered into a LIBOR Transition Amendment (the "LIBOR Amendment"). The LIBOR Amendment amended the 2020 Credit Facility, as previously amended, to change the interest rate benchmark from LIBOR to SOFR, as defined in the LIBOR Amendment. The LIBOR Amendment does not change any terms of the 2020 Credit Facility unrelated to reference rate reform.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Real estate loans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In August 2020, we completed the purchase of our global headquarters facility. As part of the purchase price, we assumed the seller’s obligations under two senior secured notes with a then-aggregate outstanding principal amount of $61.1 million (collectively, the “Real Estate Loans”). At September 30, 2022, we were in compliance with our debt covenants under the Real Estate Loans.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Other debt</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From time to time, we enter into third-party financing agreements for purchases of software and related services for our internal use. Generally, the agreements are non-interest-bearing notes requiring annual payments. Interest associated with the notes is imputed at the rate we would incur for amounts borrowed under our then-existing credit facility at the inception of the notes.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summarizes our currently effective financing agreements as of September 30, 2022: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80" w:type="dxa"/>
            <w:vAlign w:val="bottom"/>
            <w:shd w:val="clear" w:color="auto" w:fill="004054"/>
          </w:tcPr>
          <w:p>
            <w:pPr>
              <w:spacing w:after="0"/>
              <w:rPr>
                <w:sz w:val="17"/>
                <w:szCs w:val="17"/>
                <w:color w:val="auto"/>
              </w:rPr>
            </w:pPr>
          </w:p>
        </w:tc>
        <w:tc>
          <w:tcPr>
            <w:tcW w:w="15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Term</w:t>
            </w: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w:t>
            </w:r>
          </w:p>
        </w:tc>
        <w:tc>
          <w:tcPr>
            <w:tcW w:w="16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First Annual</w:t>
            </w:r>
          </w:p>
        </w:tc>
        <w:tc>
          <w:tcPr>
            <w:tcW w:w="360" w:type="dxa"/>
            <w:vAlign w:val="bottom"/>
            <w:shd w:val="clear" w:color="auto" w:fill="004054"/>
          </w:tcPr>
          <w:p>
            <w:pPr>
              <w:spacing w:after="0"/>
              <w:rPr>
                <w:sz w:val="17"/>
                <w:szCs w:val="17"/>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Original Loan</w:t>
            </w:r>
          </w:p>
        </w:tc>
        <w:tc>
          <w:tcPr>
            <w:tcW w:w="20" w:type="dxa"/>
            <w:vAlign w:val="bottom"/>
            <w:shd w:val="clear" w:color="auto" w:fill="004054"/>
          </w:tcPr>
          <w:p>
            <w:pPr>
              <w:spacing w:after="0"/>
              <w:rPr>
                <w:sz w:val="17"/>
                <w:szCs w:val="17"/>
                <w:color w:val="auto"/>
              </w:rPr>
            </w:pPr>
          </w:p>
        </w:tc>
      </w:tr>
      <w:tr>
        <w:trPr>
          <w:trHeight w:val="209"/>
        </w:trPr>
        <w:tc>
          <w:tcPr>
            <w:tcW w:w="48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5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in Months</w:t>
            </w:r>
          </w:p>
        </w:tc>
        <w:tc>
          <w:tcPr>
            <w:tcW w:w="16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Annual Payments</w:t>
            </w:r>
          </w:p>
        </w:tc>
        <w:tc>
          <w:tcPr>
            <w:tcW w:w="16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Payment Due</w:t>
            </w:r>
          </w:p>
        </w:tc>
        <w:tc>
          <w:tcPr>
            <w:tcW w:w="360" w:type="dxa"/>
            <w:vAlign w:val="bottom"/>
            <w:tcBorders>
              <w:bottom w:val="single" w:sz="8" w:color="004054"/>
            </w:tcBorders>
            <w:shd w:val="clear" w:color="auto" w:fill="004054"/>
          </w:tcPr>
          <w:p>
            <w:pPr>
              <w:spacing w:after="0"/>
              <w:rPr>
                <w:sz w:val="18"/>
                <w:szCs w:val="18"/>
                <w:color w:val="auto"/>
              </w:rPr>
            </w:pPr>
          </w:p>
        </w:tc>
        <w:tc>
          <w:tcPr>
            <w:tcW w:w="11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Value</w:t>
            </w:r>
          </w:p>
        </w:tc>
        <w:tc>
          <w:tcPr>
            <w:tcW w:w="20" w:type="dxa"/>
            <w:vAlign w:val="bottom"/>
            <w:tcBorders>
              <w:bottom w:val="single" w:sz="8" w:color="004054"/>
            </w:tcBorders>
            <w:shd w:val="clear" w:color="auto" w:fill="004054"/>
          </w:tcPr>
          <w:p>
            <w:pPr>
              <w:spacing w:after="0"/>
              <w:rPr>
                <w:sz w:val="18"/>
                <w:szCs w:val="18"/>
                <w:color w:val="auto"/>
              </w:rPr>
            </w:pPr>
          </w:p>
        </w:tc>
      </w:tr>
      <w:tr>
        <w:trPr>
          <w:trHeight w:val="250"/>
        </w:trPr>
        <w:tc>
          <w:tcPr>
            <w:tcW w:w="48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Effective dates of agreements:</w:t>
            </w:r>
          </w:p>
        </w:tc>
        <w:tc>
          <w:tcPr>
            <w:tcW w:w="1520" w:type="dxa"/>
            <w:vAlign w:val="bottom"/>
            <w:tcBorders>
              <w:bottom w:val="single" w:sz="8" w:color="EBFBFF"/>
            </w:tcBorders>
            <w:shd w:val="clear" w:color="auto" w:fill="EBFBFF"/>
          </w:tcPr>
          <w:p>
            <w:pPr>
              <w:spacing w:after="0"/>
              <w:rPr>
                <w:sz w:val="21"/>
                <w:szCs w:val="21"/>
                <w:color w:val="auto"/>
              </w:rPr>
            </w:pPr>
          </w:p>
        </w:tc>
        <w:tc>
          <w:tcPr>
            <w:tcW w:w="1660" w:type="dxa"/>
            <w:vAlign w:val="bottom"/>
            <w:tcBorders>
              <w:bottom w:val="single" w:sz="8" w:color="EBFBFF"/>
            </w:tcBorders>
            <w:shd w:val="clear" w:color="auto" w:fill="EBFBFF"/>
          </w:tcPr>
          <w:p>
            <w:pPr>
              <w:spacing w:after="0"/>
              <w:rPr>
                <w:sz w:val="21"/>
                <w:szCs w:val="21"/>
                <w:color w:val="auto"/>
              </w:rPr>
            </w:pPr>
          </w:p>
        </w:tc>
        <w:tc>
          <w:tcPr>
            <w:tcW w:w="1640" w:type="dxa"/>
            <w:vAlign w:val="bottom"/>
            <w:tcBorders>
              <w:bottom w:val="single" w:sz="8" w:color="EBFBFF"/>
            </w:tcBorders>
            <w:shd w:val="clear" w:color="auto" w:fill="EBFBFF"/>
          </w:tcPr>
          <w:p>
            <w:pPr>
              <w:spacing w:after="0"/>
              <w:rPr>
                <w:sz w:val="21"/>
                <w:szCs w:val="21"/>
                <w:color w:val="auto"/>
              </w:rPr>
            </w:pPr>
          </w:p>
        </w:tc>
        <w:tc>
          <w:tcPr>
            <w:tcW w:w="3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880" w:type="dxa"/>
            <w:vAlign w:val="bottom"/>
          </w:tcPr>
          <w:p>
            <w:pPr>
              <w:ind w:left="140"/>
              <w:spacing w:after="0"/>
              <w:rPr>
                <w:sz w:val="20"/>
                <w:szCs w:val="20"/>
                <w:color w:val="auto"/>
              </w:rPr>
            </w:pPr>
            <w:r>
              <w:rPr>
                <w:rFonts w:ascii="Arial" w:cs="Arial" w:eastAsia="Arial" w:hAnsi="Arial"/>
                <w:sz w:val="18"/>
                <w:szCs w:val="18"/>
                <w:color w:val="51555C"/>
              </w:rPr>
              <w:t>December 2019</w:t>
            </w:r>
          </w:p>
        </w:tc>
        <w:tc>
          <w:tcPr>
            <w:tcW w:w="1520" w:type="dxa"/>
            <w:vAlign w:val="bottom"/>
          </w:tcPr>
          <w:p>
            <w:pPr>
              <w:jc w:val="right"/>
              <w:spacing w:after="0"/>
              <w:rPr>
                <w:sz w:val="20"/>
                <w:szCs w:val="20"/>
                <w:color w:val="auto"/>
              </w:rPr>
            </w:pPr>
            <w:r>
              <w:rPr>
                <w:rFonts w:ascii="Arial" w:cs="Arial" w:eastAsia="Arial" w:hAnsi="Arial"/>
                <w:sz w:val="18"/>
                <w:szCs w:val="18"/>
                <w:color w:val="51555C"/>
              </w:rPr>
              <w:t>51</w:t>
            </w:r>
          </w:p>
        </w:tc>
        <w:tc>
          <w:tcPr>
            <w:tcW w:w="1660" w:type="dxa"/>
            <w:vAlign w:val="bottom"/>
          </w:tcPr>
          <w:p>
            <w:pPr>
              <w:jc w:val="right"/>
              <w:ind w:right="2"/>
              <w:spacing w:after="0"/>
              <w:rPr>
                <w:sz w:val="20"/>
                <w:szCs w:val="20"/>
                <w:color w:val="auto"/>
              </w:rPr>
            </w:pPr>
            <w:r>
              <w:rPr>
                <w:rFonts w:ascii="Arial" w:cs="Arial" w:eastAsia="Arial" w:hAnsi="Arial"/>
                <w:sz w:val="18"/>
                <w:szCs w:val="18"/>
                <w:color w:val="51555C"/>
              </w:rPr>
              <w:t>4</w:t>
            </w:r>
          </w:p>
        </w:tc>
        <w:tc>
          <w:tcPr>
            <w:tcW w:w="1640" w:type="dxa"/>
            <w:vAlign w:val="bottom"/>
          </w:tcPr>
          <w:p>
            <w:pPr>
              <w:jc w:val="right"/>
              <w:spacing w:after="0"/>
              <w:rPr>
                <w:sz w:val="20"/>
                <w:szCs w:val="20"/>
                <w:color w:val="auto"/>
              </w:rPr>
            </w:pPr>
            <w:r>
              <w:rPr>
                <w:rFonts w:ascii="Arial" w:cs="Arial" w:eastAsia="Arial" w:hAnsi="Arial"/>
                <w:sz w:val="18"/>
                <w:szCs w:val="18"/>
                <w:color w:val="51555C"/>
              </w:rPr>
              <w:t>January 2020</w:t>
            </w:r>
          </w:p>
        </w:tc>
        <w:tc>
          <w:tcPr>
            <w:tcW w:w="360" w:type="dxa"/>
            <w:vAlign w:val="bottom"/>
          </w:tcPr>
          <w:p>
            <w:pPr>
              <w:jc w:val="right"/>
              <w:ind w:right="150"/>
              <w:spacing w:after="0"/>
              <w:rPr>
                <w:sz w:val="20"/>
                <w:szCs w:val="20"/>
                <w:color w:val="auto"/>
              </w:rPr>
            </w:pPr>
            <w:r>
              <w:rPr>
                <w:rFonts w:ascii="Arial" w:cs="Arial" w:eastAsia="Arial" w:hAnsi="Arial"/>
                <w:sz w:val="18"/>
                <w:szCs w:val="18"/>
                <w:color w:val="51555C"/>
                <w:w w:val="99"/>
              </w:rPr>
              <w:t>$</w:t>
            </w:r>
          </w:p>
        </w:tc>
        <w:tc>
          <w:tcPr>
            <w:tcW w:w="1180" w:type="dxa"/>
            <w:vAlign w:val="bottom"/>
          </w:tcPr>
          <w:p>
            <w:pPr>
              <w:jc w:val="right"/>
              <w:ind w:right="2"/>
              <w:spacing w:after="0"/>
              <w:rPr>
                <w:sz w:val="20"/>
                <w:szCs w:val="20"/>
                <w:color w:val="auto"/>
              </w:rPr>
            </w:pPr>
            <w:r>
              <w:rPr>
                <w:rFonts w:ascii="Arial" w:cs="Arial" w:eastAsia="Arial" w:hAnsi="Arial"/>
                <w:sz w:val="18"/>
                <w:szCs w:val="18"/>
                <w:color w:val="51555C"/>
              </w:rPr>
              <w:t>2,150</w:t>
            </w:r>
          </w:p>
        </w:tc>
        <w:tc>
          <w:tcPr>
            <w:tcW w:w="20" w:type="dxa"/>
            <w:vAlign w:val="bottom"/>
          </w:tcPr>
          <w:p>
            <w:pPr>
              <w:spacing w:after="0"/>
              <w:rPr>
                <w:sz w:val="21"/>
                <w:szCs w:val="21"/>
                <w:color w:val="auto"/>
              </w:rPr>
            </w:pPr>
          </w:p>
        </w:tc>
      </w:tr>
      <w:tr>
        <w:trPr>
          <w:trHeight w:val="27"/>
        </w:trPr>
        <w:tc>
          <w:tcPr>
            <w:tcW w:w="4880" w:type="dxa"/>
            <w:vAlign w:val="bottom"/>
            <w:tcBorders>
              <w:bottom w:val="single" w:sz="8" w:color="0CD973"/>
            </w:tcBorders>
          </w:tcPr>
          <w:p>
            <w:pPr>
              <w:spacing w:after="0"/>
              <w:rPr>
                <w:sz w:val="2"/>
                <w:szCs w:val="2"/>
                <w:color w:val="auto"/>
              </w:rPr>
            </w:pPr>
          </w:p>
        </w:tc>
        <w:tc>
          <w:tcPr>
            <w:tcW w:w="1520" w:type="dxa"/>
            <w:vAlign w:val="bottom"/>
            <w:tcBorders>
              <w:bottom w:val="single" w:sz="8" w:color="0CD973"/>
            </w:tcBorders>
          </w:tcPr>
          <w:p>
            <w:pPr>
              <w:spacing w:after="0"/>
              <w:rPr>
                <w:sz w:val="2"/>
                <w:szCs w:val="2"/>
                <w:color w:val="auto"/>
              </w:rPr>
            </w:pPr>
          </w:p>
        </w:tc>
        <w:tc>
          <w:tcPr>
            <w:tcW w:w="1660" w:type="dxa"/>
            <w:vAlign w:val="bottom"/>
            <w:tcBorders>
              <w:bottom w:val="single" w:sz="8" w:color="0CD973"/>
            </w:tcBorders>
          </w:tcPr>
          <w:p>
            <w:pPr>
              <w:spacing w:after="0"/>
              <w:rPr>
                <w:sz w:val="2"/>
                <w:szCs w:val="2"/>
                <w:color w:val="auto"/>
              </w:rPr>
            </w:pPr>
          </w:p>
        </w:tc>
        <w:tc>
          <w:tcPr>
            <w:tcW w:w="1640" w:type="dxa"/>
            <w:vAlign w:val="bottom"/>
            <w:tcBorders>
              <w:bottom w:val="single" w:sz="8" w:color="0CD973"/>
            </w:tcBorders>
          </w:tcPr>
          <w:p>
            <w:pPr>
              <w:spacing w:after="0"/>
              <w:rPr>
                <w:sz w:val="2"/>
                <w:szCs w:val="2"/>
                <w:color w:val="auto"/>
              </w:rPr>
            </w:pPr>
          </w:p>
        </w:tc>
        <w:tc>
          <w:tcPr>
            <w:tcW w:w="360" w:type="dxa"/>
            <w:vAlign w:val="bottom"/>
            <w:tcBorders>
              <w:bottom w:val="single" w:sz="8" w:color="0CD973"/>
            </w:tcBorders>
          </w:tcPr>
          <w:p>
            <w:pPr>
              <w:spacing w:after="0"/>
              <w:rPr>
                <w:sz w:val="2"/>
                <w:szCs w:val="2"/>
                <w:color w:val="auto"/>
              </w:rPr>
            </w:pPr>
          </w:p>
        </w:tc>
        <w:tc>
          <w:tcPr>
            <w:tcW w:w="118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33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9.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We generally use derivative instruments to manage our interest rate and foreign currency exchange risk. We currently have derivatives classified as cash flow hedges and net investment hedges. We do not enter into any derivatives for trading or speculative purposes.</w:t>
      </w:r>
    </w:p>
    <w:p>
      <w:pPr>
        <w:spacing w:after="0" w:line="144"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All of our derivative instruments are governed by International Swap Dealers Association, Inc. ("ISDA") master agreements with our counterparties. As of September 30, 2022 and December 31, 2021, we have presented the fair value of our derivative instruments at the gross amounts in the condensed consolidated balance sheet as the gross fair values of our derivative instruments equaled their net fair values.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Cash flow hedges</w:t>
      </w:r>
    </w:p>
    <w:p>
      <w:pPr>
        <w:spacing w:after="0" w:line="19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We have entered into interest rate swap agreements, which effectively convert portions of our variable rate debt under the 2020 Credit Facility to a fixed rate for the term of the swap agreements. We designated each of the interest rate swaps as cash flow hedges at the inception of the contracts. As of September 30, 2022 and December 31, 2021, the aggregate notional values of the interest rate swaps were $435.0 million. All of the contracts have maturities on or before October 2024.</w:t>
      </w:r>
    </w:p>
    <w:p>
      <w:pPr>
        <w:spacing w:after="0" w:line="15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During the three months ended September 30, 2022, we entered into foreign currency forward contracts to hedge revenues denominated in the Canadian Dollar ("CAD") against changes in the exchange rate with the United States Dollar ("USD"). We designated each of the forwards as cash flow hedges at the inception of the contracts. As of September 30, 2022, the aggregate notional values of the foreign currency forward contracts designated as cash flow hedges that we held to buy USD in exchange for Canadian Dollars were $23.6 million CAD. All of the contracts have maturities of 12 months or less. We did not have foreign currency forward contracts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224790</wp:posOffset>
            </wp:positionV>
            <wp:extent cx="65976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17</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Net investment hedges</w:t>
      </w:r>
    </w:p>
    <w:p>
      <w:pPr>
        <w:spacing w:after="0" w:line="19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We have entered into foreign currency forward contracts to hedge a portion of the foreign currency exposure that arises on translation of our investments denominated in British Pounds ("GBP") into USD. We designated each of these foreign currency forward contracts as net investment hedges at the inception of the contracts. As of September 30, 2022, we had £10.7 million of foreign currency forward contracts designated as net investment hedges to reduce the volatility of the U.S. dollar value of a portion of our GBP-denominated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1555C"/>
        </w:rPr>
        <w:t>The fair values of our derivative instruments were as follows as of:</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20" w:type="dxa"/>
            <w:vAlign w:val="bottom"/>
            <w:shd w:val="clear" w:color="auto" w:fill="004054"/>
          </w:tcPr>
          <w:p>
            <w:pPr>
              <w:spacing w:after="0"/>
              <w:rPr>
                <w:sz w:val="18"/>
                <w:szCs w:val="18"/>
                <w:color w:val="auto"/>
              </w:rPr>
            </w:pPr>
          </w:p>
        </w:tc>
        <w:tc>
          <w:tcPr>
            <w:tcW w:w="200" w:type="dxa"/>
            <w:vAlign w:val="bottom"/>
            <w:shd w:val="clear" w:color="auto" w:fill="004054"/>
          </w:tcPr>
          <w:p>
            <w:pPr>
              <w:spacing w:after="0"/>
              <w:rPr>
                <w:sz w:val="18"/>
                <w:szCs w:val="18"/>
                <w:color w:val="auto"/>
              </w:rPr>
            </w:pPr>
          </w:p>
        </w:tc>
        <w:tc>
          <w:tcPr>
            <w:tcW w:w="1580" w:type="dxa"/>
            <w:vAlign w:val="bottom"/>
            <w:shd w:val="clear" w:color="auto" w:fill="004054"/>
          </w:tcPr>
          <w:p>
            <w:pPr>
              <w:spacing w:after="0"/>
              <w:rPr>
                <w:sz w:val="18"/>
                <w:szCs w:val="18"/>
                <w:color w:val="auto"/>
              </w:rPr>
            </w:pPr>
          </w:p>
        </w:tc>
        <w:tc>
          <w:tcPr>
            <w:tcW w:w="100" w:type="dxa"/>
            <w:vAlign w:val="bottom"/>
            <w:shd w:val="clear" w:color="auto" w:fill="004054"/>
          </w:tcPr>
          <w:p>
            <w:pPr>
              <w:spacing w:after="0"/>
              <w:rPr>
                <w:sz w:val="18"/>
                <w:szCs w:val="18"/>
                <w:color w:val="auto"/>
              </w:rPr>
            </w:pPr>
          </w:p>
        </w:tc>
        <w:tc>
          <w:tcPr>
            <w:tcW w:w="460" w:type="dxa"/>
            <w:vAlign w:val="bottom"/>
            <w:shd w:val="clear" w:color="auto" w:fill="004054"/>
          </w:tcPr>
          <w:p>
            <w:pPr>
              <w:spacing w:after="0"/>
              <w:rPr>
                <w:sz w:val="18"/>
                <w:szCs w:val="18"/>
                <w:color w:val="auto"/>
              </w:rPr>
            </w:pPr>
          </w:p>
        </w:tc>
        <w:tc>
          <w:tcPr>
            <w:tcW w:w="1220" w:type="dxa"/>
            <w:vAlign w:val="bottom"/>
            <w:shd w:val="clear" w:color="auto" w:fill="004054"/>
          </w:tcPr>
          <w:p>
            <w:pPr>
              <w:spacing w:after="0"/>
              <w:rPr>
                <w:sz w:val="18"/>
                <w:szCs w:val="18"/>
                <w:color w:val="auto"/>
              </w:rPr>
            </w:pPr>
          </w:p>
        </w:tc>
        <w:tc>
          <w:tcPr>
            <w:tcW w:w="220" w:type="dxa"/>
            <w:vAlign w:val="bottom"/>
            <w:shd w:val="clear" w:color="auto" w:fill="004054"/>
          </w:tcPr>
          <w:p>
            <w:pPr>
              <w:spacing w:after="0"/>
              <w:rPr>
                <w:sz w:val="18"/>
                <w:szCs w:val="18"/>
                <w:color w:val="auto"/>
              </w:rPr>
            </w:pPr>
          </w:p>
        </w:tc>
        <w:tc>
          <w:tcPr>
            <w:tcW w:w="1140" w:type="dxa"/>
            <w:vAlign w:val="bottom"/>
            <w:shd w:val="clear" w:color="auto" w:fill="004054"/>
          </w:tcPr>
          <w:p>
            <w:pPr>
              <w:spacing w:after="0"/>
              <w:rPr>
                <w:sz w:val="18"/>
                <w:szCs w:val="18"/>
                <w:color w:val="auto"/>
              </w:rPr>
            </w:pPr>
          </w:p>
        </w:tc>
        <w:tc>
          <w:tcPr>
            <w:tcW w:w="620" w:type="dxa"/>
            <w:vAlign w:val="bottom"/>
            <w:shd w:val="clear" w:color="auto" w:fill="004054"/>
          </w:tcPr>
          <w:p>
            <w:pPr>
              <w:spacing w:after="0"/>
              <w:rPr>
                <w:sz w:val="18"/>
                <w:szCs w:val="18"/>
                <w:color w:val="auto"/>
              </w:rPr>
            </w:pPr>
          </w:p>
        </w:tc>
        <w:tc>
          <w:tcPr>
            <w:tcW w:w="100" w:type="dxa"/>
            <w:vAlign w:val="bottom"/>
            <w:shd w:val="clear" w:color="auto" w:fill="004054"/>
          </w:tcPr>
          <w:p>
            <w:pPr>
              <w:spacing w:after="0"/>
              <w:rPr>
                <w:sz w:val="18"/>
                <w:szCs w:val="18"/>
                <w:color w:val="auto"/>
              </w:rPr>
            </w:pPr>
          </w:p>
        </w:tc>
        <w:tc>
          <w:tcPr>
            <w:tcW w:w="1980" w:type="dxa"/>
            <w:vAlign w:val="bottom"/>
            <w:gridSpan w:val="3"/>
            <w:shd w:val="clear" w:color="auto" w:fill="004054"/>
          </w:tcPr>
          <w:p>
            <w:pPr>
              <w:jc w:val="right"/>
              <w:ind w:right="674"/>
              <w:spacing w:after="0"/>
              <w:rPr>
                <w:sz w:val="20"/>
                <w:szCs w:val="20"/>
                <w:color w:val="auto"/>
              </w:rPr>
            </w:pPr>
            <w:r>
              <w:rPr>
                <w:rFonts w:ascii="Arial" w:cs="Arial" w:eastAsia="Arial" w:hAnsi="Arial"/>
                <w:sz w:val="14"/>
                <w:szCs w:val="14"/>
                <w:b w:val="1"/>
                <w:bCs w:val="1"/>
                <w:color w:val="FFFFFF"/>
              </w:rPr>
              <w:t>Asset derivatives</w:t>
            </w:r>
          </w:p>
        </w:tc>
        <w:tc>
          <w:tcPr>
            <w:tcW w:w="20" w:type="dxa"/>
            <w:vAlign w:val="bottom"/>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20" w:type="dxa"/>
            <w:vAlign w:val="bottom"/>
            <w:shd w:val="clear" w:color="auto" w:fill="004054"/>
          </w:tcPr>
          <w:p>
            <w:pPr>
              <w:spacing w:after="0"/>
              <w:rPr>
                <w:sz w:val="19"/>
                <w:szCs w:val="19"/>
                <w:color w:val="auto"/>
              </w:rPr>
            </w:pPr>
          </w:p>
        </w:tc>
        <w:tc>
          <w:tcPr>
            <w:tcW w:w="200" w:type="dxa"/>
            <w:vAlign w:val="bottom"/>
            <w:shd w:val="clear" w:color="auto" w:fill="004054"/>
          </w:tcPr>
          <w:p>
            <w:pPr>
              <w:spacing w:after="0"/>
              <w:rPr>
                <w:sz w:val="19"/>
                <w:szCs w:val="19"/>
                <w:color w:val="auto"/>
              </w:rPr>
            </w:pPr>
          </w:p>
        </w:tc>
        <w:tc>
          <w:tcPr>
            <w:tcW w:w="1580" w:type="dxa"/>
            <w:vAlign w:val="bottom"/>
            <w:shd w:val="clear" w:color="auto" w:fill="004054"/>
          </w:tcPr>
          <w:p>
            <w:pPr>
              <w:spacing w:after="0"/>
              <w:rPr>
                <w:sz w:val="19"/>
                <w:szCs w:val="19"/>
                <w:color w:val="auto"/>
              </w:rPr>
            </w:pPr>
          </w:p>
        </w:tc>
        <w:tc>
          <w:tcPr>
            <w:tcW w:w="100" w:type="dxa"/>
            <w:vAlign w:val="bottom"/>
            <w:shd w:val="clear" w:color="auto" w:fill="004054"/>
          </w:tcPr>
          <w:p>
            <w:pPr>
              <w:spacing w:after="0"/>
              <w:rPr>
                <w:sz w:val="19"/>
                <w:szCs w:val="19"/>
                <w:color w:val="auto"/>
              </w:rPr>
            </w:pPr>
          </w:p>
        </w:tc>
        <w:tc>
          <w:tcPr>
            <w:tcW w:w="460" w:type="dxa"/>
            <w:vAlign w:val="bottom"/>
            <w:shd w:val="clear" w:color="auto" w:fill="004054"/>
          </w:tcPr>
          <w:p>
            <w:pPr>
              <w:spacing w:after="0"/>
              <w:rPr>
                <w:sz w:val="19"/>
                <w:szCs w:val="19"/>
                <w:color w:val="auto"/>
              </w:rPr>
            </w:pPr>
          </w:p>
        </w:tc>
        <w:tc>
          <w:tcPr>
            <w:tcW w:w="1220" w:type="dxa"/>
            <w:vAlign w:val="bottom"/>
            <w:shd w:val="clear" w:color="auto" w:fill="004054"/>
          </w:tcPr>
          <w:p>
            <w:pPr>
              <w:spacing w:after="0"/>
              <w:rPr>
                <w:sz w:val="19"/>
                <w:szCs w:val="19"/>
                <w:color w:val="auto"/>
              </w:rPr>
            </w:pPr>
          </w:p>
        </w:tc>
        <w:tc>
          <w:tcPr>
            <w:tcW w:w="220" w:type="dxa"/>
            <w:vAlign w:val="bottom"/>
            <w:shd w:val="clear" w:color="auto" w:fill="004054"/>
          </w:tcPr>
          <w:p>
            <w:pPr>
              <w:spacing w:after="0"/>
              <w:rPr>
                <w:sz w:val="19"/>
                <w:szCs w:val="19"/>
                <w:color w:val="auto"/>
              </w:rPr>
            </w:pPr>
          </w:p>
        </w:tc>
        <w:tc>
          <w:tcPr>
            <w:tcW w:w="1140" w:type="dxa"/>
            <w:vAlign w:val="bottom"/>
            <w:shd w:val="clear" w:color="auto" w:fill="004054"/>
          </w:tcPr>
          <w:p>
            <w:pPr>
              <w:spacing w:after="0"/>
              <w:rPr>
                <w:sz w:val="19"/>
                <w:szCs w:val="19"/>
                <w:color w:val="auto"/>
              </w:rPr>
            </w:pPr>
          </w:p>
        </w:tc>
        <w:tc>
          <w:tcPr>
            <w:tcW w:w="134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60" w:type="dxa"/>
            <w:vAlign w:val="bottom"/>
            <w:shd w:val="clear" w:color="auto" w:fill="004054"/>
          </w:tcPr>
          <w:p>
            <w:pPr>
              <w:spacing w:after="0"/>
              <w:rPr>
                <w:sz w:val="19"/>
                <w:szCs w:val="19"/>
                <w:color w:val="auto"/>
              </w:rPr>
            </w:pPr>
          </w:p>
        </w:tc>
        <w:tc>
          <w:tcPr>
            <w:tcW w:w="11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00" w:type="dxa"/>
            <w:vAlign w:val="bottom"/>
            <w:tcBorders>
              <w:bottom w:val="single" w:sz="8" w:color="004054"/>
            </w:tcBorders>
            <w:shd w:val="clear" w:color="auto" w:fill="004054"/>
          </w:tcPr>
          <w:p>
            <w:pPr>
              <w:spacing w:after="0"/>
              <w:rPr>
                <w:sz w:val="18"/>
                <w:szCs w:val="18"/>
                <w:color w:val="auto"/>
              </w:rPr>
            </w:pPr>
          </w:p>
        </w:tc>
        <w:tc>
          <w:tcPr>
            <w:tcW w:w="1580" w:type="dxa"/>
            <w:vAlign w:val="bottom"/>
            <w:tcBorders>
              <w:bottom w:val="single" w:sz="8" w:color="004054"/>
            </w:tcBorders>
            <w:shd w:val="clear" w:color="auto" w:fill="004054"/>
          </w:tcPr>
          <w:p>
            <w:pPr>
              <w:spacing w:after="0"/>
              <w:rPr>
                <w:sz w:val="18"/>
                <w:szCs w:val="18"/>
                <w:color w:val="auto"/>
              </w:rPr>
            </w:pPr>
          </w:p>
        </w:tc>
        <w:tc>
          <w:tcPr>
            <w:tcW w:w="100" w:type="dxa"/>
            <w:vAlign w:val="bottom"/>
            <w:tcBorders>
              <w:bottom w:val="single" w:sz="8" w:color="004054"/>
            </w:tcBorders>
            <w:shd w:val="clear" w:color="auto" w:fill="004054"/>
          </w:tcPr>
          <w:p>
            <w:pPr>
              <w:spacing w:after="0"/>
              <w:rPr>
                <w:sz w:val="18"/>
                <w:szCs w:val="18"/>
                <w:color w:val="auto"/>
              </w:rPr>
            </w:pPr>
          </w:p>
        </w:tc>
        <w:tc>
          <w:tcPr>
            <w:tcW w:w="460" w:type="dxa"/>
            <w:vAlign w:val="bottom"/>
            <w:tcBorders>
              <w:bottom w:val="single" w:sz="8" w:color="004054"/>
            </w:tcBorders>
            <w:shd w:val="clear" w:color="auto" w:fill="004054"/>
          </w:tcPr>
          <w:p>
            <w:pPr>
              <w:spacing w:after="0"/>
              <w:rPr>
                <w:sz w:val="18"/>
                <w:szCs w:val="18"/>
                <w:color w:val="auto"/>
              </w:rPr>
            </w:pPr>
          </w:p>
        </w:tc>
        <w:tc>
          <w:tcPr>
            <w:tcW w:w="2580" w:type="dxa"/>
            <w:vAlign w:val="bottom"/>
            <w:tcBorders>
              <w:bottom w:val="single" w:sz="8" w:color="004054"/>
            </w:tcBorders>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Balance sheet location</w:t>
            </w:r>
          </w:p>
        </w:tc>
        <w:tc>
          <w:tcPr>
            <w:tcW w:w="620" w:type="dxa"/>
            <w:vAlign w:val="bottom"/>
            <w:tcBorders>
              <w:bottom w:val="single" w:sz="8" w:color="004054"/>
            </w:tcBorders>
            <w:shd w:val="clear" w:color="auto" w:fill="004054"/>
          </w:tcPr>
          <w:p>
            <w:pPr>
              <w:spacing w:after="0"/>
              <w:rPr>
                <w:sz w:val="18"/>
                <w:szCs w:val="18"/>
                <w:color w:val="auto"/>
              </w:rPr>
            </w:pPr>
          </w:p>
        </w:tc>
        <w:tc>
          <w:tcPr>
            <w:tcW w:w="100" w:type="dxa"/>
            <w:vAlign w:val="bottom"/>
            <w:tcBorders>
              <w:bottom w:val="single" w:sz="8" w:color="004054"/>
            </w:tcBorders>
            <w:shd w:val="clear" w:color="auto" w:fill="004054"/>
          </w:tcPr>
          <w:p>
            <w:pPr>
              <w:spacing w:after="0"/>
              <w:rPr>
                <w:sz w:val="18"/>
                <w:szCs w:val="18"/>
                <w:color w:val="auto"/>
              </w:rPr>
            </w:pPr>
          </w:p>
        </w:tc>
        <w:tc>
          <w:tcPr>
            <w:tcW w:w="6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60" w:type="dxa"/>
            <w:vAlign w:val="bottom"/>
            <w:tcBorders>
              <w:bottom w:val="single" w:sz="8" w:color="004054"/>
            </w:tcBorders>
            <w:shd w:val="clear" w:color="auto" w:fill="004054"/>
          </w:tcPr>
          <w:p>
            <w:pPr>
              <w:spacing w:after="0"/>
              <w:rPr>
                <w:sz w:val="18"/>
                <w:szCs w:val="18"/>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EBFBFF"/>
            </w:tcBorders>
            <w:gridSpan w:val="4"/>
            <w:shd w:val="clear" w:color="auto" w:fill="EBFBFF"/>
          </w:tcPr>
          <w:p>
            <w:pPr>
              <w:ind w:left="20"/>
              <w:spacing w:after="0"/>
              <w:rPr>
                <w:sz w:val="20"/>
                <w:szCs w:val="20"/>
                <w:color w:val="auto"/>
              </w:rPr>
            </w:pPr>
            <w:r>
              <w:rPr>
                <w:rFonts w:ascii="Arial" w:cs="Arial" w:eastAsia="Arial" w:hAnsi="Arial"/>
                <w:sz w:val="18"/>
                <w:szCs w:val="18"/>
                <w:b w:val="1"/>
                <w:bCs w:val="1"/>
                <w:color w:val="51555C"/>
              </w:rPr>
              <w:t>Derivative instruments designated as hedging instruments:</w:t>
            </w:r>
          </w:p>
        </w:tc>
        <w:tc>
          <w:tcPr>
            <w:tcW w:w="460" w:type="dxa"/>
            <w:vAlign w:val="bottom"/>
            <w:tcBorders>
              <w:bottom w:val="single" w:sz="8" w:color="EBFBFF"/>
            </w:tcBorders>
            <w:shd w:val="clear" w:color="auto" w:fill="EBFBFF"/>
          </w:tcPr>
          <w:p>
            <w:pPr>
              <w:spacing w:after="0"/>
              <w:rPr>
                <w:sz w:val="21"/>
                <w:szCs w:val="21"/>
                <w:color w:val="auto"/>
              </w:rPr>
            </w:pPr>
          </w:p>
        </w:tc>
        <w:tc>
          <w:tcPr>
            <w:tcW w:w="1220" w:type="dxa"/>
            <w:vAlign w:val="bottom"/>
            <w:tcBorders>
              <w:bottom w:val="single" w:sz="8" w:color="EBFBFF"/>
            </w:tcBorders>
            <w:shd w:val="clear" w:color="auto" w:fill="EBFBFF"/>
          </w:tcPr>
          <w:p>
            <w:pPr>
              <w:spacing w:after="0"/>
              <w:rPr>
                <w:sz w:val="21"/>
                <w:szCs w:val="21"/>
                <w:color w:val="auto"/>
              </w:rPr>
            </w:pPr>
          </w:p>
        </w:tc>
        <w:tc>
          <w:tcPr>
            <w:tcW w:w="22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spacing w:after="0"/>
              <w:rPr>
                <w:sz w:val="21"/>
                <w:szCs w:val="21"/>
                <w:color w:val="auto"/>
              </w:rPr>
            </w:pPr>
          </w:p>
        </w:tc>
        <w:tc>
          <w:tcPr>
            <w:tcW w:w="6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62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500" w:type="dxa"/>
            <w:vAlign w:val="bottom"/>
            <w:gridSpan w:val="4"/>
          </w:tcPr>
          <w:p>
            <w:pPr>
              <w:ind w:left="140"/>
              <w:spacing w:after="0"/>
              <w:rPr>
                <w:sz w:val="20"/>
                <w:szCs w:val="20"/>
                <w:color w:val="auto"/>
              </w:rPr>
            </w:pPr>
            <w:r>
              <w:rPr>
                <w:rFonts w:ascii="Arial" w:cs="Arial" w:eastAsia="Arial" w:hAnsi="Arial"/>
                <w:sz w:val="18"/>
                <w:szCs w:val="18"/>
                <w:color w:val="51555C"/>
              </w:rPr>
              <w:t>Foreign currency forward contracts, current portion</w:t>
            </w:r>
          </w:p>
        </w:tc>
        <w:tc>
          <w:tcPr>
            <w:tcW w:w="460" w:type="dxa"/>
            <w:vAlign w:val="bottom"/>
          </w:tcPr>
          <w:p>
            <w:pPr>
              <w:spacing w:after="0"/>
              <w:rPr>
                <w:sz w:val="24"/>
                <w:szCs w:val="24"/>
                <w:color w:val="auto"/>
              </w:rPr>
            </w:pPr>
          </w:p>
        </w:tc>
        <w:tc>
          <w:tcPr>
            <w:tcW w:w="3300" w:type="dxa"/>
            <w:vAlign w:val="bottom"/>
            <w:gridSpan w:val="5"/>
          </w:tcPr>
          <w:p>
            <w:pPr>
              <w:jc w:val="right"/>
              <w:ind w:right="740"/>
              <w:spacing w:after="0"/>
              <w:rPr>
                <w:sz w:val="20"/>
                <w:szCs w:val="20"/>
                <w:color w:val="auto"/>
              </w:rPr>
            </w:pPr>
            <w:r>
              <w:rPr>
                <w:rFonts w:ascii="Arial" w:cs="Arial" w:eastAsia="Arial" w:hAnsi="Arial"/>
                <w:sz w:val="18"/>
                <w:szCs w:val="18"/>
                <w:color w:val="51555C"/>
              </w:rPr>
              <w:t>Prepaid expenses</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300" w:type="dxa"/>
            <w:vAlign w:val="bottom"/>
            <w:gridSpan w:val="5"/>
          </w:tcPr>
          <w:p>
            <w:pPr>
              <w:jc w:val="right"/>
              <w:ind w:right="600"/>
              <w:spacing w:after="0"/>
              <w:rPr>
                <w:sz w:val="20"/>
                <w:szCs w:val="20"/>
                <w:color w:val="auto"/>
              </w:rPr>
            </w:pPr>
            <w:r>
              <w:rPr>
                <w:rFonts w:ascii="Arial" w:cs="Arial" w:eastAsia="Arial" w:hAnsi="Arial"/>
                <w:sz w:val="18"/>
                <w:szCs w:val="18"/>
                <w:color w:val="51555C"/>
              </w:rPr>
              <w:t>and other current assets $</w:t>
            </w:r>
          </w:p>
        </w:tc>
        <w:tc>
          <w:tcPr>
            <w:tcW w:w="620" w:type="dxa"/>
            <w:vAlign w:val="bottom"/>
          </w:tcPr>
          <w:p>
            <w:pPr>
              <w:jc w:val="right"/>
              <w:spacing w:after="0"/>
              <w:rPr>
                <w:sz w:val="20"/>
                <w:szCs w:val="20"/>
                <w:color w:val="auto"/>
              </w:rPr>
            </w:pPr>
            <w:r>
              <w:rPr>
                <w:rFonts w:ascii="Arial" w:cs="Arial" w:eastAsia="Arial" w:hAnsi="Arial"/>
                <w:sz w:val="18"/>
                <w:szCs w:val="18"/>
                <w:color w:val="51555C"/>
              </w:rPr>
              <w:t>1,464</w:t>
            </w:r>
          </w:p>
        </w:tc>
        <w:tc>
          <w:tcPr>
            <w:tcW w:w="260" w:type="dxa"/>
            <w:vAlign w:val="bottom"/>
          </w:tcPr>
          <w:p>
            <w:pPr>
              <w:jc w:val="right"/>
              <w:ind w:right="62"/>
              <w:spacing w:after="0"/>
              <w:rPr>
                <w:sz w:val="20"/>
                <w:szCs w:val="20"/>
                <w:color w:val="auto"/>
              </w:rPr>
            </w:pPr>
            <w:r>
              <w:rPr>
                <w:rFonts w:ascii="Arial" w:cs="Arial" w:eastAsia="Arial" w:hAnsi="Arial"/>
                <w:sz w:val="18"/>
                <w:szCs w:val="18"/>
                <w:color w:val="51555C"/>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6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Interest rate swaps, long-term</w:t>
            </w:r>
          </w:p>
        </w:tc>
        <w:tc>
          <w:tcPr>
            <w:tcW w:w="200" w:type="dxa"/>
            <w:vAlign w:val="bottom"/>
            <w:tcBorders>
              <w:bottom w:val="single" w:sz="8" w:color="EBFBFF"/>
            </w:tcBorders>
            <w:shd w:val="clear" w:color="auto" w:fill="EBFBFF"/>
          </w:tcPr>
          <w:p>
            <w:pPr>
              <w:spacing w:after="0"/>
              <w:rPr>
                <w:sz w:val="24"/>
                <w:szCs w:val="24"/>
                <w:color w:val="auto"/>
              </w:rPr>
            </w:pPr>
          </w:p>
        </w:tc>
        <w:tc>
          <w:tcPr>
            <w:tcW w:w="1580" w:type="dxa"/>
            <w:vAlign w:val="bottom"/>
            <w:tcBorders>
              <w:bottom w:val="single" w:sz="8" w:color="EBFBFF"/>
            </w:tcBorders>
            <w:shd w:val="clear" w:color="auto" w:fill="EBFBFF"/>
          </w:tcPr>
          <w:p>
            <w:pPr>
              <w:spacing w:after="0"/>
              <w:rPr>
                <w:sz w:val="24"/>
                <w:szCs w:val="24"/>
                <w:color w:val="auto"/>
              </w:rPr>
            </w:pPr>
          </w:p>
        </w:tc>
        <w:tc>
          <w:tcPr>
            <w:tcW w:w="100" w:type="dxa"/>
            <w:vAlign w:val="bottom"/>
            <w:tcBorders>
              <w:bottom w:val="single" w:sz="8" w:color="EBFBFF"/>
            </w:tcBorders>
            <w:shd w:val="clear" w:color="auto" w:fill="EBFBFF"/>
          </w:tcPr>
          <w:p>
            <w:pPr>
              <w:spacing w:after="0"/>
              <w:rPr>
                <w:sz w:val="24"/>
                <w:szCs w:val="24"/>
                <w:color w:val="auto"/>
              </w:rPr>
            </w:pPr>
          </w:p>
        </w:tc>
        <w:tc>
          <w:tcPr>
            <w:tcW w:w="460" w:type="dxa"/>
            <w:vAlign w:val="bottom"/>
            <w:tcBorders>
              <w:bottom w:val="single" w:sz="8" w:color="EBFBFF"/>
            </w:tcBorders>
            <w:shd w:val="clear" w:color="auto" w:fill="EBFBFF"/>
          </w:tcPr>
          <w:p>
            <w:pPr>
              <w:spacing w:after="0"/>
              <w:rPr>
                <w:sz w:val="24"/>
                <w:szCs w:val="24"/>
                <w:color w:val="auto"/>
              </w:rPr>
            </w:pPr>
          </w:p>
        </w:tc>
        <w:tc>
          <w:tcPr>
            <w:tcW w:w="1220" w:type="dxa"/>
            <w:vAlign w:val="bottom"/>
            <w:tcBorders>
              <w:bottom w:val="single" w:sz="8" w:color="EBFBFF"/>
            </w:tcBorders>
            <w:shd w:val="clear" w:color="auto" w:fill="EBFBFF"/>
          </w:tcPr>
          <w:p>
            <w:pPr>
              <w:spacing w:after="0"/>
              <w:rPr>
                <w:sz w:val="24"/>
                <w:szCs w:val="24"/>
                <w:color w:val="auto"/>
              </w:rPr>
            </w:pPr>
          </w:p>
        </w:tc>
        <w:tc>
          <w:tcPr>
            <w:tcW w:w="220" w:type="dxa"/>
            <w:vAlign w:val="bottom"/>
            <w:tcBorders>
              <w:bottom w:val="single" w:sz="8" w:color="EBFBFF"/>
            </w:tcBorders>
            <w:shd w:val="clear" w:color="auto" w:fill="EBFBFF"/>
          </w:tcPr>
          <w:p>
            <w:pPr>
              <w:spacing w:after="0"/>
              <w:rPr>
                <w:sz w:val="24"/>
                <w:szCs w:val="24"/>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Other assets</w:t>
            </w:r>
          </w:p>
        </w:tc>
        <w:tc>
          <w:tcPr>
            <w:tcW w:w="720" w:type="dxa"/>
            <w:vAlign w:val="bottom"/>
            <w:tcBorders>
              <w:bottom w:val="single" w:sz="8" w:color="EBFBFF"/>
            </w:tcBorders>
            <w:gridSpan w:val="2"/>
            <w:shd w:val="clear" w:color="auto" w:fill="EBFBFF"/>
          </w:tcPr>
          <w:p>
            <w:pPr>
              <w:spacing w:after="0"/>
              <w:rPr>
                <w:sz w:val="24"/>
                <w:szCs w:val="24"/>
                <w:color w:val="auto"/>
              </w:rPr>
            </w:pPr>
          </w:p>
        </w:tc>
        <w:tc>
          <w:tcPr>
            <w:tcW w:w="6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8"/>
              </w:rPr>
              <w:t>33,120</w:t>
            </w:r>
          </w:p>
        </w:tc>
        <w:tc>
          <w:tcPr>
            <w:tcW w:w="260" w:type="dxa"/>
            <w:vAlign w:val="bottom"/>
            <w:tcBorders>
              <w:bottom w:val="single" w:sz="8" w:color="EBFBFF"/>
            </w:tcBorders>
            <w:shd w:val="clear" w:color="auto" w:fill="EBFBFF"/>
          </w:tcPr>
          <w:p>
            <w:pPr>
              <w:spacing w:after="0"/>
              <w:rPr>
                <w:sz w:val="24"/>
                <w:szCs w:val="24"/>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7,160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00" w:type="dxa"/>
            <w:vAlign w:val="bottom"/>
            <w:gridSpan w:val="4"/>
          </w:tcPr>
          <w:p>
            <w:pPr>
              <w:ind w:left="20"/>
              <w:spacing w:after="0"/>
              <w:rPr>
                <w:sz w:val="20"/>
                <w:szCs w:val="20"/>
                <w:color w:val="auto"/>
              </w:rPr>
            </w:pPr>
            <w:r>
              <w:rPr>
                <w:rFonts w:ascii="Arial" w:cs="Arial" w:eastAsia="Arial" w:hAnsi="Arial"/>
                <w:sz w:val="18"/>
                <w:szCs w:val="18"/>
                <w:b w:val="1"/>
                <w:bCs w:val="1"/>
                <w:color w:val="51555C"/>
                <w:w w:val="99"/>
              </w:rPr>
              <w:t>Total derivative instruments designated as hedging instruments</w:t>
            </w: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Borders>
              <w:top w:val="single" w:sz="8" w:color="51555C"/>
            </w:tcBorders>
          </w:tcPr>
          <w:p>
            <w:pPr>
              <w:jc w:val="right"/>
              <w:ind w:right="416"/>
              <w:spacing w:after="0"/>
              <w:rPr>
                <w:sz w:val="20"/>
                <w:szCs w:val="20"/>
                <w:color w:val="auto"/>
              </w:rPr>
            </w:pPr>
            <w:r>
              <w:rPr>
                <w:rFonts w:ascii="Arial" w:cs="Arial" w:eastAsia="Arial" w:hAnsi="Arial"/>
                <w:sz w:val="18"/>
                <w:szCs w:val="18"/>
                <w:color w:val="51555C"/>
                <w:w w:val="99"/>
              </w:rPr>
              <w:t>$</w:t>
            </w:r>
          </w:p>
        </w:tc>
        <w:tc>
          <w:tcPr>
            <w:tcW w:w="100" w:type="dxa"/>
            <w:vAlign w:val="bottom"/>
            <w:tcBorders>
              <w:top w:val="single" w:sz="8" w:color="51555C"/>
            </w:tcBorders>
          </w:tcPr>
          <w:p>
            <w:pPr>
              <w:spacing w:after="0"/>
              <w:rPr>
                <w:sz w:val="20"/>
                <w:szCs w:val="20"/>
                <w:color w:val="auto"/>
              </w:rPr>
            </w:pPr>
          </w:p>
        </w:tc>
        <w:tc>
          <w:tcPr>
            <w:tcW w:w="6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8"/>
              </w:rPr>
              <w:t>34,584</w:t>
            </w:r>
          </w:p>
        </w:tc>
        <w:tc>
          <w:tcPr>
            <w:tcW w:w="260" w:type="dxa"/>
            <w:vAlign w:val="bottom"/>
            <w:tcBorders>
              <w:top w:val="single" w:sz="8" w:color="51555C"/>
            </w:tcBorders>
          </w:tcPr>
          <w:p>
            <w:pPr>
              <w:jc w:val="right"/>
              <w:ind w:right="62"/>
              <w:spacing w:after="0"/>
              <w:rPr>
                <w:sz w:val="20"/>
                <w:szCs w:val="20"/>
                <w:color w:val="auto"/>
              </w:rPr>
            </w:pPr>
            <w:r>
              <w:rPr>
                <w:rFonts w:ascii="Arial" w:cs="Arial" w:eastAsia="Arial" w:hAnsi="Arial"/>
                <w:sz w:val="18"/>
                <w:szCs w:val="18"/>
                <w:color w:val="51555C"/>
                <w:w w:val="99"/>
              </w:rPr>
              <w:t>$</w:t>
            </w:r>
          </w:p>
        </w:tc>
        <w:tc>
          <w:tcPr>
            <w:tcW w:w="11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7,160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Borders>
              <w:bottom w:val="single" w:sz="8" w:color="0CD973"/>
            </w:tcBorders>
          </w:tcPr>
          <w:p>
            <w:pPr>
              <w:spacing w:after="0"/>
              <w:rPr>
                <w:sz w:val="2"/>
                <w:szCs w:val="2"/>
                <w:color w:val="auto"/>
              </w:rPr>
            </w:pPr>
          </w:p>
        </w:tc>
        <w:tc>
          <w:tcPr>
            <w:tcW w:w="1780" w:type="dxa"/>
            <w:vAlign w:val="bottom"/>
            <w:tcBorders>
              <w:bottom w:val="single" w:sz="8" w:color="0CD973"/>
            </w:tcBorders>
            <w:gridSpan w:val="2"/>
          </w:tcPr>
          <w:p>
            <w:pPr>
              <w:spacing w:after="0"/>
              <w:rPr>
                <w:sz w:val="2"/>
                <w:szCs w:val="2"/>
                <w:color w:val="auto"/>
              </w:rPr>
            </w:pPr>
          </w:p>
        </w:tc>
        <w:tc>
          <w:tcPr>
            <w:tcW w:w="560" w:type="dxa"/>
            <w:vAlign w:val="bottom"/>
            <w:tcBorders>
              <w:bottom w:val="single" w:sz="8" w:color="0CD973"/>
            </w:tcBorders>
            <w:gridSpan w:val="2"/>
          </w:tcPr>
          <w:p>
            <w:pPr>
              <w:spacing w:after="0"/>
              <w:rPr>
                <w:sz w:val="2"/>
                <w:szCs w:val="2"/>
                <w:color w:val="auto"/>
              </w:rPr>
            </w:pPr>
          </w:p>
        </w:tc>
        <w:tc>
          <w:tcPr>
            <w:tcW w:w="1220" w:type="dxa"/>
            <w:vAlign w:val="bottom"/>
            <w:tcBorders>
              <w:bottom w:val="single" w:sz="8" w:color="0CD973"/>
            </w:tcBorders>
          </w:tcPr>
          <w:p>
            <w:pPr>
              <w:spacing w:after="0"/>
              <w:rPr>
                <w:sz w:val="2"/>
                <w:szCs w:val="2"/>
                <w:color w:val="auto"/>
              </w:rPr>
            </w:pPr>
          </w:p>
        </w:tc>
        <w:tc>
          <w:tcPr>
            <w:tcW w:w="1360" w:type="dxa"/>
            <w:vAlign w:val="bottom"/>
            <w:tcBorders>
              <w:bottom w:val="single" w:sz="8" w:color="0CD973"/>
            </w:tcBorders>
            <w:gridSpan w:val="2"/>
          </w:tcPr>
          <w:p>
            <w:pPr>
              <w:spacing w:after="0"/>
              <w:rPr>
                <w:sz w:val="2"/>
                <w:szCs w:val="2"/>
                <w:color w:val="auto"/>
              </w:rPr>
            </w:pPr>
          </w:p>
        </w:tc>
        <w:tc>
          <w:tcPr>
            <w:tcW w:w="62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620" w:type="dxa"/>
            <w:vAlign w:val="bottom"/>
            <w:tcBorders>
              <w:bottom w:val="single" w:sz="8" w:color="0CD973"/>
            </w:tcBorders>
          </w:tcPr>
          <w:p>
            <w:pPr>
              <w:spacing w:after="0"/>
              <w:rPr>
                <w:sz w:val="2"/>
                <w:szCs w:val="2"/>
                <w:color w:val="auto"/>
              </w:rPr>
            </w:pPr>
          </w:p>
        </w:tc>
        <w:tc>
          <w:tcPr>
            <w:tcW w:w="260" w:type="dxa"/>
            <w:vAlign w:val="bottom"/>
            <w:tcBorders>
              <w:bottom w:val="single" w:sz="8" w:color="0CD973"/>
            </w:tcBorders>
          </w:tcPr>
          <w:p>
            <w:pPr>
              <w:spacing w:after="0"/>
              <w:rPr>
                <w:sz w:val="2"/>
                <w:szCs w:val="2"/>
                <w:color w:val="auto"/>
              </w:rPr>
            </w:pPr>
          </w:p>
        </w:tc>
        <w:tc>
          <w:tcPr>
            <w:tcW w:w="110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9260" w:type="dxa"/>
            <w:vAlign w:val="bottom"/>
            <w:gridSpan w:val="10"/>
          </w:tcPr>
          <w:p>
            <w:pPr>
              <w:spacing w:after="0"/>
              <w:rPr>
                <w:sz w:val="20"/>
                <w:szCs w:val="20"/>
                <w:color w:val="auto"/>
              </w:rPr>
            </w:pPr>
            <w:r>
              <w:rPr>
                <w:rFonts w:ascii="Arial" w:cs="Arial" w:eastAsia="Arial" w:hAnsi="Arial"/>
                <w:sz w:val="18"/>
                <w:szCs w:val="18"/>
                <w:color w:val="51555C"/>
              </w:rPr>
              <w:t>The effects of derivative instruments in cash flow and net investment hedging relationships were as follows:</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004054"/>
          </w:tcPr>
          <w:p>
            <w:pPr>
              <w:spacing w:after="0"/>
              <w:rPr>
                <w:sz w:val="16"/>
                <w:szCs w:val="16"/>
                <w:color w:val="auto"/>
              </w:rPr>
            </w:pPr>
          </w:p>
        </w:tc>
        <w:tc>
          <w:tcPr>
            <w:tcW w:w="200" w:type="dxa"/>
            <w:vAlign w:val="bottom"/>
            <w:shd w:val="clear" w:color="auto" w:fill="004054"/>
          </w:tcPr>
          <w:p>
            <w:pPr>
              <w:spacing w:after="0"/>
              <w:rPr>
                <w:sz w:val="16"/>
                <w:szCs w:val="16"/>
                <w:color w:val="auto"/>
              </w:rPr>
            </w:pPr>
          </w:p>
        </w:tc>
        <w:tc>
          <w:tcPr>
            <w:tcW w:w="158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Gain recognized</w:t>
            </w:r>
          </w:p>
        </w:tc>
        <w:tc>
          <w:tcPr>
            <w:tcW w:w="100" w:type="dxa"/>
            <w:vAlign w:val="bottom"/>
            <w:shd w:val="clear" w:color="auto" w:fill="004054"/>
          </w:tcPr>
          <w:p>
            <w:pPr>
              <w:spacing w:after="0"/>
              <w:rPr>
                <w:sz w:val="16"/>
                <w:szCs w:val="16"/>
                <w:color w:val="auto"/>
              </w:rPr>
            </w:pPr>
          </w:p>
        </w:tc>
        <w:tc>
          <w:tcPr>
            <w:tcW w:w="460" w:type="dxa"/>
            <w:vAlign w:val="bottom"/>
            <w:shd w:val="clear" w:color="auto" w:fill="004054"/>
          </w:tcPr>
          <w:p>
            <w:pPr>
              <w:spacing w:after="0"/>
              <w:rPr>
                <w:sz w:val="16"/>
                <w:szCs w:val="16"/>
                <w:color w:val="auto"/>
              </w:rPr>
            </w:pPr>
          </w:p>
        </w:tc>
        <w:tc>
          <w:tcPr>
            <w:tcW w:w="12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Location</w:t>
            </w:r>
          </w:p>
        </w:tc>
        <w:tc>
          <w:tcPr>
            <w:tcW w:w="220" w:type="dxa"/>
            <w:vAlign w:val="bottom"/>
            <w:shd w:val="clear" w:color="auto" w:fill="004054"/>
          </w:tcPr>
          <w:p>
            <w:pPr>
              <w:spacing w:after="0"/>
              <w:rPr>
                <w:sz w:val="16"/>
                <w:szCs w:val="16"/>
                <w:color w:val="auto"/>
              </w:rPr>
            </w:pPr>
          </w:p>
        </w:tc>
        <w:tc>
          <w:tcPr>
            <w:tcW w:w="1140" w:type="dxa"/>
            <w:vAlign w:val="bottom"/>
            <w:shd w:val="clear" w:color="auto" w:fill="004054"/>
          </w:tcPr>
          <w:p>
            <w:pPr>
              <w:spacing w:after="0"/>
              <w:rPr>
                <w:sz w:val="16"/>
                <w:szCs w:val="16"/>
                <w:color w:val="auto"/>
              </w:rPr>
            </w:pPr>
          </w:p>
        </w:tc>
        <w:tc>
          <w:tcPr>
            <w:tcW w:w="62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620" w:type="dxa"/>
            <w:vAlign w:val="bottom"/>
            <w:shd w:val="clear" w:color="auto" w:fill="004054"/>
          </w:tcPr>
          <w:p>
            <w:pPr>
              <w:spacing w:after="0"/>
              <w:rPr>
                <w:sz w:val="16"/>
                <w:szCs w:val="16"/>
                <w:color w:val="auto"/>
              </w:rPr>
            </w:pPr>
          </w:p>
        </w:tc>
        <w:tc>
          <w:tcPr>
            <w:tcW w:w="260" w:type="dxa"/>
            <w:vAlign w:val="bottom"/>
            <w:shd w:val="clear" w:color="auto" w:fill="004054"/>
          </w:tcPr>
          <w:p>
            <w:pPr>
              <w:spacing w:after="0"/>
              <w:rPr>
                <w:sz w:val="16"/>
                <w:szCs w:val="16"/>
                <w:color w:val="auto"/>
              </w:rPr>
            </w:pPr>
          </w:p>
        </w:tc>
        <w:tc>
          <w:tcPr>
            <w:tcW w:w="110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620" w:type="dxa"/>
            <w:vAlign w:val="bottom"/>
            <w:shd w:val="clear" w:color="auto" w:fill="004054"/>
          </w:tcPr>
          <w:p>
            <w:pPr>
              <w:spacing w:after="0"/>
              <w:rPr>
                <w:sz w:val="9"/>
                <w:szCs w:val="9"/>
                <w:color w:val="auto"/>
              </w:rPr>
            </w:pPr>
          </w:p>
        </w:tc>
        <w:tc>
          <w:tcPr>
            <w:tcW w:w="200" w:type="dxa"/>
            <w:vAlign w:val="bottom"/>
            <w:shd w:val="clear" w:color="auto" w:fill="004054"/>
          </w:tcPr>
          <w:p>
            <w:pPr>
              <w:spacing w:after="0"/>
              <w:rPr>
                <w:sz w:val="9"/>
                <w:szCs w:val="9"/>
                <w:color w:val="auto"/>
              </w:rPr>
            </w:pPr>
          </w:p>
        </w:tc>
        <w:tc>
          <w:tcPr>
            <w:tcW w:w="1580" w:type="dxa"/>
            <w:vAlign w:val="bottom"/>
            <w:vMerge w:val="continue"/>
            <w:shd w:val="clear" w:color="auto" w:fill="004054"/>
          </w:tcPr>
          <w:p>
            <w:pPr>
              <w:spacing w:after="0"/>
              <w:rPr>
                <w:sz w:val="9"/>
                <w:szCs w:val="9"/>
                <w:color w:val="auto"/>
              </w:rPr>
            </w:pPr>
          </w:p>
        </w:tc>
        <w:tc>
          <w:tcPr>
            <w:tcW w:w="100" w:type="dxa"/>
            <w:vAlign w:val="bottom"/>
            <w:shd w:val="clear" w:color="auto" w:fill="004054"/>
          </w:tcPr>
          <w:p>
            <w:pPr>
              <w:spacing w:after="0"/>
              <w:rPr>
                <w:sz w:val="9"/>
                <w:szCs w:val="9"/>
                <w:color w:val="auto"/>
              </w:rPr>
            </w:pPr>
          </w:p>
        </w:tc>
        <w:tc>
          <w:tcPr>
            <w:tcW w:w="460" w:type="dxa"/>
            <w:vAlign w:val="bottom"/>
            <w:shd w:val="clear" w:color="auto" w:fill="004054"/>
          </w:tcPr>
          <w:p>
            <w:pPr>
              <w:spacing w:after="0"/>
              <w:rPr>
                <w:sz w:val="9"/>
                <w:szCs w:val="9"/>
                <w:color w:val="auto"/>
              </w:rPr>
            </w:pPr>
          </w:p>
        </w:tc>
        <w:tc>
          <w:tcPr>
            <w:tcW w:w="122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of gain</w:t>
            </w:r>
          </w:p>
        </w:tc>
        <w:tc>
          <w:tcPr>
            <w:tcW w:w="220" w:type="dxa"/>
            <w:vAlign w:val="bottom"/>
            <w:shd w:val="clear" w:color="auto" w:fill="004054"/>
          </w:tcPr>
          <w:p>
            <w:pPr>
              <w:spacing w:after="0"/>
              <w:rPr>
                <w:sz w:val="9"/>
                <w:szCs w:val="9"/>
                <w:color w:val="auto"/>
              </w:rPr>
            </w:pPr>
          </w:p>
        </w:tc>
        <w:tc>
          <w:tcPr>
            <w:tcW w:w="1140" w:type="dxa"/>
            <w:vAlign w:val="bottom"/>
            <w:shd w:val="clear" w:color="auto" w:fill="004054"/>
          </w:tcPr>
          <w:p>
            <w:pPr>
              <w:spacing w:after="0"/>
              <w:rPr>
                <w:sz w:val="9"/>
                <w:szCs w:val="9"/>
                <w:color w:val="auto"/>
              </w:rPr>
            </w:pPr>
          </w:p>
        </w:tc>
        <w:tc>
          <w:tcPr>
            <w:tcW w:w="620" w:type="dxa"/>
            <w:vAlign w:val="bottom"/>
            <w:shd w:val="clear" w:color="auto" w:fill="004054"/>
          </w:tcPr>
          <w:p>
            <w:pPr>
              <w:spacing w:after="0"/>
              <w:rPr>
                <w:sz w:val="9"/>
                <w:szCs w:val="9"/>
                <w:color w:val="auto"/>
              </w:rPr>
            </w:pPr>
          </w:p>
        </w:tc>
        <w:tc>
          <w:tcPr>
            <w:tcW w:w="100" w:type="dxa"/>
            <w:vAlign w:val="bottom"/>
            <w:shd w:val="clear" w:color="auto" w:fill="004054"/>
          </w:tcPr>
          <w:p>
            <w:pPr>
              <w:spacing w:after="0"/>
              <w:rPr>
                <w:sz w:val="9"/>
                <w:szCs w:val="9"/>
                <w:color w:val="auto"/>
              </w:rPr>
            </w:pPr>
          </w:p>
        </w:tc>
        <w:tc>
          <w:tcPr>
            <w:tcW w:w="620" w:type="dxa"/>
            <w:vAlign w:val="bottom"/>
            <w:shd w:val="clear" w:color="auto" w:fill="004054"/>
          </w:tcPr>
          <w:p>
            <w:pPr>
              <w:spacing w:after="0"/>
              <w:rPr>
                <w:sz w:val="9"/>
                <w:szCs w:val="9"/>
                <w:color w:val="auto"/>
              </w:rPr>
            </w:pPr>
          </w:p>
        </w:tc>
        <w:tc>
          <w:tcPr>
            <w:tcW w:w="260" w:type="dxa"/>
            <w:vAlign w:val="bottom"/>
            <w:shd w:val="clear" w:color="auto" w:fill="004054"/>
          </w:tcPr>
          <w:p>
            <w:pPr>
              <w:spacing w:after="0"/>
              <w:rPr>
                <w:sz w:val="9"/>
                <w:szCs w:val="9"/>
                <w:color w:val="auto"/>
              </w:rPr>
            </w:pPr>
          </w:p>
        </w:tc>
        <w:tc>
          <w:tcPr>
            <w:tcW w:w="1100" w:type="dxa"/>
            <w:vAlign w:val="bottom"/>
            <w:shd w:val="clear" w:color="auto" w:fill="004054"/>
          </w:tcPr>
          <w:p>
            <w:pPr>
              <w:spacing w:after="0"/>
              <w:rPr>
                <w:sz w:val="9"/>
                <w:szCs w:val="9"/>
                <w:color w:val="auto"/>
              </w:rPr>
            </w:pPr>
          </w:p>
        </w:tc>
        <w:tc>
          <w:tcPr>
            <w:tcW w:w="20" w:type="dxa"/>
            <w:vAlign w:val="bottom"/>
            <w:shd w:val="clear" w:color="auto" w:fill="004054"/>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620" w:type="dxa"/>
            <w:vAlign w:val="bottom"/>
            <w:shd w:val="clear" w:color="auto" w:fill="004054"/>
          </w:tcPr>
          <w:p>
            <w:pPr>
              <w:spacing w:after="0"/>
              <w:rPr>
                <w:sz w:val="5"/>
                <w:szCs w:val="5"/>
                <w:color w:val="auto"/>
              </w:rPr>
            </w:pPr>
          </w:p>
        </w:tc>
        <w:tc>
          <w:tcPr>
            <w:tcW w:w="200" w:type="dxa"/>
            <w:vAlign w:val="bottom"/>
            <w:shd w:val="clear" w:color="auto" w:fill="004054"/>
          </w:tcPr>
          <w:p>
            <w:pPr>
              <w:spacing w:after="0"/>
              <w:rPr>
                <w:sz w:val="5"/>
                <w:szCs w:val="5"/>
                <w:color w:val="auto"/>
              </w:rPr>
            </w:pPr>
          </w:p>
        </w:tc>
        <w:tc>
          <w:tcPr>
            <w:tcW w:w="158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in accumulated other</w:t>
            </w:r>
          </w:p>
        </w:tc>
        <w:tc>
          <w:tcPr>
            <w:tcW w:w="100" w:type="dxa"/>
            <w:vAlign w:val="bottom"/>
            <w:shd w:val="clear" w:color="auto" w:fill="004054"/>
          </w:tcPr>
          <w:p>
            <w:pPr>
              <w:spacing w:after="0"/>
              <w:rPr>
                <w:sz w:val="5"/>
                <w:szCs w:val="5"/>
                <w:color w:val="auto"/>
              </w:rPr>
            </w:pPr>
          </w:p>
        </w:tc>
        <w:tc>
          <w:tcPr>
            <w:tcW w:w="460" w:type="dxa"/>
            <w:vAlign w:val="bottom"/>
            <w:shd w:val="clear" w:color="auto" w:fill="004054"/>
          </w:tcPr>
          <w:p>
            <w:pPr>
              <w:spacing w:after="0"/>
              <w:rPr>
                <w:sz w:val="5"/>
                <w:szCs w:val="5"/>
                <w:color w:val="auto"/>
              </w:rPr>
            </w:pPr>
          </w:p>
        </w:tc>
        <w:tc>
          <w:tcPr>
            <w:tcW w:w="1220" w:type="dxa"/>
            <w:vAlign w:val="bottom"/>
            <w:vMerge w:val="continue"/>
            <w:shd w:val="clear" w:color="auto" w:fill="004054"/>
          </w:tcPr>
          <w:p>
            <w:pPr>
              <w:spacing w:after="0"/>
              <w:rPr>
                <w:sz w:val="5"/>
                <w:szCs w:val="5"/>
                <w:color w:val="auto"/>
              </w:rPr>
            </w:pPr>
          </w:p>
        </w:tc>
        <w:tc>
          <w:tcPr>
            <w:tcW w:w="220" w:type="dxa"/>
            <w:vAlign w:val="bottom"/>
            <w:shd w:val="clear" w:color="auto" w:fill="004054"/>
          </w:tcPr>
          <w:p>
            <w:pPr>
              <w:spacing w:after="0"/>
              <w:rPr>
                <w:sz w:val="5"/>
                <w:szCs w:val="5"/>
                <w:color w:val="auto"/>
              </w:rPr>
            </w:pPr>
          </w:p>
        </w:tc>
        <w:tc>
          <w:tcPr>
            <w:tcW w:w="1140" w:type="dxa"/>
            <w:vAlign w:val="bottom"/>
            <w:shd w:val="clear" w:color="auto" w:fill="004054"/>
          </w:tcPr>
          <w:p>
            <w:pPr>
              <w:spacing w:after="0"/>
              <w:rPr>
                <w:sz w:val="5"/>
                <w:szCs w:val="5"/>
                <w:color w:val="auto"/>
              </w:rPr>
            </w:pPr>
          </w:p>
        </w:tc>
        <w:tc>
          <w:tcPr>
            <w:tcW w:w="620" w:type="dxa"/>
            <w:vAlign w:val="bottom"/>
            <w:shd w:val="clear" w:color="auto" w:fill="004054"/>
          </w:tcPr>
          <w:p>
            <w:pPr>
              <w:spacing w:after="0"/>
              <w:rPr>
                <w:sz w:val="5"/>
                <w:szCs w:val="5"/>
                <w:color w:val="auto"/>
              </w:rPr>
            </w:pPr>
          </w:p>
        </w:tc>
        <w:tc>
          <w:tcPr>
            <w:tcW w:w="100" w:type="dxa"/>
            <w:vAlign w:val="bottom"/>
            <w:shd w:val="clear" w:color="auto" w:fill="004054"/>
          </w:tcPr>
          <w:p>
            <w:pPr>
              <w:spacing w:after="0"/>
              <w:rPr>
                <w:sz w:val="5"/>
                <w:szCs w:val="5"/>
                <w:color w:val="auto"/>
              </w:rPr>
            </w:pPr>
          </w:p>
        </w:tc>
        <w:tc>
          <w:tcPr>
            <w:tcW w:w="620" w:type="dxa"/>
            <w:vAlign w:val="bottom"/>
            <w:shd w:val="clear" w:color="auto" w:fill="004054"/>
          </w:tcPr>
          <w:p>
            <w:pPr>
              <w:spacing w:after="0"/>
              <w:rPr>
                <w:sz w:val="5"/>
                <w:szCs w:val="5"/>
                <w:color w:val="auto"/>
              </w:rPr>
            </w:pPr>
          </w:p>
        </w:tc>
        <w:tc>
          <w:tcPr>
            <w:tcW w:w="260" w:type="dxa"/>
            <w:vAlign w:val="bottom"/>
            <w:shd w:val="clear" w:color="auto" w:fill="004054"/>
          </w:tcPr>
          <w:p>
            <w:pPr>
              <w:spacing w:after="0"/>
              <w:rPr>
                <w:sz w:val="5"/>
                <w:szCs w:val="5"/>
                <w:color w:val="auto"/>
              </w:rPr>
            </w:pPr>
          </w:p>
        </w:tc>
        <w:tc>
          <w:tcPr>
            <w:tcW w:w="1100" w:type="dxa"/>
            <w:vAlign w:val="bottom"/>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620" w:type="dxa"/>
            <w:vAlign w:val="bottom"/>
            <w:shd w:val="clear" w:color="auto" w:fill="004054"/>
          </w:tcPr>
          <w:p>
            <w:pPr>
              <w:spacing w:after="0"/>
              <w:rPr>
                <w:sz w:val="9"/>
                <w:szCs w:val="9"/>
                <w:color w:val="auto"/>
              </w:rPr>
            </w:pPr>
          </w:p>
        </w:tc>
        <w:tc>
          <w:tcPr>
            <w:tcW w:w="200" w:type="dxa"/>
            <w:vAlign w:val="bottom"/>
            <w:shd w:val="clear" w:color="auto" w:fill="004054"/>
          </w:tcPr>
          <w:p>
            <w:pPr>
              <w:spacing w:after="0"/>
              <w:rPr>
                <w:sz w:val="9"/>
                <w:szCs w:val="9"/>
                <w:color w:val="auto"/>
              </w:rPr>
            </w:pPr>
          </w:p>
        </w:tc>
        <w:tc>
          <w:tcPr>
            <w:tcW w:w="1580" w:type="dxa"/>
            <w:vAlign w:val="bottom"/>
            <w:vMerge w:val="continue"/>
            <w:shd w:val="clear" w:color="auto" w:fill="004054"/>
          </w:tcPr>
          <w:p>
            <w:pPr>
              <w:spacing w:after="0"/>
              <w:rPr>
                <w:sz w:val="9"/>
                <w:szCs w:val="9"/>
                <w:color w:val="auto"/>
              </w:rPr>
            </w:pPr>
          </w:p>
        </w:tc>
        <w:tc>
          <w:tcPr>
            <w:tcW w:w="100" w:type="dxa"/>
            <w:vAlign w:val="bottom"/>
            <w:shd w:val="clear" w:color="auto" w:fill="004054"/>
          </w:tcPr>
          <w:p>
            <w:pPr>
              <w:spacing w:after="0"/>
              <w:rPr>
                <w:sz w:val="9"/>
                <w:szCs w:val="9"/>
                <w:color w:val="auto"/>
              </w:rPr>
            </w:pPr>
          </w:p>
        </w:tc>
        <w:tc>
          <w:tcPr>
            <w:tcW w:w="460" w:type="dxa"/>
            <w:vAlign w:val="bottom"/>
            <w:shd w:val="clear" w:color="auto" w:fill="004054"/>
          </w:tcPr>
          <w:p>
            <w:pPr>
              <w:spacing w:after="0"/>
              <w:rPr>
                <w:sz w:val="9"/>
                <w:szCs w:val="9"/>
                <w:color w:val="auto"/>
              </w:rPr>
            </w:pPr>
          </w:p>
        </w:tc>
        <w:tc>
          <w:tcPr>
            <w:tcW w:w="122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reclassified from</w:t>
            </w:r>
          </w:p>
        </w:tc>
        <w:tc>
          <w:tcPr>
            <w:tcW w:w="220" w:type="dxa"/>
            <w:vAlign w:val="bottom"/>
            <w:shd w:val="clear" w:color="auto" w:fill="004054"/>
          </w:tcPr>
          <w:p>
            <w:pPr>
              <w:spacing w:after="0"/>
              <w:rPr>
                <w:sz w:val="9"/>
                <w:szCs w:val="9"/>
                <w:color w:val="auto"/>
              </w:rPr>
            </w:pPr>
          </w:p>
        </w:tc>
        <w:tc>
          <w:tcPr>
            <w:tcW w:w="1140" w:type="dxa"/>
            <w:vAlign w:val="bottom"/>
            <w:shd w:val="clear" w:color="auto" w:fill="004054"/>
          </w:tcPr>
          <w:p>
            <w:pPr>
              <w:spacing w:after="0"/>
              <w:rPr>
                <w:sz w:val="9"/>
                <w:szCs w:val="9"/>
                <w:color w:val="auto"/>
              </w:rPr>
            </w:pPr>
          </w:p>
        </w:tc>
        <w:tc>
          <w:tcPr>
            <w:tcW w:w="620" w:type="dxa"/>
            <w:vAlign w:val="bottom"/>
            <w:shd w:val="clear" w:color="auto" w:fill="004054"/>
          </w:tcPr>
          <w:p>
            <w:pPr>
              <w:spacing w:after="0"/>
              <w:rPr>
                <w:sz w:val="9"/>
                <w:szCs w:val="9"/>
                <w:color w:val="auto"/>
              </w:rPr>
            </w:pPr>
          </w:p>
        </w:tc>
        <w:tc>
          <w:tcPr>
            <w:tcW w:w="100" w:type="dxa"/>
            <w:vAlign w:val="bottom"/>
            <w:shd w:val="clear" w:color="auto" w:fill="004054"/>
          </w:tcPr>
          <w:p>
            <w:pPr>
              <w:spacing w:after="0"/>
              <w:rPr>
                <w:sz w:val="9"/>
                <w:szCs w:val="9"/>
                <w:color w:val="auto"/>
              </w:rPr>
            </w:pPr>
          </w:p>
        </w:tc>
        <w:tc>
          <w:tcPr>
            <w:tcW w:w="620" w:type="dxa"/>
            <w:vAlign w:val="bottom"/>
            <w:shd w:val="clear" w:color="auto" w:fill="004054"/>
          </w:tcPr>
          <w:p>
            <w:pPr>
              <w:spacing w:after="0"/>
              <w:rPr>
                <w:sz w:val="9"/>
                <w:szCs w:val="9"/>
                <w:color w:val="auto"/>
              </w:rPr>
            </w:pPr>
          </w:p>
        </w:tc>
        <w:tc>
          <w:tcPr>
            <w:tcW w:w="260" w:type="dxa"/>
            <w:vAlign w:val="bottom"/>
            <w:shd w:val="clear" w:color="auto" w:fill="004054"/>
          </w:tcPr>
          <w:p>
            <w:pPr>
              <w:spacing w:after="0"/>
              <w:rPr>
                <w:sz w:val="9"/>
                <w:szCs w:val="9"/>
                <w:color w:val="auto"/>
              </w:rPr>
            </w:pPr>
          </w:p>
        </w:tc>
        <w:tc>
          <w:tcPr>
            <w:tcW w:w="1100" w:type="dxa"/>
            <w:vAlign w:val="bottom"/>
            <w:shd w:val="clear" w:color="auto" w:fill="004054"/>
          </w:tcPr>
          <w:p>
            <w:pPr>
              <w:spacing w:after="0"/>
              <w:rPr>
                <w:sz w:val="9"/>
                <w:szCs w:val="9"/>
                <w:color w:val="auto"/>
              </w:rPr>
            </w:pPr>
          </w:p>
        </w:tc>
        <w:tc>
          <w:tcPr>
            <w:tcW w:w="20" w:type="dxa"/>
            <w:vAlign w:val="bottom"/>
            <w:shd w:val="clear" w:color="auto" w:fill="004054"/>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620" w:type="dxa"/>
            <w:vAlign w:val="bottom"/>
            <w:shd w:val="clear" w:color="auto" w:fill="004054"/>
          </w:tcPr>
          <w:p>
            <w:pPr>
              <w:spacing w:after="0"/>
              <w:rPr>
                <w:sz w:val="5"/>
                <w:szCs w:val="5"/>
                <w:color w:val="auto"/>
              </w:rPr>
            </w:pPr>
          </w:p>
        </w:tc>
        <w:tc>
          <w:tcPr>
            <w:tcW w:w="200" w:type="dxa"/>
            <w:vAlign w:val="bottom"/>
            <w:shd w:val="clear" w:color="auto" w:fill="004054"/>
          </w:tcPr>
          <w:p>
            <w:pPr>
              <w:spacing w:after="0"/>
              <w:rPr>
                <w:sz w:val="5"/>
                <w:szCs w:val="5"/>
                <w:color w:val="auto"/>
              </w:rPr>
            </w:pPr>
          </w:p>
        </w:tc>
        <w:tc>
          <w:tcPr>
            <w:tcW w:w="158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comprehensive</w:t>
            </w:r>
          </w:p>
        </w:tc>
        <w:tc>
          <w:tcPr>
            <w:tcW w:w="100" w:type="dxa"/>
            <w:vAlign w:val="bottom"/>
            <w:shd w:val="clear" w:color="auto" w:fill="004054"/>
          </w:tcPr>
          <w:p>
            <w:pPr>
              <w:spacing w:after="0"/>
              <w:rPr>
                <w:sz w:val="5"/>
                <w:szCs w:val="5"/>
                <w:color w:val="auto"/>
              </w:rPr>
            </w:pPr>
          </w:p>
        </w:tc>
        <w:tc>
          <w:tcPr>
            <w:tcW w:w="460" w:type="dxa"/>
            <w:vAlign w:val="bottom"/>
            <w:shd w:val="clear" w:color="auto" w:fill="004054"/>
          </w:tcPr>
          <w:p>
            <w:pPr>
              <w:spacing w:after="0"/>
              <w:rPr>
                <w:sz w:val="5"/>
                <w:szCs w:val="5"/>
                <w:color w:val="auto"/>
              </w:rPr>
            </w:pPr>
          </w:p>
        </w:tc>
        <w:tc>
          <w:tcPr>
            <w:tcW w:w="1220" w:type="dxa"/>
            <w:vAlign w:val="bottom"/>
            <w:vMerge w:val="continue"/>
            <w:shd w:val="clear" w:color="auto" w:fill="004054"/>
          </w:tcPr>
          <w:p>
            <w:pPr>
              <w:spacing w:after="0"/>
              <w:rPr>
                <w:sz w:val="5"/>
                <w:szCs w:val="5"/>
                <w:color w:val="auto"/>
              </w:rPr>
            </w:pPr>
          </w:p>
        </w:tc>
        <w:tc>
          <w:tcPr>
            <w:tcW w:w="220" w:type="dxa"/>
            <w:vAlign w:val="bottom"/>
            <w:shd w:val="clear" w:color="auto" w:fill="004054"/>
          </w:tcPr>
          <w:p>
            <w:pPr>
              <w:spacing w:after="0"/>
              <w:rPr>
                <w:sz w:val="5"/>
                <w:szCs w:val="5"/>
                <w:color w:val="auto"/>
              </w:rPr>
            </w:pPr>
          </w:p>
        </w:tc>
        <w:tc>
          <w:tcPr>
            <w:tcW w:w="3840" w:type="dxa"/>
            <w:vAlign w:val="bottom"/>
            <w:gridSpan w:val="6"/>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Gain (loss) reclassified from accumulated</w:t>
            </w:r>
          </w:p>
        </w:tc>
        <w:tc>
          <w:tcPr>
            <w:tcW w:w="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620" w:type="dxa"/>
            <w:vAlign w:val="bottom"/>
            <w:shd w:val="clear" w:color="auto" w:fill="004054"/>
          </w:tcPr>
          <w:p>
            <w:pPr>
              <w:spacing w:after="0"/>
              <w:rPr>
                <w:sz w:val="8"/>
                <w:szCs w:val="8"/>
                <w:color w:val="auto"/>
              </w:rPr>
            </w:pPr>
          </w:p>
        </w:tc>
        <w:tc>
          <w:tcPr>
            <w:tcW w:w="200" w:type="dxa"/>
            <w:vAlign w:val="bottom"/>
            <w:shd w:val="clear" w:color="auto" w:fill="004054"/>
          </w:tcPr>
          <w:p>
            <w:pPr>
              <w:spacing w:after="0"/>
              <w:rPr>
                <w:sz w:val="8"/>
                <w:szCs w:val="8"/>
                <w:color w:val="auto"/>
              </w:rPr>
            </w:pPr>
          </w:p>
        </w:tc>
        <w:tc>
          <w:tcPr>
            <w:tcW w:w="1580" w:type="dxa"/>
            <w:vAlign w:val="bottom"/>
            <w:vMerge w:val="continue"/>
            <w:shd w:val="clear" w:color="auto" w:fill="004054"/>
          </w:tcPr>
          <w:p>
            <w:pPr>
              <w:spacing w:after="0"/>
              <w:rPr>
                <w:sz w:val="8"/>
                <w:szCs w:val="8"/>
                <w:color w:val="auto"/>
              </w:rPr>
            </w:pPr>
          </w:p>
        </w:tc>
        <w:tc>
          <w:tcPr>
            <w:tcW w:w="100" w:type="dxa"/>
            <w:vAlign w:val="bottom"/>
            <w:shd w:val="clear" w:color="auto" w:fill="004054"/>
          </w:tcPr>
          <w:p>
            <w:pPr>
              <w:spacing w:after="0"/>
              <w:rPr>
                <w:sz w:val="8"/>
                <w:szCs w:val="8"/>
                <w:color w:val="auto"/>
              </w:rPr>
            </w:pPr>
          </w:p>
        </w:tc>
        <w:tc>
          <w:tcPr>
            <w:tcW w:w="1680" w:type="dxa"/>
            <w:vAlign w:val="bottom"/>
            <w:gridSpan w:val="2"/>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accumulated other</w:t>
            </w:r>
          </w:p>
        </w:tc>
        <w:tc>
          <w:tcPr>
            <w:tcW w:w="220" w:type="dxa"/>
            <w:vAlign w:val="bottom"/>
            <w:shd w:val="clear" w:color="auto" w:fill="004054"/>
          </w:tcPr>
          <w:p>
            <w:pPr>
              <w:spacing w:after="0"/>
              <w:rPr>
                <w:sz w:val="8"/>
                <w:szCs w:val="8"/>
                <w:color w:val="auto"/>
              </w:rPr>
            </w:pPr>
          </w:p>
        </w:tc>
        <w:tc>
          <w:tcPr>
            <w:tcW w:w="3840" w:type="dxa"/>
            <w:vAlign w:val="bottom"/>
            <w:gridSpan w:val="6"/>
            <w:vMerge w:val="continue"/>
            <w:shd w:val="clear" w:color="auto" w:fill="004054"/>
          </w:tcPr>
          <w:p>
            <w:pPr>
              <w:spacing w:after="0"/>
              <w:rPr>
                <w:sz w:val="8"/>
                <w:szCs w:val="8"/>
                <w:color w:val="auto"/>
              </w:rPr>
            </w:pPr>
          </w:p>
        </w:tc>
        <w:tc>
          <w:tcPr>
            <w:tcW w:w="20" w:type="dxa"/>
            <w:vAlign w:val="bottom"/>
            <w:shd w:val="clear" w:color="auto" w:fill="004054"/>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620" w:type="dxa"/>
            <w:vAlign w:val="bottom"/>
            <w:shd w:val="clear" w:color="auto" w:fill="004054"/>
          </w:tcPr>
          <w:p>
            <w:pPr>
              <w:spacing w:after="0"/>
              <w:rPr>
                <w:sz w:val="7"/>
                <w:szCs w:val="7"/>
                <w:color w:val="auto"/>
              </w:rPr>
            </w:pPr>
          </w:p>
        </w:tc>
        <w:tc>
          <w:tcPr>
            <w:tcW w:w="200" w:type="dxa"/>
            <w:vAlign w:val="bottom"/>
            <w:shd w:val="clear" w:color="auto" w:fill="004054"/>
          </w:tcPr>
          <w:p>
            <w:pPr>
              <w:spacing w:after="0"/>
              <w:rPr>
                <w:sz w:val="7"/>
                <w:szCs w:val="7"/>
                <w:color w:val="auto"/>
              </w:rPr>
            </w:pPr>
          </w:p>
        </w:tc>
        <w:tc>
          <w:tcPr>
            <w:tcW w:w="158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income as of</w:t>
            </w:r>
          </w:p>
        </w:tc>
        <w:tc>
          <w:tcPr>
            <w:tcW w:w="100" w:type="dxa"/>
            <w:vAlign w:val="bottom"/>
            <w:shd w:val="clear" w:color="auto" w:fill="004054"/>
          </w:tcPr>
          <w:p>
            <w:pPr>
              <w:spacing w:after="0"/>
              <w:rPr>
                <w:sz w:val="7"/>
                <w:szCs w:val="7"/>
                <w:color w:val="auto"/>
              </w:rPr>
            </w:pPr>
          </w:p>
        </w:tc>
        <w:tc>
          <w:tcPr>
            <w:tcW w:w="1680" w:type="dxa"/>
            <w:vAlign w:val="bottom"/>
            <w:gridSpan w:val="2"/>
            <w:vMerge w:val="continue"/>
            <w:shd w:val="clear" w:color="auto" w:fill="004054"/>
          </w:tcPr>
          <w:p>
            <w:pPr>
              <w:spacing w:after="0"/>
              <w:rPr>
                <w:sz w:val="7"/>
                <w:szCs w:val="7"/>
                <w:color w:val="auto"/>
              </w:rPr>
            </w:pPr>
          </w:p>
        </w:tc>
        <w:tc>
          <w:tcPr>
            <w:tcW w:w="220" w:type="dxa"/>
            <w:vAlign w:val="bottom"/>
            <w:shd w:val="clear" w:color="auto" w:fill="004054"/>
          </w:tcPr>
          <w:p>
            <w:pPr>
              <w:spacing w:after="0"/>
              <w:rPr>
                <w:sz w:val="7"/>
                <w:szCs w:val="7"/>
                <w:color w:val="auto"/>
              </w:rPr>
            </w:pPr>
          </w:p>
        </w:tc>
        <w:tc>
          <w:tcPr>
            <w:tcW w:w="3840" w:type="dxa"/>
            <w:vAlign w:val="bottom"/>
            <w:gridSpan w:val="6"/>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other comprehensive income into (loss) income</w:t>
            </w:r>
          </w:p>
        </w:tc>
        <w:tc>
          <w:tcPr>
            <w:tcW w:w="20" w:type="dxa"/>
            <w:vAlign w:val="bottom"/>
            <w:shd w:val="clear" w:color="auto" w:fill="004054"/>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3620" w:type="dxa"/>
            <w:vAlign w:val="bottom"/>
            <w:tcBorders>
              <w:bottom w:val="single" w:sz="8" w:color="004054"/>
            </w:tcBorders>
            <w:shd w:val="clear" w:color="auto" w:fill="004054"/>
          </w:tcPr>
          <w:p>
            <w:pPr>
              <w:spacing w:after="0"/>
              <w:rPr>
                <w:sz w:val="11"/>
                <w:szCs w:val="11"/>
                <w:color w:val="auto"/>
              </w:rPr>
            </w:pPr>
          </w:p>
        </w:tc>
        <w:tc>
          <w:tcPr>
            <w:tcW w:w="200" w:type="dxa"/>
            <w:vAlign w:val="bottom"/>
            <w:tcBorders>
              <w:bottom w:val="single" w:sz="8" w:color="004054"/>
            </w:tcBorders>
            <w:shd w:val="clear" w:color="auto" w:fill="004054"/>
          </w:tcPr>
          <w:p>
            <w:pPr>
              <w:spacing w:after="0"/>
              <w:rPr>
                <w:sz w:val="11"/>
                <w:szCs w:val="11"/>
                <w:color w:val="auto"/>
              </w:rPr>
            </w:pPr>
          </w:p>
        </w:tc>
        <w:tc>
          <w:tcPr>
            <w:tcW w:w="1580" w:type="dxa"/>
            <w:vAlign w:val="bottom"/>
            <w:tcBorders>
              <w:bottom w:val="single" w:sz="8" w:color="004054"/>
            </w:tcBorders>
            <w:vMerge w:val="continue"/>
            <w:shd w:val="clear" w:color="auto" w:fill="004054"/>
          </w:tcPr>
          <w:p>
            <w:pPr>
              <w:spacing w:after="0"/>
              <w:rPr>
                <w:sz w:val="11"/>
                <w:szCs w:val="11"/>
                <w:color w:val="auto"/>
              </w:rPr>
            </w:pPr>
          </w:p>
        </w:tc>
        <w:tc>
          <w:tcPr>
            <w:tcW w:w="100" w:type="dxa"/>
            <w:vAlign w:val="bottom"/>
            <w:tcBorders>
              <w:bottom w:val="single" w:sz="8" w:color="004054"/>
            </w:tcBorders>
            <w:shd w:val="clear" w:color="auto" w:fill="004054"/>
          </w:tcPr>
          <w:p>
            <w:pPr>
              <w:spacing w:after="0"/>
              <w:rPr>
                <w:sz w:val="11"/>
                <w:szCs w:val="11"/>
                <w:color w:val="auto"/>
              </w:rPr>
            </w:pPr>
          </w:p>
        </w:tc>
        <w:tc>
          <w:tcPr>
            <w:tcW w:w="460" w:type="dxa"/>
            <w:vAlign w:val="bottom"/>
            <w:tcBorders>
              <w:bottom w:val="single" w:sz="8" w:color="004054"/>
            </w:tcBorders>
            <w:shd w:val="clear" w:color="auto" w:fill="004054"/>
          </w:tcPr>
          <w:p>
            <w:pPr>
              <w:spacing w:after="0"/>
              <w:rPr>
                <w:sz w:val="11"/>
                <w:szCs w:val="11"/>
                <w:color w:val="auto"/>
              </w:rPr>
            </w:pPr>
          </w:p>
        </w:tc>
        <w:tc>
          <w:tcPr>
            <w:tcW w:w="1220" w:type="dxa"/>
            <w:vAlign w:val="bottom"/>
            <w:tcBorders>
              <w:bottom w:val="single" w:sz="8" w:color="004054"/>
            </w:tcBorders>
            <w:shd w:val="clear" w:color="auto" w:fill="004054"/>
          </w:tcPr>
          <w:p>
            <w:pPr>
              <w:jc w:val="right"/>
              <w:spacing w:after="0" w:line="129" w:lineRule="exact"/>
              <w:rPr>
                <w:sz w:val="20"/>
                <w:szCs w:val="20"/>
                <w:color w:val="auto"/>
              </w:rPr>
            </w:pPr>
            <w:r>
              <w:rPr>
                <w:rFonts w:ascii="Arial" w:cs="Arial" w:eastAsia="Arial" w:hAnsi="Arial"/>
                <w:sz w:val="14"/>
                <w:szCs w:val="14"/>
                <w:b w:val="1"/>
                <w:bCs w:val="1"/>
                <w:color w:val="FFFFFF"/>
              </w:rPr>
              <w:t>comprehensive</w:t>
            </w:r>
          </w:p>
        </w:tc>
        <w:tc>
          <w:tcPr>
            <w:tcW w:w="220" w:type="dxa"/>
            <w:vAlign w:val="bottom"/>
            <w:tcBorders>
              <w:bottom w:val="single" w:sz="8" w:color="004054"/>
            </w:tcBorders>
            <w:shd w:val="clear" w:color="auto" w:fill="004054"/>
          </w:tcPr>
          <w:p>
            <w:pPr>
              <w:spacing w:after="0"/>
              <w:rPr>
                <w:sz w:val="11"/>
                <w:szCs w:val="11"/>
                <w:color w:val="auto"/>
              </w:rPr>
            </w:pPr>
          </w:p>
        </w:tc>
        <w:tc>
          <w:tcPr>
            <w:tcW w:w="3840" w:type="dxa"/>
            <w:vAlign w:val="bottom"/>
            <w:tcBorders>
              <w:bottom w:val="single" w:sz="8" w:color="004054"/>
            </w:tcBorders>
            <w:gridSpan w:val="6"/>
            <w:vMerge w:val="continue"/>
            <w:shd w:val="clear" w:color="auto" w:fill="004054"/>
          </w:tcPr>
          <w:p>
            <w:pPr>
              <w:spacing w:after="0"/>
              <w:rPr>
                <w:sz w:val="11"/>
                <w:szCs w:val="11"/>
                <w:color w:val="auto"/>
              </w:rPr>
            </w:pPr>
          </w:p>
        </w:tc>
        <w:tc>
          <w:tcPr>
            <w:tcW w:w="20" w:type="dxa"/>
            <w:vAlign w:val="bottom"/>
            <w:tcBorders>
              <w:bottom w:val="single" w:sz="8" w:color="004054"/>
            </w:tcBorders>
            <w:shd w:val="clear" w:color="auto" w:fill="004054"/>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004054"/>
          </w:tcPr>
          <w:p>
            <w:pPr>
              <w:spacing w:after="0"/>
              <w:rPr>
                <w:sz w:val="16"/>
                <w:szCs w:val="16"/>
                <w:color w:val="auto"/>
              </w:rPr>
            </w:pPr>
          </w:p>
        </w:tc>
        <w:tc>
          <w:tcPr>
            <w:tcW w:w="200" w:type="dxa"/>
            <w:vAlign w:val="bottom"/>
            <w:shd w:val="clear" w:color="auto" w:fill="004054"/>
          </w:tcPr>
          <w:p>
            <w:pPr>
              <w:spacing w:after="0"/>
              <w:rPr>
                <w:sz w:val="16"/>
                <w:szCs w:val="16"/>
                <w:color w:val="auto"/>
              </w:rPr>
            </w:pPr>
          </w:p>
        </w:tc>
        <w:tc>
          <w:tcPr>
            <w:tcW w:w="15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shd w:val="clear" w:color="auto" w:fill="004054"/>
          </w:tcPr>
          <w:p>
            <w:pPr>
              <w:spacing w:after="0"/>
              <w:rPr>
                <w:sz w:val="16"/>
                <w:szCs w:val="16"/>
                <w:color w:val="auto"/>
              </w:rPr>
            </w:pPr>
          </w:p>
        </w:tc>
        <w:tc>
          <w:tcPr>
            <w:tcW w:w="460" w:type="dxa"/>
            <w:vAlign w:val="bottom"/>
            <w:shd w:val="clear" w:color="auto" w:fill="004054"/>
          </w:tcPr>
          <w:p>
            <w:pPr>
              <w:spacing w:after="0"/>
              <w:rPr>
                <w:sz w:val="16"/>
                <w:szCs w:val="16"/>
                <w:color w:val="auto"/>
              </w:rPr>
            </w:pPr>
          </w:p>
        </w:tc>
        <w:tc>
          <w:tcPr>
            <w:tcW w:w="12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income into</w:t>
            </w:r>
          </w:p>
        </w:tc>
        <w:tc>
          <w:tcPr>
            <w:tcW w:w="220" w:type="dxa"/>
            <w:vAlign w:val="bottom"/>
            <w:shd w:val="clear" w:color="auto" w:fill="004054"/>
          </w:tcPr>
          <w:p>
            <w:pPr>
              <w:spacing w:after="0"/>
              <w:rPr>
                <w:sz w:val="16"/>
                <w:szCs w:val="16"/>
                <w:color w:val="auto"/>
              </w:rPr>
            </w:pPr>
          </w:p>
        </w:tc>
        <w:tc>
          <w:tcPr>
            <w:tcW w:w="176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620" w:type="dxa"/>
            <w:vAlign w:val="bottom"/>
            <w:shd w:val="clear" w:color="auto" w:fill="004054"/>
          </w:tcPr>
          <w:p>
            <w:pPr>
              <w:spacing w:after="0"/>
              <w:rPr>
                <w:sz w:val="16"/>
                <w:szCs w:val="16"/>
                <w:color w:val="auto"/>
              </w:rPr>
            </w:pPr>
          </w:p>
        </w:tc>
        <w:tc>
          <w:tcPr>
            <w:tcW w:w="136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00" w:type="dxa"/>
            <w:vAlign w:val="bottom"/>
            <w:tcBorders>
              <w:bottom w:val="single" w:sz="8" w:color="004054"/>
            </w:tcBorders>
            <w:shd w:val="clear" w:color="auto" w:fill="004054"/>
          </w:tcPr>
          <w:p>
            <w:pPr>
              <w:spacing w:after="0"/>
              <w:rPr>
                <w:sz w:val="18"/>
                <w:szCs w:val="18"/>
                <w:color w:val="auto"/>
              </w:rPr>
            </w:pPr>
          </w:p>
        </w:tc>
        <w:tc>
          <w:tcPr>
            <w:tcW w:w="15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00" w:type="dxa"/>
            <w:vAlign w:val="bottom"/>
            <w:tcBorders>
              <w:bottom w:val="single" w:sz="8" w:color="004054"/>
            </w:tcBorders>
            <w:shd w:val="clear" w:color="auto" w:fill="004054"/>
          </w:tcPr>
          <w:p>
            <w:pPr>
              <w:spacing w:after="0"/>
              <w:rPr>
                <w:sz w:val="18"/>
                <w:szCs w:val="18"/>
                <w:color w:val="auto"/>
              </w:rPr>
            </w:pPr>
          </w:p>
        </w:tc>
        <w:tc>
          <w:tcPr>
            <w:tcW w:w="460" w:type="dxa"/>
            <w:vAlign w:val="bottom"/>
            <w:tcBorders>
              <w:bottom w:val="single" w:sz="8" w:color="004054"/>
            </w:tcBorders>
            <w:shd w:val="clear" w:color="auto" w:fill="004054"/>
          </w:tcPr>
          <w:p>
            <w:pPr>
              <w:spacing w:after="0"/>
              <w:rPr>
                <w:sz w:val="18"/>
                <w:szCs w:val="18"/>
                <w:color w:val="auto"/>
              </w:rPr>
            </w:pPr>
          </w:p>
        </w:tc>
        <w:tc>
          <w:tcPr>
            <w:tcW w:w="12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(loss) income</w:t>
            </w:r>
          </w:p>
        </w:tc>
        <w:tc>
          <w:tcPr>
            <w:tcW w:w="220" w:type="dxa"/>
            <w:vAlign w:val="bottom"/>
            <w:tcBorders>
              <w:bottom w:val="single" w:sz="8" w:color="004054"/>
            </w:tcBorders>
            <w:shd w:val="clear" w:color="auto" w:fill="004054"/>
          </w:tcPr>
          <w:p>
            <w:pPr>
              <w:spacing w:after="0"/>
              <w:rPr>
                <w:sz w:val="18"/>
                <w:szCs w:val="18"/>
                <w:color w:val="auto"/>
              </w:rPr>
            </w:pPr>
          </w:p>
        </w:tc>
        <w:tc>
          <w:tcPr>
            <w:tcW w:w="1760" w:type="dxa"/>
            <w:vAlign w:val="bottom"/>
            <w:tcBorders>
              <w:bottom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 2022</w:t>
            </w:r>
          </w:p>
        </w:tc>
        <w:tc>
          <w:tcPr>
            <w:tcW w:w="100" w:type="dxa"/>
            <w:vAlign w:val="bottom"/>
          </w:tcPr>
          <w:p>
            <w:pPr>
              <w:spacing w:after="0"/>
              <w:rPr>
                <w:sz w:val="18"/>
                <w:szCs w:val="18"/>
                <w:color w:val="auto"/>
              </w:rPr>
            </w:pPr>
          </w:p>
        </w:tc>
        <w:tc>
          <w:tcPr>
            <w:tcW w:w="620" w:type="dxa"/>
            <w:vAlign w:val="bottom"/>
            <w:tcBorders>
              <w:bottom w:val="single" w:sz="8" w:color="004054"/>
            </w:tcBorders>
            <w:shd w:val="clear" w:color="auto" w:fill="004054"/>
          </w:tcPr>
          <w:p>
            <w:pPr>
              <w:spacing w:after="0"/>
              <w:rPr>
                <w:sz w:val="18"/>
                <w:szCs w:val="18"/>
                <w:color w:val="auto"/>
              </w:rPr>
            </w:pPr>
          </w:p>
        </w:tc>
        <w:tc>
          <w:tcPr>
            <w:tcW w:w="1360" w:type="dxa"/>
            <w:vAlign w:val="bottom"/>
            <w:tcBorders>
              <w:bottom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 2022</w:t>
            </w:r>
          </w:p>
        </w:tc>
        <w:tc>
          <w:tcPr>
            <w:tcW w:w="20" w:type="dxa"/>
            <w:vAlign w:val="bottom"/>
            <w:tcBorders>
              <w:bottom w:val="single" w:sz="8" w:color="004054"/>
            </w:tcBorders>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Cash Flow Hedges</w:t>
            </w:r>
          </w:p>
        </w:tc>
        <w:tc>
          <w:tcPr>
            <w:tcW w:w="200" w:type="dxa"/>
            <w:vAlign w:val="bottom"/>
            <w:tcBorders>
              <w:bottom w:val="single" w:sz="8" w:color="EBFBFF"/>
            </w:tcBorders>
            <w:shd w:val="clear" w:color="auto" w:fill="EBFBFF"/>
          </w:tcPr>
          <w:p>
            <w:pPr>
              <w:spacing w:after="0"/>
              <w:rPr>
                <w:sz w:val="21"/>
                <w:szCs w:val="21"/>
                <w:color w:val="auto"/>
              </w:rPr>
            </w:pPr>
          </w:p>
        </w:tc>
        <w:tc>
          <w:tcPr>
            <w:tcW w:w="158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460" w:type="dxa"/>
            <w:vAlign w:val="bottom"/>
            <w:tcBorders>
              <w:bottom w:val="single" w:sz="8" w:color="EBFBFF"/>
            </w:tcBorders>
            <w:shd w:val="clear" w:color="auto" w:fill="EBFBFF"/>
          </w:tcPr>
          <w:p>
            <w:pPr>
              <w:spacing w:after="0"/>
              <w:rPr>
                <w:sz w:val="21"/>
                <w:szCs w:val="21"/>
                <w:color w:val="auto"/>
              </w:rPr>
            </w:pPr>
          </w:p>
        </w:tc>
        <w:tc>
          <w:tcPr>
            <w:tcW w:w="1220" w:type="dxa"/>
            <w:vAlign w:val="bottom"/>
            <w:tcBorders>
              <w:bottom w:val="single" w:sz="8" w:color="EBFBFF"/>
            </w:tcBorders>
            <w:shd w:val="clear" w:color="auto" w:fill="EBFBFF"/>
          </w:tcPr>
          <w:p>
            <w:pPr>
              <w:spacing w:after="0"/>
              <w:rPr>
                <w:sz w:val="21"/>
                <w:szCs w:val="21"/>
                <w:color w:val="auto"/>
              </w:rPr>
            </w:pPr>
          </w:p>
        </w:tc>
        <w:tc>
          <w:tcPr>
            <w:tcW w:w="22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spacing w:after="0"/>
              <w:rPr>
                <w:sz w:val="21"/>
                <w:szCs w:val="21"/>
                <w:color w:val="auto"/>
              </w:rPr>
            </w:pPr>
          </w:p>
        </w:tc>
        <w:tc>
          <w:tcPr>
            <w:tcW w:w="6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62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140"/>
              <w:spacing w:after="0"/>
              <w:rPr>
                <w:sz w:val="20"/>
                <w:szCs w:val="20"/>
                <w:color w:val="auto"/>
              </w:rPr>
            </w:pPr>
            <w:r>
              <w:rPr>
                <w:rFonts w:ascii="Arial" w:cs="Arial" w:eastAsia="Arial" w:hAnsi="Arial"/>
                <w:sz w:val="18"/>
                <w:szCs w:val="18"/>
                <w:color w:val="51555C"/>
              </w:rPr>
              <w:t>Interest rate swaps</w:t>
            </w:r>
          </w:p>
        </w:tc>
        <w:tc>
          <w:tcPr>
            <w:tcW w:w="20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580" w:type="dxa"/>
            <w:vAlign w:val="bottom"/>
          </w:tcPr>
          <w:p>
            <w:pPr>
              <w:jc w:val="right"/>
              <w:ind w:right="22"/>
              <w:spacing w:after="0"/>
              <w:rPr>
                <w:sz w:val="20"/>
                <w:szCs w:val="20"/>
                <w:color w:val="auto"/>
              </w:rPr>
            </w:pPr>
            <w:r>
              <w:rPr>
                <w:rFonts w:ascii="Arial" w:cs="Arial" w:eastAsia="Arial" w:hAnsi="Arial"/>
                <w:sz w:val="18"/>
                <w:szCs w:val="18"/>
                <w:color w:val="51555C"/>
              </w:rPr>
              <w:t>33,120</w:t>
            </w:r>
          </w:p>
        </w:tc>
        <w:tc>
          <w:tcPr>
            <w:tcW w:w="10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51555C"/>
              </w:rPr>
              <w:t>Interest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51555C"/>
                <w:w w:val="99"/>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51555C"/>
              </w:rPr>
              <w:t>1,935</w:t>
            </w:r>
          </w:p>
        </w:tc>
        <w:tc>
          <w:tcPr>
            <w:tcW w:w="100" w:type="dxa"/>
            <w:vAlign w:val="bottom"/>
          </w:tcPr>
          <w:p>
            <w:pPr>
              <w:spacing w:after="0"/>
              <w:rPr>
                <w:sz w:val="21"/>
                <w:szCs w:val="21"/>
                <w:color w:val="auto"/>
              </w:rPr>
            </w:pPr>
          </w:p>
        </w:tc>
        <w:tc>
          <w:tcPr>
            <w:tcW w:w="620" w:type="dxa"/>
            <w:vAlign w:val="bottom"/>
          </w:tcPr>
          <w:p>
            <w:pPr>
              <w:jc w:val="right"/>
              <w:ind w:right="414"/>
              <w:spacing w:after="0"/>
              <w:rPr>
                <w:sz w:val="20"/>
                <w:szCs w:val="20"/>
                <w:color w:val="auto"/>
              </w:rPr>
            </w:pPr>
            <w:r>
              <w:rPr>
                <w:rFonts w:ascii="Arial" w:cs="Arial" w:eastAsia="Arial" w:hAnsi="Arial"/>
                <w:sz w:val="18"/>
                <w:szCs w:val="18"/>
                <w:color w:val="51555C"/>
                <w:w w:val="99"/>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1,900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Foreign currency forward contracts</w:t>
            </w:r>
          </w:p>
        </w:tc>
        <w:tc>
          <w:tcPr>
            <w:tcW w:w="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580" w:type="dxa"/>
            <w:vAlign w:val="bottom"/>
            <w:tcBorders>
              <w:bottom w:val="single" w:sz="8" w:color="EBFBFF"/>
            </w:tcBorders>
            <w:shd w:val="clear" w:color="auto" w:fill="EBFBFF"/>
          </w:tcPr>
          <w:p>
            <w:pPr>
              <w:jc w:val="right"/>
              <w:ind w:right="22"/>
              <w:spacing w:after="0"/>
              <w:rPr>
                <w:sz w:val="20"/>
                <w:szCs w:val="20"/>
                <w:color w:val="auto"/>
              </w:rPr>
            </w:pPr>
            <w:r>
              <w:rPr>
                <w:rFonts w:ascii="Arial" w:cs="Arial" w:eastAsia="Arial" w:hAnsi="Arial"/>
                <w:sz w:val="18"/>
                <w:szCs w:val="18"/>
                <w:color w:val="51555C"/>
              </w:rPr>
              <w:t>879</w:t>
            </w:r>
          </w:p>
        </w:tc>
        <w:tc>
          <w:tcPr>
            <w:tcW w:w="100" w:type="dxa"/>
            <w:vAlign w:val="bottom"/>
            <w:tcBorders>
              <w:bottom w:val="single" w:sz="8" w:color="EBFBFF"/>
            </w:tcBorders>
            <w:shd w:val="clear" w:color="auto" w:fill="EBFBFF"/>
          </w:tcPr>
          <w:p>
            <w:pPr>
              <w:spacing w:after="0"/>
              <w:rPr>
                <w:sz w:val="21"/>
                <w:szCs w:val="21"/>
                <w:color w:val="auto"/>
              </w:rPr>
            </w:pPr>
          </w:p>
        </w:tc>
        <w:tc>
          <w:tcPr>
            <w:tcW w:w="1680" w:type="dxa"/>
            <w:vAlign w:val="bottom"/>
            <w:tcBorders>
              <w:bottom w:val="single" w:sz="8" w:color="EBFBFF"/>
            </w:tcBorders>
            <w:gridSpan w:val="2"/>
            <w:shd w:val="clear" w:color="auto" w:fill="EBFBFF"/>
          </w:tcPr>
          <w:p>
            <w:pPr>
              <w:spacing w:after="0"/>
              <w:rPr>
                <w:sz w:val="20"/>
                <w:szCs w:val="20"/>
                <w:color w:val="auto"/>
              </w:rPr>
            </w:pPr>
            <w:r>
              <w:rPr>
                <w:rFonts w:ascii="Arial" w:cs="Arial" w:eastAsia="Arial" w:hAnsi="Arial"/>
                <w:sz w:val="18"/>
                <w:szCs w:val="18"/>
                <w:color w:val="51555C"/>
              </w:rPr>
              <w:t>Revenue</w:t>
            </w:r>
          </w:p>
        </w:tc>
        <w:tc>
          <w:tcPr>
            <w:tcW w:w="22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99"/>
              </w:rPr>
              <w:t>$</w:t>
            </w:r>
          </w:p>
        </w:tc>
        <w:tc>
          <w:tcPr>
            <w:tcW w:w="176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22</w:t>
            </w:r>
          </w:p>
        </w:tc>
        <w:tc>
          <w:tcPr>
            <w:tcW w:w="100" w:type="dxa"/>
            <w:vAlign w:val="bottom"/>
            <w:tcBorders>
              <w:bottom w:val="single" w:sz="8" w:color="EBFBFF"/>
            </w:tcBorders>
            <w:shd w:val="clear" w:color="auto" w:fill="EBFBFF"/>
          </w:tcPr>
          <w:p>
            <w:pPr>
              <w:spacing w:after="0"/>
              <w:rPr>
                <w:sz w:val="21"/>
                <w:szCs w:val="21"/>
                <w:color w:val="auto"/>
              </w:rPr>
            </w:pPr>
          </w:p>
        </w:tc>
        <w:tc>
          <w:tcPr>
            <w:tcW w:w="620" w:type="dxa"/>
            <w:vAlign w:val="bottom"/>
            <w:tcBorders>
              <w:bottom w:val="single" w:sz="8" w:color="EBFBFF"/>
            </w:tcBorders>
            <w:shd w:val="clear" w:color="auto" w:fill="EBFBFF"/>
          </w:tcPr>
          <w:p>
            <w:pPr>
              <w:jc w:val="right"/>
              <w:ind w:right="414"/>
              <w:spacing w:after="0"/>
              <w:rPr>
                <w:sz w:val="20"/>
                <w:szCs w:val="20"/>
                <w:color w:val="auto"/>
              </w:rPr>
            </w:pPr>
            <w:r>
              <w:rPr>
                <w:rFonts w:ascii="Arial" w:cs="Arial" w:eastAsia="Arial" w:hAnsi="Arial"/>
                <w:sz w:val="18"/>
                <w:szCs w:val="18"/>
                <w:color w:val="51555C"/>
                <w:w w:val="99"/>
              </w:rPr>
              <w:t>$</w:t>
            </w:r>
          </w:p>
        </w:tc>
        <w:tc>
          <w:tcPr>
            <w:tcW w:w="26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b w:val="1"/>
                <w:bCs w:val="1"/>
                <w:color w:val="51555C"/>
              </w:rPr>
              <w:t>Net Investment Hedges</w:t>
            </w: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Foreign currency forward contracts</w:t>
            </w:r>
          </w:p>
        </w:tc>
        <w:tc>
          <w:tcPr>
            <w:tcW w:w="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580" w:type="dxa"/>
            <w:vAlign w:val="bottom"/>
            <w:tcBorders>
              <w:bottom w:val="single" w:sz="8" w:color="EBFBFF"/>
            </w:tcBorders>
            <w:shd w:val="clear" w:color="auto" w:fill="EBFBFF"/>
          </w:tcPr>
          <w:p>
            <w:pPr>
              <w:jc w:val="right"/>
              <w:ind w:right="22"/>
              <w:spacing w:after="0"/>
              <w:rPr>
                <w:sz w:val="20"/>
                <w:szCs w:val="20"/>
                <w:color w:val="auto"/>
              </w:rPr>
            </w:pPr>
            <w:r>
              <w:rPr>
                <w:rFonts w:ascii="Arial" w:cs="Arial" w:eastAsia="Arial" w:hAnsi="Arial"/>
                <w:sz w:val="18"/>
                <w:szCs w:val="18"/>
                <w:color w:val="51555C"/>
              </w:rPr>
              <w:t>585</w:t>
            </w:r>
          </w:p>
        </w:tc>
        <w:tc>
          <w:tcPr>
            <w:tcW w:w="100" w:type="dxa"/>
            <w:vAlign w:val="bottom"/>
            <w:tcBorders>
              <w:bottom w:val="single" w:sz="8" w:color="EBFBFF"/>
            </w:tcBorders>
            <w:shd w:val="clear" w:color="auto" w:fill="EBFBFF"/>
          </w:tcPr>
          <w:p>
            <w:pPr>
              <w:spacing w:after="0"/>
              <w:rPr>
                <w:sz w:val="21"/>
                <w:szCs w:val="21"/>
                <w:color w:val="auto"/>
              </w:rPr>
            </w:pPr>
          </w:p>
        </w:tc>
        <w:tc>
          <w:tcPr>
            <w:tcW w:w="460" w:type="dxa"/>
            <w:vAlign w:val="bottom"/>
            <w:tcBorders>
              <w:bottom w:val="single" w:sz="8" w:color="EBFBFF"/>
            </w:tcBorders>
            <w:shd w:val="clear" w:color="auto" w:fill="EBFBFF"/>
          </w:tcPr>
          <w:p>
            <w:pPr>
              <w:spacing w:after="0"/>
              <w:rPr>
                <w:sz w:val="21"/>
                <w:szCs w:val="21"/>
                <w:color w:val="auto"/>
              </w:rPr>
            </w:pPr>
          </w:p>
        </w:tc>
        <w:tc>
          <w:tcPr>
            <w:tcW w:w="1220" w:type="dxa"/>
            <w:vAlign w:val="bottom"/>
            <w:tcBorders>
              <w:bottom w:val="single" w:sz="8" w:color="EBFBFF"/>
            </w:tcBorders>
            <w:shd w:val="clear" w:color="auto" w:fill="EBFBFF"/>
          </w:tcPr>
          <w:p>
            <w:pPr>
              <w:spacing w:after="0"/>
              <w:rPr>
                <w:sz w:val="21"/>
                <w:szCs w:val="21"/>
                <w:color w:val="auto"/>
              </w:rPr>
            </w:pPr>
          </w:p>
        </w:tc>
        <w:tc>
          <w:tcPr>
            <w:tcW w:w="22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99"/>
              </w:rPr>
              <w:t>$</w:t>
            </w:r>
          </w:p>
        </w:tc>
        <w:tc>
          <w:tcPr>
            <w:tcW w:w="1140" w:type="dxa"/>
            <w:vAlign w:val="bottom"/>
            <w:tcBorders>
              <w:bottom w:val="single" w:sz="8" w:color="EBFBFF"/>
            </w:tcBorders>
            <w:shd w:val="clear" w:color="auto" w:fill="EBFBFF"/>
          </w:tcPr>
          <w:p>
            <w:pPr>
              <w:spacing w:after="0"/>
              <w:rPr>
                <w:sz w:val="21"/>
                <w:szCs w:val="21"/>
                <w:color w:val="auto"/>
              </w:rPr>
            </w:pPr>
          </w:p>
        </w:tc>
        <w:tc>
          <w:tcPr>
            <w:tcW w:w="720" w:type="dxa"/>
            <w:vAlign w:val="bottom"/>
            <w:tcBorders>
              <w:bottom w:val="single" w:sz="8" w:color="EBFBFF"/>
            </w:tcBorders>
            <w:gridSpan w:val="2"/>
            <w:shd w:val="clear" w:color="auto" w:fill="EBFBFF"/>
          </w:tcPr>
          <w:p>
            <w:pPr>
              <w:jc w:val="right"/>
              <w:ind w:right="180"/>
              <w:spacing w:after="0"/>
              <w:rPr>
                <w:sz w:val="20"/>
                <w:szCs w:val="20"/>
                <w:color w:val="auto"/>
              </w:rPr>
            </w:pPr>
            <w:r>
              <w:rPr>
                <w:rFonts w:ascii="Arial" w:cs="Arial" w:eastAsia="Arial" w:hAnsi="Arial"/>
                <w:sz w:val="18"/>
                <w:szCs w:val="18"/>
                <w:color w:val="51555C"/>
              </w:rPr>
              <w:t>—</w:t>
            </w:r>
          </w:p>
        </w:tc>
        <w:tc>
          <w:tcPr>
            <w:tcW w:w="620" w:type="dxa"/>
            <w:vAlign w:val="bottom"/>
            <w:tcBorders>
              <w:bottom w:val="single" w:sz="8" w:color="EBFBFF"/>
            </w:tcBorders>
            <w:shd w:val="clear" w:color="auto" w:fill="EBFBFF"/>
          </w:tcPr>
          <w:p>
            <w:pPr>
              <w:jc w:val="right"/>
              <w:ind w:right="414"/>
              <w:spacing w:after="0"/>
              <w:rPr>
                <w:sz w:val="20"/>
                <w:szCs w:val="20"/>
                <w:color w:val="auto"/>
              </w:rPr>
            </w:pPr>
            <w:r>
              <w:rPr>
                <w:rFonts w:ascii="Arial" w:cs="Arial" w:eastAsia="Arial" w:hAnsi="Arial"/>
                <w:sz w:val="18"/>
                <w:szCs w:val="18"/>
                <w:color w:val="51555C"/>
                <w:w w:val="99"/>
              </w:rPr>
              <w:t>$</w:t>
            </w:r>
          </w:p>
        </w:tc>
        <w:tc>
          <w:tcPr>
            <w:tcW w:w="26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60" w:type="dxa"/>
            <w:vAlign w:val="bottom"/>
            <w:gridSpan w:val="3"/>
          </w:tcPr>
          <w:p>
            <w:pPr>
              <w:spacing w:after="0"/>
              <w:rPr>
                <w:sz w:val="4"/>
                <w:szCs w:val="4"/>
                <w:color w:val="auto"/>
              </w:rPr>
            </w:pPr>
          </w:p>
        </w:tc>
        <w:tc>
          <w:tcPr>
            <w:tcW w:w="62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200" w:type="dxa"/>
            <w:vAlign w:val="bottom"/>
            <w:shd w:val="clear" w:color="auto" w:fill="004054"/>
          </w:tcPr>
          <w:p>
            <w:pPr>
              <w:spacing w:after="0"/>
              <w:rPr>
                <w:sz w:val="16"/>
                <w:szCs w:val="16"/>
                <w:color w:val="auto"/>
              </w:rPr>
            </w:pPr>
          </w:p>
        </w:tc>
        <w:tc>
          <w:tcPr>
            <w:tcW w:w="15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176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620" w:type="dxa"/>
            <w:vAlign w:val="bottom"/>
            <w:shd w:val="clear" w:color="auto" w:fill="004054"/>
          </w:tcPr>
          <w:p>
            <w:pPr>
              <w:spacing w:after="0"/>
              <w:rPr>
                <w:sz w:val="16"/>
                <w:szCs w:val="16"/>
                <w:color w:val="auto"/>
              </w:rPr>
            </w:pPr>
          </w:p>
        </w:tc>
        <w:tc>
          <w:tcPr>
            <w:tcW w:w="136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200" w:type="dxa"/>
            <w:vAlign w:val="bottom"/>
            <w:tcBorders>
              <w:bottom w:val="single" w:sz="8" w:color="004054"/>
            </w:tcBorders>
            <w:shd w:val="clear" w:color="auto" w:fill="004054"/>
          </w:tcPr>
          <w:p>
            <w:pPr>
              <w:spacing w:after="0"/>
              <w:rPr>
                <w:sz w:val="18"/>
                <w:szCs w:val="18"/>
                <w:color w:val="auto"/>
              </w:rPr>
            </w:pPr>
          </w:p>
        </w:tc>
        <w:tc>
          <w:tcPr>
            <w:tcW w:w="15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Borders>
              <w:bottom w:val="single" w:sz="8" w:color="004054"/>
            </w:tcBorders>
            <w:shd w:val="clear" w:color="auto" w:fill="004054"/>
          </w:tcPr>
          <w:p>
            <w:pPr>
              <w:spacing w:after="0"/>
              <w:rPr>
                <w:sz w:val="18"/>
                <w:szCs w:val="18"/>
                <w:color w:val="auto"/>
              </w:rPr>
            </w:pPr>
          </w:p>
        </w:tc>
        <w:tc>
          <w:tcPr>
            <w:tcW w:w="1760" w:type="dxa"/>
            <w:vAlign w:val="bottom"/>
            <w:tcBorders>
              <w:bottom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 2021</w:t>
            </w:r>
          </w:p>
        </w:tc>
        <w:tc>
          <w:tcPr>
            <w:tcW w:w="100" w:type="dxa"/>
            <w:vAlign w:val="bottom"/>
          </w:tcPr>
          <w:p>
            <w:pPr>
              <w:spacing w:after="0"/>
              <w:rPr>
                <w:sz w:val="18"/>
                <w:szCs w:val="18"/>
                <w:color w:val="auto"/>
              </w:rPr>
            </w:pPr>
          </w:p>
        </w:tc>
        <w:tc>
          <w:tcPr>
            <w:tcW w:w="620" w:type="dxa"/>
            <w:vAlign w:val="bottom"/>
            <w:tcBorders>
              <w:bottom w:val="single" w:sz="8" w:color="004054"/>
            </w:tcBorders>
            <w:shd w:val="clear" w:color="auto" w:fill="004054"/>
          </w:tcPr>
          <w:p>
            <w:pPr>
              <w:spacing w:after="0"/>
              <w:rPr>
                <w:sz w:val="18"/>
                <w:szCs w:val="18"/>
                <w:color w:val="auto"/>
              </w:rPr>
            </w:pPr>
          </w:p>
        </w:tc>
        <w:tc>
          <w:tcPr>
            <w:tcW w:w="1360" w:type="dxa"/>
            <w:vAlign w:val="bottom"/>
            <w:tcBorders>
              <w:bottom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 2021</w:t>
            </w:r>
          </w:p>
        </w:tc>
        <w:tc>
          <w:tcPr>
            <w:tcW w:w="20" w:type="dxa"/>
            <w:vAlign w:val="bottom"/>
            <w:tcBorders>
              <w:bottom w:val="single" w:sz="8" w:color="004054"/>
            </w:tcBorders>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Cash Flow Hedges</w:t>
            </w:r>
          </w:p>
        </w:tc>
        <w:tc>
          <w:tcPr>
            <w:tcW w:w="200" w:type="dxa"/>
            <w:vAlign w:val="bottom"/>
            <w:tcBorders>
              <w:bottom w:val="single" w:sz="8" w:color="EBFBFF"/>
            </w:tcBorders>
            <w:shd w:val="clear" w:color="auto" w:fill="EBFBFF"/>
          </w:tcPr>
          <w:p>
            <w:pPr>
              <w:spacing w:after="0"/>
              <w:rPr>
                <w:sz w:val="21"/>
                <w:szCs w:val="21"/>
                <w:color w:val="auto"/>
              </w:rPr>
            </w:pPr>
          </w:p>
        </w:tc>
        <w:tc>
          <w:tcPr>
            <w:tcW w:w="158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460" w:type="dxa"/>
            <w:vAlign w:val="bottom"/>
            <w:tcBorders>
              <w:bottom w:val="single" w:sz="8" w:color="EBFBFF"/>
            </w:tcBorders>
            <w:shd w:val="clear" w:color="auto" w:fill="EBFBFF"/>
          </w:tcPr>
          <w:p>
            <w:pPr>
              <w:spacing w:after="0"/>
              <w:rPr>
                <w:sz w:val="21"/>
                <w:szCs w:val="21"/>
                <w:color w:val="auto"/>
              </w:rPr>
            </w:pPr>
          </w:p>
        </w:tc>
        <w:tc>
          <w:tcPr>
            <w:tcW w:w="1220" w:type="dxa"/>
            <w:vAlign w:val="bottom"/>
            <w:tcBorders>
              <w:bottom w:val="single" w:sz="8" w:color="EBFBFF"/>
            </w:tcBorders>
            <w:shd w:val="clear" w:color="auto" w:fill="EBFBFF"/>
          </w:tcPr>
          <w:p>
            <w:pPr>
              <w:spacing w:after="0"/>
              <w:rPr>
                <w:sz w:val="21"/>
                <w:szCs w:val="21"/>
                <w:color w:val="auto"/>
              </w:rPr>
            </w:pPr>
          </w:p>
        </w:tc>
        <w:tc>
          <w:tcPr>
            <w:tcW w:w="22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spacing w:after="0"/>
              <w:rPr>
                <w:sz w:val="21"/>
                <w:szCs w:val="21"/>
                <w:color w:val="auto"/>
              </w:rPr>
            </w:pPr>
          </w:p>
        </w:tc>
        <w:tc>
          <w:tcPr>
            <w:tcW w:w="6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62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140"/>
              <w:spacing w:after="0"/>
              <w:rPr>
                <w:sz w:val="20"/>
                <w:szCs w:val="20"/>
                <w:color w:val="auto"/>
              </w:rPr>
            </w:pPr>
            <w:r>
              <w:rPr>
                <w:rFonts w:ascii="Arial" w:cs="Arial" w:eastAsia="Arial" w:hAnsi="Arial"/>
                <w:sz w:val="18"/>
                <w:szCs w:val="18"/>
                <w:color w:val="51555C"/>
              </w:rPr>
              <w:t>Interest rate swaps</w:t>
            </w:r>
          </w:p>
        </w:tc>
        <w:tc>
          <w:tcPr>
            <w:tcW w:w="20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580" w:type="dxa"/>
            <w:vAlign w:val="bottom"/>
          </w:tcPr>
          <w:p>
            <w:pPr>
              <w:jc w:val="right"/>
              <w:ind w:right="22"/>
              <w:spacing w:after="0"/>
              <w:rPr>
                <w:sz w:val="20"/>
                <w:szCs w:val="20"/>
                <w:color w:val="auto"/>
              </w:rPr>
            </w:pPr>
            <w:r>
              <w:rPr>
                <w:rFonts w:ascii="Arial" w:cs="Arial" w:eastAsia="Arial" w:hAnsi="Arial"/>
                <w:sz w:val="18"/>
                <w:szCs w:val="18"/>
                <w:color w:val="51555C"/>
              </w:rPr>
              <w:t>2,283</w:t>
            </w:r>
          </w:p>
        </w:tc>
        <w:tc>
          <w:tcPr>
            <w:tcW w:w="10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51555C"/>
              </w:rPr>
              <w:t>Interest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51555C"/>
                <w:w w:val="99"/>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51555C"/>
              </w:rPr>
              <w:t>(505)</w:t>
            </w:r>
          </w:p>
        </w:tc>
        <w:tc>
          <w:tcPr>
            <w:tcW w:w="100" w:type="dxa"/>
            <w:vAlign w:val="bottom"/>
          </w:tcPr>
          <w:p>
            <w:pPr>
              <w:spacing w:after="0"/>
              <w:rPr>
                <w:sz w:val="21"/>
                <w:szCs w:val="21"/>
                <w:color w:val="auto"/>
              </w:rPr>
            </w:pPr>
          </w:p>
        </w:tc>
        <w:tc>
          <w:tcPr>
            <w:tcW w:w="620" w:type="dxa"/>
            <w:vAlign w:val="bottom"/>
          </w:tcPr>
          <w:p>
            <w:pPr>
              <w:jc w:val="right"/>
              <w:ind w:right="414"/>
              <w:spacing w:after="0"/>
              <w:rPr>
                <w:sz w:val="20"/>
                <w:szCs w:val="20"/>
                <w:color w:val="auto"/>
              </w:rPr>
            </w:pPr>
            <w:r>
              <w:rPr>
                <w:rFonts w:ascii="Arial" w:cs="Arial" w:eastAsia="Arial" w:hAnsi="Arial"/>
                <w:sz w:val="18"/>
                <w:szCs w:val="18"/>
                <w:color w:val="51555C"/>
                <w:w w:val="99"/>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(3,289)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Borders>
              <w:bottom w:val="single" w:sz="8" w:color="0CD973"/>
            </w:tcBorders>
          </w:tcPr>
          <w:p>
            <w:pPr>
              <w:spacing w:after="0"/>
              <w:rPr>
                <w:sz w:val="2"/>
                <w:szCs w:val="2"/>
                <w:color w:val="auto"/>
              </w:rPr>
            </w:pPr>
          </w:p>
        </w:tc>
        <w:tc>
          <w:tcPr>
            <w:tcW w:w="200" w:type="dxa"/>
            <w:vAlign w:val="bottom"/>
            <w:tcBorders>
              <w:bottom w:val="single" w:sz="8" w:color="0CD973"/>
            </w:tcBorders>
          </w:tcPr>
          <w:p>
            <w:pPr>
              <w:spacing w:after="0"/>
              <w:rPr>
                <w:sz w:val="2"/>
                <w:szCs w:val="2"/>
                <w:color w:val="auto"/>
              </w:rPr>
            </w:pPr>
          </w:p>
        </w:tc>
        <w:tc>
          <w:tcPr>
            <w:tcW w:w="158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460" w:type="dxa"/>
            <w:vAlign w:val="bottom"/>
            <w:tcBorders>
              <w:bottom w:val="single" w:sz="8" w:color="0CD973"/>
            </w:tcBorders>
          </w:tcPr>
          <w:p>
            <w:pPr>
              <w:spacing w:after="0"/>
              <w:rPr>
                <w:sz w:val="2"/>
                <w:szCs w:val="2"/>
                <w:color w:val="auto"/>
              </w:rPr>
            </w:pPr>
          </w:p>
        </w:tc>
        <w:tc>
          <w:tcPr>
            <w:tcW w:w="1220" w:type="dxa"/>
            <w:vAlign w:val="bottom"/>
            <w:tcBorders>
              <w:bottom w:val="single" w:sz="8" w:color="0CD973"/>
            </w:tcBorders>
          </w:tcPr>
          <w:p>
            <w:pPr>
              <w:spacing w:after="0"/>
              <w:rPr>
                <w:sz w:val="2"/>
                <w:szCs w:val="2"/>
                <w:color w:val="auto"/>
              </w:rPr>
            </w:pPr>
          </w:p>
        </w:tc>
        <w:tc>
          <w:tcPr>
            <w:tcW w:w="220" w:type="dxa"/>
            <w:vAlign w:val="bottom"/>
            <w:tcBorders>
              <w:bottom w:val="single" w:sz="8" w:color="0CD973"/>
            </w:tcBorders>
          </w:tcPr>
          <w:p>
            <w:pPr>
              <w:spacing w:after="0"/>
              <w:rPr>
                <w:sz w:val="2"/>
                <w:szCs w:val="2"/>
                <w:color w:val="auto"/>
              </w:rPr>
            </w:pPr>
          </w:p>
        </w:tc>
        <w:tc>
          <w:tcPr>
            <w:tcW w:w="1140" w:type="dxa"/>
            <w:vAlign w:val="bottom"/>
            <w:tcBorders>
              <w:bottom w:val="single" w:sz="8" w:color="0CD973"/>
            </w:tcBorders>
          </w:tcPr>
          <w:p>
            <w:pPr>
              <w:spacing w:after="0"/>
              <w:rPr>
                <w:sz w:val="2"/>
                <w:szCs w:val="2"/>
                <w:color w:val="auto"/>
              </w:rPr>
            </w:pPr>
          </w:p>
        </w:tc>
        <w:tc>
          <w:tcPr>
            <w:tcW w:w="62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620" w:type="dxa"/>
            <w:vAlign w:val="bottom"/>
            <w:tcBorders>
              <w:bottom w:val="single" w:sz="8" w:color="0CD973"/>
            </w:tcBorders>
          </w:tcPr>
          <w:p>
            <w:pPr>
              <w:spacing w:after="0"/>
              <w:rPr>
                <w:sz w:val="2"/>
                <w:szCs w:val="2"/>
                <w:color w:val="auto"/>
              </w:rPr>
            </w:pPr>
          </w:p>
        </w:tc>
        <w:tc>
          <w:tcPr>
            <w:tcW w:w="260" w:type="dxa"/>
            <w:vAlign w:val="bottom"/>
            <w:tcBorders>
              <w:bottom w:val="single" w:sz="8" w:color="0CD973"/>
            </w:tcBorders>
          </w:tcPr>
          <w:p>
            <w:pPr>
              <w:spacing w:after="0"/>
              <w:rPr>
                <w:sz w:val="2"/>
                <w:szCs w:val="2"/>
                <w:color w:val="auto"/>
              </w:rPr>
            </w:pPr>
          </w:p>
        </w:tc>
        <w:tc>
          <w:tcPr>
            <w:tcW w:w="110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-3882390</wp:posOffset>
            </wp:positionV>
            <wp:extent cx="17227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2275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-616585</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-1773555</wp:posOffset>
            </wp:positionV>
            <wp:extent cx="48520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209"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51555C"/>
        </w:rPr>
        <w:t>Our policy requires that derivatives used for hedging purposes be designated and effective as a hedge of the identified risk exposure at the inception of the contract. Accumulated other comprehensive income (loss) includes unrealized gains or losses from the change in fair value measurement of our derivative instruments each reporting period and the related income tax expense or benefit. Excluding net investment hedges, changes in the fair value measurements of the derivative instruments and the related income tax expense or benefit are reflected as adjustments to accumulated other comprehensive income (loss) until the actual hedged expense is incurred or until the hedge is terminated at which point the unrealized gain (loss) is reclassified from accumulated other comprehensive income (loss) to current earnings. For net investment hedges, changes in the fair value measurements of the derivative instruments and the related income tax expense or benefit are reflected as adjustments to translation adjustment, a component of accumulated other comprehensive income (loss), and recognized in earnings only when the hedged GBP investment is liquidated. The estimated accumulated other comprehensive income as of September 30, 2022 that is expected to be reclassified into earnings within the next twelve months is $17.1 million. There were no ineffective portions of our interest rate swap or foreign currency forward derivatives during the nine months ended September 30, 2022 and 2021. See Note 12 to these condensed consolidated financial statements for a summary of the changes in accumulated other comprehensive income (loss) by component. We classify cash flows related to derivative instruments as operating activities in the condensed consolidated statements of cash flows.</w:t>
      </w:r>
    </w:p>
    <w:p>
      <w:pPr>
        <w:spacing w:after="0" w:line="329"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18</w:t>
      </w:r>
      <w:r>
        <w:rPr>
          <w:sz w:val="20"/>
          <w:szCs w:val="20"/>
          <w:color w:val="auto"/>
        </w:rPr>
        <w:tab/>
      </w:r>
      <w:r>
        <w:rPr>
          <w:sz w:val="1"/>
          <w:szCs w:val="1"/>
          <w:color w:val="auto"/>
        </w:rPr>
        <w:drawing>
          <wp:inline distT="0" distB="0" distL="0" distR="0">
            <wp:extent cx="651510" cy="17145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10.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Leases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We have operating leases for corporate offices, subleased offices and certain equipment and furniture. As of September 30, 2022, we had operating leases for equipment that had not yet commenced with future rent payments of $3.0 million. These operating leases are expected to commence during 2022 with lease terms of 3 years.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summarizes the components of our lease expense: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shd w:val="clear" w:color="auto" w:fill="004054"/>
          </w:tcPr>
          <w:p>
            <w:pPr>
              <w:spacing w:after="0"/>
              <w:rPr>
                <w:sz w:val="16"/>
                <w:szCs w:val="16"/>
                <w:color w:val="auto"/>
              </w:rPr>
            </w:pPr>
          </w:p>
        </w:tc>
        <w:tc>
          <w:tcPr>
            <w:tcW w:w="720" w:type="dxa"/>
            <w:vAlign w:val="bottom"/>
            <w:shd w:val="clear" w:color="auto" w:fill="004054"/>
          </w:tcPr>
          <w:p>
            <w:pPr>
              <w:spacing w:after="0"/>
              <w:rPr>
                <w:sz w:val="16"/>
                <w:szCs w:val="16"/>
                <w:color w:val="auto"/>
              </w:rPr>
            </w:pPr>
          </w:p>
        </w:tc>
        <w:tc>
          <w:tcPr>
            <w:tcW w:w="114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156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6"/>
                <w:szCs w:val="16"/>
                <w:color w:val="auto"/>
              </w:rPr>
            </w:pPr>
          </w:p>
        </w:tc>
        <w:tc>
          <w:tcPr>
            <w:tcW w:w="700" w:type="dxa"/>
            <w:vAlign w:val="bottom"/>
            <w:shd w:val="clear" w:color="auto" w:fill="004054"/>
          </w:tcPr>
          <w:p>
            <w:pPr>
              <w:spacing w:after="0"/>
              <w:rPr>
                <w:sz w:val="16"/>
                <w:szCs w:val="16"/>
                <w:color w:val="auto"/>
              </w:rPr>
            </w:pPr>
          </w:p>
        </w:tc>
        <w:tc>
          <w:tcPr>
            <w:tcW w:w="1180" w:type="dxa"/>
            <w:vAlign w:val="bottom"/>
            <w:shd w:val="clear" w:color="auto" w:fill="004054"/>
          </w:tcPr>
          <w:p>
            <w:pPr>
              <w:spacing w:after="0"/>
              <w:rPr>
                <w:sz w:val="16"/>
                <w:szCs w:val="16"/>
                <w:color w:val="auto"/>
              </w:rPr>
            </w:pPr>
          </w:p>
        </w:tc>
        <w:tc>
          <w:tcPr>
            <w:tcW w:w="260" w:type="dxa"/>
            <w:vAlign w:val="bottom"/>
            <w:shd w:val="clear" w:color="auto" w:fill="004054"/>
          </w:tcPr>
          <w:p>
            <w:pPr>
              <w:spacing w:after="0"/>
              <w:rPr>
                <w:sz w:val="16"/>
                <w:szCs w:val="16"/>
                <w:color w:val="auto"/>
              </w:rPr>
            </w:pPr>
          </w:p>
        </w:tc>
        <w:tc>
          <w:tcPr>
            <w:tcW w:w="15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6"/>
                <w:szCs w:val="16"/>
                <w:color w:val="auto"/>
              </w:rPr>
            </w:pPr>
          </w:p>
        </w:tc>
      </w:tr>
      <w:tr>
        <w:trPr>
          <w:trHeight w:val="190"/>
        </w:trPr>
        <w:tc>
          <w:tcPr>
            <w:tcW w:w="3880" w:type="dxa"/>
            <w:vAlign w:val="bottom"/>
            <w:shd w:val="clear" w:color="auto" w:fill="004054"/>
          </w:tcPr>
          <w:p>
            <w:pPr>
              <w:spacing w:after="0"/>
              <w:rPr>
                <w:sz w:val="16"/>
                <w:szCs w:val="16"/>
                <w:color w:val="auto"/>
              </w:rPr>
            </w:pPr>
          </w:p>
        </w:tc>
        <w:tc>
          <w:tcPr>
            <w:tcW w:w="720" w:type="dxa"/>
            <w:vAlign w:val="bottom"/>
            <w:shd w:val="clear" w:color="auto" w:fill="004054"/>
          </w:tcPr>
          <w:p>
            <w:pPr>
              <w:spacing w:after="0"/>
              <w:rPr>
                <w:sz w:val="16"/>
                <w:szCs w:val="16"/>
                <w:color w:val="auto"/>
              </w:rPr>
            </w:pPr>
          </w:p>
        </w:tc>
        <w:tc>
          <w:tcPr>
            <w:tcW w:w="114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156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80" w:type="dxa"/>
            <w:vAlign w:val="bottom"/>
          </w:tcPr>
          <w:p>
            <w:pPr>
              <w:spacing w:after="0"/>
              <w:rPr>
                <w:sz w:val="16"/>
                <w:szCs w:val="16"/>
                <w:color w:val="auto"/>
              </w:rPr>
            </w:pPr>
          </w:p>
        </w:tc>
        <w:tc>
          <w:tcPr>
            <w:tcW w:w="700" w:type="dxa"/>
            <w:vAlign w:val="bottom"/>
            <w:shd w:val="clear" w:color="auto" w:fill="004054"/>
          </w:tcPr>
          <w:p>
            <w:pPr>
              <w:spacing w:after="0"/>
              <w:rPr>
                <w:sz w:val="16"/>
                <w:szCs w:val="16"/>
                <w:color w:val="auto"/>
              </w:rPr>
            </w:pPr>
          </w:p>
        </w:tc>
        <w:tc>
          <w:tcPr>
            <w:tcW w:w="1180" w:type="dxa"/>
            <w:vAlign w:val="bottom"/>
            <w:shd w:val="clear" w:color="auto" w:fill="004054"/>
          </w:tcPr>
          <w:p>
            <w:pPr>
              <w:spacing w:after="0"/>
              <w:rPr>
                <w:sz w:val="16"/>
                <w:szCs w:val="16"/>
                <w:color w:val="auto"/>
              </w:rPr>
            </w:pPr>
          </w:p>
        </w:tc>
        <w:tc>
          <w:tcPr>
            <w:tcW w:w="260" w:type="dxa"/>
            <w:vAlign w:val="bottom"/>
            <w:shd w:val="clear" w:color="auto" w:fill="004054"/>
          </w:tcPr>
          <w:p>
            <w:pPr>
              <w:spacing w:after="0"/>
              <w:rPr>
                <w:sz w:val="16"/>
                <w:szCs w:val="16"/>
                <w:color w:val="auto"/>
              </w:rPr>
            </w:pPr>
          </w:p>
        </w:tc>
        <w:tc>
          <w:tcPr>
            <w:tcW w:w="15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6"/>
                <w:szCs w:val="16"/>
                <w:color w:val="auto"/>
              </w:rPr>
            </w:pPr>
          </w:p>
        </w:tc>
      </w:tr>
      <w:tr>
        <w:trPr>
          <w:trHeight w:val="257"/>
        </w:trPr>
        <w:tc>
          <w:tcPr>
            <w:tcW w:w="388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720" w:type="dxa"/>
            <w:vAlign w:val="bottom"/>
            <w:shd w:val="clear" w:color="auto" w:fill="004054"/>
          </w:tcPr>
          <w:p>
            <w:pPr>
              <w:spacing w:after="0"/>
              <w:rPr>
                <w:sz w:val="22"/>
                <w:szCs w:val="22"/>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20" w:type="dxa"/>
            <w:vAlign w:val="bottom"/>
            <w:shd w:val="clear" w:color="auto" w:fill="004054"/>
          </w:tcPr>
          <w:p>
            <w:pPr>
              <w:spacing w:after="0"/>
              <w:rPr>
                <w:sz w:val="22"/>
                <w:szCs w:val="22"/>
                <w:color w:val="auto"/>
              </w:rPr>
            </w:pPr>
          </w:p>
        </w:tc>
        <w:tc>
          <w:tcPr>
            <w:tcW w:w="156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80" w:type="dxa"/>
            <w:vAlign w:val="bottom"/>
          </w:tcPr>
          <w:p>
            <w:pPr>
              <w:spacing w:after="0"/>
              <w:rPr>
                <w:sz w:val="22"/>
                <w:szCs w:val="22"/>
                <w:color w:val="auto"/>
              </w:rPr>
            </w:pPr>
          </w:p>
        </w:tc>
        <w:tc>
          <w:tcPr>
            <w:tcW w:w="700" w:type="dxa"/>
            <w:vAlign w:val="bottom"/>
            <w:shd w:val="clear" w:color="auto" w:fill="004054"/>
          </w:tcPr>
          <w:p>
            <w:pPr>
              <w:spacing w:after="0"/>
              <w:rPr>
                <w:sz w:val="22"/>
                <w:szCs w:val="22"/>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60" w:type="dxa"/>
            <w:vAlign w:val="bottom"/>
            <w:shd w:val="clear" w:color="auto" w:fill="004054"/>
          </w:tcPr>
          <w:p>
            <w:pPr>
              <w:spacing w:after="0"/>
              <w:rPr>
                <w:sz w:val="22"/>
                <w:szCs w:val="22"/>
                <w:color w:val="auto"/>
              </w:rPr>
            </w:pPr>
          </w:p>
        </w:tc>
        <w:tc>
          <w:tcPr>
            <w:tcW w:w="15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shd w:val="clear" w:color="auto" w:fill="004054"/>
          </w:tcPr>
          <w:p>
            <w:pPr>
              <w:spacing w:after="0"/>
              <w:rPr>
                <w:sz w:val="22"/>
                <w:szCs w:val="22"/>
                <w:color w:val="auto"/>
              </w:rPr>
            </w:pPr>
          </w:p>
        </w:tc>
      </w:tr>
      <w:tr>
        <w:trPr>
          <w:trHeight w:val="26"/>
        </w:trPr>
        <w:tc>
          <w:tcPr>
            <w:tcW w:w="3880" w:type="dxa"/>
            <w:vAlign w:val="bottom"/>
            <w:tcBorders>
              <w:bottom w:val="single" w:sz="8" w:color="004054"/>
            </w:tcBorders>
            <w:shd w:val="clear" w:color="auto" w:fill="004054"/>
          </w:tcPr>
          <w:p>
            <w:pPr>
              <w:spacing w:after="0"/>
              <w:rPr>
                <w:sz w:val="2"/>
                <w:szCs w:val="2"/>
                <w:color w:val="auto"/>
              </w:rPr>
            </w:pPr>
          </w:p>
        </w:tc>
        <w:tc>
          <w:tcPr>
            <w:tcW w:w="720" w:type="dxa"/>
            <w:vAlign w:val="bottom"/>
            <w:tcBorders>
              <w:bottom w:val="single" w:sz="8" w:color="004054"/>
            </w:tcBorders>
            <w:shd w:val="clear" w:color="auto" w:fill="004054"/>
          </w:tcPr>
          <w:p>
            <w:pPr>
              <w:spacing w:after="0"/>
              <w:rPr>
                <w:sz w:val="2"/>
                <w:szCs w:val="2"/>
                <w:color w:val="auto"/>
              </w:rPr>
            </w:pPr>
          </w:p>
        </w:tc>
        <w:tc>
          <w:tcPr>
            <w:tcW w:w="1140" w:type="dxa"/>
            <w:vAlign w:val="bottom"/>
            <w:tcBorders>
              <w:bottom w:val="single" w:sz="8" w:color="004054"/>
            </w:tcBorders>
            <w:shd w:val="clear" w:color="auto" w:fill="004054"/>
          </w:tcPr>
          <w:p>
            <w:pPr>
              <w:spacing w:after="0"/>
              <w:rPr>
                <w:sz w:val="2"/>
                <w:szCs w:val="2"/>
                <w:color w:val="auto"/>
              </w:rPr>
            </w:pPr>
          </w:p>
        </w:tc>
        <w:tc>
          <w:tcPr>
            <w:tcW w:w="220" w:type="dxa"/>
            <w:vAlign w:val="bottom"/>
            <w:tcBorders>
              <w:bottom w:val="single" w:sz="8" w:color="004054"/>
            </w:tcBorders>
            <w:shd w:val="clear" w:color="auto" w:fill="004054"/>
          </w:tcPr>
          <w:p>
            <w:pPr>
              <w:spacing w:after="0"/>
              <w:rPr>
                <w:sz w:val="2"/>
                <w:szCs w:val="2"/>
                <w:color w:val="auto"/>
              </w:rPr>
            </w:pPr>
          </w:p>
        </w:tc>
        <w:tc>
          <w:tcPr>
            <w:tcW w:w="1560" w:type="dxa"/>
            <w:vAlign w:val="bottom"/>
            <w:tcBorders>
              <w:bottom w:val="single" w:sz="8" w:color="004054"/>
              <w:right w:val="single" w:sz="8" w:color="004054"/>
            </w:tcBorders>
            <w:shd w:val="clear" w:color="auto" w:fill="004054"/>
          </w:tcPr>
          <w:p>
            <w:pPr>
              <w:spacing w:after="0"/>
              <w:rPr>
                <w:sz w:val="2"/>
                <w:szCs w:val="2"/>
                <w:color w:val="auto"/>
              </w:rPr>
            </w:pPr>
          </w:p>
        </w:tc>
        <w:tc>
          <w:tcPr>
            <w:tcW w:w="80" w:type="dxa"/>
            <w:vAlign w:val="bottom"/>
            <w:tcBorders>
              <w:bottom w:val="single" w:sz="8" w:color="EBFBFF"/>
            </w:tcBorders>
          </w:tcPr>
          <w:p>
            <w:pPr>
              <w:spacing w:after="0"/>
              <w:rPr>
                <w:sz w:val="2"/>
                <w:szCs w:val="2"/>
                <w:color w:val="auto"/>
              </w:rPr>
            </w:pPr>
          </w:p>
        </w:tc>
        <w:tc>
          <w:tcPr>
            <w:tcW w:w="700" w:type="dxa"/>
            <w:vAlign w:val="bottom"/>
            <w:tcBorders>
              <w:bottom w:val="single" w:sz="8" w:color="004054"/>
            </w:tcBorders>
            <w:shd w:val="clear" w:color="auto" w:fill="004054"/>
          </w:tcPr>
          <w:p>
            <w:pPr>
              <w:spacing w:after="0"/>
              <w:rPr>
                <w:sz w:val="2"/>
                <w:szCs w:val="2"/>
                <w:color w:val="auto"/>
              </w:rPr>
            </w:pPr>
          </w:p>
        </w:tc>
        <w:tc>
          <w:tcPr>
            <w:tcW w:w="1180" w:type="dxa"/>
            <w:vAlign w:val="bottom"/>
            <w:tcBorders>
              <w:bottom w:val="single" w:sz="8" w:color="004054"/>
            </w:tcBorders>
            <w:shd w:val="clear" w:color="auto" w:fill="004054"/>
          </w:tcPr>
          <w:p>
            <w:pPr>
              <w:spacing w:after="0"/>
              <w:rPr>
                <w:sz w:val="2"/>
                <w:szCs w:val="2"/>
                <w:color w:val="auto"/>
              </w:rPr>
            </w:pPr>
          </w:p>
        </w:tc>
        <w:tc>
          <w:tcPr>
            <w:tcW w:w="260" w:type="dxa"/>
            <w:vAlign w:val="bottom"/>
            <w:tcBorders>
              <w:bottom w:val="single" w:sz="8" w:color="004054"/>
            </w:tcBorders>
            <w:shd w:val="clear" w:color="auto" w:fill="004054"/>
          </w:tcPr>
          <w:p>
            <w:pPr>
              <w:spacing w:after="0"/>
              <w:rPr>
                <w:sz w:val="2"/>
                <w:szCs w:val="2"/>
                <w:color w:val="auto"/>
              </w:rPr>
            </w:pPr>
          </w:p>
        </w:tc>
        <w:tc>
          <w:tcPr>
            <w:tcW w:w="1500" w:type="dxa"/>
            <w:vAlign w:val="bottom"/>
            <w:tcBorders>
              <w:bottom w:val="single" w:sz="8" w:color="004054"/>
            </w:tcBorders>
            <w:shd w:val="clear" w:color="auto" w:fill="004054"/>
          </w:tcPr>
          <w:p>
            <w:pPr>
              <w:spacing w:after="0"/>
              <w:rPr>
                <w:sz w:val="2"/>
                <w:szCs w:val="2"/>
                <w:color w:val="auto"/>
              </w:rPr>
            </w:pPr>
          </w:p>
        </w:tc>
        <w:tc>
          <w:tcPr>
            <w:tcW w:w="20" w:type="dxa"/>
            <w:vAlign w:val="bottom"/>
            <w:tcBorders>
              <w:bottom w:val="single" w:sz="8" w:color="004054"/>
            </w:tcBorders>
            <w:shd w:val="clear" w:color="auto" w:fill="004054"/>
          </w:tcPr>
          <w:p>
            <w:pPr>
              <w:spacing w:after="0"/>
              <w:rPr>
                <w:sz w:val="2"/>
                <w:szCs w:val="2"/>
                <w:color w:val="auto"/>
              </w:rPr>
            </w:pPr>
          </w:p>
        </w:tc>
      </w:tr>
      <w:tr>
        <w:trPr>
          <w:trHeight w:val="318"/>
        </w:trPr>
        <w:tc>
          <w:tcPr>
            <w:tcW w:w="388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Operating lease cost</w:t>
            </w:r>
            <w:r>
              <w:rPr>
                <w:rFonts w:ascii="Arial" w:cs="Arial" w:eastAsia="Arial" w:hAnsi="Arial"/>
                <w:sz w:val="23"/>
                <w:szCs w:val="23"/>
                <w:color w:val="51555C"/>
                <w:vertAlign w:val="superscript"/>
              </w:rPr>
              <w:t>(1)</w:t>
            </w:r>
          </w:p>
        </w:tc>
        <w:tc>
          <w:tcPr>
            <w:tcW w:w="720" w:type="dxa"/>
            <w:vAlign w:val="bottom"/>
            <w:shd w:val="clear" w:color="auto" w:fill="EBFBFF"/>
          </w:tcPr>
          <w:p>
            <w:pPr>
              <w:jc w:val="right"/>
              <w:ind w:right="510"/>
              <w:spacing w:after="0"/>
              <w:rPr>
                <w:sz w:val="20"/>
                <w:szCs w:val="20"/>
                <w:color w:val="auto"/>
              </w:rPr>
            </w:pPr>
            <w:r>
              <w:rPr>
                <w:rFonts w:ascii="Arial" w:cs="Arial" w:eastAsia="Arial" w:hAnsi="Arial"/>
                <w:sz w:val="18"/>
                <w:szCs w:val="18"/>
                <w:color w:val="51555C"/>
                <w:w w:val="99"/>
              </w:rPr>
              <w:t>$</w:t>
            </w:r>
          </w:p>
        </w:tc>
        <w:tc>
          <w:tcPr>
            <w:tcW w:w="11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2,301</w:t>
            </w:r>
          </w:p>
        </w:tc>
        <w:tc>
          <w:tcPr>
            <w:tcW w:w="220" w:type="dxa"/>
            <w:vAlign w:val="bottom"/>
            <w:shd w:val="clear" w:color="auto" w:fill="EBFBFF"/>
          </w:tcPr>
          <w:p>
            <w:pPr>
              <w:jc w:val="right"/>
              <w:ind w:right="10"/>
              <w:spacing w:after="0"/>
              <w:rPr>
                <w:sz w:val="20"/>
                <w:szCs w:val="20"/>
                <w:color w:val="auto"/>
              </w:rPr>
            </w:pPr>
            <w:r>
              <w:rPr>
                <w:rFonts w:ascii="Arial" w:cs="Arial" w:eastAsia="Arial" w:hAnsi="Arial"/>
                <w:sz w:val="18"/>
                <w:szCs w:val="18"/>
                <w:color w:val="51555C"/>
                <w:w w:val="99"/>
              </w:rPr>
              <w:t>$</w:t>
            </w:r>
          </w:p>
        </w:tc>
        <w:tc>
          <w:tcPr>
            <w:tcW w:w="1560" w:type="dxa"/>
            <w:vAlign w:val="bottom"/>
            <w:tcBorders>
              <w:right w:val="single" w:sz="8" w:color="EBFBFF"/>
            </w:tcBorders>
            <w:shd w:val="clear" w:color="auto" w:fill="EBFBFF"/>
          </w:tcPr>
          <w:p>
            <w:pPr>
              <w:jc w:val="right"/>
              <w:ind w:right="18"/>
              <w:spacing w:after="0"/>
              <w:rPr>
                <w:sz w:val="20"/>
                <w:szCs w:val="20"/>
                <w:color w:val="auto"/>
              </w:rPr>
            </w:pPr>
            <w:r>
              <w:rPr>
                <w:rFonts w:ascii="Arial" w:cs="Arial" w:eastAsia="Arial" w:hAnsi="Arial"/>
                <w:sz w:val="18"/>
                <w:szCs w:val="18"/>
                <w:color w:val="51555C"/>
              </w:rPr>
              <w:t>2,344</w:t>
            </w:r>
          </w:p>
        </w:tc>
        <w:tc>
          <w:tcPr>
            <w:tcW w:w="780" w:type="dxa"/>
            <w:vAlign w:val="bottom"/>
            <w:gridSpan w:val="2"/>
            <w:shd w:val="clear" w:color="auto" w:fill="EBFBFF"/>
          </w:tcPr>
          <w:p>
            <w:pPr>
              <w:jc w:val="right"/>
              <w:ind w:right="490"/>
              <w:spacing w:after="0"/>
              <w:rPr>
                <w:sz w:val="20"/>
                <w:szCs w:val="20"/>
                <w:color w:val="auto"/>
              </w:rPr>
            </w:pPr>
            <w:r>
              <w:rPr>
                <w:rFonts w:ascii="Arial" w:cs="Arial" w:eastAsia="Arial" w:hAnsi="Arial"/>
                <w:sz w:val="18"/>
                <w:szCs w:val="18"/>
                <w:color w:val="51555C"/>
              </w:rPr>
              <w:t>$</w:t>
            </w:r>
          </w:p>
        </w:tc>
        <w:tc>
          <w:tcPr>
            <w:tcW w:w="1180" w:type="dxa"/>
            <w:vAlign w:val="bottom"/>
            <w:shd w:val="clear" w:color="auto" w:fill="EBFBFF"/>
          </w:tcPr>
          <w:p>
            <w:pPr>
              <w:jc w:val="center"/>
              <w:ind w:left="474"/>
              <w:spacing w:after="0"/>
              <w:rPr>
                <w:sz w:val="20"/>
                <w:szCs w:val="20"/>
                <w:color w:val="auto"/>
              </w:rPr>
            </w:pPr>
            <w:r>
              <w:rPr>
                <w:rFonts w:ascii="Arial" w:cs="Arial" w:eastAsia="Arial" w:hAnsi="Arial"/>
                <w:sz w:val="18"/>
                <w:szCs w:val="18"/>
                <w:color w:val="51555C"/>
              </w:rPr>
              <w:t>7,273</w:t>
            </w:r>
          </w:p>
        </w:tc>
        <w:tc>
          <w:tcPr>
            <w:tcW w:w="260" w:type="dxa"/>
            <w:vAlign w:val="bottom"/>
            <w:shd w:val="clear" w:color="auto" w:fill="EBFBFF"/>
          </w:tcPr>
          <w:p>
            <w:pPr>
              <w:jc w:val="right"/>
              <w:ind w:right="70"/>
              <w:spacing w:after="0"/>
              <w:rPr>
                <w:sz w:val="20"/>
                <w:szCs w:val="20"/>
                <w:color w:val="auto"/>
              </w:rPr>
            </w:pPr>
            <w:r>
              <w:rPr>
                <w:rFonts w:ascii="Arial" w:cs="Arial" w:eastAsia="Arial" w:hAnsi="Arial"/>
                <w:sz w:val="18"/>
                <w:szCs w:val="18"/>
                <w:color w:val="51555C"/>
                <w:w w:val="79"/>
              </w:rPr>
              <w:t>$</w:t>
            </w:r>
          </w:p>
        </w:tc>
        <w:tc>
          <w:tcPr>
            <w:tcW w:w="1500" w:type="dxa"/>
            <w:vAlign w:val="bottom"/>
            <w:shd w:val="clear" w:color="auto" w:fill="EBFBFF"/>
          </w:tcPr>
          <w:p>
            <w:pPr>
              <w:jc w:val="center"/>
              <w:ind w:left="818"/>
              <w:spacing w:after="0"/>
              <w:rPr>
                <w:sz w:val="20"/>
                <w:szCs w:val="20"/>
                <w:color w:val="auto"/>
              </w:rPr>
            </w:pPr>
            <w:r>
              <w:rPr>
                <w:rFonts w:ascii="Arial" w:cs="Arial" w:eastAsia="Arial" w:hAnsi="Arial"/>
                <w:sz w:val="18"/>
                <w:szCs w:val="18"/>
                <w:color w:val="51555C"/>
                <w:w w:val="97"/>
              </w:rPr>
              <w:t>7,557</w:t>
            </w:r>
          </w:p>
        </w:tc>
        <w:tc>
          <w:tcPr>
            <w:tcW w:w="20" w:type="dxa"/>
            <w:vAlign w:val="bottom"/>
          </w:tcPr>
          <w:p>
            <w:pPr>
              <w:spacing w:after="0"/>
              <w:rPr>
                <w:sz w:val="24"/>
                <w:szCs w:val="24"/>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51555C"/>
              </w:rPr>
              <w:t>Variable lease cost</w:t>
            </w:r>
          </w:p>
        </w:tc>
        <w:tc>
          <w:tcPr>
            <w:tcW w:w="7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400</w:t>
            </w:r>
          </w:p>
        </w:tc>
        <w:tc>
          <w:tcPr>
            <w:tcW w:w="220" w:type="dxa"/>
            <w:vAlign w:val="bottom"/>
          </w:tcPr>
          <w:p>
            <w:pPr>
              <w:spacing w:after="0"/>
              <w:rPr>
                <w:sz w:val="21"/>
                <w:szCs w:val="21"/>
                <w:color w:val="auto"/>
              </w:rPr>
            </w:pPr>
          </w:p>
        </w:tc>
        <w:tc>
          <w:tcPr>
            <w:tcW w:w="1560" w:type="dxa"/>
            <w:vAlign w:val="bottom"/>
          </w:tcPr>
          <w:p>
            <w:pPr>
              <w:jc w:val="right"/>
              <w:ind w:right="18"/>
              <w:spacing w:after="0"/>
              <w:rPr>
                <w:sz w:val="20"/>
                <w:szCs w:val="20"/>
                <w:color w:val="auto"/>
              </w:rPr>
            </w:pPr>
            <w:r>
              <w:rPr>
                <w:rFonts w:ascii="Arial" w:cs="Arial" w:eastAsia="Arial" w:hAnsi="Arial"/>
                <w:sz w:val="18"/>
                <w:szCs w:val="18"/>
                <w:color w:val="51555C"/>
              </w:rPr>
              <w:t>625</w:t>
            </w: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tcPr>
          <w:p>
            <w:pPr>
              <w:jc w:val="center"/>
              <w:ind w:left="474"/>
              <w:spacing w:after="0"/>
              <w:rPr>
                <w:sz w:val="20"/>
                <w:szCs w:val="20"/>
                <w:color w:val="auto"/>
              </w:rPr>
            </w:pPr>
            <w:r>
              <w:rPr>
                <w:rFonts w:ascii="Arial" w:cs="Arial" w:eastAsia="Arial" w:hAnsi="Arial"/>
                <w:sz w:val="18"/>
                <w:szCs w:val="18"/>
                <w:color w:val="51555C"/>
              </w:rPr>
              <w:t>1,250</w:t>
            </w:r>
          </w:p>
        </w:tc>
        <w:tc>
          <w:tcPr>
            <w:tcW w:w="260" w:type="dxa"/>
            <w:vAlign w:val="bottom"/>
          </w:tcPr>
          <w:p>
            <w:pPr>
              <w:spacing w:after="0"/>
              <w:rPr>
                <w:sz w:val="21"/>
                <w:szCs w:val="21"/>
                <w:color w:val="auto"/>
              </w:rPr>
            </w:pPr>
          </w:p>
        </w:tc>
        <w:tc>
          <w:tcPr>
            <w:tcW w:w="1500" w:type="dxa"/>
            <w:vAlign w:val="bottom"/>
          </w:tcPr>
          <w:p>
            <w:pPr>
              <w:jc w:val="center"/>
              <w:ind w:left="818"/>
              <w:spacing w:after="0"/>
              <w:rPr>
                <w:sz w:val="20"/>
                <w:szCs w:val="20"/>
                <w:color w:val="auto"/>
              </w:rPr>
            </w:pPr>
            <w:r>
              <w:rPr>
                <w:rFonts w:ascii="Arial" w:cs="Arial" w:eastAsia="Arial" w:hAnsi="Arial"/>
                <w:sz w:val="18"/>
                <w:szCs w:val="18"/>
                <w:color w:val="51555C"/>
                <w:w w:val="97"/>
              </w:rPr>
              <w:t>2,023</w:t>
            </w:r>
          </w:p>
        </w:tc>
        <w:tc>
          <w:tcPr>
            <w:tcW w:w="20" w:type="dxa"/>
            <w:vAlign w:val="bottom"/>
          </w:tcPr>
          <w:p>
            <w:pPr>
              <w:spacing w:after="0"/>
              <w:rPr>
                <w:sz w:val="21"/>
                <w:szCs w:val="21"/>
                <w:color w:val="auto"/>
              </w:rPr>
            </w:pPr>
          </w:p>
        </w:tc>
      </w:tr>
      <w:tr>
        <w:trPr>
          <w:trHeight w:val="27"/>
        </w:trPr>
        <w:tc>
          <w:tcPr>
            <w:tcW w:w="3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38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Sublease income</w:t>
            </w:r>
          </w:p>
        </w:tc>
        <w:tc>
          <w:tcPr>
            <w:tcW w:w="720" w:type="dxa"/>
            <w:vAlign w:val="bottom"/>
            <w:tcBorders>
              <w:bottom w:val="single" w:sz="8" w:color="EBFBFF"/>
            </w:tcBorders>
            <w:shd w:val="clear" w:color="auto" w:fill="EBFBFF"/>
          </w:tcPr>
          <w:p>
            <w:pPr>
              <w:spacing w:after="0"/>
              <w:rPr>
                <w:sz w:val="23"/>
                <w:szCs w:val="23"/>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(791)</w:t>
            </w:r>
          </w:p>
        </w:tc>
        <w:tc>
          <w:tcPr>
            <w:tcW w:w="220" w:type="dxa"/>
            <w:vAlign w:val="bottom"/>
            <w:tcBorders>
              <w:bottom w:val="single" w:sz="8" w:color="EBFBFF"/>
            </w:tcBorders>
            <w:shd w:val="clear" w:color="auto" w:fill="EBFBFF"/>
          </w:tcPr>
          <w:p>
            <w:pPr>
              <w:spacing w:after="0"/>
              <w:rPr>
                <w:sz w:val="23"/>
                <w:szCs w:val="23"/>
                <w:color w:val="auto"/>
              </w:rPr>
            </w:pPr>
          </w:p>
        </w:tc>
        <w:tc>
          <w:tcPr>
            <w:tcW w:w="156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(313)</w:t>
            </w:r>
          </w:p>
        </w:tc>
        <w:tc>
          <w:tcPr>
            <w:tcW w:w="80" w:type="dxa"/>
            <w:vAlign w:val="bottom"/>
            <w:tcBorders>
              <w:bottom w:val="single" w:sz="8" w:color="EBFBFF"/>
            </w:tcBorders>
            <w:shd w:val="clear" w:color="auto" w:fill="EBFBFF"/>
          </w:tcPr>
          <w:p>
            <w:pPr>
              <w:spacing w:after="0"/>
              <w:rPr>
                <w:sz w:val="23"/>
                <w:szCs w:val="23"/>
                <w:color w:val="auto"/>
              </w:rPr>
            </w:pPr>
          </w:p>
        </w:tc>
        <w:tc>
          <w:tcPr>
            <w:tcW w:w="70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center"/>
              <w:ind w:left="454"/>
              <w:spacing w:after="0"/>
              <w:rPr>
                <w:sz w:val="20"/>
                <w:szCs w:val="20"/>
                <w:color w:val="auto"/>
              </w:rPr>
            </w:pPr>
            <w:r>
              <w:rPr>
                <w:rFonts w:ascii="Arial" w:cs="Arial" w:eastAsia="Arial" w:hAnsi="Arial"/>
                <w:sz w:val="18"/>
                <w:szCs w:val="18"/>
                <w:color w:val="51555C"/>
                <w:w w:val="98"/>
              </w:rPr>
              <w:t>(1,988)</w:t>
            </w:r>
          </w:p>
        </w:tc>
        <w:tc>
          <w:tcPr>
            <w:tcW w:w="260" w:type="dxa"/>
            <w:vAlign w:val="bottom"/>
            <w:tcBorders>
              <w:bottom w:val="single" w:sz="8" w:color="EBFBFF"/>
            </w:tcBorders>
            <w:shd w:val="clear" w:color="auto" w:fill="EBFBFF"/>
          </w:tcPr>
          <w:p>
            <w:pPr>
              <w:spacing w:after="0"/>
              <w:rPr>
                <w:sz w:val="23"/>
                <w:szCs w:val="23"/>
                <w:color w:val="auto"/>
              </w:rPr>
            </w:pPr>
          </w:p>
        </w:tc>
        <w:tc>
          <w:tcPr>
            <w:tcW w:w="1500" w:type="dxa"/>
            <w:vAlign w:val="bottom"/>
            <w:tcBorders>
              <w:bottom w:val="single" w:sz="8" w:color="EBFBFF"/>
            </w:tcBorders>
            <w:shd w:val="clear" w:color="auto" w:fill="EBFBFF"/>
          </w:tcPr>
          <w:p>
            <w:pPr>
              <w:jc w:val="center"/>
              <w:ind w:left="798"/>
              <w:spacing w:after="0"/>
              <w:rPr>
                <w:sz w:val="20"/>
                <w:szCs w:val="20"/>
                <w:color w:val="auto"/>
              </w:rPr>
            </w:pPr>
            <w:r>
              <w:rPr>
                <w:rFonts w:ascii="Arial" w:cs="Arial" w:eastAsia="Arial" w:hAnsi="Arial"/>
                <w:sz w:val="18"/>
                <w:szCs w:val="18"/>
                <w:color w:val="51555C"/>
              </w:rPr>
              <w:t>(1,139)</w:t>
            </w:r>
          </w:p>
        </w:tc>
        <w:tc>
          <w:tcPr>
            <w:tcW w:w="20" w:type="dxa"/>
            <w:vAlign w:val="bottom"/>
          </w:tcPr>
          <w:p>
            <w:pPr>
              <w:spacing w:after="0"/>
              <w:rPr>
                <w:sz w:val="23"/>
                <w:szCs w:val="23"/>
                <w:color w:val="auto"/>
              </w:rPr>
            </w:pPr>
          </w:p>
        </w:tc>
      </w:tr>
      <w:tr>
        <w:trPr>
          <w:trHeight w:val="237"/>
        </w:trPr>
        <w:tc>
          <w:tcPr>
            <w:tcW w:w="3880" w:type="dxa"/>
            <w:vAlign w:val="bottom"/>
          </w:tcPr>
          <w:p>
            <w:pPr>
              <w:ind w:left="140"/>
              <w:spacing w:after="0"/>
              <w:rPr>
                <w:sz w:val="20"/>
                <w:szCs w:val="20"/>
                <w:color w:val="auto"/>
              </w:rPr>
            </w:pPr>
            <w:r>
              <w:rPr>
                <w:rFonts w:ascii="Arial" w:cs="Arial" w:eastAsia="Arial" w:hAnsi="Arial"/>
                <w:sz w:val="18"/>
                <w:szCs w:val="18"/>
                <w:color w:val="51555C"/>
              </w:rPr>
              <w:t>Net lease cost</w:t>
            </w:r>
          </w:p>
        </w:tc>
        <w:tc>
          <w:tcPr>
            <w:tcW w:w="720" w:type="dxa"/>
            <w:vAlign w:val="bottom"/>
            <w:tcBorders>
              <w:top w:val="single" w:sz="8" w:color="51555C"/>
            </w:tcBorders>
          </w:tcPr>
          <w:p>
            <w:pPr>
              <w:jc w:val="right"/>
              <w:ind w:right="510"/>
              <w:spacing w:after="0"/>
              <w:rPr>
                <w:sz w:val="20"/>
                <w:szCs w:val="20"/>
                <w:color w:val="auto"/>
              </w:rPr>
            </w:pPr>
            <w:r>
              <w:rPr>
                <w:rFonts w:ascii="Arial" w:cs="Arial" w:eastAsia="Arial" w:hAnsi="Arial"/>
                <w:sz w:val="18"/>
                <w:szCs w:val="18"/>
                <w:color w:val="51555C"/>
                <w:w w:val="99"/>
              </w:rPr>
              <w:t>$</w:t>
            </w:r>
          </w:p>
        </w:tc>
        <w:tc>
          <w:tcPr>
            <w:tcW w:w="11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1,910</w:t>
            </w:r>
          </w:p>
        </w:tc>
        <w:tc>
          <w:tcPr>
            <w:tcW w:w="220" w:type="dxa"/>
            <w:vAlign w:val="bottom"/>
            <w:tcBorders>
              <w:top w:val="single" w:sz="8" w:color="51555C"/>
            </w:tcBorders>
          </w:tcPr>
          <w:p>
            <w:pPr>
              <w:jc w:val="right"/>
              <w:ind w:right="10"/>
              <w:spacing w:after="0"/>
              <w:rPr>
                <w:sz w:val="20"/>
                <w:szCs w:val="20"/>
                <w:color w:val="auto"/>
              </w:rPr>
            </w:pPr>
            <w:r>
              <w:rPr>
                <w:rFonts w:ascii="Arial" w:cs="Arial" w:eastAsia="Arial" w:hAnsi="Arial"/>
                <w:sz w:val="18"/>
                <w:szCs w:val="18"/>
                <w:color w:val="51555C"/>
                <w:w w:val="99"/>
              </w:rPr>
              <w:t>$</w:t>
            </w:r>
          </w:p>
        </w:tc>
        <w:tc>
          <w:tcPr>
            <w:tcW w:w="1560" w:type="dxa"/>
            <w:vAlign w:val="bottom"/>
            <w:tcBorders>
              <w:top w:val="single" w:sz="8" w:color="51555C"/>
            </w:tcBorders>
          </w:tcPr>
          <w:p>
            <w:pPr>
              <w:jc w:val="right"/>
              <w:ind w:right="18"/>
              <w:spacing w:after="0"/>
              <w:rPr>
                <w:sz w:val="20"/>
                <w:szCs w:val="20"/>
                <w:color w:val="auto"/>
              </w:rPr>
            </w:pPr>
            <w:r>
              <w:rPr>
                <w:rFonts w:ascii="Arial" w:cs="Arial" w:eastAsia="Arial" w:hAnsi="Arial"/>
                <w:sz w:val="18"/>
                <w:szCs w:val="18"/>
                <w:color w:val="51555C"/>
              </w:rPr>
              <w:t>2,656</w:t>
            </w:r>
          </w:p>
        </w:tc>
        <w:tc>
          <w:tcPr>
            <w:tcW w:w="80" w:type="dxa"/>
            <w:vAlign w:val="bottom"/>
          </w:tcPr>
          <w:p>
            <w:pPr>
              <w:spacing w:after="0"/>
              <w:rPr>
                <w:sz w:val="20"/>
                <w:szCs w:val="20"/>
                <w:color w:val="auto"/>
              </w:rPr>
            </w:pPr>
          </w:p>
        </w:tc>
        <w:tc>
          <w:tcPr>
            <w:tcW w:w="700" w:type="dxa"/>
            <w:vAlign w:val="bottom"/>
            <w:tcBorders>
              <w:top w:val="single" w:sz="8" w:color="51555C"/>
            </w:tcBorders>
          </w:tcPr>
          <w:p>
            <w:pPr>
              <w:jc w:val="right"/>
              <w:ind w:right="490"/>
              <w:spacing w:after="0"/>
              <w:rPr>
                <w:sz w:val="20"/>
                <w:szCs w:val="20"/>
                <w:color w:val="auto"/>
              </w:rPr>
            </w:pPr>
            <w:r>
              <w:rPr>
                <w:rFonts w:ascii="Arial" w:cs="Arial" w:eastAsia="Arial" w:hAnsi="Arial"/>
                <w:sz w:val="18"/>
                <w:szCs w:val="18"/>
                <w:color w:val="51555C"/>
                <w:w w:val="99"/>
              </w:rPr>
              <w:t>$</w:t>
            </w:r>
          </w:p>
        </w:tc>
        <w:tc>
          <w:tcPr>
            <w:tcW w:w="1180" w:type="dxa"/>
            <w:vAlign w:val="bottom"/>
            <w:tcBorders>
              <w:top w:val="single" w:sz="8" w:color="51555C"/>
            </w:tcBorders>
          </w:tcPr>
          <w:p>
            <w:pPr>
              <w:jc w:val="center"/>
              <w:ind w:left="474"/>
              <w:spacing w:after="0"/>
              <w:rPr>
                <w:sz w:val="20"/>
                <w:szCs w:val="20"/>
                <w:color w:val="auto"/>
              </w:rPr>
            </w:pPr>
            <w:r>
              <w:rPr>
                <w:rFonts w:ascii="Arial" w:cs="Arial" w:eastAsia="Arial" w:hAnsi="Arial"/>
                <w:sz w:val="18"/>
                <w:szCs w:val="18"/>
                <w:color w:val="51555C"/>
              </w:rPr>
              <w:t>6,535</w:t>
            </w:r>
          </w:p>
        </w:tc>
        <w:tc>
          <w:tcPr>
            <w:tcW w:w="260" w:type="dxa"/>
            <w:vAlign w:val="bottom"/>
            <w:tcBorders>
              <w:top w:val="single" w:sz="8" w:color="51555C"/>
            </w:tcBorders>
          </w:tcPr>
          <w:p>
            <w:pPr>
              <w:jc w:val="right"/>
              <w:ind w:right="70"/>
              <w:spacing w:after="0"/>
              <w:rPr>
                <w:sz w:val="20"/>
                <w:szCs w:val="20"/>
                <w:color w:val="auto"/>
              </w:rPr>
            </w:pPr>
            <w:r>
              <w:rPr>
                <w:rFonts w:ascii="Arial" w:cs="Arial" w:eastAsia="Arial" w:hAnsi="Arial"/>
                <w:sz w:val="18"/>
                <w:szCs w:val="18"/>
                <w:color w:val="51555C"/>
                <w:w w:val="79"/>
              </w:rPr>
              <w:t>$</w:t>
            </w:r>
          </w:p>
        </w:tc>
        <w:tc>
          <w:tcPr>
            <w:tcW w:w="1500" w:type="dxa"/>
            <w:vAlign w:val="bottom"/>
            <w:tcBorders>
              <w:top w:val="single" w:sz="8" w:color="51555C"/>
            </w:tcBorders>
          </w:tcPr>
          <w:p>
            <w:pPr>
              <w:jc w:val="center"/>
              <w:ind w:left="818"/>
              <w:spacing w:after="0"/>
              <w:rPr>
                <w:sz w:val="20"/>
                <w:szCs w:val="20"/>
                <w:color w:val="auto"/>
              </w:rPr>
            </w:pPr>
            <w:r>
              <w:rPr>
                <w:rFonts w:ascii="Arial" w:cs="Arial" w:eastAsia="Arial" w:hAnsi="Arial"/>
                <w:sz w:val="18"/>
                <w:szCs w:val="18"/>
                <w:color w:val="51555C"/>
                <w:w w:val="97"/>
              </w:rPr>
              <w:t>8,441</w:t>
            </w:r>
          </w:p>
        </w:tc>
        <w:tc>
          <w:tcPr>
            <w:tcW w:w="20" w:type="dxa"/>
            <w:vAlign w:val="bottom"/>
          </w:tcPr>
          <w:p>
            <w:pPr>
              <w:spacing w:after="0"/>
              <w:rPr>
                <w:sz w:val="20"/>
                <w:szCs w:val="20"/>
                <w:color w:val="auto"/>
              </w:rPr>
            </w:pPr>
          </w:p>
        </w:tc>
      </w:tr>
      <w:tr>
        <w:trPr>
          <w:trHeight w:val="27"/>
        </w:trPr>
        <w:tc>
          <w:tcPr>
            <w:tcW w:w="3880" w:type="dxa"/>
            <w:vAlign w:val="bottom"/>
            <w:tcBorders>
              <w:bottom w:val="single" w:sz="8" w:color="0CD973"/>
            </w:tcBorders>
          </w:tcPr>
          <w:p>
            <w:pPr>
              <w:spacing w:after="0"/>
              <w:rPr>
                <w:sz w:val="2"/>
                <w:szCs w:val="2"/>
                <w:color w:val="auto"/>
              </w:rPr>
            </w:pPr>
          </w:p>
        </w:tc>
        <w:tc>
          <w:tcPr>
            <w:tcW w:w="720" w:type="dxa"/>
            <w:vAlign w:val="bottom"/>
            <w:tcBorders>
              <w:bottom w:val="single" w:sz="8" w:color="0CD973"/>
            </w:tcBorders>
          </w:tcPr>
          <w:p>
            <w:pPr>
              <w:spacing w:after="0"/>
              <w:rPr>
                <w:sz w:val="2"/>
                <w:szCs w:val="2"/>
                <w:color w:val="auto"/>
              </w:rPr>
            </w:pPr>
          </w:p>
        </w:tc>
        <w:tc>
          <w:tcPr>
            <w:tcW w:w="1140" w:type="dxa"/>
            <w:vAlign w:val="bottom"/>
            <w:tcBorders>
              <w:bottom w:val="single" w:sz="8" w:color="0CD973"/>
            </w:tcBorders>
          </w:tcPr>
          <w:p>
            <w:pPr>
              <w:spacing w:after="0"/>
              <w:rPr>
                <w:sz w:val="2"/>
                <w:szCs w:val="2"/>
                <w:color w:val="auto"/>
              </w:rPr>
            </w:pPr>
          </w:p>
        </w:tc>
        <w:tc>
          <w:tcPr>
            <w:tcW w:w="220" w:type="dxa"/>
            <w:vAlign w:val="bottom"/>
            <w:tcBorders>
              <w:bottom w:val="single" w:sz="8" w:color="0CD973"/>
            </w:tcBorders>
          </w:tcPr>
          <w:p>
            <w:pPr>
              <w:spacing w:after="0"/>
              <w:rPr>
                <w:sz w:val="2"/>
                <w:szCs w:val="2"/>
                <w:color w:val="auto"/>
              </w:rPr>
            </w:pPr>
          </w:p>
        </w:tc>
        <w:tc>
          <w:tcPr>
            <w:tcW w:w="1560" w:type="dxa"/>
            <w:vAlign w:val="bottom"/>
            <w:tcBorders>
              <w:bottom w:val="single" w:sz="8" w:color="0CD973"/>
            </w:tcBorders>
          </w:tcPr>
          <w:p>
            <w:pPr>
              <w:spacing w:after="0"/>
              <w:rPr>
                <w:sz w:val="2"/>
                <w:szCs w:val="2"/>
                <w:color w:val="auto"/>
              </w:rPr>
            </w:pPr>
          </w:p>
        </w:tc>
        <w:tc>
          <w:tcPr>
            <w:tcW w:w="80" w:type="dxa"/>
            <w:vAlign w:val="bottom"/>
            <w:tcBorders>
              <w:bottom w:val="single" w:sz="8" w:color="0CD973"/>
            </w:tcBorders>
          </w:tcPr>
          <w:p>
            <w:pPr>
              <w:spacing w:after="0"/>
              <w:rPr>
                <w:sz w:val="2"/>
                <w:szCs w:val="2"/>
                <w:color w:val="auto"/>
              </w:rPr>
            </w:pPr>
          </w:p>
        </w:tc>
        <w:tc>
          <w:tcPr>
            <w:tcW w:w="700" w:type="dxa"/>
            <w:vAlign w:val="bottom"/>
            <w:tcBorders>
              <w:bottom w:val="single" w:sz="8" w:color="0CD973"/>
            </w:tcBorders>
          </w:tcPr>
          <w:p>
            <w:pPr>
              <w:spacing w:after="0"/>
              <w:rPr>
                <w:sz w:val="2"/>
                <w:szCs w:val="2"/>
                <w:color w:val="auto"/>
              </w:rPr>
            </w:pPr>
          </w:p>
        </w:tc>
        <w:tc>
          <w:tcPr>
            <w:tcW w:w="1180" w:type="dxa"/>
            <w:vAlign w:val="bottom"/>
            <w:tcBorders>
              <w:bottom w:val="single" w:sz="8" w:color="0CD973"/>
            </w:tcBorders>
          </w:tcPr>
          <w:p>
            <w:pPr>
              <w:spacing w:after="0"/>
              <w:rPr>
                <w:sz w:val="2"/>
                <w:szCs w:val="2"/>
                <w:color w:val="auto"/>
              </w:rPr>
            </w:pPr>
          </w:p>
        </w:tc>
        <w:tc>
          <w:tcPr>
            <w:tcW w:w="260" w:type="dxa"/>
            <w:vAlign w:val="bottom"/>
            <w:tcBorders>
              <w:bottom w:val="single" w:sz="8" w:color="0CD973"/>
            </w:tcBorders>
          </w:tcPr>
          <w:p>
            <w:pPr>
              <w:spacing w:after="0"/>
              <w:rPr>
                <w:sz w:val="2"/>
                <w:szCs w:val="2"/>
                <w:color w:val="auto"/>
              </w:rPr>
            </w:pPr>
          </w:p>
        </w:tc>
        <w:tc>
          <w:tcPr>
            <w:tcW w:w="150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-899795</wp:posOffset>
            </wp:positionV>
            <wp:extent cx="46805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680585" cy="8890"/>
                    </a:xfrm>
                    <a:prstGeom prst="rect">
                      <a:avLst/>
                    </a:prstGeom>
                    <a:noFill/>
                  </pic:spPr>
                </pic:pic>
              </a:graphicData>
            </a:graphic>
          </wp:anchor>
        </w:drawing>
      </w:r>
    </w:p>
    <w:p>
      <w:pPr>
        <w:spacing w:after="0" w:line="6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51555C"/>
        </w:rPr>
      </w:pPr>
      <w:r>
        <w:rPr>
          <w:rFonts w:ascii="Arial" w:cs="Arial" w:eastAsia="Arial" w:hAnsi="Arial"/>
          <w:sz w:val="14"/>
          <w:szCs w:val="14"/>
          <w:color w:val="51555C"/>
        </w:rPr>
        <w:t>Includes short-term lease costs, which were immaterial.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Other commitments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The term loans under the 2020 Credit Facility require periodic principal payments. The balance of the term loans and any amounts drawn on the revolving credit loans are due upon maturity of the 2020 Credit Facility in October 2025. The Real Estate Loans also require periodic principal payments and the balance of the Real Estate Loans are due upon maturity in April 2038.</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We have contractual obligations for third-party technology used in our solutions and for other services we purchase as part of our normal operations. In certain cases, these arrangements require a minimum annual purchase commitment by us. As of September 30, 2022, the remaining aggregate minimum purchase commitment under these arrangements was approximately $236.0 million through 2027.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Solution and service indemnifications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In the ordinary course of business, we provide certain indemnifications of varying scope to customers against claims of intellectual property infringement made by third parties arising from the use of our solutions or services. We have not identified any losses that might be covered by these indemnifications.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Legal proceedings</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51555C"/>
        </w:rPr>
        <w:t>We are subject to legal proceedings and claims that arise in the ordinary course of business, as well as certain other non-ordinary course proceedings, claims and investigations, as described below. We make a provision for a loss contingency when it is both probable that a material liability has been incurred and the amount of the loss can be reasonably estimated. If only a range of estimated losses can be determined, we accrue an amount within the range that, in our judgment, reflects the most likely outcome; if none of the estimates within that range is a better estimate than any other amount, we accrue the low end of the range. For proceedings in which an unfavorable outcome is reasonably possible but not probable and an estimate of the loss or range of losses arising from the proceeding can be made, we disclose such an estimate, if material. If such a loss or range of losses is not reasonably estimable, we disclose that fact. We review any such loss contingency provisions at least quarterly and adjust them to reflect the impacts of negotiations, settlements, rulings, advice of legal counsel and other information and events pertaining to a particular case. We recognize insurance recoveries, if any, when they are probable of receipt. All associated costs due to third-party service providers and consultants, including legal fees, are expensed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220345</wp:posOffset>
            </wp:positionV>
            <wp:extent cx="65976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19</w:t>
            </w:r>
          </w:p>
        </w:tc>
      </w:tr>
      <w:tr>
        <w:trPr>
          <w:trHeight w:val="330"/>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Legal proceedings are inherently unpredictable. However, we believe that we have valid defenses with respect to the legal matters pending or threatened against us and intend to defend ourselves vigorously against all claims asserted. It is possible that our consolidated financial position, results of operations or cash flows could be materially negatively affected in any particular period by an unfavorable resolution of one or more of such legal proceedings.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Security incident</w:t>
      </w:r>
    </w:p>
    <w:p>
      <w:pPr>
        <w:spacing w:after="0" w:line="17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As previously disclosed, we are subject to risks and uncertainties as a result of a ransomware attack against us in May 2020 in which a cybercriminal removed a copy of a subset of data from our self-hosted environment (the "Security Incident"). Based on the nature of the Security Incident, our research and third party (including law enforcement) investigation, we do not believe that any data went beyond the cybercriminal, was or will be misused, or will be disseminated or otherwise made available publicly. Our investigation into the Security Incident by our cybersecurity team and third-party forensic advisors remains ongoing.</w:t>
      </w:r>
    </w:p>
    <w:p>
      <w:pPr>
        <w:spacing w:after="0" w:line="15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As a result of the Security Incident, we are currently subject to certain legal proceedings, claims and investigations, as discussed below, and could be the subject of additional legal proceedings, claims, inquires and investigations in the future that might result in adverse judgments, settlements, fines, penalties or other resolution. To limit our exposure to losses related to claims against us, including data breaches such as the Security Incident, we maintain $50 million of insurance above a $250 thousand deductible payable by us. As noted below, this coverage has reduced our financial exposure related to the Security Incident.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1555C"/>
        </w:rPr>
        <w:t>We recorded expenses and offsetting probable insurance recoveries related to the Security Incident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shd w:val="clear" w:color="auto" w:fill="004054"/>
          </w:tcPr>
          <w:p>
            <w:pPr>
              <w:spacing w:after="0"/>
              <w:rPr>
                <w:sz w:val="17"/>
                <w:szCs w:val="17"/>
                <w:color w:val="auto"/>
              </w:rPr>
            </w:pPr>
          </w:p>
        </w:tc>
        <w:tc>
          <w:tcPr>
            <w:tcW w:w="460" w:type="dxa"/>
            <w:vAlign w:val="bottom"/>
            <w:shd w:val="clear" w:color="auto" w:fill="004054"/>
          </w:tcPr>
          <w:p>
            <w:pPr>
              <w:spacing w:after="0"/>
              <w:rPr>
                <w:sz w:val="17"/>
                <w:szCs w:val="17"/>
                <w:color w:val="auto"/>
              </w:rPr>
            </w:pPr>
          </w:p>
        </w:tc>
        <w:tc>
          <w:tcPr>
            <w:tcW w:w="980" w:type="dxa"/>
            <w:vAlign w:val="bottom"/>
            <w:shd w:val="clear" w:color="auto" w:fill="004054"/>
          </w:tcPr>
          <w:p>
            <w:pPr>
              <w:spacing w:after="0"/>
              <w:rPr>
                <w:sz w:val="17"/>
                <w:szCs w:val="17"/>
                <w:color w:val="auto"/>
              </w:rPr>
            </w:pPr>
          </w:p>
        </w:tc>
        <w:tc>
          <w:tcPr>
            <w:tcW w:w="1460" w:type="dxa"/>
            <w:vAlign w:val="bottom"/>
            <w:tcBorders>
              <w:right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7"/>
                <w:szCs w:val="17"/>
                <w:color w:val="auto"/>
              </w:rPr>
            </w:pPr>
          </w:p>
        </w:tc>
        <w:tc>
          <w:tcPr>
            <w:tcW w:w="460" w:type="dxa"/>
            <w:vAlign w:val="bottom"/>
            <w:shd w:val="clear" w:color="auto" w:fill="004054"/>
          </w:tcPr>
          <w:p>
            <w:pPr>
              <w:spacing w:after="0"/>
              <w:rPr>
                <w:sz w:val="17"/>
                <w:szCs w:val="17"/>
                <w:color w:val="auto"/>
              </w:rPr>
            </w:pPr>
          </w:p>
        </w:tc>
        <w:tc>
          <w:tcPr>
            <w:tcW w:w="980" w:type="dxa"/>
            <w:vAlign w:val="bottom"/>
            <w:shd w:val="clear" w:color="auto" w:fill="004054"/>
          </w:tcPr>
          <w:p>
            <w:pPr>
              <w:spacing w:after="0"/>
              <w:rPr>
                <w:sz w:val="17"/>
                <w:szCs w:val="17"/>
                <w:color w:val="auto"/>
              </w:rPr>
            </w:pPr>
          </w:p>
        </w:tc>
        <w:tc>
          <w:tcPr>
            <w:tcW w:w="144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7"/>
                <w:szCs w:val="17"/>
                <w:color w:val="auto"/>
              </w:rPr>
            </w:pPr>
          </w:p>
        </w:tc>
      </w:tr>
      <w:tr>
        <w:trPr>
          <w:trHeight w:val="190"/>
        </w:trPr>
        <w:tc>
          <w:tcPr>
            <w:tcW w:w="5360" w:type="dxa"/>
            <w:vAlign w:val="bottom"/>
            <w:shd w:val="clear" w:color="auto" w:fill="004054"/>
          </w:tcPr>
          <w:p>
            <w:pPr>
              <w:spacing w:after="0"/>
              <w:rPr>
                <w:sz w:val="16"/>
                <w:szCs w:val="16"/>
                <w:color w:val="auto"/>
              </w:rPr>
            </w:pPr>
          </w:p>
        </w:tc>
        <w:tc>
          <w:tcPr>
            <w:tcW w:w="46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118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6"/>
                <w:szCs w:val="16"/>
                <w:color w:val="auto"/>
              </w:rPr>
            </w:pPr>
          </w:p>
        </w:tc>
        <w:tc>
          <w:tcPr>
            <w:tcW w:w="46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11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6"/>
                <w:szCs w:val="16"/>
                <w:color w:val="auto"/>
              </w:rPr>
            </w:pPr>
          </w:p>
        </w:tc>
      </w:tr>
      <w:tr>
        <w:trPr>
          <w:trHeight w:val="243"/>
        </w:trPr>
        <w:tc>
          <w:tcPr>
            <w:tcW w:w="536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60" w:type="dxa"/>
            <w:vAlign w:val="bottom"/>
            <w:shd w:val="clear" w:color="auto" w:fill="004054"/>
          </w:tcPr>
          <w:p>
            <w:pPr>
              <w:spacing w:after="0"/>
              <w:rPr>
                <w:sz w:val="21"/>
                <w:szCs w:val="21"/>
                <w:color w:val="auto"/>
              </w:rPr>
            </w:pPr>
          </w:p>
        </w:tc>
        <w:tc>
          <w:tcPr>
            <w:tcW w:w="9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80" w:type="dxa"/>
            <w:vAlign w:val="bottom"/>
            <w:shd w:val="clear" w:color="auto" w:fill="004054"/>
          </w:tcPr>
          <w:p>
            <w:pPr>
              <w:spacing w:after="0"/>
              <w:rPr>
                <w:sz w:val="21"/>
                <w:szCs w:val="21"/>
                <w:color w:val="auto"/>
              </w:rPr>
            </w:pPr>
          </w:p>
        </w:tc>
        <w:tc>
          <w:tcPr>
            <w:tcW w:w="118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00" w:type="dxa"/>
            <w:vAlign w:val="bottom"/>
          </w:tcPr>
          <w:p>
            <w:pPr>
              <w:spacing w:after="0"/>
              <w:rPr>
                <w:sz w:val="21"/>
                <w:szCs w:val="21"/>
                <w:color w:val="auto"/>
              </w:rPr>
            </w:pPr>
          </w:p>
        </w:tc>
        <w:tc>
          <w:tcPr>
            <w:tcW w:w="460" w:type="dxa"/>
            <w:vAlign w:val="bottom"/>
            <w:shd w:val="clear" w:color="auto" w:fill="004054"/>
          </w:tcPr>
          <w:p>
            <w:pPr>
              <w:spacing w:after="0"/>
              <w:rPr>
                <w:sz w:val="21"/>
                <w:szCs w:val="21"/>
                <w:color w:val="auto"/>
              </w:rPr>
            </w:pPr>
          </w:p>
        </w:tc>
        <w:tc>
          <w:tcPr>
            <w:tcW w:w="9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80" w:type="dxa"/>
            <w:vAlign w:val="bottom"/>
            <w:shd w:val="clear" w:color="auto" w:fill="004054"/>
          </w:tcPr>
          <w:p>
            <w:pPr>
              <w:spacing w:after="0"/>
              <w:rPr>
                <w:sz w:val="21"/>
                <w:szCs w:val="21"/>
                <w:color w:val="auto"/>
              </w:rPr>
            </w:pPr>
          </w:p>
        </w:tc>
        <w:tc>
          <w:tcPr>
            <w:tcW w:w="11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shd w:val="clear" w:color="auto" w:fill="004054"/>
          </w:tcPr>
          <w:p>
            <w:pPr>
              <w:spacing w:after="0"/>
              <w:rPr>
                <w:sz w:val="21"/>
                <w:szCs w:val="21"/>
                <w:color w:val="auto"/>
              </w:rPr>
            </w:pPr>
          </w:p>
        </w:tc>
      </w:tr>
      <w:tr>
        <w:trPr>
          <w:trHeight w:val="25"/>
        </w:trPr>
        <w:tc>
          <w:tcPr>
            <w:tcW w:w="5360" w:type="dxa"/>
            <w:vAlign w:val="bottom"/>
            <w:tcBorders>
              <w:bottom w:val="single" w:sz="8" w:color="004054"/>
            </w:tcBorders>
            <w:shd w:val="clear" w:color="auto" w:fill="004054"/>
          </w:tcPr>
          <w:p>
            <w:pPr>
              <w:spacing w:after="0"/>
              <w:rPr>
                <w:sz w:val="2"/>
                <w:szCs w:val="2"/>
                <w:color w:val="auto"/>
              </w:rPr>
            </w:pPr>
          </w:p>
        </w:tc>
        <w:tc>
          <w:tcPr>
            <w:tcW w:w="460" w:type="dxa"/>
            <w:vAlign w:val="bottom"/>
            <w:tcBorders>
              <w:bottom w:val="single" w:sz="8" w:color="004054"/>
            </w:tcBorders>
            <w:shd w:val="clear" w:color="auto" w:fill="004054"/>
          </w:tcPr>
          <w:p>
            <w:pPr>
              <w:spacing w:after="0"/>
              <w:rPr>
                <w:sz w:val="2"/>
                <w:szCs w:val="2"/>
                <w:color w:val="auto"/>
              </w:rPr>
            </w:pPr>
          </w:p>
        </w:tc>
        <w:tc>
          <w:tcPr>
            <w:tcW w:w="980" w:type="dxa"/>
            <w:vAlign w:val="bottom"/>
            <w:tcBorders>
              <w:bottom w:val="single" w:sz="8" w:color="004054"/>
            </w:tcBorders>
            <w:shd w:val="clear" w:color="auto" w:fill="004054"/>
          </w:tcPr>
          <w:p>
            <w:pPr>
              <w:spacing w:after="0"/>
              <w:rPr>
                <w:sz w:val="2"/>
                <w:szCs w:val="2"/>
                <w:color w:val="auto"/>
              </w:rPr>
            </w:pPr>
          </w:p>
        </w:tc>
        <w:tc>
          <w:tcPr>
            <w:tcW w:w="280" w:type="dxa"/>
            <w:vAlign w:val="bottom"/>
            <w:tcBorders>
              <w:bottom w:val="single" w:sz="8" w:color="004054"/>
            </w:tcBorders>
            <w:shd w:val="clear" w:color="auto" w:fill="004054"/>
          </w:tcPr>
          <w:p>
            <w:pPr>
              <w:spacing w:after="0"/>
              <w:rPr>
                <w:sz w:val="2"/>
                <w:szCs w:val="2"/>
                <w:color w:val="auto"/>
              </w:rPr>
            </w:pPr>
          </w:p>
        </w:tc>
        <w:tc>
          <w:tcPr>
            <w:tcW w:w="1180" w:type="dxa"/>
            <w:vAlign w:val="bottom"/>
            <w:tcBorders>
              <w:bottom w:val="single" w:sz="8" w:color="004054"/>
              <w:right w:val="single" w:sz="8" w:color="004054"/>
            </w:tcBorders>
            <w:shd w:val="clear" w:color="auto" w:fill="004054"/>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460" w:type="dxa"/>
            <w:vAlign w:val="bottom"/>
            <w:tcBorders>
              <w:bottom w:val="single" w:sz="8" w:color="004054"/>
            </w:tcBorders>
            <w:shd w:val="clear" w:color="auto" w:fill="004054"/>
          </w:tcPr>
          <w:p>
            <w:pPr>
              <w:spacing w:after="0"/>
              <w:rPr>
                <w:sz w:val="2"/>
                <w:szCs w:val="2"/>
                <w:color w:val="auto"/>
              </w:rPr>
            </w:pPr>
          </w:p>
        </w:tc>
        <w:tc>
          <w:tcPr>
            <w:tcW w:w="980" w:type="dxa"/>
            <w:vAlign w:val="bottom"/>
            <w:tcBorders>
              <w:bottom w:val="single" w:sz="8" w:color="004054"/>
            </w:tcBorders>
            <w:shd w:val="clear" w:color="auto" w:fill="004054"/>
          </w:tcPr>
          <w:p>
            <w:pPr>
              <w:spacing w:after="0"/>
              <w:rPr>
                <w:sz w:val="2"/>
                <w:szCs w:val="2"/>
                <w:color w:val="auto"/>
              </w:rPr>
            </w:pPr>
          </w:p>
        </w:tc>
        <w:tc>
          <w:tcPr>
            <w:tcW w:w="280" w:type="dxa"/>
            <w:vAlign w:val="bottom"/>
            <w:tcBorders>
              <w:bottom w:val="single" w:sz="8" w:color="004054"/>
            </w:tcBorders>
            <w:shd w:val="clear" w:color="auto" w:fill="004054"/>
          </w:tcPr>
          <w:p>
            <w:pPr>
              <w:spacing w:after="0"/>
              <w:rPr>
                <w:sz w:val="2"/>
                <w:szCs w:val="2"/>
                <w:color w:val="auto"/>
              </w:rPr>
            </w:pPr>
          </w:p>
        </w:tc>
        <w:tc>
          <w:tcPr>
            <w:tcW w:w="1160" w:type="dxa"/>
            <w:vAlign w:val="bottom"/>
            <w:tcBorders>
              <w:bottom w:val="single" w:sz="8" w:color="004054"/>
            </w:tcBorders>
            <w:shd w:val="clear" w:color="auto" w:fill="004054"/>
          </w:tcPr>
          <w:p>
            <w:pPr>
              <w:spacing w:after="0"/>
              <w:rPr>
                <w:sz w:val="2"/>
                <w:szCs w:val="2"/>
                <w:color w:val="auto"/>
              </w:rPr>
            </w:pPr>
          </w:p>
        </w:tc>
        <w:tc>
          <w:tcPr>
            <w:tcW w:w="20" w:type="dxa"/>
            <w:vAlign w:val="bottom"/>
            <w:tcBorders>
              <w:bottom w:val="single" w:sz="8" w:color="004054"/>
            </w:tcBorders>
            <w:shd w:val="clear" w:color="auto" w:fill="004054"/>
          </w:tcPr>
          <w:p>
            <w:pPr>
              <w:spacing w:after="0"/>
              <w:rPr>
                <w:sz w:val="2"/>
                <w:szCs w:val="2"/>
                <w:color w:val="auto"/>
              </w:rPr>
            </w:pPr>
          </w:p>
        </w:tc>
      </w:tr>
      <w:tr>
        <w:trPr>
          <w:trHeight w:val="243"/>
        </w:trPr>
        <w:tc>
          <w:tcPr>
            <w:tcW w:w="53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Gross expense</w:t>
            </w:r>
          </w:p>
        </w:tc>
        <w:tc>
          <w:tcPr>
            <w:tcW w:w="460" w:type="dxa"/>
            <w:vAlign w:val="bottom"/>
            <w:tcBorders>
              <w:bottom w:val="single" w:sz="8" w:color="EBFBFF"/>
            </w:tcBorders>
            <w:shd w:val="clear" w:color="auto" w:fill="EBFBFF"/>
          </w:tcPr>
          <w:p>
            <w:pPr>
              <w:jc w:val="right"/>
              <w:ind w:right="250"/>
              <w:spacing w:after="0"/>
              <w:rPr>
                <w:sz w:val="20"/>
                <w:szCs w:val="20"/>
                <w:color w:val="auto"/>
              </w:rPr>
            </w:pPr>
            <w:r>
              <w:rPr>
                <w:rFonts w:ascii="Arial" w:cs="Arial" w:eastAsia="Arial" w:hAnsi="Arial"/>
                <w:sz w:val="18"/>
                <w:szCs w:val="18"/>
                <w:color w:val="51555C"/>
                <w:w w:val="99"/>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13,658</w:t>
            </w:r>
          </w:p>
        </w:tc>
        <w:tc>
          <w:tcPr>
            <w:tcW w:w="280" w:type="dxa"/>
            <w:vAlign w:val="bottom"/>
            <w:tcBorders>
              <w:bottom w:val="single" w:sz="8" w:color="EBFBFF"/>
            </w:tcBorders>
            <w:shd w:val="clear" w:color="auto" w:fill="EBFBFF"/>
          </w:tcPr>
          <w:p>
            <w:pPr>
              <w:jc w:val="right"/>
              <w:ind w:right="76"/>
              <w:spacing w:after="0"/>
              <w:rPr>
                <w:sz w:val="20"/>
                <w:szCs w:val="20"/>
                <w:color w:val="auto"/>
              </w:rPr>
            </w:pPr>
            <w:r>
              <w:rPr>
                <w:rFonts w:ascii="Arial" w:cs="Arial" w:eastAsia="Arial" w:hAnsi="Arial"/>
                <w:sz w:val="18"/>
                <w:szCs w:val="18"/>
                <w:color w:val="51555C"/>
                <w:w w:val="99"/>
              </w:rPr>
              <w:t>$</w:t>
            </w:r>
          </w:p>
        </w:tc>
        <w:tc>
          <w:tcPr>
            <w:tcW w:w="1180" w:type="dxa"/>
            <w:vAlign w:val="bottom"/>
            <w:tcBorders>
              <w:bottom w:val="single" w:sz="8" w:color="EBFBFF"/>
              <w:right w:val="single" w:sz="8" w:color="EBFBFF"/>
            </w:tcBorders>
            <w:shd w:val="clear" w:color="auto" w:fill="EBFBFF"/>
          </w:tcPr>
          <w:p>
            <w:pPr>
              <w:jc w:val="right"/>
              <w:ind w:right="17"/>
              <w:spacing w:after="0"/>
              <w:rPr>
                <w:sz w:val="20"/>
                <w:szCs w:val="20"/>
                <w:color w:val="auto"/>
              </w:rPr>
            </w:pPr>
            <w:r>
              <w:rPr>
                <w:rFonts w:ascii="Arial" w:cs="Arial" w:eastAsia="Arial" w:hAnsi="Arial"/>
                <w:sz w:val="18"/>
                <w:szCs w:val="18"/>
                <w:color w:val="51555C"/>
              </w:rPr>
              <w:t>11,448</w:t>
            </w:r>
          </w:p>
        </w:tc>
        <w:tc>
          <w:tcPr>
            <w:tcW w:w="560" w:type="dxa"/>
            <w:vAlign w:val="bottom"/>
            <w:tcBorders>
              <w:bottom w:val="single" w:sz="8" w:color="EBFBFF"/>
            </w:tcBorders>
            <w:gridSpan w:val="2"/>
            <w:shd w:val="clear" w:color="auto" w:fill="EBFBFF"/>
          </w:tcPr>
          <w:p>
            <w:pPr>
              <w:jc w:val="right"/>
              <w:ind w:right="360"/>
              <w:spacing w:after="0"/>
              <w:rPr>
                <w:sz w:val="20"/>
                <w:szCs w:val="20"/>
                <w:color w:val="auto"/>
              </w:rPr>
            </w:pPr>
            <w:r>
              <w:rPr>
                <w:rFonts w:ascii="Arial" w:cs="Arial" w:eastAsia="Arial" w:hAnsi="Arial"/>
                <w:sz w:val="18"/>
                <w:szCs w:val="18"/>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31,098</w:t>
            </w:r>
          </w:p>
        </w:tc>
        <w:tc>
          <w:tcPr>
            <w:tcW w:w="280" w:type="dxa"/>
            <w:vAlign w:val="bottom"/>
            <w:tcBorders>
              <w:bottom w:val="single" w:sz="8" w:color="EBFBFF"/>
            </w:tcBorders>
            <w:shd w:val="clear" w:color="auto" w:fill="EBFBFF"/>
          </w:tcPr>
          <w:p>
            <w:pPr>
              <w:jc w:val="right"/>
              <w:ind w:right="76"/>
              <w:spacing w:after="0"/>
              <w:rPr>
                <w:sz w:val="20"/>
                <w:szCs w:val="20"/>
                <w:color w:val="auto"/>
              </w:rPr>
            </w:pPr>
            <w:r>
              <w:rPr>
                <w:rFonts w:ascii="Arial" w:cs="Arial" w:eastAsia="Arial" w:hAnsi="Arial"/>
                <w:sz w:val="18"/>
                <w:szCs w:val="18"/>
                <w:color w:val="51555C"/>
                <w:w w:val="99"/>
              </w:rPr>
              <w:t>$</w:t>
            </w:r>
          </w:p>
        </w:tc>
        <w:tc>
          <w:tcPr>
            <w:tcW w:w="1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35,916</w:t>
            </w:r>
          </w:p>
        </w:tc>
        <w:tc>
          <w:tcPr>
            <w:tcW w:w="20" w:type="dxa"/>
            <w:vAlign w:val="bottom"/>
          </w:tcPr>
          <w:p>
            <w:pPr>
              <w:spacing w:after="0"/>
              <w:rPr>
                <w:sz w:val="21"/>
                <w:szCs w:val="2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51555C"/>
              </w:rPr>
              <w:t>Offsetting probable insurance recoveries</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51555C"/>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(10,597)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51555C"/>
              </w:rPr>
              <w:t>(1,891)</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51555C"/>
              </w:rPr>
              <w:t>(34,594)</w:t>
            </w:r>
          </w:p>
        </w:tc>
        <w:tc>
          <w:tcPr>
            <w:tcW w:w="20" w:type="dxa"/>
            <w:vAlign w:val="bottom"/>
          </w:tcPr>
          <w:p>
            <w:pPr>
              <w:spacing w:after="0"/>
              <w:rPr>
                <w:sz w:val="21"/>
                <w:szCs w:val="21"/>
                <w:color w:val="auto"/>
              </w:rPr>
            </w:pPr>
          </w:p>
        </w:tc>
      </w:tr>
      <w:tr>
        <w:trPr>
          <w:trHeight w:val="27"/>
        </w:trPr>
        <w:tc>
          <w:tcPr>
            <w:tcW w:w="5360" w:type="dxa"/>
            <w:vAlign w:val="bottom"/>
            <w:tcBorders>
              <w:bottom w:val="single" w:sz="8" w:color="EBFBFF"/>
            </w:tcBorders>
          </w:tcPr>
          <w:p>
            <w:pPr>
              <w:spacing w:after="0"/>
              <w:rPr>
                <w:sz w:val="2"/>
                <w:szCs w:val="2"/>
                <w:color w:val="auto"/>
              </w:rPr>
            </w:pPr>
          </w:p>
        </w:tc>
        <w:tc>
          <w:tcPr>
            <w:tcW w:w="460" w:type="dxa"/>
            <w:vAlign w:val="bottom"/>
            <w:tcBorders>
              <w:bottom w:val="single" w:sz="8" w:color="51555C"/>
            </w:tcBorders>
          </w:tcPr>
          <w:p>
            <w:pPr>
              <w:spacing w:after="0"/>
              <w:rPr>
                <w:sz w:val="2"/>
                <w:szCs w:val="2"/>
                <w:color w:val="auto"/>
              </w:rPr>
            </w:pPr>
          </w:p>
        </w:tc>
        <w:tc>
          <w:tcPr>
            <w:tcW w:w="980" w:type="dxa"/>
            <w:vAlign w:val="bottom"/>
            <w:tcBorders>
              <w:bottom w:val="single" w:sz="8" w:color="51555C"/>
            </w:tcBorders>
          </w:tcPr>
          <w:p>
            <w:pPr>
              <w:spacing w:after="0"/>
              <w:rPr>
                <w:sz w:val="2"/>
                <w:szCs w:val="2"/>
                <w:color w:val="auto"/>
              </w:rPr>
            </w:pPr>
          </w:p>
        </w:tc>
        <w:tc>
          <w:tcPr>
            <w:tcW w:w="280" w:type="dxa"/>
            <w:vAlign w:val="bottom"/>
            <w:tcBorders>
              <w:bottom w:val="single" w:sz="8" w:color="51555C"/>
            </w:tcBorders>
          </w:tcPr>
          <w:p>
            <w:pPr>
              <w:spacing w:after="0"/>
              <w:rPr>
                <w:sz w:val="2"/>
                <w:szCs w:val="2"/>
                <w:color w:val="auto"/>
              </w:rPr>
            </w:pPr>
          </w:p>
        </w:tc>
        <w:tc>
          <w:tcPr>
            <w:tcW w:w="118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460" w:type="dxa"/>
            <w:vAlign w:val="bottom"/>
            <w:tcBorders>
              <w:bottom w:val="single" w:sz="8" w:color="51555C"/>
            </w:tcBorders>
          </w:tcPr>
          <w:p>
            <w:pPr>
              <w:spacing w:after="0"/>
              <w:rPr>
                <w:sz w:val="2"/>
                <w:szCs w:val="2"/>
                <w:color w:val="auto"/>
              </w:rPr>
            </w:pPr>
          </w:p>
        </w:tc>
        <w:tc>
          <w:tcPr>
            <w:tcW w:w="980" w:type="dxa"/>
            <w:vAlign w:val="bottom"/>
            <w:tcBorders>
              <w:bottom w:val="single" w:sz="8" w:color="51555C"/>
            </w:tcBorders>
          </w:tcPr>
          <w:p>
            <w:pPr>
              <w:spacing w:after="0"/>
              <w:rPr>
                <w:sz w:val="2"/>
                <w:szCs w:val="2"/>
                <w:color w:val="auto"/>
              </w:rPr>
            </w:pPr>
          </w:p>
        </w:tc>
        <w:tc>
          <w:tcPr>
            <w:tcW w:w="280" w:type="dxa"/>
            <w:vAlign w:val="bottom"/>
            <w:tcBorders>
              <w:bottom w:val="single" w:sz="8" w:color="51555C"/>
            </w:tcBorders>
          </w:tcPr>
          <w:p>
            <w:pPr>
              <w:spacing w:after="0"/>
              <w:rPr>
                <w:sz w:val="2"/>
                <w:szCs w:val="2"/>
                <w:color w:val="auto"/>
              </w:rPr>
            </w:pPr>
          </w:p>
        </w:tc>
        <w:tc>
          <w:tcPr>
            <w:tcW w:w="116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36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Net expense</w:t>
            </w:r>
          </w:p>
        </w:tc>
        <w:tc>
          <w:tcPr>
            <w:tcW w:w="460" w:type="dxa"/>
            <w:vAlign w:val="bottom"/>
            <w:tcBorders>
              <w:bottom w:val="single" w:sz="8" w:color="EBFBFF"/>
            </w:tcBorders>
            <w:shd w:val="clear" w:color="auto" w:fill="EBFBFF"/>
          </w:tcPr>
          <w:p>
            <w:pPr>
              <w:jc w:val="right"/>
              <w:ind w:right="250"/>
              <w:spacing w:after="0"/>
              <w:rPr>
                <w:sz w:val="20"/>
                <w:szCs w:val="20"/>
                <w:color w:val="auto"/>
              </w:rPr>
            </w:pPr>
            <w:r>
              <w:rPr>
                <w:rFonts w:ascii="Arial" w:cs="Arial" w:eastAsia="Arial" w:hAnsi="Arial"/>
                <w:sz w:val="18"/>
                <w:szCs w:val="18"/>
                <w:color w:val="51555C"/>
                <w:w w:val="99"/>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13,658</w:t>
            </w:r>
          </w:p>
        </w:tc>
        <w:tc>
          <w:tcPr>
            <w:tcW w:w="280" w:type="dxa"/>
            <w:vAlign w:val="bottom"/>
            <w:tcBorders>
              <w:bottom w:val="single" w:sz="8" w:color="EBFBFF"/>
            </w:tcBorders>
            <w:shd w:val="clear" w:color="auto" w:fill="EBFBFF"/>
          </w:tcPr>
          <w:p>
            <w:pPr>
              <w:jc w:val="right"/>
              <w:ind w:right="76"/>
              <w:spacing w:after="0"/>
              <w:rPr>
                <w:sz w:val="20"/>
                <w:szCs w:val="20"/>
                <w:color w:val="auto"/>
              </w:rPr>
            </w:pPr>
            <w:r>
              <w:rPr>
                <w:rFonts w:ascii="Arial" w:cs="Arial" w:eastAsia="Arial" w:hAnsi="Arial"/>
                <w:sz w:val="18"/>
                <w:szCs w:val="18"/>
                <w:color w:val="51555C"/>
                <w:w w:val="99"/>
              </w:rPr>
              <w:t>$</w:t>
            </w:r>
          </w:p>
        </w:tc>
        <w:tc>
          <w:tcPr>
            <w:tcW w:w="1180" w:type="dxa"/>
            <w:vAlign w:val="bottom"/>
            <w:tcBorders>
              <w:bottom w:val="single" w:sz="8" w:color="EBFBFF"/>
              <w:right w:val="single" w:sz="8" w:color="EBFBFF"/>
            </w:tcBorders>
            <w:shd w:val="clear" w:color="auto" w:fill="EBFBFF"/>
          </w:tcPr>
          <w:p>
            <w:pPr>
              <w:jc w:val="right"/>
              <w:ind w:right="17"/>
              <w:spacing w:after="0"/>
              <w:rPr>
                <w:sz w:val="20"/>
                <w:szCs w:val="20"/>
                <w:color w:val="auto"/>
              </w:rPr>
            </w:pPr>
            <w:r>
              <w:rPr>
                <w:rFonts w:ascii="Arial" w:cs="Arial" w:eastAsia="Arial" w:hAnsi="Arial"/>
                <w:sz w:val="18"/>
                <w:szCs w:val="18"/>
                <w:color w:val="51555C"/>
              </w:rPr>
              <w:t>851</w:t>
            </w:r>
          </w:p>
        </w:tc>
        <w:tc>
          <w:tcPr>
            <w:tcW w:w="560" w:type="dxa"/>
            <w:vAlign w:val="bottom"/>
            <w:tcBorders>
              <w:bottom w:val="single" w:sz="8" w:color="EBFBFF"/>
            </w:tcBorders>
            <w:gridSpan w:val="2"/>
            <w:shd w:val="clear" w:color="auto" w:fill="EBFBFF"/>
          </w:tcPr>
          <w:p>
            <w:pPr>
              <w:jc w:val="right"/>
              <w:ind w:right="360"/>
              <w:spacing w:after="0"/>
              <w:rPr>
                <w:sz w:val="20"/>
                <w:szCs w:val="20"/>
                <w:color w:val="auto"/>
              </w:rPr>
            </w:pPr>
            <w:r>
              <w:rPr>
                <w:rFonts w:ascii="Arial" w:cs="Arial" w:eastAsia="Arial" w:hAnsi="Arial"/>
                <w:sz w:val="18"/>
                <w:szCs w:val="18"/>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29,207</w:t>
            </w:r>
          </w:p>
        </w:tc>
        <w:tc>
          <w:tcPr>
            <w:tcW w:w="280" w:type="dxa"/>
            <w:vAlign w:val="bottom"/>
            <w:tcBorders>
              <w:bottom w:val="single" w:sz="8" w:color="EBFBFF"/>
            </w:tcBorders>
            <w:shd w:val="clear" w:color="auto" w:fill="EBFBFF"/>
          </w:tcPr>
          <w:p>
            <w:pPr>
              <w:jc w:val="right"/>
              <w:ind w:right="76"/>
              <w:spacing w:after="0"/>
              <w:rPr>
                <w:sz w:val="20"/>
                <w:szCs w:val="20"/>
                <w:color w:val="auto"/>
              </w:rPr>
            </w:pPr>
            <w:r>
              <w:rPr>
                <w:rFonts w:ascii="Arial" w:cs="Arial" w:eastAsia="Arial" w:hAnsi="Arial"/>
                <w:sz w:val="18"/>
                <w:szCs w:val="18"/>
                <w:color w:val="51555C"/>
                <w:w w:val="99"/>
              </w:rPr>
              <w:t>$</w:t>
            </w:r>
          </w:p>
        </w:tc>
        <w:tc>
          <w:tcPr>
            <w:tcW w:w="1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1,322</w:t>
            </w:r>
          </w:p>
        </w:tc>
        <w:tc>
          <w:tcPr>
            <w:tcW w:w="20" w:type="dxa"/>
            <w:vAlign w:val="bottom"/>
          </w:tcPr>
          <w:p>
            <w:pPr>
              <w:spacing w:after="0"/>
              <w:rPr>
                <w:sz w:val="21"/>
                <w:szCs w:val="21"/>
                <w:color w:val="auto"/>
              </w:rPr>
            </w:pPr>
          </w:p>
        </w:tc>
      </w:tr>
      <w:tr>
        <w:trPr>
          <w:trHeight w:val="20"/>
        </w:trPr>
        <w:tc>
          <w:tcPr>
            <w:tcW w:w="536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980" w:type="dxa"/>
            <w:vAlign w:val="bottom"/>
            <w:shd w:val="clear" w:color="auto" w:fill="0CD973"/>
          </w:tcPr>
          <w:p>
            <w:pPr>
              <w:spacing w:after="0" w:line="20" w:lineRule="exact"/>
              <w:rPr>
                <w:sz w:val="1"/>
                <w:szCs w:val="1"/>
                <w:color w:val="auto"/>
              </w:rPr>
            </w:pPr>
          </w:p>
        </w:tc>
        <w:tc>
          <w:tcPr>
            <w:tcW w:w="280" w:type="dxa"/>
            <w:vAlign w:val="bottom"/>
            <w:shd w:val="clear" w:color="auto" w:fill="0CD973"/>
          </w:tcPr>
          <w:p>
            <w:pPr>
              <w:spacing w:after="0" w:line="20" w:lineRule="exact"/>
              <w:rPr>
                <w:sz w:val="1"/>
                <w:szCs w:val="1"/>
                <w:color w:val="auto"/>
              </w:rPr>
            </w:pPr>
          </w:p>
        </w:tc>
        <w:tc>
          <w:tcPr>
            <w:tcW w:w="1180" w:type="dxa"/>
            <w:vAlign w:val="bottom"/>
            <w:tcBorders>
              <w:right w:val="single" w:sz="8" w:color="0CD973"/>
            </w:tcBorders>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980" w:type="dxa"/>
            <w:vAlign w:val="bottom"/>
            <w:shd w:val="clear" w:color="auto" w:fill="0CD973"/>
          </w:tcPr>
          <w:p>
            <w:pPr>
              <w:spacing w:after="0" w:line="20" w:lineRule="exact"/>
              <w:rPr>
                <w:sz w:val="1"/>
                <w:szCs w:val="1"/>
                <w:color w:val="auto"/>
              </w:rPr>
            </w:pPr>
          </w:p>
        </w:tc>
        <w:tc>
          <w:tcPr>
            <w:tcW w:w="280" w:type="dxa"/>
            <w:vAlign w:val="bottom"/>
            <w:shd w:val="clear" w:color="auto" w:fill="0CD973"/>
          </w:tcPr>
          <w:p>
            <w:pPr>
              <w:spacing w:after="0" w:line="20" w:lineRule="exact"/>
              <w:rPr>
                <w:sz w:val="1"/>
                <w:szCs w:val="1"/>
                <w:color w:val="auto"/>
              </w:rPr>
            </w:pPr>
          </w:p>
        </w:tc>
        <w:tc>
          <w:tcPr>
            <w:tcW w:w="116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-693420</wp:posOffset>
            </wp:positionV>
            <wp:extent cx="37458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summarizes our cumulative expenses, insurance recoveries recognized and insurance recoveries paid as of:</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11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300" w:type="dxa"/>
            <w:vAlign w:val="bottom"/>
            <w:shd w:val="clear" w:color="auto" w:fill="004054"/>
          </w:tcPr>
          <w:p>
            <w:pPr>
              <w:spacing w:after="0"/>
              <w:rPr>
                <w:sz w:val="16"/>
                <w:szCs w:val="16"/>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223"/>
        </w:trPr>
        <w:tc>
          <w:tcPr>
            <w:tcW w:w="83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80" w:type="dxa"/>
            <w:vAlign w:val="bottom"/>
            <w:tcBorders>
              <w:bottom w:val="single" w:sz="8" w:color="004054"/>
            </w:tcBorders>
            <w:shd w:val="clear" w:color="auto" w:fill="004054"/>
          </w:tcPr>
          <w:p>
            <w:pPr>
              <w:spacing w:after="0"/>
              <w:rPr>
                <w:sz w:val="19"/>
                <w:szCs w:val="19"/>
                <w:color w:val="auto"/>
              </w:rPr>
            </w:pPr>
          </w:p>
        </w:tc>
        <w:tc>
          <w:tcPr>
            <w:tcW w:w="11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300" w:type="dxa"/>
            <w:vAlign w:val="bottom"/>
            <w:tcBorders>
              <w:bottom w:val="single" w:sz="8" w:color="004054"/>
            </w:tcBorders>
            <w:shd w:val="clear" w:color="auto" w:fill="004054"/>
          </w:tcPr>
          <w:p>
            <w:pPr>
              <w:spacing w:after="0"/>
              <w:rPr>
                <w:sz w:val="19"/>
                <w:szCs w:val="19"/>
                <w:color w:val="auto"/>
              </w:rPr>
            </w:pP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19"/>
                <w:szCs w:val="19"/>
                <w:color w:val="auto"/>
              </w:rPr>
            </w:pPr>
          </w:p>
        </w:tc>
      </w:tr>
      <w:tr>
        <w:trPr>
          <w:trHeight w:val="250"/>
        </w:trPr>
        <w:tc>
          <w:tcPr>
            <w:tcW w:w="83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Cumulative gross expense</w:t>
            </w:r>
          </w:p>
        </w:tc>
        <w:tc>
          <w:tcPr>
            <w:tcW w:w="280" w:type="dxa"/>
            <w:vAlign w:val="bottom"/>
            <w:tcBorders>
              <w:bottom w:val="single" w:sz="8" w:color="EBFBFF"/>
            </w:tcBorders>
            <w:shd w:val="clear" w:color="auto" w:fill="EBFBFF"/>
          </w:tcPr>
          <w:p>
            <w:pPr>
              <w:jc w:val="right"/>
              <w:ind w:right="90"/>
              <w:spacing w:after="0"/>
              <w:rPr>
                <w:sz w:val="20"/>
                <w:szCs w:val="20"/>
                <w:color w:val="auto"/>
              </w:rPr>
            </w:pPr>
            <w:r>
              <w:rPr>
                <w:rFonts w:ascii="Arial" w:cs="Arial" w:eastAsia="Arial" w:hAnsi="Arial"/>
                <w:sz w:val="18"/>
                <w:szCs w:val="18"/>
                <w:color w:val="51555C"/>
                <w:w w:val="79"/>
              </w:rPr>
              <w:t>$</w:t>
            </w:r>
          </w:p>
        </w:tc>
        <w:tc>
          <w:tcPr>
            <w:tcW w:w="1160" w:type="dxa"/>
            <w:vAlign w:val="bottom"/>
            <w:tcBorders>
              <w:bottom w:val="single" w:sz="8" w:color="EBFBFF"/>
            </w:tcBorders>
            <w:shd w:val="clear" w:color="auto" w:fill="EBFBFF"/>
          </w:tcPr>
          <w:p>
            <w:pPr>
              <w:jc w:val="center"/>
              <w:ind w:left="356"/>
              <w:spacing w:after="0"/>
              <w:rPr>
                <w:sz w:val="20"/>
                <w:szCs w:val="20"/>
                <w:color w:val="auto"/>
              </w:rPr>
            </w:pPr>
            <w:r>
              <w:rPr>
                <w:rFonts w:ascii="Arial" w:cs="Arial" w:eastAsia="Arial" w:hAnsi="Arial"/>
                <w:sz w:val="18"/>
                <w:szCs w:val="18"/>
                <w:color w:val="51555C"/>
              </w:rPr>
              <w:t>81,489</w:t>
            </w:r>
          </w:p>
        </w:tc>
        <w:tc>
          <w:tcPr>
            <w:tcW w:w="300" w:type="dxa"/>
            <w:vAlign w:val="bottom"/>
            <w:tcBorders>
              <w:bottom w:val="single" w:sz="8" w:color="EBFBFF"/>
            </w:tcBorders>
            <w:shd w:val="clear" w:color="auto" w:fill="EBFBFF"/>
          </w:tcPr>
          <w:p>
            <w:pPr>
              <w:jc w:val="right"/>
              <w:ind w:right="90"/>
              <w:spacing w:after="0"/>
              <w:rPr>
                <w:sz w:val="20"/>
                <w:szCs w:val="20"/>
                <w:color w:val="auto"/>
              </w:rPr>
            </w:pPr>
            <w:r>
              <w:rPr>
                <w:rFonts w:ascii="Arial" w:cs="Arial" w:eastAsia="Arial" w:hAnsi="Arial"/>
                <w:sz w:val="18"/>
                <w:szCs w:val="18"/>
                <w:color w:val="51555C"/>
                <w:w w:val="99"/>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50,391</w:t>
            </w:r>
          </w:p>
        </w:tc>
        <w:tc>
          <w:tcPr>
            <w:tcW w:w="20" w:type="dxa"/>
            <w:vAlign w:val="bottom"/>
          </w:tcPr>
          <w:p>
            <w:pPr>
              <w:spacing w:after="0"/>
              <w:rPr>
                <w:sz w:val="21"/>
                <w:szCs w:val="21"/>
                <w:color w:val="auto"/>
              </w:rPr>
            </w:pP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51555C"/>
              </w:rPr>
              <w:t>Cumulative offsetting insurance recoveries recognized</w:t>
            </w:r>
          </w:p>
        </w:tc>
        <w:tc>
          <w:tcPr>
            <w:tcW w:w="280" w:type="dxa"/>
            <w:vAlign w:val="bottom"/>
          </w:tcPr>
          <w:p>
            <w:pPr>
              <w:spacing w:after="0"/>
              <w:rPr>
                <w:sz w:val="21"/>
                <w:szCs w:val="21"/>
                <w:color w:val="auto"/>
              </w:rPr>
            </w:pPr>
          </w:p>
        </w:tc>
        <w:tc>
          <w:tcPr>
            <w:tcW w:w="1160" w:type="dxa"/>
            <w:vAlign w:val="bottom"/>
          </w:tcPr>
          <w:p>
            <w:pPr>
              <w:jc w:val="center"/>
              <w:ind w:left="336"/>
              <w:spacing w:after="0"/>
              <w:rPr>
                <w:sz w:val="20"/>
                <w:szCs w:val="20"/>
                <w:color w:val="auto"/>
              </w:rPr>
            </w:pPr>
            <w:r>
              <w:rPr>
                <w:rFonts w:ascii="Arial" w:cs="Arial" w:eastAsia="Arial" w:hAnsi="Arial"/>
                <w:sz w:val="18"/>
                <w:szCs w:val="18"/>
                <w:color w:val="51555C"/>
                <w:w w:val="98"/>
              </w:rPr>
              <w:t>(50,000)</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(48,109)</w:t>
            </w:r>
          </w:p>
        </w:tc>
        <w:tc>
          <w:tcPr>
            <w:tcW w:w="20" w:type="dxa"/>
            <w:vAlign w:val="bottom"/>
          </w:tcPr>
          <w:p>
            <w:pPr>
              <w:spacing w:after="0"/>
              <w:rPr>
                <w:sz w:val="21"/>
                <w:szCs w:val="21"/>
                <w:color w:val="auto"/>
              </w:rPr>
            </w:pPr>
          </w:p>
        </w:tc>
      </w:tr>
      <w:tr>
        <w:trPr>
          <w:trHeight w:val="27"/>
        </w:trPr>
        <w:tc>
          <w:tcPr>
            <w:tcW w:w="8360" w:type="dxa"/>
            <w:vAlign w:val="bottom"/>
            <w:tcBorders>
              <w:bottom w:val="single" w:sz="8" w:color="EBFBFF"/>
            </w:tcBorders>
          </w:tcPr>
          <w:p>
            <w:pPr>
              <w:spacing w:after="0"/>
              <w:rPr>
                <w:sz w:val="2"/>
                <w:szCs w:val="2"/>
                <w:color w:val="auto"/>
              </w:rPr>
            </w:pPr>
          </w:p>
        </w:tc>
        <w:tc>
          <w:tcPr>
            <w:tcW w:w="280" w:type="dxa"/>
            <w:vAlign w:val="bottom"/>
            <w:tcBorders>
              <w:bottom w:val="single" w:sz="8" w:color="51555C"/>
            </w:tcBorders>
          </w:tcPr>
          <w:p>
            <w:pPr>
              <w:spacing w:after="0"/>
              <w:rPr>
                <w:sz w:val="2"/>
                <w:szCs w:val="2"/>
                <w:color w:val="auto"/>
              </w:rPr>
            </w:pPr>
          </w:p>
        </w:tc>
        <w:tc>
          <w:tcPr>
            <w:tcW w:w="1160" w:type="dxa"/>
            <w:vAlign w:val="bottom"/>
            <w:tcBorders>
              <w:bottom w:val="single" w:sz="8" w:color="51555C"/>
            </w:tcBorders>
          </w:tcPr>
          <w:p>
            <w:pPr>
              <w:spacing w:after="0"/>
              <w:rPr>
                <w:sz w:val="2"/>
                <w:szCs w:val="2"/>
                <w:color w:val="auto"/>
              </w:rPr>
            </w:pPr>
          </w:p>
        </w:tc>
        <w:tc>
          <w:tcPr>
            <w:tcW w:w="300" w:type="dxa"/>
            <w:vAlign w:val="bottom"/>
            <w:tcBorders>
              <w:bottom w:val="single" w:sz="8" w:color="51555C"/>
            </w:tcBorders>
          </w:tcPr>
          <w:p>
            <w:pPr>
              <w:spacing w:after="0"/>
              <w:rPr>
                <w:sz w:val="2"/>
                <w:szCs w:val="2"/>
                <w:color w:val="auto"/>
              </w:rPr>
            </w:pPr>
          </w:p>
        </w:tc>
        <w:tc>
          <w:tcPr>
            <w:tcW w:w="114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836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Cumulative net expense</w:t>
            </w:r>
          </w:p>
        </w:tc>
        <w:tc>
          <w:tcPr>
            <w:tcW w:w="280" w:type="dxa"/>
            <w:vAlign w:val="bottom"/>
            <w:tcBorders>
              <w:bottom w:val="single" w:sz="8" w:color="EBFBFF"/>
            </w:tcBorders>
            <w:shd w:val="clear" w:color="auto" w:fill="EBFBFF"/>
          </w:tcPr>
          <w:p>
            <w:pPr>
              <w:jc w:val="right"/>
              <w:ind w:right="90"/>
              <w:spacing w:after="0"/>
              <w:rPr>
                <w:sz w:val="20"/>
                <w:szCs w:val="20"/>
                <w:color w:val="auto"/>
              </w:rPr>
            </w:pPr>
            <w:r>
              <w:rPr>
                <w:rFonts w:ascii="Arial" w:cs="Arial" w:eastAsia="Arial" w:hAnsi="Arial"/>
                <w:sz w:val="18"/>
                <w:szCs w:val="18"/>
                <w:color w:val="51555C"/>
                <w:w w:val="79"/>
              </w:rPr>
              <w:t>$</w:t>
            </w:r>
          </w:p>
        </w:tc>
        <w:tc>
          <w:tcPr>
            <w:tcW w:w="1160" w:type="dxa"/>
            <w:vAlign w:val="bottom"/>
            <w:tcBorders>
              <w:bottom w:val="single" w:sz="8" w:color="EBFBFF"/>
            </w:tcBorders>
            <w:shd w:val="clear" w:color="auto" w:fill="EBFBFF"/>
          </w:tcPr>
          <w:p>
            <w:pPr>
              <w:jc w:val="center"/>
              <w:ind w:left="356"/>
              <w:spacing w:after="0"/>
              <w:rPr>
                <w:sz w:val="20"/>
                <w:szCs w:val="20"/>
                <w:color w:val="auto"/>
              </w:rPr>
            </w:pPr>
            <w:r>
              <w:rPr>
                <w:rFonts w:ascii="Arial" w:cs="Arial" w:eastAsia="Arial" w:hAnsi="Arial"/>
                <w:sz w:val="18"/>
                <w:szCs w:val="18"/>
                <w:color w:val="51555C"/>
              </w:rPr>
              <w:t>31,489</w:t>
            </w:r>
          </w:p>
        </w:tc>
        <w:tc>
          <w:tcPr>
            <w:tcW w:w="300" w:type="dxa"/>
            <w:vAlign w:val="bottom"/>
            <w:tcBorders>
              <w:bottom w:val="single" w:sz="8" w:color="EBFBFF"/>
            </w:tcBorders>
            <w:shd w:val="clear" w:color="auto" w:fill="EBFBFF"/>
          </w:tcPr>
          <w:p>
            <w:pPr>
              <w:jc w:val="right"/>
              <w:ind w:right="90"/>
              <w:spacing w:after="0"/>
              <w:rPr>
                <w:sz w:val="20"/>
                <w:szCs w:val="20"/>
                <w:color w:val="auto"/>
              </w:rPr>
            </w:pPr>
            <w:r>
              <w:rPr>
                <w:rFonts w:ascii="Arial" w:cs="Arial" w:eastAsia="Arial" w:hAnsi="Arial"/>
                <w:sz w:val="18"/>
                <w:szCs w:val="18"/>
                <w:color w:val="51555C"/>
                <w:w w:val="99"/>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2,282</w:t>
            </w:r>
          </w:p>
        </w:tc>
        <w:tc>
          <w:tcPr>
            <w:tcW w:w="20" w:type="dxa"/>
            <w:vAlign w:val="bottom"/>
          </w:tcPr>
          <w:p>
            <w:pPr>
              <w:spacing w:after="0"/>
              <w:rPr>
                <w:sz w:val="22"/>
                <w:szCs w:val="22"/>
                <w:color w:val="auto"/>
              </w:rPr>
            </w:pPr>
          </w:p>
        </w:tc>
      </w:tr>
      <w:tr>
        <w:trPr>
          <w:trHeight w:val="250"/>
        </w:trPr>
        <w:tc>
          <w:tcPr>
            <w:tcW w:w="8360" w:type="dxa"/>
            <w:vAlign w:val="bottom"/>
          </w:tcPr>
          <w:p>
            <w:pPr>
              <w:spacing w:after="0"/>
              <w:rPr>
                <w:sz w:val="21"/>
                <w:szCs w:val="21"/>
                <w:color w:val="auto"/>
              </w:rPr>
            </w:pPr>
          </w:p>
        </w:tc>
        <w:tc>
          <w:tcPr>
            <w:tcW w:w="280" w:type="dxa"/>
            <w:vAlign w:val="bottom"/>
            <w:tcBorders>
              <w:top w:val="single" w:sz="8" w:color="51555C"/>
            </w:tcBorders>
          </w:tcPr>
          <w:p>
            <w:pPr>
              <w:spacing w:after="0"/>
              <w:rPr>
                <w:sz w:val="21"/>
                <w:szCs w:val="21"/>
                <w:color w:val="auto"/>
              </w:rPr>
            </w:pPr>
          </w:p>
        </w:tc>
        <w:tc>
          <w:tcPr>
            <w:tcW w:w="1160" w:type="dxa"/>
            <w:vAlign w:val="bottom"/>
            <w:tcBorders>
              <w:top w:val="single" w:sz="8" w:color="51555C"/>
            </w:tcBorders>
          </w:tcPr>
          <w:p>
            <w:pPr>
              <w:spacing w:after="0"/>
              <w:rPr>
                <w:sz w:val="21"/>
                <w:szCs w:val="21"/>
                <w:color w:val="auto"/>
              </w:rPr>
            </w:pPr>
          </w:p>
        </w:tc>
        <w:tc>
          <w:tcPr>
            <w:tcW w:w="300" w:type="dxa"/>
            <w:vAlign w:val="bottom"/>
            <w:tcBorders>
              <w:top w:val="single" w:sz="8" w:color="51555C"/>
            </w:tcBorders>
          </w:tcPr>
          <w:p>
            <w:pPr>
              <w:spacing w:after="0"/>
              <w:rPr>
                <w:sz w:val="21"/>
                <w:szCs w:val="21"/>
                <w:color w:val="auto"/>
              </w:rPr>
            </w:pPr>
          </w:p>
        </w:tc>
        <w:tc>
          <w:tcPr>
            <w:tcW w:w="1140" w:type="dxa"/>
            <w:vAlign w:val="bottom"/>
            <w:tcBorders>
              <w:top w:val="single" w:sz="8" w:color="51555C"/>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83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Cumulative offsetting insurance recoveries paid</w:t>
            </w:r>
          </w:p>
        </w:tc>
        <w:tc>
          <w:tcPr>
            <w:tcW w:w="280" w:type="dxa"/>
            <w:vAlign w:val="bottom"/>
            <w:tcBorders>
              <w:bottom w:val="single" w:sz="8" w:color="EBFBFF"/>
            </w:tcBorders>
            <w:shd w:val="clear" w:color="auto" w:fill="EBFBFF"/>
          </w:tcPr>
          <w:p>
            <w:pPr>
              <w:jc w:val="right"/>
              <w:ind w:right="90"/>
              <w:spacing w:after="0"/>
              <w:rPr>
                <w:sz w:val="20"/>
                <w:szCs w:val="20"/>
                <w:color w:val="auto"/>
              </w:rPr>
            </w:pPr>
            <w:r>
              <w:rPr>
                <w:rFonts w:ascii="Arial" w:cs="Arial" w:eastAsia="Arial" w:hAnsi="Arial"/>
                <w:sz w:val="18"/>
                <w:szCs w:val="18"/>
                <w:color w:val="51555C"/>
                <w:w w:val="79"/>
              </w:rPr>
              <w:t>$</w:t>
            </w:r>
          </w:p>
        </w:tc>
        <w:tc>
          <w:tcPr>
            <w:tcW w:w="1160" w:type="dxa"/>
            <w:vAlign w:val="bottom"/>
            <w:tcBorders>
              <w:bottom w:val="single" w:sz="8" w:color="EBFBFF"/>
            </w:tcBorders>
            <w:shd w:val="clear" w:color="auto" w:fill="EBFBFF"/>
          </w:tcPr>
          <w:p>
            <w:pPr>
              <w:jc w:val="center"/>
              <w:ind w:left="336"/>
              <w:spacing w:after="0"/>
              <w:rPr>
                <w:sz w:val="20"/>
                <w:szCs w:val="20"/>
                <w:color w:val="auto"/>
              </w:rPr>
            </w:pPr>
            <w:r>
              <w:rPr>
                <w:rFonts w:ascii="Arial" w:cs="Arial" w:eastAsia="Arial" w:hAnsi="Arial"/>
                <w:sz w:val="18"/>
                <w:szCs w:val="18"/>
                <w:color w:val="51555C"/>
                <w:w w:val="98"/>
              </w:rPr>
              <w:t>(50,000)</w:t>
            </w:r>
          </w:p>
        </w:tc>
        <w:tc>
          <w:tcPr>
            <w:tcW w:w="300" w:type="dxa"/>
            <w:vAlign w:val="bottom"/>
            <w:tcBorders>
              <w:bottom w:val="single" w:sz="8" w:color="EBFBFF"/>
            </w:tcBorders>
            <w:shd w:val="clear" w:color="auto" w:fill="EBFBFF"/>
          </w:tcPr>
          <w:p>
            <w:pPr>
              <w:jc w:val="right"/>
              <w:ind w:right="90"/>
              <w:spacing w:after="0"/>
              <w:rPr>
                <w:sz w:val="20"/>
                <w:szCs w:val="20"/>
                <w:color w:val="auto"/>
              </w:rPr>
            </w:pPr>
            <w:r>
              <w:rPr>
                <w:rFonts w:ascii="Arial" w:cs="Arial" w:eastAsia="Arial" w:hAnsi="Arial"/>
                <w:sz w:val="18"/>
                <w:szCs w:val="18"/>
                <w:color w:val="51555C"/>
                <w:w w:val="99"/>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(29,968)</w:t>
            </w:r>
          </w:p>
        </w:tc>
        <w:tc>
          <w:tcPr>
            <w:tcW w:w="20" w:type="dxa"/>
            <w:vAlign w:val="bottom"/>
          </w:tcPr>
          <w:p>
            <w:pPr>
              <w:spacing w:after="0"/>
              <w:rPr>
                <w:sz w:val="21"/>
                <w:szCs w:val="21"/>
                <w:color w:val="auto"/>
              </w:rPr>
            </w:pPr>
          </w:p>
        </w:tc>
      </w:tr>
      <w:tr>
        <w:trPr>
          <w:trHeight w:val="20"/>
        </w:trPr>
        <w:tc>
          <w:tcPr>
            <w:tcW w:w="8360" w:type="dxa"/>
            <w:vAlign w:val="bottom"/>
            <w:shd w:val="clear" w:color="auto" w:fill="0CD973"/>
          </w:tcPr>
          <w:p>
            <w:pPr>
              <w:spacing w:after="0" w:line="20" w:lineRule="exact"/>
              <w:rPr>
                <w:sz w:val="1"/>
                <w:szCs w:val="1"/>
                <w:color w:val="auto"/>
              </w:rPr>
            </w:pPr>
          </w:p>
        </w:tc>
        <w:tc>
          <w:tcPr>
            <w:tcW w:w="280" w:type="dxa"/>
            <w:vAlign w:val="bottom"/>
            <w:shd w:val="clear" w:color="auto" w:fill="0CD973"/>
          </w:tcPr>
          <w:p>
            <w:pPr>
              <w:spacing w:after="0" w:line="20" w:lineRule="exact"/>
              <w:rPr>
                <w:sz w:val="1"/>
                <w:szCs w:val="1"/>
                <w:color w:val="auto"/>
              </w:rPr>
            </w:pPr>
          </w:p>
        </w:tc>
        <w:tc>
          <w:tcPr>
            <w:tcW w:w="116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11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51555C"/>
        </w:rPr>
        <w:t>Recorded expenses have consisted primarily of payments to third-party service providers and consultants, including legal fees, as well as settlements of customer claims and accruals for certain loss contingencies. Not included in the expenses discussed above were costs associated with enhancements to our cybersecurity program. We present expenses and insurance recoveries related to the Security Incident in general and administrative expense on our consolidated statements of comprehensive (loss) income and as operating activities on our consolidated statements of cash flows. Total costs related to the Security Incident have exceeded the limit of our insurance coverage. We expect to continue to experience significant expenses related to our response to the Security Incident, resolution of legal proceedings, claims and investigations, including those discussed below, and our efforts to further enhance our cybersecurity measures. For full year 2022, we currently expect net pre-tax expense of approximately $ 30.0 million to $35.0 million for ongoing legal fees related to the Security Incident. In line with our policy as discussed above, legal fees are expensed as incurred. For full year 2022, we currently expect net cash outlays of approximately $15.0 million to $25.0 million for ongoing legal fees related to the Security Incident.</w:t>
      </w:r>
    </w:p>
    <w:p>
      <w:pPr>
        <w:spacing w:after="0" w:line="331"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20</w:t>
      </w:r>
      <w:r>
        <w:rPr>
          <w:sz w:val="20"/>
          <w:szCs w:val="20"/>
          <w:color w:val="auto"/>
        </w:rPr>
        <w:tab/>
      </w:r>
      <w:r>
        <w:rPr>
          <w:sz w:val="1"/>
          <w:szCs w:val="1"/>
          <w:color w:val="auto"/>
        </w:rPr>
        <w:drawing>
          <wp:inline distT="0" distB="0" distL="0" distR="0">
            <wp:extent cx="651510" cy="1714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As of September 30, 2022, we have recorded approximately $5.0 million in aggregate liabilities for loss contingencies related to the Security Incident that we believe we can reasonably estimate. In accordance with our policy described above, certain of these recorded charges reflect the low end of a range of estimated losses based on our determination that no estimate within that range was better than any other amount. It is reasonably possible that actual losses in the future for those matters will be in excess of the amounts accrued, but we are unable at this time to reasonably estimate the possible additional loss. There are other Security Incident-related matters, including customer claims, customer constituent class actions and governmental investigations, for which we have not recorded a liability for a loss contingency as of September 30, 2022 because we are unable at this time to reasonably estimate the possible loss or range of loss.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51555C"/>
        </w:rPr>
        <w:t xml:space="preserve">Customer claims. </w:t>
      </w:r>
      <w:r>
        <w:rPr>
          <w:rFonts w:ascii="Arial" w:cs="Arial" w:eastAsia="Arial" w:hAnsi="Arial"/>
          <w:sz w:val="18"/>
          <w:szCs w:val="18"/>
          <w:color w:val="51555C"/>
        </w:rPr>
        <w:t>To date, we have received approximately 260 specific requests for reimbursement of expenses ("Customer</w:t>
      </w:r>
      <w:r>
        <w:rPr>
          <w:rFonts w:ascii="Arial" w:cs="Arial" w:eastAsia="Arial" w:hAnsi="Arial"/>
          <w:sz w:val="18"/>
          <w:szCs w:val="18"/>
          <w:b w:val="1"/>
          <w:bCs w:val="1"/>
          <w:i w:val="1"/>
          <w:iCs w:val="1"/>
          <w:color w:val="51555C"/>
        </w:rPr>
        <w:t xml:space="preserve"> </w:t>
      </w:r>
      <w:r>
        <w:rPr>
          <w:rFonts w:ascii="Arial" w:cs="Arial" w:eastAsia="Arial" w:hAnsi="Arial"/>
          <w:sz w:val="18"/>
          <w:szCs w:val="18"/>
          <w:color w:val="51555C"/>
        </w:rPr>
        <w:t>Reimbursement Requests") and approximately 400 reservations of the right to seek expense recovery in the future from customers or their attorneys in the U.S., U.K. and Canada related to the Security Incident (none of which have as yet been filed in court). Of the Customer Reimbursement Requests received to date, approximately 190 have been fully resolved and closed. In June 2022, we also received notice of a proposed claim on behalf of a number of U.K. data subjects, which we are reviewing. In addition, insurance companies representing various customers’ interests through subrogation claims have contacted us. One insurance company has filed a subrogation claim in court. Customer and insurer subrogation claims generally seek reimbursement of their costs and expenses associated with notifying their own customers of the Security Incident and taking steps to assure that personal information has not been compromised as a result of the Security Incident. Our review of customer and subrogation claims includes analyzing individual customer contracts into which we have entered, the specific claims made and applicable law.</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51555C"/>
        </w:rPr>
        <w:t xml:space="preserve">Customer constituent class actions. </w:t>
      </w:r>
      <w:r>
        <w:rPr>
          <w:rFonts w:ascii="Arial" w:cs="Arial" w:eastAsia="Arial" w:hAnsi="Arial"/>
          <w:sz w:val="18"/>
          <w:szCs w:val="18"/>
          <w:color w:val="51555C"/>
        </w:rPr>
        <w:t>Presently, we are a defendant in 19 putative consumer class action cases [17 in U.S. federal courts</w:t>
      </w:r>
      <w:r>
        <w:rPr>
          <w:rFonts w:ascii="Arial" w:cs="Arial" w:eastAsia="Arial" w:hAnsi="Arial"/>
          <w:sz w:val="18"/>
          <w:szCs w:val="18"/>
          <w:b w:val="1"/>
          <w:bCs w:val="1"/>
          <w:i w:val="1"/>
          <w:iCs w:val="1"/>
          <w:color w:val="51555C"/>
        </w:rPr>
        <w:t xml:space="preserve"> </w:t>
      </w:r>
      <w:r>
        <w:rPr>
          <w:rFonts w:ascii="Arial" w:cs="Arial" w:eastAsia="Arial" w:hAnsi="Arial"/>
          <w:sz w:val="18"/>
          <w:szCs w:val="18"/>
          <w:color w:val="51555C"/>
        </w:rPr>
        <w:t>(which have been consolidated under multi district litigation to a single federal court) and 2 in Canadian courts] alleging harm from the Security Incident. The plaintiffs in these cases, who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Lawsuits that are putative class actions require a plaintiff to satisfy a number of procedural requirements before proceeding to trial. These requirements include, among others, demonstration to a court that the law proscribes in some manner our activities, the making of factual allegations sufficient to suggest that our activities exceeded the limits of the law and a determination by the court—known as class certification—that the law permits a group of individuals to pursue the case together as a class. If these procedural requirements are not met, the lawsuit cannot proceed as a class action and the plaintiff may lose the financial incentive to proceed with the case. Frequently, a court’s determination as to these procedural requirements is subject to appeal to a higher court. As a result of these uncertainties, we may be unable to determine the probability of loss until, or after, a court has finally determined that a plaintiff has satisfied the applicable class action procedural requirements.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Furthermore, for putative class actions, it is often not possible to reasonably estimate the possible loss or a range of loss amounts, even where we have determined that a loss is reasonably possible. Generally, class actions involve a large number of people and raise complex legal and factual issues that result in uncertainty as to their outcome and, ultimately, making it difficult for us to estimate the amount of damages that a plaintiff might successfully prove. This analysis is further complicated by the fact that the plaintiffs lack contractual privity with us.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51555C"/>
        </w:rPr>
        <w:t xml:space="preserve">Governmental investigations. </w:t>
      </w:r>
      <w:r>
        <w:rPr>
          <w:rFonts w:ascii="Arial" w:cs="Arial" w:eastAsia="Arial" w:hAnsi="Arial"/>
          <w:sz w:val="18"/>
          <w:szCs w:val="18"/>
          <w:color w:val="51555C"/>
        </w:rPr>
        <w:t>To date, we have received a consolidated, multi-state Civil Investigative Demand issued on behalf of 49 state</w:t>
      </w:r>
      <w:r>
        <w:rPr>
          <w:rFonts w:ascii="Arial" w:cs="Arial" w:eastAsia="Arial" w:hAnsi="Arial"/>
          <w:sz w:val="18"/>
          <w:szCs w:val="18"/>
          <w:b w:val="1"/>
          <w:bCs w:val="1"/>
          <w:i w:val="1"/>
          <w:iCs w:val="1"/>
          <w:color w:val="51555C"/>
        </w:rPr>
        <w:t xml:space="preserve"> </w:t>
      </w:r>
      <w:r>
        <w:rPr>
          <w:rFonts w:ascii="Arial" w:cs="Arial" w:eastAsia="Arial" w:hAnsi="Arial"/>
          <w:sz w:val="18"/>
          <w:szCs w:val="18"/>
          <w:color w:val="51555C"/>
        </w:rPr>
        <w:t>Attorneys General and the District of Columbia and a separate Civil Investigative Demand from the office of the California Attorney General relating to the Security Incident. We also are subject to the following pending governmental actions:</w:t>
      </w:r>
    </w:p>
    <w:p>
      <w:pPr>
        <w:spacing w:after="0" w:line="85" w:lineRule="exact"/>
        <w:rPr>
          <w:sz w:val="20"/>
          <w:szCs w:val="20"/>
          <w:color w:val="auto"/>
        </w:rPr>
      </w:pPr>
    </w:p>
    <w:p>
      <w:pPr>
        <w:ind w:left="620" w:hanging="288"/>
        <w:spacing w:after="0"/>
        <w:tabs>
          <w:tab w:leader="none" w:pos="620" w:val="left"/>
        </w:tabs>
        <w:numPr>
          <w:ilvl w:val="0"/>
          <w:numId w:val="11"/>
        </w:numPr>
        <w:rPr>
          <w:rFonts w:ascii="Arial" w:cs="Arial" w:eastAsia="Arial" w:hAnsi="Arial"/>
          <w:sz w:val="18"/>
          <w:szCs w:val="18"/>
          <w:color w:val="51555C"/>
        </w:rPr>
      </w:pPr>
      <w:r>
        <w:rPr>
          <w:rFonts w:ascii="Arial" w:cs="Arial" w:eastAsia="Arial" w:hAnsi="Arial"/>
          <w:sz w:val="18"/>
          <w:szCs w:val="18"/>
          <w:color w:val="51555C"/>
        </w:rPr>
        <w:t>an investigation by the U.S. Federal Trade Commission;</w:t>
      </w:r>
    </w:p>
    <w:p>
      <w:pPr>
        <w:spacing w:after="0" w:line="117" w:lineRule="exact"/>
        <w:rPr>
          <w:rFonts w:ascii="Arial" w:cs="Arial" w:eastAsia="Arial" w:hAnsi="Arial"/>
          <w:sz w:val="18"/>
          <w:szCs w:val="18"/>
          <w:color w:val="51555C"/>
        </w:rPr>
      </w:pPr>
    </w:p>
    <w:p>
      <w:pPr>
        <w:ind w:left="620" w:hanging="288"/>
        <w:spacing w:after="0"/>
        <w:tabs>
          <w:tab w:leader="none" w:pos="620" w:val="left"/>
        </w:tabs>
        <w:numPr>
          <w:ilvl w:val="0"/>
          <w:numId w:val="11"/>
        </w:numPr>
        <w:rPr>
          <w:rFonts w:ascii="Arial" w:cs="Arial" w:eastAsia="Arial" w:hAnsi="Arial"/>
          <w:sz w:val="18"/>
          <w:szCs w:val="18"/>
          <w:color w:val="51555C"/>
        </w:rPr>
      </w:pPr>
      <w:r>
        <w:rPr>
          <w:rFonts w:ascii="Arial" w:cs="Arial" w:eastAsia="Arial" w:hAnsi="Arial"/>
          <w:sz w:val="18"/>
          <w:szCs w:val="18"/>
          <w:color w:val="51555C"/>
        </w:rPr>
        <w:t>a formal investigation by the SEC;</w:t>
      </w:r>
    </w:p>
    <w:p>
      <w:pPr>
        <w:spacing w:after="0" w:line="117" w:lineRule="exact"/>
        <w:rPr>
          <w:rFonts w:ascii="Arial" w:cs="Arial" w:eastAsia="Arial" w:hAnsi="Arial"/>
          <w:sz w:val="18"/>
          <w:szCs w:val="18"/>
          <w:color w:val="51555C"/>
        </w:rPr>
      </w:pPr>
    </w:p>
    <w:p>
      <w:pPr>
        <w:ind w:left="620" w:hanging="288"/>
        <w:spacing w:after="0"/>
        <w:tabs>
          <w:tab w:leader="none" w:pos="620" w:val="left"/>
        </w:tabs>
        <w:numPr>
          <w:ilvl w:val="0"/>
          <w:numId w:val="11"/>
        </w:numPr>
        <w:rPr>
          <w:rFonts w:ascii="Arial" w:cs="Arial" w:eastAsia="Arial" w:hAnsi="Arial"/>
          <w:sz w:val="18"/>
          <w:szCs w:val="18"/>
          <w:color w:val="51555C"/>
        </w:rPr>
      </w:pPr>
      <w:r>
        <w:rPr>
          <w:rFonts w:ascii="Arial" w:cs="Arial" w:eastAsia="Arial" w:hAnsi="Arial"/>
          <w:sz w:val="18"/>
          <w:szCs w:val="18"/>
          <w:color w:val="51555C"/>
        </w:rPr>
        <w:t>an investigation by the U.S. Department of Health and Human Services;</w:t>
      </w:r>
    </w:p>
    <w:p>
      <w:pPr>
        <w:spacing w:after="0" w:line="117" w:lineRule="exact"/>
        <w:rPr>
          <w:rFonts w:ascii="Arial" w:cs="Arial" w:eastAsia="Arial" w:hAnsi="Arial"/>
          <w:sz w:val="18"/>
          <w:szCs w:val="18"/>
          <w:color w:val="51555C"/>
        </w:rPr>
      </w:pPr>
    </w:p>
    <w:p>
      <w:pPr>
        <w:ind w:left="620" w:hanging="288"/>
        <w:spacing w:after="0"/>
        <w:tabs>
          <w:tab w:leader="none" w:pos="620" w:val="left"/>
        </w:tabs>
        <w:numPr>
          <w:ilvl w:val="0"/>
          <w:numId w:val="11"/>
        </w:numPr>
        <w:rPr>
          <w:rFonts w:ascii="Arial" w:cs="Arial" w:eastAsia="Arial" w:hAnsi="Arial"/>
          <w:sz w:val="18"/>
          <w:szCs w:val="18"/>
          <w:color w:val="51555C"/>
        </w:rPr>
      </w:pPr>
      <w:r>
        <w:rPr>
          <w:rFonts w:ascii="Arial" w:cs="Arial" w:eastAsia="Arial" w:hAnsi="Arial"/>
          <w:sz w:val="18"/>
          <w:szCs w:val="18"/>
          <w:color w:val="51555C"/>
        </w:rPr>
        <w:t>an investigation by the Office of the Australian Information Commissioner; and</w:t>
      </w:r>
    </w:p>
    <w:p>
      <w:pPr>
        <w:spacing w:after="0" w:line="117" w:lineRule="exact"/>
        <w:rPr>
          <w:rFonts w:ascii="Arial" w:cs="Arial" w:eastAsia="Arial" w:hAnsi="Arial"/>
          <w:sz w:val="18"/>
          <w:szCs w:val="18"/>
          <w:color w:val="51555C"/>
        </w:rPr>
      </w:pPr>
    </w:p>
    <w:p>
      <w:pPr>
        <w:ind w:left="620" w:hanging="288"/>
        <w:spacing w:after="0"/>
        <w:tabs>
          <w:tab w:leader="none" w:pos="620" w:val="left"/>
        </w:tabs>
        <w:numPr>
          <w:ilvl w:val="0"/>
          <w:numId w:val="11"/>
        </w:numPr>
        <w:rPr>
          <w:rFonts w:ascii="Arial" w:cs="Arial" w:eastAsia="Arial" w:hAnsi="Arial"/>
          <w:sz w:val="18"/>
          <w:szCs w:val="18"/>
          <w:color w:val="51555C"/>
        </w:rPr>
      </w:pPr>
      <w:r>
        <w:rPr>
          <w:rFonts w:ascii="Arial" w:cs="Arial" w:eastAsia="Arial" w:hAnsi="Arial"/>
          <w:sz w:val="18"/>
          <w:szCs w:val="18"/>
          <w:color w:val="51555C"/>
        </w:rPr>
        <w:t>an investigation by the Office of the Privacy Commissioner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229235</wp:posOffset>
            </wp:positionV>
            <wp:extent cx="65976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21</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620"/>
        <w:spacing w:after="0" w:line="256" w:lineRule="auto"/>
        <w:rPr>
          <w:sz w:val="20"/>
          <w:szCs w:val="20"/>
          <w:color w:val="auto"/>
        </w:rPr>
      </w:pPr>
      <w:r>
        <w:rPr>
          <w:rFonts w:ascii="Arial" w:cs="Arial" w:eastAsia="Arial" w:hAnsi="Arial"/>
          <w:sz w:val="18"/>
          <w:szCs w:val="18"/>
          <w:color w:val="51555C"/>
        </w:rPr>
        <w:t>We have been having discussions with the SEC Staff about potential resolution of issues arising from their investigation. While we are hopeful that we can resolve the matter on acceptable terms, there is no assurance that we will be able to resolve the matter on terms acceptable to us and the SEC.</w:t>
      </w:r>
    </w:p>
    <w:p>
      <w:pPr>
        <w:spacing w:after="0" w:line="148"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On September 28, 2021, the Information Commissioner's Office in the United Kingdom under the U.K Data Protection Act 2018 (the "ICO") notified us that it has closed its investigation of the Security Incident. Based on its investigation and having considered our actions before, during and after the Security Incident, the ICO issued our European subsidiary a reprimand in accordance with Article 58(2)(b) of the U.K. General Data Protection Regulation ("U.K. GDPR") due to our non-compliance, in the ICO's view, with the requirements set out in Article 32 of the U.K. GDPR regarding the processing of personal data. The ICO did not impose a penalty related to the Security Incident, nor did it impose any requirements for further action by us.</w:t>
      </w:r>
    </w:p>
    <w:p>
      <w:pPr>
        <w:spacing w:after="0" w:line="15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On September 24, 2021, we received notice from the Spanish Data Protection Authority that it has concluded its investigation of the Security Incident, pursuant to which our European subsidiary paid a penalty of €60,000 in relation to the alleged late notification of two Spanish data controllers regarding the Security Incident.</w:t>
      </w:r>
    </w:p>
    <w:p>
      <w:pPr>
        <w:spacing w:after="0" w:line="14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On January 15, 2021, we were notified by the Data Protection Commission of Ireland that it has concluded its investigation of the Security Incident without taking any action against us.</w:t>
      </w:r>
    </w:p>
    <w:p>
      <w:pPr>
        <w:spacing w:after="0" w:line="14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We continue to cooperate with all ongoing investigations, which include various requests for documents, policies, narratives and communications, as well as requests to interview or depose various Company-related personnel. As noted above, each of these separate governmental investigations could result in adverse judgements, settlements, fines, penalties or other resolution, the amount, scope and timing of which we are currently unable to predict, but could have a material adverse impact on our results of operations, cash flows, or financial condition.</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11.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51555C"/>
        </w:rPr>
        <w:t>Our income tax (benefit) provision and effective income tax rates, including the effects of period-specific events, were: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80" w:type="dxa"/>
            <w:vAlign w:val="bottom"/>
            <w:shd w:val="clear" w:color="auto" w:fill="004054"/>
          </w:tcPr>
          <w:p>
            <w:pPr>
              <w:spacing w:after="0"/>
              <w:rPr>
                <w:sz w:val="16"/>
                <w:szCs w:val="16"/>
                <w:color w:val="auto"/>
              </w:rPr>
            </w:pPr>
          </w:p>
        </w:tc>
        <w:tc>
          <w:tcPr>
            <w:tcW w:w="440" w:type="dxa"/>
            <w:vAlign w:val="bottom"/>
            <w:shd w:val="clear" w:color="auto" w:fill="004054"/>
          </w:tcPr>
          <w:p>
            <w:pPr>
              <w:spacing w:after="0"/>
              <w:rPr>
                <w:sz w:val="16"/>
                <w:szCs w:val="16"/>
                <w:color w:val="auto"/>
              </w:rPr>
            </w:pPr>
          </w:p>
        </w:tc>
        <w:tc>
          <w:tcPr>
            <w:tcW w:w="1080" w:type="dxa"/>
            <w:vAlign w:val="bottom"/>
            <w:shd w:val="clear" w:color="auto" w:fill="004054"/>
          </w:tcPr>
          <w:p>
            <w:pPr>
              <w:spacing w:after="0"/>
              <w:rPr>
                <w:sz w:val="16"/>
                <w:szCs w:val="16"/>
                <w:color w:val="auto"/>
              </w:rPr>
            </w:pPr>
          </w:p>
        </w:tc>
        <w:tc>
          <w:tcPr>
            <w:tcW w:w="1520" w:type="dxa"/>
            <w:vAlign w:val="bottom"/>
            <w:tcBorders>
              <w:right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440" w:type="dxa"/>
            <w:vAlign w:val="bottom"/>
            <w:shd w:val="clear" w:color="auto" w:fill="004054"/>
          </w:tcPr>
          <w:p>
            <w:pPr>
              <w:spacing w:after="0"/>
              <w:rPr>
                <w:sz w:val="16"/>
                <w:szCs w:val="16"/>
                <w:color w:val="auto"/>
              </w:rPr>
            </w:pPr>
          </w:p>
        </w:tc>
        <w:tc>
          <w:tcPr>
            <w:tcW w:w="1060" w:type="dxa"/>
            <w:vAlign w:val="bottom"/>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13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6"/>
                <w:szCs w:val="16"/>
                <w:color w:val="auto"/>
              </w:rPr>
            </w:pPr>
          </w:p>
        </w:tc>
      </w:tr>
      <w:tr>
        <w:trPr>
          <w:trHeight w:val="190"/>
        </w:trPr>
        <w:tc>
          <w:tcPr>
            <w:tcW w:w="5080" w:type="dxa"/>
            <w:vAlign w:val="bottom"/>
            <w:shd w:val="clear" w:color="auto" w:fill="004054"/>
          </w:tcPr>
          <w:p>
            <w:pPr>
              <w:spacing w:after="0"/>
              <w:rPr>
                <w:sz w:val="16"/>
                <w:szCs w:val="16"/>
                <w:color w:val="auto"/>
              </w:rPr>
            </w:pPr>
          </w:p>
        </w:tc>
        <w:tc>
          <w:tcPr>
            <w:tcW w:w="440" w:type="dxa"/>
            <w:vAlign w:val="bottom"/>
            <w:shd w:val="clear" w:color="auto" w:fill="004054"/>
          </w:tcPr>
          <w:p>
            <w:pPr>
              <w:spacing w:after="0"/>
              <w:rPr>
                <w:sz w:val="16"/>
                <w:szCs w:val="16"/>
                <w:color w:val="auto"/>
              </w:rPr>
            </w:pPr>
          </w:p>
        </w:tc>
        <w:tc>
          <w:tcPr>
            <w:tcW w:w="1080" w:type="dxa"/>
            <w:vAlign w:val="bottom"/>
            <w:shd w:val="clear" w:color="auto" w:fill="004054"/>
          </w:tcPr>
          <w:p>
            <w:pPr>
              <w:spacing w:after="0"/>
              <w:rPr>
                <w:sz w:val="16"/>
                <w:szCs w:val="16"/>
                <w:color w:val="auto"/>
              </w:rPr>
            </w:pPr>
          </w:p>
        </w:tc>
        <w:tc>
          <w:tcPr>
            <w:tcW w:w="320" w:type="dxa"/>
            <w:vAlign w:val="bottom"/>
            <w:shd w:val="clear" w:color="auto" w:fill="004054"/>
          </w:tcPr>
          <w:p>
            <w:pPr>
              <w:spacing w:after="0"/>
              <w:rPr>
                <w:sz w:val="16"/>
                <w:szCs w:val="16"/>
                <w:color w:val="auto"/>
              </w:rPr>
            </w:pPr>
          </w:p>
        </w:tc>
        <w:tc>
          <w:tcPr>
            <w:tcW w:w="120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6"/>
                <w:szCs w:val="16"/>
                <w:color w:val="auto"/>
              </w:rPr>
            </w:pPr>
          </w:p>
        </w:tc>
        <w:tc>
          <w:tcPr>
            <w:tcW w:w="440" w:type="dxa"/>
            <w:vAlign w:val="bottom"/>
            <w:shd w:val="clear" w:color="auto" w:fill="004054"/>
          </w:tcPr>
          <w:p>
            <w:pPr>
              <w:spacing w:after="0"/>
              <w:rPr>
                <w:sz w:val="16"/>
                <w:szCs w:val="16"/>
                <w:color w:val="auto"/>
              </w:rPr>
            </w:pPr>
          </w:p>
        </w:tc>
        <w:tc>
          <w:tcPr>
            <w:tcW w:w="1060" w:type="dxa"/>
            <w:vAlign w:val="bottom"/>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13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6"/>
                <w:szCs w:val="16"/>
                <w:color w:val="auto"/>
              </w:rPr>
            </w:pPr>
          </w:p>
        </w:tc>
      </w:tr>
      <w:tr>
        <w:trPr>
          <w:trHeight w:val="256"/>
        </w:trPr>
        <w:tc>
          <w:tcPr>
            <w:tcW w:w="508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40" w:type="dxa"/>
            <w:vAlign w:val="bottom"/>
            <w:shd w:val="clear" w:color="auto" w:fill="004054"/>
          </w:tcPr>
          <w:p>
            <w:pPr>
              <w:spacing w:after="0"/>
              <w:rPr>
                <w:sz w:val="22"/>
                <w:szCs w:val="22"/>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320" w:type="dxa"/>
            <w:vAlign w:val="bottom"/>
            <w:shd w:val="clear" w:color="auto" w:fill="004054"/>
          </w:tcPr>
          <w:p>
            <w:pPr>
              <w:spacing w:after="0"/>
              <w:rPr>
                <w:sz w:val="22"/>
                <w:szCs w:val="22"/>
                <w:color w:val="auto"/>
              </w:rPr>
            </w:pPr>
          </w:p>
        </w:tc>
        <w:tc>
          <w:tcPr>
            <w:tcW w:w="120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00" w:type="dxa"/>
            <w:vAlign w:val="bottom"/>
          </w:tcPr>
          <w:p>
            <w:pPr>
              <w:spacing w:after="0"/>
              <w:rPr>
                <w:sz w:val="22"/>
                <w:szCs w:val="22"/>
                <w:color w:val="auto"/>
              </w:rPr>
            </w:pPr>
          </w:p>
        </w:tc>
        <w:tc>
          <w:tcPr>
            <w:tcW w:w="440" w:type="dxa"/>
            <w:vAlign w:val="bottom"/>
            <w:shd w:val="clear" w:color="auto" w:fill="004054"/>
          </w:tcPr>
          <w:p>
            <w:pPr>
              <w:spacing w:after="0"/>
              <w:rPr>
                <w:sz w:val="22"/>
                <w:szCs w:val="22"/>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40" w:type="dxa"/>
            <w:vAlign w:val="bottom"/>
            <w:shd w:val="clear" w:color="auto" w:fill="004054"/>
          </w:tcPr>
          <w:p>
            <w:pPr>
              <w:spacing w:after="0"/>
              <w:rPr>
                <w:sz w:val="22"/>
                <w:szCs w:val="22"/>
                <w:color w:val="auto"/>
              </w:rPr>
            </w:pPr>
          </w:p>
        </w:tc>
        <w:tc>
          <w:tcPr>
            <w:tcW w:w="13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shd w:val="clear" w:color="auto" w:fill="004054"/>
          </w:tcPr>
          <w:p>
            <w:pPr>
              <w:spacing w:after="0"/>
              <w:rPr>
                <w:sz w:val="22"/>
                <w:szCs w:val="22"/>
                <w:color w:val="auto"/>
              </w:rPr>
            </w:pPr>
          </w:p>
        </w:tc>
      </w:tr>
      <w:tr>
        <w:trPr>
          <w:trHeight w:val="25"/>
        </w:trPr>
        <w:tc>
          <w:tcPr>
            <w:tcW w:w="5080" w:type="dxa"/>
            <w:vAlign w:val="bottom"/>
            <w:tcBorders>
              <w:bottom w:val="single" w:sz="8" w:color="004054"/>
            </w:tcBorders>
            <w:shd w:val="clear" w:color="auto" w:fill="004054"/>
          </w:tcPr>
          <w:p>
            <w:pPr>
              <w:spacing w:after="0"/>
              <w:rPr>
                <w:sz w:val="2"/>
                <w:szCs w:val="2"/>
                <w:color w:val="auto"/>
              </w:rPr>
            </w:pPr>
          </w:p>
        </w:tc>
        <w:tc>
          <w:tcPr>
            <w:tcW w:w="440" w:type="dxa"/>
            <w:vAlign w:val="bottom"/>
            <w:tcBorders>
              <w:bottom w:val="single" w:sz="8" w:color="004054"/>
            </w:tcBorders>
            <w:shd w:val="clear" w:color="auto" w:fill="004054"/>
          </w:tcPr>
          <w:p>
            <w:pPr>
              <w:spacing w:after="0"/>
              <w:rPr>
                <w:sz w:val="2"/>
                <w:szCs w:val="2"/>
                <w:color w:val="auto"/>
              </w:rPr>
            </w:pPr>
          </w:p>
        </w:tc>
        <w:tc>
          <w:tcPr>
            <w:tcW w:w="1080" w:type="dxa"/>
            <w:vAlign w:val="bottom"/>
            <w:tcBorders>
              <w:bottom w:val="single" w:sz="8" w:color="004054"/>
            </w:tcBorders>
            <w:shd w:val="clear" w:color="auto" w:fill="004054"/>
          </w:tcPr>
          <w:p>
            <w:pPr>
              <w:spacing w:after="0"/>
              <w:rPr>
                <w:sz w:val="2"/>
                <w:szCs w:val="2"/>
                <w:color w:val="auto"/>
              </w:rPr>
            </w:pPr>
          </w:p>
        </w:tc>
        <w:tc>
          <w:tcPr>
            <w:tcW w:w="320" w:type="dxa"/>
            <w:vAlign w:val="bottom"/>
            <w:tcBorders>
              <w:bottom w:val="single" w:sz="8" w:color="004054"/>
            </w:tcBorders>
            <w:shd w:val="clear" w:color="auto" w:fill="004054"/>
          </w:tcPr>
          <w:p>
            <w:pPr>
              <w:spacing w:after="0"/>
              <w:rPr>
                <w:sz w:val="2"/>
                <w:szCs w:val="2"/>
                <w:color w:val="auto"/>
              </w:rPr>
            </w:pPr>
          </w:p>
        </w:tc>
        <w:tc>
          <w:tcPr>
            <w:tcW w:w="1200" w:type="dxa"/>
            <w:vAlign w:val="bottom"/>
            <w:tcBorders>
              <w:bottom w:val="single" w:sz="8" w:color="004054"/>
              <w:right w:val="single" w:sz="8" w:color="004054"/>
            </w:tcBorders>
            <w:shd w:val="clear" w:color="auto" w:fill="004054"/>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440" w:type="dxa"/>
            <w:vAlign w:val="bottom"/>
            <w:tcBorders>
              <w:bottom w:val="single" w:sz="8" w:color="004054"/>
            </w:tcBorders>
            <w:shd w:val="clear" w:color="auto" w:fill="004054"/>
          </w:tcPr>
          <w:p>
            <w:pPr>
              <w:spacing w:after="0"/>
              <w:rPr>
                <w:sz w:val="2"/>
                <w:szCs w:val="2"/>
                <w:color w:val="auto"/>
              </w:rPr>
            </w:pPr>
          </w:p>
        </w:tc>
        <w:tc>
          <w:tcPr>
            <w:tcW w:w="1060" w:type="dxa"/>
            <w:vAlign w:val="bottom"/>
            <w:tcBorders>
              <w:bottom w:val="single" w:sz="8" w:color="004054"/>
            </w:tcBorders>
            <w:shd w:val="clear" w:color="auto" w:fill="004054"/>
          </w:tcPr>
          <w:p>
            <w:pPr>
              <w:spacing w:after="0"/>
              <w:rPr>
                <w:sz w:val="2"/>
                <w:szCs w:val="2"/>
                <w:color w:val="auto"/>
              </w:rPr>
            </w:pPr>
          </w:p>
        </w:tc>
        <w:tc>
          <w:tcPr>
            <w:tcW w:w="140" w:type="dxa"/>
            <w:vAlign w:val="bottom"/>
            <w:tcBorders>
              <w:bottom w:val="single" w:sz="8" w:color="004054"/>
            </w:tcBorders>
            <w:shd w:val="clear" w:color="auto" w:fill="004054"/>
          </w:tcPr>
          <w:p>
            <w:pPr>
              <w:spacing w:after="0"/>
              <w:rPr>
                <w:sz w:val="2"/>
                <w:szCs w:val="2"/>
                <w:color w:val="auto"/>
              </w:rPr>
            </w:pPr>
          </w:p>
        </w:tc>
        <w:tc>
          <w:tcPr>
            <w:tcW w:w="1380" w:type="dxa"/>
            <w:vAlign w:val="bottom"/>
            <w:tcBorders>
              <w:bottom w:val="single" w:sz="8" w:color="004054"/>
            </w:tcBorders>
            <w:shd w:val="clear" w:color="auto" w:fill="004054"/>
          </w:tcPr>
          <w:p>
            <w:pPr>
              <w:spacing w:after="0"/>
              <w:rPr>
                <w:sz w:val="2"/>
                <w:szCs w:val="2"/>
                <w:color w:val="auto"/>
              </w:rPr>
            </w:pPr>
          </w:p>
        </w:tc>
        <w:tc>
          <w:tcPr>
            <w:tcW w:w="20" w:type="dxa"/>
            <w:vAlign w:val="bottom"/>
            <w:tcBorders>
              <w:bottom w:val="single" w:sz="8" w:color="004054"/>
            </w:tcBorders>
            <w:shd w:val="clear" w:color="auto" w:fill="004054"/>
          </w:tcPr>
          <w:p>
            <w:pPr>
              <w:spacing w:after="0"/>
              <w:rPr>
                <w:sz w:val="2"/>
                <w:szCs w:val="2"/>
                <w:color w:val="auto"/>
              </w:rPr>
            </w:pPr>
          </w:p>
        </w:tc>
      </w:tr>
      <w:tr>
        <w:trPr>
          <w:trHeight w:val="244"/>
        </w:trPr>
        <w:tc>
          <w:tcPr>
            <w:tcW w:w="50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Income tax (benefit) provision</w:t>
            </w:r>
          </w:p>
        </w:tc>
        <w:tc>
          <w:tcPr>
            <w:tcW w:w="440" w:type="dxa"/>
            <w:vAlign w:val="bottom"/>
            <w:tcBorders>
              <w:bottom w:val="single" w:sz="8" w:color="EBFBFF"/>
            </w:tcBorders>
            <w:shd w:val="clear" w:color="auto" w:fill="EBFBFF"/>
          </w:tcPr>
          <w:p>
            <w:pPr>
              <w:jc w:val="right"/>
              <w:ind w:right="230"/>
              <w:spacing w:after="0"/>
              <w:rPr>
                <w:sz w:val="20"/>
                <w:szCs w:val="20"/>
                <w:color w:val="auto"/>
              </w:rPr>
            </w:pPr>
            <w:r>
              <w:rPr>
                <w:rFonts w:ascii="Arial" w:cs="Arial" w:eastAsia="Arial" w:hAnsi="Arial"/>
                <w:sz w:val="18"/>
                <w:szCs w:val="18"/>
                <w:color w:val="51555C"/>
                <w:w w:val="99"/>
              </w:rPr>
              <w:t>$</w:t>
            </w:r>
          </w:p>
        </w:tc>
        <w:tc>
          <w:tcPr>
            <w:tcW w:w="1080" w:type="dxa"/>
            <w:vAlign w:val="bottom"/>
            <w:tcBorders>
              <w:bottom w:val="single" w:sz="8" w:color="EBFBFF"/>
            </w:tcBorders>
            <w:shd w:val="clear" w:color="auto" w:fill="EBFBFF"/>
          </w:tcPr>
          <w:p>
            <w:pPr>
              <w:jc w:val="right"/>
              <w:ind w:right="116"/>
              <w:spacing w:after="0"/>
              <w:rPr>
                <w:sz w:val="20"/>
                <w:szCs w:val="20"/>
                <w:color w:val="auto"/>
              </w:rPr>
            </w:pPr>
            <w:r>
              <w:rPr>
                <w:rFonts w:ascii="Arial" w:cs="Arial" w:eastAsia="Arial" w:hAnsi="Arial"/>
                <w:sz w:val="18"/>
                <w:szCs w:val="18"/>
                <w:color w:val="51555C"/>
              </w:rPr>
              <w:t>(1,576)</w:t>
            </w:r>
          </w:p>
        </w:tc>
        <w:tc>
          <w:tcPr>
            <w:tcW w:w="320" w:type="dxa"/>
            <w:vAlign w:val="bottom"/>
            <w:tcBorders>
              <w:bottom w:val="single" w:sz="8" w:color="EBFBFF"/>
            </w:tcBorders>
            <w:shd w:val="clear" w:color="auto" w:fill="EBFBFF"/>
          </w:tcPr>
          <w:p>
            <w:pPr>
              <w:jc w:val="right"/>
              <w:ind w:right="119"/>
              <w:spacing w:after="0"/>
              <w:rPr>
                <w:sz w:val="20"/>
                <w:szCs w:val="20"/>
                <w:color w:val="auto"/>
              </w:rPr>
            </w:pPr>
            <w:r>
              <w:rPr>
                <w:rFonts w:ascii="Arial" w:cs="Arial" w:eastAsia="Arial" w:hAnsi="Arial"/>
                <w:sz w:val="18"/>
                <w:szCs w:val="18"/>
                <w:color w:val="51555C"/>
                <w:w w:val="99"/>
              </w:rPr>
              <w:t>$</w:t>
            </w:r>
          </w:p>
        </w:tc>
        <w:tc>
          <w:tcPr>
            <w:tcW w:w="1200" w:type="dxa"/>
            <w:vAlign w:val="bottom"/>
            <w:tcBorders>
              <w:bottom w:val="single" w:sz="8" w:color="EBFBFF"/>
              <w:right w:val="single" w:sz="8" w:color="EBFBFF"/>
            </w:tcBorders>
            <w:shd w:val="clear" w:color="auto" w:fill="EBFBFF"/>
          </w:tcPr>
          <w:p>
            <w:pPr>
              <w:jc w:val="right"/>
              <w:ind w:right="179"/>
              <w:spacing w:after="0"/>
              <w:rPr>
                <w:sz w:val="20"/>
                <w:szCs w:val="20"/>
                <w:color w:val="auto"/>
              </w:rPr>
            </w:pPr>
            <w:r>
              <w:rPr>
                <w:rFonts w:ascii="Arial" w:cs="Arial" w:eastAsia="Arial" w:hAnsi="Arial"/>
                <w:sz w:val="18"/>
                <w:szCs w:val="18"/>
                <w:color w:val="51555C"/>
              </w:rPr>
              <w:t>2,517</w:t>
            </w:r>
          </w:p>
        </w:tc>
        <w:tc>
          <w:tcPr>
            <w:tcW w:w="540" w:type="dxa"/>
            <w:vAlign w:val="bottom"/>
            <w:tcBorders>
              <w:bottom w:val="single" w:sz="8" w:color="EBFBFF"/>
            </w:tcBorders>
            <w:gridSpan w:val="2"/>
            <w:shd w:val="clear" w:color="auto" w:fill="EBFBFF"/>
          </w:tcPr>
          <w:p>
            <w:pPr>
              <w:jc w:val="right"/>
              <w:ind w:right="320"/>
              <w:spacing w:after="0"/>
              <w:rPr>
                <w:sz w:val="20"/>
                <w:szCs w:val="20"/>
                <w:color w:val="auto"/>
              </w:rPr>
            </w:pPr>
            <w:r>
              <w:rPr>
                <w:rFonts w:ascii="Arial" w:cs="Arial" w:eastAsia="Arial" w:hAnsi="Arial"/>
                <w:sz w:val="18"/>
                <w:szCs w:val="18"/>
                <w:color w:val="51555C"/>
              </w:rPr>
              <w:t>$</w:t>
            </w:r>
          </w:p>
        </w:tc>
        <w:tc>
          <w:tcPr>
            <w:tcW w:w="1060" w:type="dxa"/>
            <w:vAlign w:val="bottom"/>
            <w:tcBorders>
              <w:bottom w:val="single" w:sz="8" w:color="EBFBFF"/>
            </w:tcBorders>
            <w:shd w:val="clear" w:color="auto" w:fill="EBFBFF"/>
          </w:tcPr>
          <w:p>
            <w:pPr>
              <w:jc w:val="right"/>
              <w:ind w:right="96"/>
              <w:spacing w:after="0"/>
              <w:rPr>
                <w:sz w:val="20"/>
                <w:szCs w:val="20"/>
                <w:color w:val="auto"/>
              </w:rPr>
            </w:pPr>
            <w:r>
              <w:rPr>
                <w:rFonts w:ascii="Arial" w:cs="Arial" w:eastAsia="Arial" w:hAnsi="Arial"/>
                <w:sz w:val="18"/>
                <w:szCs w:val="18"/>
                <w:color w:val="51555C"/>
              </w:rPr>
              <w:t>(5,993)</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80" w:type="dxa"/>
            <w:vAlign w:val="bottom"/>
            <w:tcBorders>
              <w:bottom w:val="single" w:sz="8" w:color="EBFBFF"/>
            </w:tcBorders>
            <w:shd w:val="clear" w:color="auto" w:fill="EBFBFF"/>
          </w:tcPr>
          <w:p>
            <w:pPr>
              <w:jc w:val="right"/>
              <w:ind w:right="161"/>
              <w:spacing w:after="0"/>
              <w:rPr>
                <w:sz w:val="20"/>
                <w:szCs w:val="20"/>
                <w:color w:val="auto"/>
              </w:rPr>
            </w:pPr>
            <w:r>
              <w:rPr>
                <w:rFonts w:ascii="Arial" w:cs="Arial" w:eastAsia="Arial" w:hAnsi="Arial"/>
                <w:sz w:val="18"/>
                <w:szCs w:val="18"/>
                <w:color w:val="51555C"/>
              </w:rPr>
              <w:t>4,946</w:t>
            </w:r>
          </w:p>
        </w:tc>
        <w:tc>
          <w:tcPr>
            <w:tcW w:w="20" w:type="dxa"/>
            <w:vAlign w:val="bottom"/>
          </w:tcPr>
          <w:p>
            <w:pPr>
              <w:spacing w:after="0"/>
              <w:rPr>
                <w:sz w:val="21"/>
                <w:szCs w:val="2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51555C"/>
              </w:rPr>
              <w:t>Effective income tax rate</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13.2 %</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51555C"/>
              </w:rPr>
              <w:t>28.9 %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19.9 %</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51555C"/>
              </w:rPr>
              <w:t>27.9 %</w:t>
            </w:r>
          </w:p>
        </w:tc>
        <w:tc>
          <w:tcPr>
            <w:tcW w:w="20" w:type="dxa"/>
            <w:vAlign w:val="bottom"/>
          </w:tcPr>
          <w:p>
            <w:pPr>
              <w:spacing w:after="0"/>
              <w:rPr>
                <w:sz w:val="21"/>
                <w:szCs w:val="21"/>
                <w:color w:val="auto"/>
              </w:rPr>
            </w:pPr>
          </w:p>
        </w:tc>
      </w:tr>
      <w:tr>
        <w:trPr>
          <w:trHeight w:val="27"/>
        </w:trPr>
        <w:tc>
          <w:tcPr>
            <w:tcW w:w="5080" w:type="dxa"/>
            <w:vAlign w:val="bottom"/>
            <w:tcBorders>
              <w:bottom w:val="single" w:sz="8" w:color="0CD973"/>
            </w:tcBorders>
          </w:tcPr>
          <w:p>
            <w:pPr>
              <w:spacing w:after="0"/>
              <w:rPr>
                <w:sz w:val="2"/>
                <w:szCs w:val="2"/>
                <w:color w:val="auto"/>
              </w:rPr>
            </w:pPr>
          </w:p>
        </w:tc>
        <w:tc>
          <w:tcPr>
            <w:tcW w:w="440" w:type="dxa"/>
            <w:vAlign w:val="bottom"/>
            <w:tcBorders>
              <w:bottom w:val="single" w:sz="8" w:color="0CD973"/>
            </w:tcBorders>
          </w:tcPr>
          <w:p>
            <w:pPr>
              <w:spacing w:after="0"/>
              <w:rPr>
                <w:sz w:val="2"/>
                <w:szCs w:val="2"/>
                <w:color w:val="auto"/>
              </w:rPr>
            </w:pPr>
          </w:p>
        </w:tc>
        <w:tc>
          <w:tcPr>
            <w:tcW w:w="1080" w:type="dxa"/>
            <w:vAlign w:val="bottom"/>
            <w:tcBorders>
              <w:bottom w:val="single" w:sz="8" w:color="0CD973"/>
            </w:tcBorders>
          </w:tcPr>
          <w:p>
            <w:pPr>
              <w:spacing w:after="0"/>
              <w:rPr>
                <w:sz w:val="2"/>
                <w:szCs w:val="2"/>
                <w:color w:val="auto"/>
              </w:rPr>
            </w:pPr>
          </w:p>
        </w:tc>
        <w:tc>
          <w:tcPr>
            <w:tcW w:w="320" w:type="dxa"/>
            <w:vAlign w:val="bottom"/>
            <w:tcBorders>
              <w:bottom w:val="single" w:sz="8" w:color="0CD973"/>
            </w:tcBorders>
          </w:tcPr>
          <w:p>
            <w:pPr>
              <w:spacing w:after="0"/>
              <w:rPr>
                <w:sz w:val="2"/>
                <w:szCs w:val="2"/>
                <w:color w:val="auto"/>
              </w:rPr>
            </w:pPr>
          </w:p>
        </w:tc>
        <w:tc>
          <w:tcPr>
            <w:tcW w:w="120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440" w:type="dxa"/>
            <w:vAlign w:val="bottom"/>
            <w:tcBorders>
              <w:bottom w:val="single" w:sz="8" w:color="0CD973"/>
            </w:tcBorders>
          </w:tcPr>
          <w:p>
            <w:pPr>
              <w:spacing w:after="0"/>
              <w:rPr>
                <w:sz w:val="2"/>
                <w:szCs w:val="2"/>
                <w:color w:val="auto"/>
              </w:rPr>
            </w:pPr>
          </w:p>
        </w:tc>
        <w:tc>
          <w:tcPr>
            <w:tcW w:w="1060" w:type="dxa"/>
            <w:vAlign w:val="bottom"/>
            <w:tcBorders>
              <w:bottom w:val="single" w:sz="8" w:color="0CD973"/>
            </w:tcBorders>
          </w:tcPr>
          <w:p>
            <w:pPr>
              <w:spacing w:after="0"/>
              <w:rPr>
                <w:sz w:val="2"/>
                <w:szCs w:val="2"/>
                <w:color w:val="auto"/>
              </w:rPr>
            </w:pPr>
          </w:p>
        </w:tc>
        <w:tc>
          <w:tcPr>
            <w:tcW w:w="140" w:type="dxa"/>
            <w:vAlign w:val="bottom"/>
            <w:tcBorders>
              <w:bottom w:val="single" w:sz="8" w:color="0CD973"/>
            </w:tcBorders>
          </w:tcPr>
          <w:p>
            <w:pPr>
              <w:spacing w:after="0"/>
              <w:rPr>
                <w:sz w:val="2"/>
                <w:szCs w:val="2"/>
                <w:color w:val="auto"/>
              </w:rPr>
            </w:pPr>
          </w:p>
        </w:tc>
        <w:tc>
          <w:tcPr>
            <w:tcW w:w="138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-513715</wp:posOffset>
            </wp:positionV>
            <wp:extent cx="39173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204"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51555C"/>
        </w:rPr>
        <w:t xml:space="preserve">During the six months ended June 30, 2022, we utilized the discrete effective tax rate method, as allowed by ASC 740-270-30-18, </w:t>
      </w:r>
      <w:r>
        <w:rPr>
          <w:rFonts w:ascii="Arial" w:cs="Arial" w:eastAsia="Arial" w:hAnsi="Arial"/>
          <w:sz w:val="18"/>
          <w:szCs w:val="18"/>
          <w:i w:val="1"/>
          <w:iCs w:val="1"/>
          <w:color w:val="51555C"/>
        </w:rPr>
        <w:t>Income</w:t>
      </w:r>
      <w:r>
        <w:rPr>
          <w:rFonts w:ascii="Arial" w:cs="Arial" w:eastAsia="Arial" w:hAnsi="Arial"/>
          <w:sz w:val="18"/>
          <w:szCs w:val="18"/>
          <w:color w:val="51555C"/>
        </w:rPr>
        <w:t xml:space="preserve"> </w:t>
      </w:r>
      <w:r>
        <w:rPr>
          <w:rFonts w:ascii="Arial" w:cs="Arial" w:eastAsia="Arial" w:hAnsi="Arial"/>
          <w:sz w:val="18"/>
          <w:szCs w:val="18"/>
          <w:i w:val="1"/>
          <w:iCs w:val="1"/>
          <w:color w:val="51555C"/>
        </w:rPr>
        <w:t>Taxes—Interim Reporting</w:t>
      </w:r>
      <w:r>
        <w:rPr>
          <w:rFonts w:ascii="Arial" w:cs="Arial" w:eastAsia="Arial" w:hAnsi="Arial"/>
          <w:sz w:val="18"/>
          <w:szCs w:val="18"/>
          <w:color w:val="51555C"/>
        </w:rPr>
        <w:t>, to calculate our interim income tax provision. The discrete method is applied when the application of the estimated</w:t>
      </w:r>
      <w:r>
        <w:rPr>
          <w:rFonts w:ascii="Arial" w:cs="Arial" w:eastAsia="Arial" w:hAnsi="Arial"/>
          <w:sz w:val="18"/>
          <w:szCs w:val="18"/>
          <w:i w:val="1"/>
          <w:iCs w:val="1"/>
          <w:color w:val="51555C"/>
        </w:rPr>
        <w:t xml:space="preserve"> </w:t>
      </w:r>
      <w:r>
        <w:rPr>
          <w:rFonts w:ascii="Arial" w:cs="Arial" w:eastAsia="Arial" w:hAnsi="Arial"/>
          <w:sz w:val="18"/>
          <w:szCs w:val="18"/>
          <w:color w:val="51555C"/>
        </w:rPr>
        <w:t>annual effective tax rate is impractical because it is not possible to reliably estimate the annual effective tax rate. The discrete method treats the year-to-date period as if it was the annual period and determines the income tax expense or benefit on that basis. We believe that, at this time, the use of this discrete method is no longer more appropriate than the annual effective tax rate method.</w:t>
      </w:r>
    </w:p>
    <w:p>
      <w:pPr>
        <w:spacing w:after="0" w:line="14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The decrease in our effective income tax rate for the three and nine months ended September 30, 2022 when compared to the same periods in 2021 was primarily due to the effect of year-to-date losses relative to our forecasted permanent items, including foreign-derived intangible income deduction not generated in the prior year. Furthermore, the 2022 effective income tax rate was negatively impacted by expenses attributable to stock based compensation.</w:t>
      </w:r>
    </w:p>
    <w:p>
      <w:pPr>
        <w:spacing w:after="0" w:line="323"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22</w:t>
      </w:r>
      <w:r>
        <w:rPr>
          <w:sz w:val="20"/>
          <w:szCs w:val="20"/>
          <w:color w:val="auto"/>
        </w:rPr>
        <w:tab/>
      </w:r>
      <w:r>
        <w:rPr>
          <w:sz w:val="1"/>
          <w:szCs w:val="1"/>
          <w:color w:val="auto"/>
        </w:rPr>
        <w:drawing>
          <wp:inline distT="0" distB="0" distL="0" distR="0">
            <wp:extent cx="651510" cy="17145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12.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Changes in accumulated other comprehensive income (loss) by component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51555C"/>
        </w:rPr>
        <w:t>The changes in accumulated other comprehensive income (loss) by component, consisted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4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2040" w:type="dxa"/>
            <w:vAlign w:val="bottom"/>
            <w:tcBorders>
              <w:right w:val="single" w:sz="8" w:color="004054"/>
            </w:tcBorders>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202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6"/>
                <w:szCs w:val="16"/>
                <w:color w:val="auto"/>
              </w:rPr>
            </w:pPr>
          </w:p>
        </w:tc>
      </w:tr>
      <w:tr>
        <w:trPr>
          <w:trHeight w:val="190"/>
        </w:trPr>
        <w:tc>
          <w:tcPr>
            <w:tcW w:w="654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860" w:type="dxa"/>
            <w:vAlign w:val="bottom"/>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104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80" w:type="dxa"/>
            <w:vAlign w:val="bottom"/>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880" w:type="dxa"/>
            <w:vAlign w:val="bottom"/>
            <w:shd w:val="clear" w:color="auto" w:fill="004054"/>
          </w:tcPr>
          <w:p>
            <w:pPr>
              <w:spacing w:after="0"/>
              <w:rPr>
                <w:sz w:val="16"/>
                <w:szCs w:val="16"/>
                <w:color w:val="auto"/>
              </w:rPr>
            </w:pPr>
          </w:p>
        </w:tc>
        <w:tc>
          <w:tcPr>
            <w:tcW w:w="120" w:type="dxa"/>
            <w:vAlign w:val="bottom"/>
            <w:shd w:val="clear" w:color="auto" w:fill="004054"/>
          </w:tcPr>
          <w:p>
            <w:pPr>
              <w:spacing w:after="0"/>
              <w:rPr>
                <w:sz w:val="16"/>
                <w:szCs w:val="16"/>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6"/>
                <w:szCs w:val="16"/>
                <w:color w:val="auto"/>
              </w:rPr>
            </w:pPr>
          </w:p>
        </w:tc>
      </w:tr>
      <w:tr>
        <w:trPr>
          <w:trHeight w:val="256"/>
        </w:trPr>
        <w:tc>
          <w:tcPr>
            <w:tcW w:w="654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80" w:type="dxa"/>
            <w:vAlign w:val="bottom"/>
            <w:shd w:val="clear" w:color="auto" w:fill="004054"/>
          </w:tcPr>
          <w:p>
            <w:pPr>
              <w:spacing w:after="0"/>
              <w:rPr>
                <w:sz w:val="22"/>
                <w:szCs w:val="22"/>
                <w:color w:val="auto"/>
              </w:rPr>
            </w:pPr>
          </w:p>
        </w:tc>
        <w:tc>
          <w:tcPr>
            <w:tcW w:w="8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40" w:type="dxa"/>
            <w:vAlign w:val="bottom"/>
            <w:shd w:val="clear" w:color="auto" w:fill="004054"/>
          </w:tcPr>
          <w:p>
            <w:pPr>
              <w:spacing w:after="0"/>
              <w:rPr>
                <w:sz w:val="22"/>
                <w:szCs w:val="22"/>
                <w:color w:val="auto"/>
              </w:rPr>
            </w:pPr>
          </w:p>
        </w:tc>
        <w:tc>
          <w:tcPr>
            <w:tcW w:w="104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80" w:type="dxa"/>
            <w:vAlign w:val="bottom"/>
          </w:tcPr>
          <w:p>
            <w:pPr>
              <w:spacing w:after="0"/>
              <w:rPr>
                <w:sz w:val="22"/>
                <w:szCs w:val="22"/>
                <w:color w:val="auto"/>
              </w:rPr>
            </w:pPr>
          </w:p>
        </w:tc>
        <w:tc>
          <w:tcPr>
            <w:tcW w:w="280" w:type="dxa"/>
            <w:vAlign w:val="bottom"/>
            <w:shd w:val="clear" w:color="auto" w:fill="004054"/>
          </w:tcPr>
          <w:p>
            <w:pPr>
              <w:spacing w:after="0"/>
              <w:rPr>
                <w:sz w:val="22"/>
                <w:szCs w:val="22"/>
                <w:color w:val="auto"/>
              </w:rPr>
            </w:pPr>
          </w:p>
        </w:tc>
        <w:tc>
          <w:tcPr>
            <w:tcW w:w="8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20" w:type="dxa"/>
            <w:vAlign w:val="bottom"/>
            <w:shd w:val="clear" w:color="auto" w:fill="004054"/>
          </w:tcPr>
          <w:p>
            <w:pPr>
              <w:spacing w:after="0"/>
              <w:rPr>
                <w:sz w:val="22"/>
                <w:szCs w:val="22"/>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shd w:val="clear" w:color="auto" w:fill="004054"/>
          </w:tcPr>
          <w:p>
            <w:pPr>
              <w:spacing w:after="0"/>
              <w:rPr>
                <w:sz w:val="22"/>
                <w:szCs w:val="22"/>
                <w:color w:val="auto"/>
              </w:rPr>
            </w:pPr>
          </w:p>
        </w:tc>
      </w:tr>
      <w:tr>
        <w:trPr>
          <w:trHeight w:val="26"/>
        </w:trPr>
        <w:tc>
          <w:tcPr>
            <w:tcW w:w="6540" w:type="dxa"/>
            <w:vAlign w:val="bottom"/>
            <w:tcBorders>
              <w:bottom w:val="single" w:sz="8" w:color="004054"/>
            </w:tcBorders>
            <w:shd w:val="clear" w:color="auto" w:fill="004054"/>
          </w:tcPr>
          <w:p>
            <w:pPr>
              <w:spacing w:after="0"/>
              <w:rPr>
                <w:sz w:val="2"/>
                <w:szCs w:val="2"/>
                <w:color w:val="auto"/>
              </w:rPr>
            </w:pPr>
          </w:p>
        </w:tc>
        <w:tc>
          <w:tcPr>
            <w:tcW w:w="280" w:type="dxa"/>
            <w:vAlign w:val="bottom"/>
            <w:tcBorders>
              <w:bottom w:val="single" w:sz="8" w:color="004054"/>
            </w:tcBorders>
            <w:shd w:val="clear" w:color="auto" w:fill="004054"/>
          </w:tcPr>
          <w:p>
            <w:pPr>
              <w:spacing w:after="0"/>
              <w:rPr>
                <w:sz w:val="2"/>
                <w:szCs w:val="2"/>
                <w:color w:val="auto"/>
              </w:rPr>
            </w:pPr>
          </w:p>
        </w:tc>
        <w:tc>
          <w:tcPr>
            <w:tcW w:w="860" w:type="dxa"/>
            <w:vAlign w:val="bottom"/>
            <w:tcBorders>
              <w:bottom w:val="single" w:sz="8" w:color="004054"/>
            </w:tcBorders>
            <w:shd w:val="clear" w:color="auto" w:fill="004054"/>
          </w:tcPr>
          <w:p>
            <w:pPr>
              <w:spacing w:after="0"/>
              <w:rPr>
                <w:sz w:val="2"/>
                <w:szCs w:val="2"/>
                <w:color w:val="auto"/>
              </w:rPr>
            </w:pPr>
          </w:p>
        </w:tc>
        <w:tc>
          <w:tcPr>
            <w:tcW w:w="140" w:type="dxa"/>
            <w:vAlign w:val="bottom"/>
            <w:tcBorders>
              <w:bottom w:val="single" w:sz="8" w:color="004054"/>
            </w:tcBorders>
            <w:shd w:val="clear" w:color="auto" w:fill="004054"/>
          </w:tcPr>
          <w:p>
            <w:pPr>
              <w:spacing w:after="0"/>
              <w:rPr>
                <w:sz w:val="2"/>
                <w:szCs w:val="2"/>
                <w:color w:val="auto"/>
              </w:rPr>
            </w:pPr>
          </w:p>
        </w:tc>
        <w:tc>
          <w:tcPr>
            <w:tcW w:w="1040" w:type="dxa"/>
            <w:vAlign w:val="bottom"/>
            <w:tcBorders>
              <w:bottom w:val="single" w:sz="8" w:color="004054"/>
              <w:right w:val="single" w:sz="8" w:color="004054"/>
            </w:tcBorders>
            <w:shd w:val="clear" w:color="auto" w:fill="004054"/>
          </w:tcPr>
          <w:p>
            <w:pPr>
              <w:spacing w:after="0"/>
              <w:rPr>
                <w:sz w:val="2"/>
                <w:szCs w:val="2"/>
                <w:color w:val="auto"/>
              </w:rPr>
            </w:pPr>
          </w:p>
        </w:tc>
        <w:tc>
          <w:tcPr>
            <w:tcW w:w="80" w:type="dxa"/>
            <w:vAlign w:val="bottom"/>
            <w:tcBorders>
              <w:bottom w:val="single" w:sz="8" w:color="EBFBFF"/>
            </w:tcBorders>
          </w:tcPr>
          <w:p>
            <w:pPr>
              <w:spacing w:after="0"/>
              <w:rPr>
                <w:sz w:val="2"/>
                <w:szCs w:val="2"/>
                <w:color w:val="auto"/>
              </w:rPr>
            </w:pPr>
          </w:p>
        </w:tc>
        <w:tc>
          <w:tcPr>
            <w:tcW w:w="280" w:type="dxa"/>
            <w:vAlign w:val="bottom"/>
            <w:tcBorders>
              <w:bottom w:val="single" w:sz="8" w:color="004054"/>
            </w:tcBorders>
            <w:shd w:val="clear" w:color="auto" w:fill="004054"/>
          </w:tcPr>
          <w:p>
            <w:pPr>
              <w:spacing w:after="0"/>
              <w:rPr>
                <w:sz w:val="2"/>
                <w:szCs w:val="2"/>
                <w:color w:val="auto"/>
              </w:rPr>
            </w:pPr>
          </w:p>
        </w:tc>
        <w:tc>
          <w:tcPr>
            <w:tcW w:w="880" w:type="dxa"/>
            <w:vAlign w:val="bottom"/>
            <w:tcBorders>
              <w:bottom w:val="single" w:sz="8" w:color="004054"/>
            </w:tcBorders>
            <w:shd w:val="clear" w:color="auto" w:fill="004054"/>
          </w:tcPr>
          <w:p>
            <w:pPr>
              <w:spacing w:after="0"/>
              <w:rPr>
                <w:sz w:val="2"/>
                <w:szCs w:val="2"/>
                <w:color w:val="auto"/>
              </w:rPr>
            </w:pPr>
          </w:p>
        </w:tc>
        <w:tc>
          <w:tcPr>
            <w:tcW w:w="120" w:type="dxa"/>
            <w:vAlign w:val="bottom"/>
            <w:tcBorders>
              <w:bottom w:val="single" w:sz="8" w:color="004054"/>
            </w:tcBorders>
            <w:shd w:val="clear" w:color="auto" w:fill="004054"/>
          </w:tcPr>
          <w:p>
            <w:pPr>
              <w:spacing w:after="0"/>
              <w:rPr>
                <w:sz w:val="2"/>
                <w:szCs w:val="2"/>
                <w:color w:val="auto"/>
              </w:rPr>
            </w:pPr>
          </w:p>
        </w:tc>
        <w:tc>
          <w:tcPr>
            <w:tcW w:w="1020" w:type="dxa"/>
            <w:vAlign w:val="bottom"/>
            <w:tcBorders>
              <w:bottom w:val="single" w:sz="8" w:color="004054"/>
            </w:tcBorders>
            <w:shd w:val="clear" w:color="auto" w:fill="004054"/>
          </w:tcPr>
          <w:p>
            <w:pPr>
              <w:spacing w:after="0"/>
              <w:rPr>
                <w:sz w:val="2"/>
                <w:szCs w:val="2"/>
                <w:color w:val="auto"/>
              </w:rPr>
            </w:pPr>
          </w:p>
        </w:tc>
        <w:tc>
          <w:tcPr>
            <w:tcW w:w="20" w:type="dxa"/>
            <w:vAlign w:val="bottom"/>
            <w:tcBorders>
              <w:bottom w:val="single" w:sz="8" w:color="004054"/>
            </w:tcBorders>
            <w:shd w:val="clear" w:color="auto" w:fill="004054"/>
          </w:tcPr>
          <w:p>
            <w:pPr>
              <w:spacing w:after="0"/>
              <w:rPr>
                <w:sz w:val="2"/>
                <w:szCs w:val="2"/>
                <w:color w:val="auto"/>
              </w:rPr>
            </w:pPr>
          </w:p>
        </w:tc>
      </w:tr>
      <w:tr>
        <w:trPr>
          <w:trHeight w:val="244"/>
        </w:trPr>
        <w:tc>
          <w:tcPr>
            <w:tcW w:w="65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Accumulated other comprehensive income (loss), beginning of period</w:t>
            </w:r>
          </w:p>
        </w:tc>
        <w:tc>
          <w:tcPr>
            <w:tcW w:w="280" w:type="dxa"/>
            <w:vAlign w:val="bottom"/>
            <w:tcBorders>
              <w:bottom w:val="single" w:sz="8" w:color="EBFBFF"/>
            </w:tcBorders>
            <w:shd w:val="clear" w:color="auto" w:fill="EBFBFF"/>
          </w:tcPr>
          <w:p>
            <w:pPr>
              <w:jc w:val="right"/>
              <w:ind w:right="70"/>
              <w:spacing w:after="0"/>
              <w:rPr>
                <w:sz w:val="20"/>
                <w:szCs w:val="20"/>
                <w:color w:val="auto"/>
              </w:rPr>
            </w:pPr>
            <w:r>
              <w:rPr>
                <w:rFonts w:ascii="Arial" w:cs="Arial" w:eastAsia="Arial" w:hAnsi="Arial"/>
                <w:sz w:val="18"/>
                <w:szCs w:val="18"/>
                <w:color w:val="51555C"/>
                <w:w w:val="99"/>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7,455</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040" w:type="dxa"/>
            <w:vAlign w:val="bottom"/>
            <w:tcBorders>
              <w:bottom w:val="single" w:sz="8" w:color="EBFBFF"/>
              <w:right w:val="single" w:sz="8" w:color="EBFBFF"/>
            </w:tcBorders>
            <w:shd w:val="clear" w:color="auto" w:fill="EBFBFF"/>
          </w:tcPr>
          <w:p>
            <w:pPr>
              <w:jc w:val="right"/>
              <w:ind w:right="13"/>
              <w:spacing w:after="0"/>
              <w:rPr>
                <w:sz w:val="20"/>
                <w:szCs w:val="20"/>
                <w:color w:val="auto"/>
              </w:rPr>
            </w:pPr>
            <w:r>
              <w:rPr>
                <w:rFonts w:ascii="Arial" w:cs="Arial" w:eastAsia="Arial" w:hAnsi="Arial"/>
                <w:sz w:val="18"/>
                <w:szCs w:val="18"/>
                <w:color w:val="51555C"/>
              </w:rPr>
              <w:t>6,291</w:t>
            </w:r>
          </w:p>
        </w:tc>
        <w:tc>
          <w:tcPr>
            <w:tcW w:w="360" w:type="dxa"/>
            <w:vAlign w:val="bottom"/>
            <w:tcBorders>
              <w:bottom w:val="single" w:sz="8" w:color="EBFBFF"/>
            </w:tcBorders>
            <w:gridSpan w:val="2"/>
            <w:shd w:val="clear" w:color="auto" w:fill="EBFBFF"/>
          </w:tcPr>
          <w:p>
            <w:pPr>
              <w:jc w:val="right"/>
              <w:ind w:right="70"/>
              <w:spacing w:after="0"/>
              <w:rPr>
                <w:sz w:val="20"/>
                <w:szCs w:val="20"/>
                <w:color w:val="auto"/>
              </w:rPr>
            </w:pPr>
            <w:r>
              <w:rPr>
                <w:rFonts w:ascii="Arial" w:cs="Arial" w:eastAsia="Arial" w:hAnsi="Arial"/>
                <w:sz w:val="18"/>
                <w:szCs w:val="18"/>
                <w:color w:val="51555C"/>
              </w:rPr>
              <w:t>$</w:t>
            </w:r>
          </w:p>
        </w:tc>
        <w:tc>
          <w:tcPr>
            <w:tcW w:w="8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6,522</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(2,497)</w:t>
            </w:r>
          </w:p>
        </w:tc>
        <w:tc>
          <w:tcPr>
            <w:tcW w:w="20" w:type="dxa"/>
            <w:vAlign w:val="bottom"/>
          </w:tcPr>
          <w:p>
            <w:pPr>
              <w:spacing w:after="0"/>
              <w:rPr>
                <w:sz w:val="21"/>
                <w:szCs w:val="21"/>
                <w:color w:val="auto"/>
              </w:rPr>
            </w:pP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b w:val="1"/>
                <w:bCs w:val="1"/>
                <w:color w:val="51555C"/>
              </w:rPr>
              <w:t>By component:</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5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b w:val="1"/>
                <w:bCs w:val="1"/>
                <w:color w:val="51555C"/>
              </w:rPr>
              <w:t>Gains and losses on cash flow hedges:</w:t>
            </w:r>
          </w:p>
        </w:tc>
        <w:tc>
          <w:tcPr>
            <w:tcW w:w="28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right w:val="single" w:sz="8" w:color="EBFBFF"/>
            </w:tcBorders>
            <w:shd w:val="clear" w:color="auto" w:fill="EBFBFF"/>
          </w:tcPr>
          <w:p>
            <w:pPr>
              <w:spacing w:after="0"/>
              <w:rPr>
                <w:sz w:val="21"/>
                <w:szCs w:val="21"/>
                <w:color w:val="auto"/>
              </w:rPr>
            </w:pPr>
          </w:p>
        </w:tc>
        <w:tc>
          <w:tcPr>
            <w:tcW w:w="8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88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540" w:type="dxa"/>
            <w:vAlign w:val="bottom"/>
          </w:tcPr>
          <w:p>
            <w:pPr>
              <w:ind w:left="240"/>
              <w:spacing w:after="0"/>
              <w:rPr>
                <w:sz w:val="20"/>
                <w:szCs w:val="20"/>
                <w:color w:val="auto"/>
              </w:rPr>
            </w:pPr>
            <w:r>
              <w:rPr>
                <w:rFonts w:ascii="Arial" w:cs="Arial" w:eastAsia="Arial" w:hAnsi="Arial"/>
                <w:sz w:val="18"/>
                <w:szCs w:val="18"/>
                <w:color w:val="51555C"/>
              </w:rPr>
              <w:t>Accumulated other comprehensive income (loss) balance,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51555C"/>
                <w:w w:val="99"/>
              </w:rPr>
              <w:t>$</w:t>
            </w:r>
          </w:p>
        </w:tc>
        <w:tc>
          <w:tcPr>
            <w:tcW w:w="860" w:type="dxa"/>
            <w:vAlign w:val="bottom"/>
          </w:tcPr>
          <w:p>
            <w:pPr>
              <w:jc w:val="right"/>
              <w:spacing w:after="0"/>
              <w:rPr>
                <w:sz w:val="20"/>
                <w:szCs w:val="20"/>
                <w:color w:val="auto"/>
              </w:rPr>
            </w:pPr>
            <w:r>
              <w:rPr>
                <w:rFonts w:ascii="Arial" w:cs="Arial" w:eastAsia="Arial" w:hAnsi="Arial"/>
                <w:sz w:val="18"/>
                <w:szCs w:val="18"/>
                <w:color w:val="51555C"/>
              </w:rPr>
              <w:t>18,720</w:t>
            </w:r>
          </w:p>
        </w:tc>
        <w:tc>
          <w:tcPr>
            <w:tcW w:w="14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51555C"/>
              </w:rPr>
              <w:t>1,393</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51555C"/>
              </w:rPr>
              <w:t>$</w:t>
            </w:r>
          </w:p>
        </w:tc>
        <w:tc>
          <w:tcPr>
            <w:tcW w:w="880" w:type="dxa"/>
            <w:vAlign w:val="bottom"/>
          </w:tcPr>
          <w:p>
            <w:pPr>
              <w:jc w:val="right"/>
              <w:spacing w:after="0"/>
              <w:rPr>
                <w:sz w:val="20"/>
                <w:szCs w:val="20"/>
                <w:color w:val="auto"/>
              </w:rPr>
            </w:pPr>
            <w:r>
              <w:rPr>
                <w:rFonts w:ascii="Arial" w:cs="Arial" w:eastAsia="Arial" w:hAnsi="Arial"/>
                <w:sz w:val="18"/>
                <w:szCs w:val="18"/>
                <w:color w:val="51555C"/>
              </w:rPr>
              <w:t>5,257</w:t>
            </w:r>
          </w:p>
        </w:tc>
        <w:tc>
          <w:tcPr>
            <w:tcW w:w="12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51555C"/>
              </w:rPr>
              <w:t>(3,101)</w:t>
            </w:r>
          </w:p>
        </w:tc>
        <w:tc>
          <w:tcPr>
            <w:tcW w:w="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96"/>
        </w:trPr>
        <w:tc>
          <w:tcPr>
            <w:tcW w:w="6540" w:type="dxa"/>
            <w:vAlign w:val="bottom"/>
            <w:shd w:val="clear" w:color="auto" w:fill="EBFBFF"/>
          </w:tcPr>
          <w:p>
            <w:pPr>
              <w:ind w:left="360"/>
              <w:spacing w:after="0"/>
              <w:rPr>
                <w:sz w:val="20"/>
                <w:szCs w:val="20"/>
                <w:color w:val="auto"/>
              </w:rPr>
            </w:pPr>
            <w:r>
              <w:rPr>
                <w:rFonts w:ascii="Arial" w:cs="Arial" w:eastAsia="Arial" w:hAnsi="Arial"/>
                <w:sz w:val="18"/>
                <w:szCs w:val="18"/>
                <w:color w:val="51555C"/>
              </w:rPr>
              <w:t>Other comprehensive income (loss) before reclassifications, net of tax effects</w:t>
            </w:r>
          </w:p>
        </w:tc>
        <w:tc>
          <w:tcPr>
            <w:tcW w:w="280" w:type="dxa"/>
            <w:vAlign w:val="bottom"/>
            <w:shd w:val="clear" w:color="auto" w:fill="EBFBFF"/>
          </w:tcPr>
          <w:p>
            <w:pPr>
              <w:spacing w:after="0"/>
              <w:rPr>
                <w:sz w:val="24"/>
                <w:szCs w:val="24"/>
                <w:color w:val="auto"/>
              </w:rPr>
            </w:pPr>
          </w:p>
        </w:tc>
        <w:tc>
          <w:tcPr>
            <w:tcW w:w="860" w:type="dxa"/>
            <w:vAlign w:val="bottom"/>
            <w:shd w:val="clear" w:color="auto" w:fill="EBFBFF"/>
          </w:tcPr>
          <w:p>
            <w:pPr>
              <w:spacing w:after="0"/>
              <w:rPr>
                <w:sz w:val="24"/>
                <w:szCs w:val="24"/>
                <w:color w:val="auto"/>
              </w:rPr>
            </w:pPr>
          </w:p>
        </w:tc>
        <w:tc>
          <w:tcPr>
            <w:tcW w:w="140" w:type="dxa"/>
            <w:vAlign w:val="bottom"/>
            <w:shd w:val="clear" w:color="auto" w:fill="EBFBFF"/>
          </w:tcPr>
          <w:p>
            <w:pPr>
              <w:spacing w:after="0"/>
              <w:rPr>
                <w:sz w:val="24"/>
                <w:szCs w:val="24"/>
                <w:color w:val="auto"/>
              </w:rPr>
            </w:pPr>
          </w:p>
        </w:tc>
        <w:tc>
          <w:tcPr>
            <w:tcW w:w="1040" w:type="dxa"/>
            <w:vAlign w:val="bottom"/>
            <w:tcBorders>
              <w:right w:val="single" w:sz="8" w:color="EBFBFF"/>
            </w:tcBorders>
            <w:shd w:val="clear" w:color="auto" w:fill="EBFBFF"/>
          </w:tcPr>
          <w:p>
            <w:pPr>
              <w:spacing w:after="0"/>
              <w:rPr>
                <w:sz w:val="24"/>
                <w:szCs w:val="24"/>
                <w:color w:val="auto"/>
              </w:rPr>
            </w:pPr>
          </w:p>
        </w:tc>
        <w:tc>
          <w:tcPr>
            <w:tcW w:w="80" w:type="dxa"/>
            <w:vAlign w:val="bottom"/>
            <w:shd w:val="clear" w:color="auto" w:fill="EBFBFF"/>
          </w:tcPr>
          <w:p>
            <w:pPr>
              <w:spacing w:after="0"/>
              <w:rPr>
                <w:sz w:val="24"/>
                <w:szCs w:val="24"/>
                <w:color w:val="auto"/>
              </w:rPr>
            </w:pPr>
          </w:p>
        </w:tc>
        <w:tc>
          <w:tcPr>
            <w:tcW w:w="280" w:type="dxa"/>
            <w:vAlign w:val="bottom"/>
            <w:shd w:val="clear" w:color="auto" w:fill="EBFBFF"/>
          </w:tcPr>
          <w:p>
            <w:pPr>
              <w:spacing w:after="0"/>
              <w:rPr>
                <w:sz w:val="24"/>
                <w:szCs w:val="24"/>
                <w:color w:val="auto"/>
              </w:rPr>
            </w:pPr>
          </w:p>
        </w:tc>
        <w:tc>
          <w:tcPr>
            <w:tcW w:w="880" w:type="dxa"/>
            <w:vAlign w:val="bottom"/>
            <w:shd w:val="clear" w:color="auto" w:fill="EBFBFF"/>
          </w:tcPr>
          <w:p>
            <w:pPr>
              <w:spacing w:after="0"/>
              <w:rPr>
                <w:sz w:val="24"/>
                <w:szCs w:val="24"/>
                <w:color w:val="auto"/>
              </w:rPr>
            </w:pPr>
          </w:p>
        </w:tc>
        <w:tc>
          <w:tcPr>
            <w:tcW w:w="120" w:type="dxa"/>
            <w:vAlign w:val="bottom"/>
            <w:shd w:val="clear" w:color="auto" w:fill="EBFBFF"/>
          </w:tcPr>
          <w:p>
            <w:pPr>
              <w:spacing w:after="0"/>
              <w:rPr>
                <w:sz w:val="24"/>
                <w:szCs w:val="24"/>
                <w:color w:val="auto"/>
              </w:rPr>
            </w:pPr>
          </w:p>
        </w:tc>
        <w:tc>
          <w:tcPr>
            <w:tcW w:w="1020" w:type="dxa"/>
            <w:vAlign w:val="bottom"/>
            <w:shd w:val="clear" w:color="auto" w:fill="EBFBFF"/>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6540" w:type="dxa"/>
            <w:vAlign w:val="bottom"/>
            <w:tcBorders>
              <w:bottom w:val="single" w:sz="8" w:color="EBFBFF"/>
            </w:tcBorders>
            <w:shd w:val="clear" w:color="auto" w:fill="EBFBFF"/>
          </w:tcPr>
          <w:p>
            <w:pPr>
              <w:ind w:left="360"/>
              <w:spacing w:after="0"/>
              <w:rPr>
                <w:sz w:val="20"/>
                <w:szCs w:val="20"/>
                <w:color w:val="auto"/>
              </w:rPr>
            </w:pPr>
            <w:r>
              <w:rPr>
                <w:rFonts w:ascii="Arial" w:cs="Arial" w:eastAsia="Arial" w:hAnsi="Arial"/>
                <w:sz w:val="18"/>
                <w:szCs w:val="18"/>
                <w:color w:val="51555C"/>
              </w:rPr>
              <w:t>of $(2,926), $38, $(7,708) and $(818)</w:t>
            </w:r>
          </w:p>
        </w:tc>
        <w:tc>
          <w:tcPr>
            <w:tcW w:w="28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8,241</w:t>
            </w:r>
          </w:p>
        </w:tc>
        <w:tc>
          <w:tcPr>
            <w:tcW w:w="140" w:type="dxa"/>
            <w:vAlign w:val="bottom"/>
            <w:tcBorders>
              <w:bottom w:val="single" w:sz="8" w:color="EBFBFF"/>
            </w:tcBorders>
            <w:shd w:val="clear" w:color="auto" w:fill="EBFBFF"/>
          </w:tcPr>
          <w:p>
            <w:pPr>
              <w:spacing w:after="0"/>
              <w:rPr>
                <w:sz w:val="19"/>
                <w:szCs w:val="19"/>
                <w:color w:val="auto"/>
              </w:rPr>
            </w:pPr>
          </w:p>
        </w:tc>
        <w:tc>
          <w:tcPr>
            <w:tcW w:w="104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(109)</w:t>
            </w:r>
          </w:p>
        </w:tc>
        <w:tc>
          <w:tcPr>
            <w:tcW w:w="80" w:type="dxa"/>
            <w:vAlign w:val="bottom"/>
            <w:tcBorders>
              <w:bottom w:val="single" w:sz="8" w:color="EBFBFF"/>
            </w:tcBorders>
            <w:shd w:val="clear" w:color="auto" w:fill="EBFBFF"/>
          </w:tcPr>
          <w:p>
            <w:pPr>
              <w:spacing w:after="0"/>
              <w:rPr>
                <w:sz w:val="19"/>
                <w:szCs w:val="19"/>
                <w:color w:val="auto"/>
              </w:rPr>
            </w:pPr>
          </w:p>
        </w:tc>
        <w:tc>
          <w:tcPr>
            <w:tcW w:w="280" w:type="dxa"/>
            <w:vAlign w:val="bottom"/>
            <w:tcBorders>
              <w:bottom w:val="single" w:sz="8" w:color="EBFBFF"/>
            </w:tcBorders>
            <w:shd w:val="clear" w:color="auto" w:fill="EBFBFF"/>
          </w:tcPr>
          <w:p>
            <w:pPr>
              <w:spacing w:after="0"/>
              <w:rPr>
                <w:sz w:val="19"/>
                <w:szCs w:val="19"/>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21,678</w:t>
            </w:r>
          </w:p>
        </w:tc>
        <w:tc>
          <w:tcPr>
            <w:tcW w:w="120" w:type="dxa"/>
            <w:vAlign w:val="bottom"/>
            <w:tcBorders>
              <w:bottom w:val="single" w:sz="8" w:color="EBFBFF"/>
            </w:tcBorders>
            <w:shd w:val="clear" w:color="auto" w:fill="EBFBFF"/>
          </w:tcPr>
          <w:p>
            <w:pPr>
              <w:spacing w:after="0"/>
              <w:rPr>
                <w:sz w:val="19"/>
                <w:szCs w:val="19"/>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2,329</w:t>
            </w:r>
          </w:p>
        </w:tc>
        <w:tc>
          <w:tcPr>
            <w:tcW w:w="20" w:type="dxa"/>
            <w:vAlign w:val="bottom"/>
          </w:tcPr>
          <w:p>
            <w:pPr>
              <w:spacing w:after="0"/>
              <w:rPr>
                <w:sz w:val="19"/>
                <w:szCs w:val="19"/>
                <w:color w:val="auto"/>
              </w:rPr>
            </w:pPr>
          </w:p>
        </w:tc>
      </w:tr>
      <w:tr>
        <w:trPr>
          <w:trHeight w:val="243"/>
        </w:trPr>
        <w:tc>
          <w:tcPr>
            <w:tcW w:w="6540" w:type="dxa"/>
            <w:vAlign w:val="bottom"/>
          </w:tcPr>
          <w:p>
            <w:pPr>
              <w:ind w:left="460"/>
              <w:spacing w:after="0"/>
              <w:rPr>
                <w:sz w:val="20"/>
                <w:szCs w:val="20"/>
                <w:color w:val="auto"/>
              </w:rPr>
            </w:pPr>
            <w:r>
              <w:rPr>
                <w:rFonts w:ascii="Arial" w:cs="Arial" w:eastAsia="Arial" w:hAnsi="Arial"/>
                <w:sz w:val="18"/>
                <w:szCs w:val="18"/>
                <w:color w:val="51555C"/>
              </w:rPr>
              <w:t>Amounts reclassified from accumulated other comprehensive income (loss)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51555C"/>
              </w:rPr>
              <w:t>(1,957)</w:t>
            </w:r>
          </w:p>
        </w:tc>
        <w:tc>
          <w:tcPr>
            <w:tcW w:w="1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51555C"/>
              </w:rPr>
              <w:t>505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51555C"/>
              </w:rPr>
              <w:t>(1,922)</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3,289</w:t>
            </w:r>
          </w:p>
        </w:tc>
        <w:tc>
          <w:tcPr>
            <w:tcW w:w="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540" w:type="dxa"/>
            <w:vAlign w:val="bottom"/>
            <w:tcBorders>
              <w:bottom w:val="single" w:sz="8" w:color="EBFBFF"/>
            </w:tcBorders>
            <w:shd w:val="clear" w:color="auto" w:fill="EBFBFF"/>
          </w:tcPr>
          <w:p>
            <w:pPr>
              <w:ind w:left="460"/>
              <w:spacing w:after="0"/>
              <w:rPr>
                <w:sz w:val="20"/>
                <w:szCs w:val="20"/>
                <w:color w:val="auto"/>
              </w:rPr>
            </w:pPr>
            <w:r>
              <w:rPr>
                <w:rFonts w:ascii="Arial" w:cs="Arial" w:eastAsia="Arial" w:hAnsi="Arial"/>
                <w:sz w:val="18"/>
                <w:szCs w:val="18"/>
                <w:color w:val="51555C"/>
              </w:rPr>
              <w:t>Tax expense (benefit) included in provision for income taxes</w:t>
            </w:r>
          </w:p>
        </w:tc>
        <w:tc>
          <w:tcPr>
            <w:tcW w:w="280" w:type="dxa"/>
            <w:vAlign w:val="bottom"/>
            <w:tcBorders>
              <w:bottom w:val="single" w:sz="8" w:color="EBFBFF"/>
            </w:tcBorders>
            <w:shd w:val="clear" w:color="auto" w:fill="EBFBFF"/>
          </w:tcPr>
          <w:p>
            <w:pPr>
              <w:spacing w:after="0"/>
              <w:rPr>
                <w:sz w:val="23"/>
                <w:szCs w:val="23"/>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513</w:t>
            </w:r>
          </w:p>
        </w:tc>
        <w:tc>
          <w:tcPr>
            <w:tcW w:w="140" w:type="dxa"/>
            <w:vAlign w:val="bottom"/>
            <w:tcBorders>
              <w:bottom w:val="single" w:sz="8" w:color="EBFBFF"/>
            </w:tcBorders>
            <w:shd w:val="clear" w:color="auto" w:fill="EBFBFF"/>
          </w:tcPr>
          <w:p>
            <w:pPr>
              <w:spacing w:after="0"/>
              <w:rPr>
                <w:sz w:val="23"/>
                <w:szCs w:val="23"/>
                <w:color w:val="auto"/>
              </w:rPr>
            </w:pPr>
          </w:p>
        </w:tc>
        <w:tc>
          <w:tcPr>
            <w:tcW w:w="104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(134)</w:t>
            </w:r>
          </w:p>
        </w:tc>
        <w:tc>
          <w:tcPr>
            <w:tcW w:w="80" w:type="dxa"/>
            <w:vAlign w:val="bottom"/>
            <w:tcBorders>
              <w:bottom w:val="single" w:sz="8" w:color="EBFBFF"/>
            </w:tcBorders>
            <w:shd w:val="clear" w:color="auto" w:fill="EBFBFF"/>
          </w:tcPr>
          <w:p>
            <w:pPr>
              <w:spacing w:after="0"/>
              <w:rPr>
                <w:sz w:val="23"/>
                <w:szCs w:val="23"/>
                <w:color w:val="auto"/>
              </w:rPr>
            </w:pPr>
          </w:p>
        </w:tc>
        <w:tc>
          <w:tcPr>
            <w:tcW w:w="280" w:type="dxa"/>
            <w:vAlign w:val="bottom"/>
            <w:tcBorders>
              <w:bottom w:val="single" w:sz="8" w:color="EBFBFF"/>
            </w:tcBorders>
            <w:shd w:val="clear" w:color="auto" w:fill="EBFBFF"/>
          </w:tcPr>
          <w:p>
            <w:pPr>
              <w:spacing w:after="0"/>
              <w:rPr>
                <w:sz w:val="23"/>
                <w:szCs w:val="23"/>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504</w:t>
            </w:r>
          </w:p>
        </w:tc>
        <w:tc>
          <w:tcPr>
            <w:tcW w:w="12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(862)</w:t>
            </w:r>
          </w:p>
        </w:tc>
        <w:tc>
          <w:tcPr>
            <w:tcW w:w="20" w:type="dxa"/>
            <w:vAlign w:val="bottom"/>
          </w:tcPr>
          <w:p>
            <w:pPr>
              <w:spacing w:after="0"/>
              <w:rPr>
                <w:sz w:val="23"/>
                <w:szCs w:val="23"/>
                <w:color w:val="auto"/>
              </w:rPr>
            </w:pPr>
          </w:p>
        </w:tc>
      </w:tr>
      <w:tr>
        <w:trPr>
          <w:trHeight w:val="222"/>
        </w:trPr>
        <w:tc>
          <w:tcPr>
            <w:tcW w:w="6540" w:type="dxa"/>
            <w:vAlign w:val="bottom"/>
          </w:tcPr>
          <w:p>
            <w:pPr>
              <w:ind w:left="360"/>
              <w:spacing w:after="0"/>
              <w:rPr>
                <w:sz w:val="20"/>
                <w:szCs w:val="20"/>
                <w:color w:val="auto"/>
              </w:rPr>
            </w:pPr>
            <w:r>
              <w:rPr>
                <w:rFonts w:ascii="Arial" w:cs="Arial" w:eastAsia="Arial" w:hAnsi="Arial"/>
                <w:sz w:val="18"/>
                <w:szCs w:val="18"/>
                <w:color w:val="51555C"/>
              </w:rPr>
              <w:t>Total amounts reclassified from accumulated other comprehensive income</w:t>
            </w:r>
          </w:p>
        </w:tc>
        <w:tc>
          <w:tcPr>
            <w:tcW w:w="280" w:type="dxa"/>
            <w:vAlign w:val="bottom"/>
            <w:tcBorders>
              <w:top w:val="single" w:sz="8" w:color="51555C"/>
            </w:tcBorders>
          </w:tcPr>
          <w:p>
            <w:pPr>
              <w:spacing w:after="0"/>
              <w:rPr>
                <w:sz w:val="19"/>
                <w:szCs w:val="19"/>
                <w:color w:val="auto"/>
              </w:rPr>
            </w:pPr>
          </w:p>
        </w:tc>
        <w:tc>
          <w:tcPr>
            <w:tcW w:w="860" w:type="dxa"/>
            <w:vAlign w:val="bottom"/>
            <w:tcBorders>
              <w:top w:val="single" w:sz="8" w:color="51555C"/>
            </w:tcBorders>
          </w:tcPr>
          <w:p>
            <w:pPr>
              <w:spacing w:after="0"/>
              <w:rPr>
                <w:sz w:val="19"/>
                <w:szCs w:val="19"/>
                <w:color w:val="auto"/>
              </w:rPr>
            </w:pPr>
          </w:p>
        </w:tc>
        <w:tc>
          <w:tcPr>
            <w:tcW w:w="140" w:type="dxa"/>
            <w:vAlign w:val="bottom"/>
            <w:tcBorders>
              <w:top w:val="single" w:sz="8" w:color="51555C"/>
            </w:tcBorders>
          </w:tcPr>
          <w:p>
            <w:pPr>
              <w:spacing w:after="0"/>
              <w:rPr>
                <w:sz w:val="19"/>
                <w:szCs w:val="19"/>
                <w:color w:val="auto"/>
              </w:rPr>
            </w:pPr>
          </w:p>
        </w:tc>
        <w:tc>
          <w:tcPr>
            <w:tcW w:w="1040" w:type="dxa"/>
            <w:vAlign w:val="bottom"/>
            <w:tcBorders>
              <w:top w:val="single" w:sz="8" w:color="51555C"/>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51555C"/>
            </w:tcBorders>
          </w:tcPr>
          <w:p>
            <w:pPr>
              <w:spacing w:after="0"/>
              <w:rPr>
                <w:sz w:val="19"/>
                <w:szCs w:val="19"/>
                <w:color w:val="auto"/>
              </w:rPr>
            </w:pPr>
          </w:p>
        </w:tc>
        <w:tc>
          <w:tcPr>
            <w:tcW w:w="880" w:type="dxa"/>
            <w:vAlign w:val="bottom"/>
            <w:tcBorders>
              <w:top w:val="single" w:sz="8" w:color="51555C"/>
            </w:tcBorders>
          </w:tcPr>
          <w:p>
            <w:pPr>
              <w:spacing w:after="0"/>
              <w:rPr>
                <w:sz w:val="19"/>
                <w:szCs w:val="19"/>
                <w:color w:val="auto"/>
              </w:rPr>
            </w:pPr>
          </w:p>
        </w:tc>
        <w:tc>
          <w:tcPr>
            <w:tcW w:w="120" w:type="dxa"/>
            <w:vAlign w:val="bottom"/>
            <w:tcBorders>
              <w:top w:val="single" w:sz="8" w:color="51555C"/>
            </w:tcBorders>
          </w:tcPr>
          <w:p>
            <w:pPr>
              <w:spacing w:after="0"/>
              <w:rPr>
                <w:sz w:val="19"/>
                <w:szCs w:val="19"/>
                <w:color w:val="auto"/>
              </w:rPr>
            </w:pPr>
          </w:p>
        </w:tc>
        <w:tc>
          <w:tcPr>
            <w:tcW w:w="1020" w:type="dxa"/>
            <w:vAlign w:val="bottom"/>
            <w:tcBorders>
              <w:top w:val="single" w:sz="8" w:color="51555C"/>
            </w:tcBorders>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6540" w:type="dxa"/>
            <w:vAlign w:val="bottom"/>
          </w:tcPr>
          <w:p>
            <w:pPr>
              <w:ind w:left="360"/>
              <w:spacing w:after="0"/>
              <w:rPr>
                <w:sz w:val="20"/>
                <w:szCs w:val="20"/>
                <w:color w:val="auto"/>
              </w:rPr>
            </w:pPr>
            <w:r>
              <w:rPr>
                <w:rFonts w:ascii="Arial" w:cs="Arial" w:eastAsia="Arial" w:hAnsi="Arial"/>
                <w:sz w:val="18"/>
                <w:szCs w:val="18"/>
                <w:color w:val="51555C"/>
              </w:rPr>
              <w:t>(loss)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51555C"/>
              </w:rPr>
              <w:t>(1,444)</w:t>
            </w:r>
          </w:p>
        </w:tc>
        <w:tc>
          <w:tcPr>
            <w:tcW w:w="14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51555C"/>
              </w:rPr>
              <w:t>371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51555C"/>
              </w:rPr>
              <w:t>(1,418)</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2,427</w:t>
            </w:r>
          </w:p>
        </w:tc>
        <w:tc>
          <w:tcPr>
            <w:tcW w:w="20" w:type="dxa"/>
            <w:vAlign w:val="bottom"/>
          </w:tcPr>
          <w:p>
            <w:pPr>
              <w:spacing w:after="0"/>
              <w:rPr>
                <w:sz w:val="18"/>
                <w:szCs w:val="18"/>
                <w:color w:val="auto"/>
              </w:rPr>
            </w:pPr>
          </w:p>
        </w:tc>
      </w:tr>
      <w:tr>
        <w:trPr>
          <w:trHeight w:val="27"/>
        </w:trPr>
        <w:tc>
          <w:tcPr>
            <w:tcW w:w="6540" w:type="dxa"/>
            <w:vAlign w:val="bottom"/>
            <w:tcBorders>
              <w:bottom w:val="single" w:sz="8" w:color="EBFBFF"/>
            </w:tcBorders>
          </w:tcPr>
          <w:p>
            <w:pPr>
              <w:spacing w:after="0"/>
              <w:rPr>
                <w:sz w:val="2"/>
                <w:szCs w:val="2"/>
                <w:color w:val="auto"/>
              </w:rPr>
            </w:pPr>
          </w:p>
        </w:tc>
        <w:tc>
          <w:tcPr>
            <w:tcW w:w="280" w:type="dxa"/>
            <w:vAlign w:val="bottom"/>
            <w:tcBorders>
              <w:bottom w:val="single" w:sz="8" w:color="51555C"/>
            </w:tcBorders>
          </w:tcPr>
          <w:p>
            <w:pPr>
              <w:spacing w:after="0"/>
              <w:rPr>
                <w:sz w:val="2"/>
                <w:szCs w:val="2"/>
                <w:color w:val="auto"/>
              </w:rPr>
            </w:pPr>
          </w:p>
        </w:tc>
        <w:tc>
          <w:tcPr>
            <w:tcW w:w="860" w:type="dxa"/>
            <w:vAlign w:val="bottom"/>
            <w:tcBorders>
              <w:bottom w:val="single" w:sz="8" w:color="51555C"/>
            </w:tcBorders>
          </w:tcPr>
          <w:p>
            <w:pPr>
              <w:spacing w:after="0"/>
              <w:rPr>
                <w:sz w:val="2"/>
                <w:szCs w:val="2"/>
                <w:color w:val="auto"/>
              </w:rPr>
            </w:pPr>
          </w:p>
        </w:tc>
        <w:tc>
          <w:tcPr>
            <w:tcW w:w="14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80" w:type="dxa"/>
            <w:vAlign w:val="bottom"/>
            <w:tcBorders>
              <w:bottom w:val="single" w:sz="8" w:color="EBFBFF"/>
            </w:tcBorders>
          </w:tcPr>
          <w:p>
            <w:pPr>
              <w:spacing w:after="0"/>
              <w:rPr>
                <w:sz w:val="2"/>
                <w:szCs w:val="2"/>
                <w:color w:val="auto"/>
              </w:rPr>
            </w:pPr>
          </w:p>
        </w:tc>
        <w:tc>
          <w:tcPr>
            <w:tcW w:w="280" w:type="dxa"/>
            <w:vAlign w:val="bottom"/>
            <w:tcBorders>
              <w:bottom w:val="single" w:sz="8" w:color="51555C"/>
            </w:tcBorders>
          </w:tcPr>
          <w:p>
            <w:pPr>
              <w:spacing w:after="0"/>
              <w:rPr>
                <w:sz w:val="2"/>
                <w:szCs w:val="2"/>
                <w:color w:val="auto"/>
              </w:rPr>
            </w:pPr>
          </w:p>
        </w:tc>
        <w:tc>
          <w:tcPr>
            <w:tcW w:w="880" w:type="dxa"/>
            <w:vAlign w:val="bottom"/>
            <w:tcBorders>
              <w:bottom w:val="single" w:sz="8" w:color="51555C"/>
            </w:tcBorders>
          </w:tcPr>
          <w:p>
            <w:pPr>
              <w:spacing w:after="0"/>
              <w:rPr>
                <w:sz w:val="2"/>
                <w:szCs w:val="2"/>
                <w:color w:val="auto"/>
              </w:rPr>
            </w:pPr>
          </w:p>
        </w:tc>
        <w:tc>
          <w:tcPr>
            <w:tcW w:w="120" w:type="dxa"/>
            <w:vAlign w:val="bottom"/>
            <w:tcBorders>
              <w:bottom w:val="single" w:sz="8" w:color="51555C"/>
            </w:tcBorders>
          </w:tcPr>
          <w:p>
            <w:pPr>
              <w:spacing w:after="0"/>
              <w:rPr>
                <w:sz w:val="2"/>
                <w:szCs w:val="2"/>
                <w:color w:val="auto"/>
              </w:rPr>
            </w:pPr>
          </w:p>
        </w:tc>
        <w:tc>
          <w:tcPr>
            <w:tcW w:w="102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654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8"/>
                <w:szCs w:val="18"/>
                <w:color w:val="51555C"/>
              </w:rPr>
              <w:t>Net current-period other comprehensive income</w:t>
            </w:r>
          </w:p>
        </w:tc>
        <w:tc>
          <w:tcPr>
            <w:tcW w:w="280" w:type="dxa"/>
            <w:vAlign w:val="bottom"/>
            <w:tcBorders>
              <w:bottom w:val="single" w:sz="8" w:color="EBFBFF"/>
            </w:tcBorders>
            <w:shd w:val="clear" w:color="auto" w:fill="EBFBFF"/>
          </w:tcPr>
          <w:p>
            <w:pPr>
              <w:spacing w:after="0"/>
              <w:rPr>
                <w:sz w:val="22"/>
                <w:szCs w:val="22"/>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6,797</w:t>
            </w:r>
          </w:p>
        </w:tc>
        <w:tc>
          <w:tcPr>
            <w:tcW w:w="140" w:type="dxa"/>
            <w:vAlign w:val="bottom"/>
            <w:tcBorders>
              <w:bottom w:val="single" w:sz="8" w:color="EBFBFF"/>
            </w:tcBorders>
            <w:shd w:val="clear" w:color="auto" w:fill="EBFBFF"/>
          </w:tcPr>
          <w:p>
            <w:pPr>
              <w:spacing w:after="0"/>
              <w:rPr>
                <w:sz w:val="22"/>
                <w:szCs w:val="22"/>
                <w:color w:val="auto"/>
              </w:rPr>
            </w:pPr>
          </w:p>
        </w:tc>
        <w:tc>
          <w:tcPr>
            <w:tcW w:w="1040" w:type="dxa"/>
            <w:vAlign w:val="bottom"/>
            <w:tcBorders>
              <w:bottom w:val="single" w:sz="8" w:color="EBFBFF"/>
              <w:right w:val="single" w:sz="8" w:color="EBFBFF"/>
            </w:tcBorders>
            <w:shd w:val="clear" w:color="auto" w:fill="EBFBFF"/>
          </w:tcPr>
          <w:p>
            <w:pPr>
              <w:jc w:val="right"/>
              <w:ind w:right="13"/>
              <w:spacing w:after="0"/>
              <w:rPr>
                <w:sz w:val="20"/>
                <w:szCs w:val="20"/>
                <w:color w:val="auto"/>
              </w:rPr>
            </w:pPr>
            <w:r>
              <w:rPr>
                <w:rFonts w:ascii="Arial" w:cs="Arial" w:eastAsia="Arial" w:hAnsi="Arial"/>
                <w:sz w:val="18"/>
                <w:szCs w:val="18"/>
                <w:color w:val="51555C"/>
              </w:rPr>
              <w:t>262</w:t>
            </w:r>
          </w:p>
        </w:tc>
        <w:tc>
          <w:tcPr>
            <w:tcW w:w="80" w:type="dxa"/>
            <w:vAlign w:val="bottom"/>
            <w:tcBorders>
              <w:bottom w:val="single" w:sz="8" w:color="EBFBFF"/>
            </w:tcBorders>
            <w:shd w:val="clear" w:color="auto" w:fill="EBFBFF"/>
          </w:tcPr>
          <w:p>
            <w:pPr>
              <w:spacing w:after="0"/>
              <w:rPr>
                <w:sz w:val="22"/>
                <w:szCs w:val="22"/>
                <w:color w:val="auto"/>
              </w:rPr>
            </w:pPr>
          </w:p>
        </w:tc>
        <w:tc>
          <w:tcPr>
            <w:tcW w:w="280" w:type="dxa"/>
            <w:vAlign w:val="bottom"/>
            <w:tcBorders>
              <w:bottom w:val="single" w:sz="8" w:color="EBFBFF"/>
            </w:tcBorders>
            <w:shd w:val="clear" w:color="auto" w:fill="EBFBFF"/>
          </w:tcPr>
          <w:p>
            <w:pPr>
              <w:spacing w:after="0"/>
              <w:rPr>
                <w:sz w:val="22"/>
                <w:szCs w:val="22"/>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20,260</w:t>
            </w:r>
          </w:p>
        </w:tc>
        <w:tc>
          <w:tcPr>
            <w:tcW w:w="120" w:type="dxa"/>
            <w:vAlign w:val="bottom"/>
            <w:tcBorders>
              <w:bottom w:val="single" w:sz="8" w:color="EBFBFF"/>
            </w:tcBorders>
            <w:shd w:val="clear" w:color="auto" w:fill="EBFBFF"/>
          </w:tcPr>
          <w:p>
            <w:pPr>
              <w:spacing w:after="0"/>
              <w:rPr>
                <w:sz w:val="22"/>
                <w:szCs w:val="22"/>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4,756</w:t>
            </w:r>
          </w:p>
        </w:tc>
        <w:tc>
          <w:tcPr>
            <w:tcW w:w="20" w:type="dxa"/>
            <w:vAlign w:val="bottom"/>
          </w:tcPr>
          <w:p>
            <w:pPr>
              <w:spacing w:after="0"/>
              <w:rPr>
                <w:sz w:val="22"/>
                <w:szCs w:val="22"/>
                <w:color w:val="auto"/>
              </w:rPr>
            </w:pPr>
          </w:p>
        </w:tc>
      </w:tr>
      <w:tr>
        <w:trPr>
          <w:trHeight w:val="237"/>
        </w:trPr>
        <w:tc>
          <w:tcPr>
            <w:tcW w:w="6540" w:type="dxa"/>
            <w:vAlign w:val="bottom"/>
          </w:tcPr>
          <w:p>
            <w:pPr>
              <w:ind w:left="240"/>
              <w:spacing w:after="0"/>
              <w:rPr>
                <w:sz w:val="20"/>
                <w:szCs w:val="20"/>
                <w:color w:val="auto"/>
              </w:rPr>
            </w:pPr>
            <w:r>
              <w:rPr>
                <w:rFonts w:ascii="Arial" w:cs="Arial" w:eastAsia="Arial" w:hAnsi="Arial"/>
                <w:sz w:val="18"/>
                <w:szCs w:val="18"/>
                <w:color w:val="51555C"/>
              </w:rPr>
              <w:t>Accumulated other comprehensive income balance, end of period</w:t>
            </w:r>
          </w:p>
        </w:tc>
        <w:tc>
          <w:tcPr>
            <w:tcW w:w="280" w:type="dxa"/>
            <w:vAlign w:val="bottom"/>
            <w:tcBorders>
              <w:top w:val="single" w:sz="8" w:color="51555C"/>
            </w:tcBorders>
          </w:tcPr>
          <w:p>
            <w:pPr>
              <w:jc w:val="right"/>
              <w:ind w:right="70"/>
              <w:spacing w:after="0"/>
              <w:rPr>
                <w:sz w:val="20"/>
                <w:szCs w:val="20"/>
                <w:color w:val="auto"/>
              </w:rPr>
            </w:pPr>
            <w:r>
              <w:rPr>
                <w:rFonts w:ascii="Arial" w:cs="Arial" w:eastAsia="Arial" w:hAnsi="Arial"/>
                <w:sz w:val="18"/>
                <w:szCs w:val="18"/>
                <w:color w:val="51555C"/>
                <w:w w:val="99"/>
              </w:rPr>
              <w:t>$</w:t>
            </w:r>
          </w:p>
        </w:tc>
        <w:tc>
          <w:tcPr>
            <w:tcW w:w="8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25,517</w:t>
            </w:r>
          </w:p>
        </w:tc>
        <w:tc>
          <w:tcPr>
            <w:tcW w:w="1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040" w:type="dxa"/>
            <w:vAlign w:val="bottom"/>
            <w:tcBorders>
              <w:top w:val="single" w:sz="8" w:color="51555C"/>
            </w:tcBorders>
          </w:tcPr>
          <w:p>
            <w:pPr>
              <w:jc w:val="right"/>
              <w:ind w:right="13"/>
              <w:spacing w:after="0"/>
              <w:rPr>
                <w:sz w:val="20"/>
                <w:szCs w:val="20"/>
                <w:color w:val="auto"/>
              </w:rPr>
            </w:pPr>
            <w:r>
              <w:rPr>
                <w:rFonts w:ascii="Arial" w:cs="Arial" w:eastAsia="Arial" w:hAnsi="Arial"/>
                <w:sz w:val="18"/>
                <w:szCs w:val="18"/>
                <w:color w:val="51555C"/>
              </w:rPr>
              <w:t>1,655</w:t>
            </w:r>
          </w:p>
        </w:tc>
        <w:tc>
          <w:tcPr>
            <w:tcW w:w="80" w:type="dxa"/>
            <w:vAlign w:val="bottom"/>
          </w:tcPr>
          <w:p>
            <w:pPr>
              <w:spacing w:after="0"/>
              <w:rPr>
                <w:sz w:val="20"/>
                <w:szCs w:val="20"/>
                <w:color w:val="auto"/>
              </w:rPr>
            </w:pPr>
          </w:p>
        </w:tc>
        <w:tc>
          <w:tcPr>
            <w:tcW w:w="280" w:type="dxa"/>
            <w:vAlign w:val="bottom"/>
            <w:tcBorders>
              <w:top w:val="single" w:sz="8" w:color="51555C"/>
            </w:tcBorders>
          </w:tcPr>
          <w:p>
            <w:pPr>
              <w:jc w:val="right"/>
              <w:ind w:right="70"/>
              <w:spacing w:after="0"/>
              <w:rPr>
                <w:sz w:val="20"/>
                <w:szCs w:val="20"/>
                <w:color w:val="auto"/>
              </w:rPr>
            </w:pPr>
            <w:r>
              <w:rPr>
                <w:rFonts w:ascii="Arial" w:cs="Arial" w:eastAsia="Arial" w:hAnsi="Arial"/>
                <w:sz w:val="18"/>
                <w:szCs w:val="18"/>
                <w:color w:val="51555C"/>
                <w:w w:val="99"/>
              </w:rPr>
              <w:t>$</w:t>
            </w:r>
          </w:p>
        </w:tc>
        <w:tc>
          <w:tcPr>
            <w:tcW w:w="8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25,517</w:t>
            </w:r>
          </w:p>
        </w:tc>
        <w:tc>
          <w:tcPr>
            <w:tcW w:w="1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0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1,655</w:t>
            </w:r>
          </w:p>
        </w:tc>
        <w:tc>
          <w:tcPr>
            <w:tcW w:w="2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5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b w:val="1"/>
                <w:bCs w:val="1"/>
                <w:color w:val="51555C"/>
              </w:rPr>
              <w:t>Foreign currency translation adjustment:</w:t>
            </w:r>
          </w:p>
        </w:tc>
        <w:tc>
          <w:tcPr>
            <w:tcW w:w="28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right w:val="single" w:sz="8" w:color="EBFBFF"/>
            </w:tcBorders>
            <w:shd w:val="clear" w:color="auto" w:fill="EBFBFF"/>
          </w:tcPr>
          <w:p>
            <w:pPr>
              <w:spacing w:after="0"/>
              <w:rPr>
                <w:sz w:val="21"/>
                <w:szCs w:val="21"/>
                <w:color w:val="auto"/>
              </w:rPr>
            </w:pPr>
          </w:p>
        </w:tc>
        <w:tc>
          <w:tcPr>
            <w:tcW w:w="8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88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540" w:type="dxa"/>
            <w:vAlign w:val="bottom"/>
          </w:tcPr>
          <w:p>
            <w:pPr>
              <w:ind w:left="240"/>
              <w:spacing w:after="0"/>
              <w:rPr>
                <w:sz w:val="20"/>
                <w:szCs w:val="20"/>
                <w:color w:val="auto"/>
              </w:rPr>
            </w:pPr>
            <w:r>
              <w:rPr>
                <w:rFonts w:ascii="Arial" w:cs="Arial" w:eastAsia="Arial" w:hAnsi="Arial"/>
                <w:sz w:val="18"/>
                <w:szCs w:val="18"/>
                <w:color w:val="51555C"/>
              </w:rPr>
              <w:t>Accumulated other comprehensive (loss) income balance,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51555C"/>
                <w:w w:val="99"/>
              </w:rPr>
              <w:t>$</w:t>
            </w:r>
          </w:p>
        </w:tc>
        <w:tc>
          <w:tcPr>
            <w:tcW w:w="860" w:type="dxa"/>
            <w:vAlign w:val="bottom"/>
          </w:tcPr>
          <w:p>
            <w:pPr>
              <w:jc w:val="right"/>
              <w:spacing w:after="0"/>
              <w:rPr>
                <w:sz w:val="20"/>
                <w:szCs w:val="20"/>
                <w:color w:val="auto"/>
              </w:rPr>
            </w:pPr>
            <w:r>
              <w:rPr>
                <w:rFonts w:ascii="Arial" w:cs="Arial" w:eastAsia="Arial" w:hAnsi="Arial"/>
                <w:sz w:val="18"/>
                <w:szCs w:val="18"/>
                <w:color w:val="51555C"/>
              </w:rPr>
              <w:t>(11,265)</w:t>
            </w:r>
          </w:p>
        </w:tc>
        <w:tc>
          <w:tcPr>
            <w:tcW w:w="14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51555C"/>
              </w:rPr>
              <w:t>4,898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51555C"/>
              </w:rPr>
              <w:t>$</w:t>
            </w:r>
          </w:p>
        </w:tc>
        <w:tc>
          <w:tcPr>
            <w:tcW w:w="880" w:type="dxa"/>
            <w:vAlign w:val="bottom"/>
          </w:tcPr>
          <w:p>
            <w:pPr>
              <w:jc w:val="right"/>
              <w:spacing w:after="0"/>
              <w:rPr>
                <w:sz w:val="20"/>
                <w:szCs w:val="20"/>
                <w:color w:val="auto"/>
              </w:rPr>
            </w:pPr>
            <w:r>
              <w:rPr>
                <w:rFonts w:ascii="Arial" w:cs="Arial" w:eastAsia="Arial" w:hAnsi="Arial"/>
                <w:sz w:val="18"/>
                <w:szCs w:val="18"/>
                <w:color w:val="51555C"/>
              </w:rPr>
              <w:t>1,265</w:t>
            </w:r>
          </w:p>
        </w:tc>
        <w:tc>
          <w:tcPr>
            <w:tcW w:w="12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51555C"/>
              </w:rPr>
              <w:t>604</w:t>
            </w:r>
          </w:p>
        </w:tc>
        <w:tc>
          <w:tcPr>
            <w:tcW w:w="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540" w:type="dxa"/>
            <w:vAlign w:val="bottom"/>
            <w:tcBorders>
              <w:bottom w:val="single" w:sz="8" w:color="EBFBFF"/>
            </w:tcBorders>
            <w:shd w:val="clear" w:color="auto" w:fill="EBFBFF"/>
          </w:tcPr>
          <w:p>
            <w:pPr>
              <w:ind w:left="220"/>
              <w:spacing w:after="0"/>
              <w:rPr>
                <w:sz w:val="20"/>
                <w:szCs w:val="20"/>
                <w:color w:val="auto"/>
              </w:rPr>
            </w:pPr>
            <w:r>
              <w:rPr>
                <w:rFonts w:ascii="Arial" w:cs="Arial" w:eastAsia="Arial" w:hAnsi="Arial"/>
                <w:sz w:val="18"/>
                <w:szCs w:val="18"/>
                <w:color w:val="51555C"/>
              </w:rPr>
              <w:t>Translation adjustment</w:t>
            </w:r>
          </w:p>
        </w:tc>
        <w:tc>
          <w:tcPr>
            <w:tcW w:w="280" w:type="dxa"/>
            <w:vAlign w:val="bottom"/>
            <w:tcBorders>
              <w:bottom w:val="single" w:sz="8" w:color="EBFBFF"/>
            </w:tcBorders>
            <w:shd w:val="clear" w:color="auto" w:fill="EBFBFF"/>
          </w:tcPr>
          <w:p>
            <w:pPr>
              <w:spacing w:after="0"/>
              <w:rPr>
                <w:sz w:val="23"/>
                <w:szCs w:val="23"/>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(11,536)</w:t>
            </w:r>
          </w:p>
        </w:tc>
        <w:tc>
          <w:tcPr>
            <w:tcW w:w="140" w:type="dxa"/>
            <w:vAlign w:val="bottom"/>
            <w:tcBorders>
              <w:bottom w:val="single" w:sz="8" w:color="EBFBFF"/>
            </w:tcBorders>
            <w:shd w:val="clear" w:color="auto" w:fill="EBFBFF"/>
          </w:tcPr>
          <w:p>
            <w:pPr>
              <w:spacing w:after="0"/>
              <w:rPr>
                <w:sz w:val="23"/>
                <w:szCs w:val="23"/>
                <w:color w:val="auto"/>
              </w:rPr>
            </w:pPr>
          </w:p>
        </w:tc>
        <w:tc>
          <w:tcPr>
            <w:tcW w:w="104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(3,234)</w:t>
            </w:r>
          </w:p>
        </w:tc>
        <w:tc>
          <w:tcPr>
            <w:tcW w:w="80" w:type="dxa"/>
            <w:vAlign w:val="bottom"/>
            <w:tcBorders>
              <w:bottom w:val="single" w:sz="8" w:color="EBFBFF"/>
            </w:tcBorders>
            <w:shd w:val="clear" w:color="auto" w:fill="EBFBFF"/>
          </w:tcPr>
          <w:p>
            <w:pPr>
              <w:spacing w:after="0"/>
              <w:rPr>
                <w:sz w:val="23"/>
                <w:szCs w:val="23"/>
                <w:color w:val="auto"/>
              </w:rPr>
            </w:pPr>
          </w:p>
        </w:tc>
        <w:tc>
          <w:tcPr>
            <w:tcW w:w="280" w:type="dxa"/>
            <w:vAlign w:val="bottom"/>
            <w:tcBorders>
              <w:bottom w:val="single" w:sz="8" w:color="EBFBFF"/>
            </w:tcBorders>
            <w:shd w:val="clear" w:color="auto" w:fill="EBFBFF"/>
          </w:tcPr>
          <w:p>
            <w:pPr>
              <w:spacing w:after="0"/>
              <w:rPr>
                <w:sz w:val="23"/>
                <w:szCs w:val="23"/>
                <w:color w:val="auto"/>
              </w:rPr>
            </w:pPr>
          </w:p>
        </w:tc>
        <w:tc>
          <w:tcPr>
            <w:tcW w:w="8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(24,066)</w:t>
            </w:r>
          </w:p>
        </w:tc>
        <w:tc>
          <w:tcPr>
            <w:tcW w:w="12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1,060</w:t>
            </w:r>
          </w:p>
        </w:tc>
        <w:tc>
          <w:tcPr>
            <w:tcW w:w="20" w:type="dxa"/>
            <w:vAlign w:val="bottom"/>
          </w:tcPr>
          <w:p>
            <w:pPr>
              <w:spacing w:after="0"/>
              <w:rPr>
                <w:sz w:val="23"/>
                <w:szCs w:val="23"/>
                <w:color w:val="auto"/>
              </w:rPr>
            </w:pPr>
          </w:p>
        </w:tc>
      </w:tr>
      <w:tr>
        <w:trPr>
          <w:trHeight w:val="237"/>
        </w:trPr>
        <w:tc>
          <w:tcPr>
            <w:tcW w:w="6540" w:type="dxa"/>
            <w:vAlign w:val="bottom"/>
          </w:tcPr>
          <w:p>
            <w:pPr>
              <w:ind w:left="240"/>
              <w:spacing w:after="0"/>
              <w:rPr>
                <w:sz w:val="20"/>
                <w:szCs w:val="20"/>
                <w:color w:val="auto"/>
              </w:rPr>
            </w:pPr>
            <w:r>
              <w:rPr>
                <w:rFonts w:ascii="Arial" w:cs="Arial" w:eastAsia="Arial" w:hAnsi="Arial"/>
                <w:sz w:val="18"/>
                <w:szCs w:val="18"/>
                <w:color w:val="51555C"/>
              </w:rPr>
              <w:t>Accumulated other comprehensive (loss) income balance, end of period</w:t>
            </w:r>
          </w:p>
        </w:tc>
        <w:tc>
          <w:tcPr>
            <w:tcW w:w="280" w:type="dxa"/>
            <w:vAlign w:val="bottom"/>
            <w:tcBorders>
              <w:top w:val="single" w:sz="8" w:color="51555C"/>
            </w:tcBorders>
          </w:tcPr>
          <w:p>
            <w:pPr>
              <w:spacing w:after="0"/>
              <w:rPr>
                <w:sz w:val="20"/>
                <w:szCs w:val="20"/>
                <w:color w:val="auto"/>
              </w:rPr>
            </w:pPr>
          </w:p>
        </w:tc>
        <w:tc>
          <w:tcPr>
            <w:tcW w:w="8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(22,801)</w:t>
            </w:r>
          </w:p>
        </w:tc>
        <w:tc>
          <w:tcPr>
            <w:tcW w:w="140" w:type="dxa"/>
            <w:vAlign w:val="bottom"/>
            <w:tcBorders>
              <w:top w:val="single" w:sz="8" w:color="51555C"/>
            </w:tcBorders>
          </w:tcPr>
          <w:p>
            <w:pPr>
              <w:spacing w:after="0"/>
              <w:rPr>
                <w:sz w:val="20"/>
                <w:szCs w:val="20"/>
                <w:color w:val="auto"/>
              </w:rPr>
            </w:pPr>
          </w:p>
        </w:tc>
        <w:tc>
          <w:tcPr>
            <w:tcW w:w="1040" w:type="dxa"/>
            <w:vAlign w:val="bottom"/>
            <w:tcBorders>
              <w:top w:val="single" w:sz="8" w:color="51555C"/>
            </w:tcBorders>
          </w:tcPr>
          <w:p>
            <w:pPr>
              <w:jc w:val="right"/>
              <w:ind w:right="13"/>
              <w:spacing w:after="0"/>
              <w:rPr>
                <w:sz w:val="20"/>
                <w:szCs w:val="20"/>
                <w:color w:val="auto"/>
              </w:rPr>
            </w:pPr>
            <w:r>
              <w:rPr>
                <w:rFonts w:ascii="Arial" w:cs="Arial" w:eastAsia="Arial" w:hAnsi="Arial"/>
                <w:sz w:val="18"/>
                <w:szCs w:val="18"/>
                <w:color w:val="51555C"/>
              </w:rPr>
              <w:t>1,664</w:t>
            </w:r>
          </w:p>
        </w:tc>
        <w:tc>
          <w:tcPr>
            <w:tcW w:w="80" w:type="dxa"/>
            <w:vAlign w:val="bottom"/>
          </w:tcPr>
          <w:p>
            <w:pPr>
              <w:spacing w:after="0"/>
              <w:rPr>
                <w:sz w:val="20"/>
                <w:szCs w:val="20"/>
                <w:color w:val="auto"/>
              </w:rPr>
            </w:pPr>
          </w:p>
        </w:tc>
        <w:tc>
          <w:tcPr>
            <w:tcW w:w="280" w:type="dxa"/>
            <w:vAlign w:val="bottom"/>
            <w:tcBorders>
              <w:top w:val="single" w:sz="8" w:color="51555C"/>
            </w:tcBorders>
          </w:tcPr>
          <w:p>
            <w:pPr>
              <w:spacing w:after="0"/>
              <w:rPr>
                <w:sz w:val="20"/>
                <w:szCs w:val="20"/>
                <w:color w:val="auto"/>
              </w:rPr>
            </w:pPr>
          </w:p>
        </w:tc>
        <w:tc>
          <w:tcPr>
            <w:tcW w:w="8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(22,801)</w:t>
            </w:r>
          </w:p>
        </w:tc>
        <w:tc>
          <w:tcPr>
            <w:tcW w:w="120" w:type="dxa"/>
            <w:vAlign w:val="bottom"/>
            <w:tcBorders>
              <w:top w:val="single" w:sz="8" w:color="51555C"/>
            </w:tcBorders>
          </w:tcPr>
          <w:p>
            <w:pPr>
              <w:spacing w:after="0"/>
              <w:rPr>
                <w:sz w:val="20"/>
                <w:szCs w:val="20"/>
                <w:color w:val="auto"/>
              </w:rPr>
            </w:pPr>
          </w:p>
        </w:tc>
        <w:tc>
          <w:tcPr>
            <w:tcW w:w="10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1,664</w:t>
            </w:r>
          </w:p>
        </w:tc>
        <w:tc>
          <w:tcPr>
            <w:tcW w:w="20" w:type="dxa"/>
            <w:vAlign w:val="bottom"/>
          </w:tcPr>
          <w:p>
            <w:pPr>
              <w:spacing w:after="0"/>
              <w:rPr>
                <w:sz w:val="20"/>
                <w:szCs w:val="20"/>
                <w:color w:val="auto"/>
              </w:rPr>
            </w:pPr>
          </w:p>
        </w:tc>
      </w:tr>
      <w:tr>
        <w:trPr>
          <w:trHeight w:val="27"/>
        </w:trPr>
        <w:tc>
          <w:tcPr>
            <w:tcW w:w="6540" w:type="dxa"/>
            <w:vAlign w:val="bottom"/>
            <w:tcBorders>
              <w:bottom w:val="single" w:sz="8" w:color="EBFBFF"/>
            </w:tcBorders>
          </w:tcPr>
          <w:p>
            <w:pPr>
              <w:spacing w:after="0"/>
              <w:rPr>
                <w:sz w:val="2"/>
                <w:szCs w:val="2"/>
                <w:color w:val="auto"/>
              </w:rPr>
            </w:pPr>
          </w:p>
        </w:tc>
        <w:tc>
          <w:tcPr>
            <w:tcW w:w="280" w:type="dxa"/>
            <w:vAlign w:val="bottom"/>
            <w:tcBorders>
              <w:bottom w:val="single" w:sz="8" w:color="51555C"/>
            </w:tcBorders>
          </w:tcPr>
          <w:p>
            <w:pPr>
              <w:spacing w:after="0"/>
              <w:rPr>
                <w:sz w:val="2"/>
                <w:szCs w:val="2"/>
                <w:color w:val="auto"/>
              </w:rPr>
            </w:pPr>
          </w:p>
        </w:tc>
        <w:tc>
          <w:tcPr>
            <w:tcW w:w="860" w:type="dxa"/>
            <w:vAlign w:val="bottom"/>
            <w:tcBorders>
              <w:bottom w:val="single" w:sz="8" w:color="51555C"/>
            </w:tcBorders>
          </w:tcPr>
          <w:p>
            <w:pPr>
              <w:spacing w:after="0"/>
              <w:rPr>
                <w:sz w:val="2"/>
                <w:szCs w:val="2"/>
                <w:color w:val="auto"/>
              </w:rPr>
            </w:pPr>
          </w:p>
        </w:tc>
        <w:tc>
          <w:tcPr>
            <w:tcW w:w="14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80" w:type="dxa"/>
            <w:vAlign w:val="bottom"/>
            <w:tcBorders>
              <w:bottom w:val="single" w:sz="8" w:color="EBFBFF"/>
            </w:tcBorders>
          </w:tcPr>
          <w:p>
            <w:pPr>
              <w:spacing w:after="0"/>
              <w:rPr>
                <w:sz w:val="2"/>
                <w:szCs w:val="2"/>
                <w:color w:val="auto"/>
              </w:rPr>
            </w:pPr>
          </w:p>
        </w:tc>
        <w:tc>
          <w:tcPr>
            <w:tcW w:w="280" w:type="dxa"/>
            <w:vAlign w:val="bottom"/>
            <w:tcBorders>
              <w:bottom w:val="single" w:sz="8" w:color="51555C"/>
            </w:tcBorders>
          </w:tcPr>
          <w:p>
            <w:pPr>
              <w:spacing w:after="0"/>
              <w:rPr>
                <w:sz w:val="2"/>
                <w:szCs w:val="2"/>
                <w:color w:val="auto"/>
              </w:rPr>
            </w:pPr>
          </w:p>
        </w:tc>
        <w:tc>
          <w:tcPr>
            <w:tcW w:w="880" w:type="dxa"/>
            <w:vAlign w:val="bottom"/>
            <w:tcBorders>
              <w:bottom w:val="single" w:sz="8" w:color="51555C"/>
            </w:tcBorders>
          </w:tcPr>
          <w:p>
            <w:pPr>
              <w:spacing w:after="0"/>
              <w:rPr>
                <w:sz w:val="2"/>
                <w:szCs w:val="2"/>
                <w:color w:val="auto"/>
              </w:rPr>
            </w:pPr>
          </w:p>
        </w:tc>
        <w:tc>
          <w:tcPr>
            <w:tcW w:w="120" w:type="dxa"/>
            <w:vAlign w:val="bottom"/>
            <w:tcBorders>
              <w:bottom w:val="single" w:sz="8" w:color="51555C"/>
            </w:tcBorders>
          </w:tcPr>
          <w:p>
            <w:pPr>
              <w:spacing w:after="0"/>
              <w:rPr>
                <w:sz w:val="2"/>
                <w:szCs w:val="2"/>
                <w:color w:val="auto"/>
              </w:rPr>
            </w:pPr>
          </w:p>
        </w:tc>
        <w:tc>
          <w:tcPr>
            <w:tcW w:w="102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65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Accumulated other comprehensive income, end of period</w:t>
            </w:r>
          </w:p>
        </w:tc>
        <w:tc>
          <w:tcPr>
            <w:tcW w:w="280" w:type="dxa"/>
            <w:vAlign w:val="bottom"/>
            <w:tcBorders>
              <w:bottom w:val="single" w:sz="8" w:color="EBFBFF"/>
            </w:tcBorders>
            <w:shd w:val="clear" w:color="auto" w:fill="EBFBFF"/>
          </w:tcPr>
          <w:p>
            <w:pPr>
              <w:jc w:val="right"/>
              <w:ind w:right="70"/>
              <w:spacing w:after="0"/>
              <w:rPr>
                <w:sz w:val="20"/>
                <w:szCs w:val="20"/>
                <w:color w:val="auto"/>
              </w:rPr>
            </w:pPr>
            <w:r>
              <w:rPr>
                <w:rFonts w:ascii="Arial" w:cs="Arial" w:eastAsia="Arial" w:hAnsi="Arial"/>
                <w:sz w:val="18"/>
                <w:szCs w:val="18"/>
                <w:color w:val="51555C"/>
                <w:w w:val="99"/>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2,716</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040" w:type="dxa"/>
            <w:vAlign w:val="bottom"/>
            <w:tcBorders>
              <w:bottom w:val="single" w:sz="8" w:color="EBFBFF"/>
              <w:right w:val="single" w:sz="8" w:color="EBFBFF"/>
            </w:tcBorders>
            <w:shd w:val="clear" w:color="auto" w:fill="EBFBFF"/>
          </w:tcPr>
          <w:p>
            <w:pPr>
              <w:jc w:val="right"/>
              <w:ind w:right="13"/>
              <w:spacing w:after="0"/>
              <w:rPr>
                <w:sz w:val="20"/>
                <w:szCs w:val="20"/>
                <w:color w:val="auto"/>
              </w:rPr>
            </w:pPr>
            <w:r>
              <w:rPr>
                <w:rFonts w:ascii="Arial" w:cs="Arial" w:eastAsia="Arial" w:hAnsi="Arial"/>
                <w:sz w:val="18"/>
                <w:szCs w:val="18"/>
                <w:color w:val="51555C"/>
              </w:rPr>
              <w:t>3,319</w:t>
            </w:r>
          </w:p>
        </w:tc>
        <w:tc>
          <w:tcPr>
            <w:tcW w:w="360" w:type="dxa"/>
            <w:vAlign w:val="bottom"/>
            <w:tcBorders>
              <w:bottom w:val="single" w:sz="8" w:color="EBFBFF"/>
            </w:tcBorders>
            <w:gridSpan w:val="2"/>
            <w:shd w:val="clear" w:color="auto" w:fill="EBFBFF"/>
          </w:tcPr>
          <w:p>
            <w:pPr>
              <w:jc w:val="right"/>
              <w:ind w:right="70"/>
              <w:spacing w:after="0"/>
              <w:rPr>
                <w:sz w:val="20"/>
                <w:szCs w:val="20"/>
                <w:color w:val="auto"/>
              </w:rPr>
            </w:pPr>
            <w:r>
              <w:rPr>
                <w:rFonts w:ascii="Arial" w:cs="Arial" w:eastAsia="Arial" w:hAnsi="Arial"/>
                <w:sz w:val="18"/>
                <w:szCs w:val="18"/>
                <w:color w:val="51555C"/>
              </w:rPr>
              <w:t>$</w:t>
            </w:r>
          </w:p>
        </w:tc>
        <w:tc>
          <w:tcPr>
            <w:tcW w:w="8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2,716</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3,319</w:t>
            </w:r>
          </w:p>
        </w:tc>
        <w:tc>
          <w:tcPr>
            <w:tcW w:w="20" w:type="dxa"/>
            <w:vAlign w:val="bottom"/>
          </w:tcPr>
          <w:p>
            <w:pPr>
              <w:spacing w:after="0"/>
              <w:rPr>
                <w:sz w:val="21"/>
                <w:szCs w:val="21"/>
                <w:color w:val="auto"/>
              </w:rPr>
            </w:pPr>
          </w:p>
        </w:tc>
      </w:tr>
      <w:tr>
        <w:trPr>
          <w:trHeight w:val="20"/>
        </w:trPr>
        <w:tc>
          <w:tcPr>
            <w:tcW w:w="6540" w:type="dxa"/>
            <w:vAlign w:val="bottom"/>
            <w:shd w:val="clear" w:color="auto" w:fill="0CD973"/>
          </w:tcPr>
          <w:p>
            <w:pPr>
              <w:spacing w:after="0" w:line="20" w:lineRule="exact"/>
              <w:rPr>
                <w:sz w:val="1"/>
                <w:szCs w:val="1"/>
                <w:color w:val="auto"/>
              </w:rPr>
            </w:pPr>
          </w:p>
        </w:tc>
        <w:tc>
          <w:tcPr>
            <w:tcW w:w="280" w:type="dxa"/>
            <w:vAlign w:val="bottom"/>
            <w:shd w:val="clear" w:color="auto" w:fill="0CD973"/>
          </w:tcPr>
          <w:p>
            <w:pPr>
              <w:spacing w:after="0" w:line="20" w:lineRule="exact"/>
              <w:rPr>
                <w:sz w:val="1"/>
                <w:szCs w:val="1"/>
                <w:color w:val="auto"/>
              </w:rPr>
            </w:pPr>
          </w:p>
        </w:tc>
        <w:tc>
          <w:tcPr>
            <w:tcW w:w="860" w:type="dxa"/>
            <w:vAlign w:val="bottom"/>
            <w:shd w:val="clear" w:color="auto" w:fill="0CD973"/>
          </w:tcPr>
          <w:p>
            <w:pPr>
              <w:spacing w:after="0" w:line="20" w:lineRule="exact"/>
              <w:rPr>
                <w:sz w:val="1"/>
                <w:szCs w:val="1"/>
                <w:color w:val="auto"/>
              </w:rPr>
            </w:pPr>
          </w:p>
        </w:tc>
        <w:tc>
          <w:tcPr>
            <w:tcW w:w="140" w:type="dxa"/>
            <w:vAlign w:val="bottom"/>
            <w:shd w:val="clear" w:color="auto" w:fill="0CD973"/>
          </w:tcPr>
          <w:p>
            <w:pPr>
              <w:spacing w:after="0" w:line="20" w:lineRule="exact"/>
              <w:rPr>
                <w:sz w:val="1"/>
                <w:szCs w:val="1"/>
                <w:color w:val="auto"/>
              </w:rPr>
            </w:pPr>
          </w:p>
        </w:tc>
        <w:tc>
          <w:tcPr>
            <w:tcW w:w="1040" w:type="dxa"/>
            <w:vAlign w:val="bottom"/>
            <w:tcBorders>
              <w:right w:val="single" w:sz="8" w:color="0CD973"/>
            </w:tcBorders>
            <w:shd w:val="clear" w:color="auto" w:fill="0CD973"/>
          </w:tcPr>
          <w:p>
            <w:pPr>
              <w:spacing w:after="0" w:line="20" w:lineRule="exact"/>
              <w:rPr>
                <w:sz w:val="1"/>
                <w:szCs w:val="1"/>
                <w:color w:val="auto"/>
              </w:rPr>
            </w:pPr>
          </w:p>
        </w:tc>
        <w:tc>
          <w:tcPr>
            <w:tcW w:w="80" w:type="dxa"/>
            <w:vAlign w:val="bottom"/>
            <w:shd w:val="clear" w:color="auto" w:fill="0CD973"/>
          </w:tcPr>
          <w:p>
            <w:pPr>
              <w:spacing w:after="0" w:line="20" w:lineRule="exact"/>
              <w:rPr>
                <w:sz w:val="1"/>
                <w:szCs w:val="1"/>
                <w:color w:val="auto"/>
              </w:rPr>
            </w:pPr>
          </w:p>
        </w:tc>
        <w:tc>
          <w:tcPr>
            <w:tcW w:w="280" w:type="dxa"/>
            <w:vAlign w:val="bottom"/>
            <w:shd w:val="clear" w:color="auto" w:fill="0CD973"/>
          </w:tcPr>
          <w:p>
            <w:pPr>
              <w:spacing w:after="0" w:line="20" w:lineRule="exact"/>
              <w:rPr>
                <w:sz w:val="1"/>
                <w:szCs w:val="1"/>
                <w:color w:val="auto"/>
              </w:rPr>
            </w:pPr>
          </w:p>
        </w:tc>
        <w:tc>
          <w:tcPr>
            <w:tcW w:w="88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-3085465</wp:posOffset>
            </wp:positionV>
            <wp:extent cx="29914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31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13.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Transaction price allocated to the remaining performance obligations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As of September 30, 2022, approximately $1.0 billion of revenue is expected to be recognized from remaining performance obligations. We expect to recognize revenue on approximately 60% of these remaining performance obligations over the next 12 months, with the remainder recognized thereafter.</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We applied the practical expedient in ASC 606-10-50-14 and have excluded the value of unsatisfied performance obligations for (i) contracts with an original expected length of one year or less (one-time services); and (ii) contracts for which we recognize revenue at the amount to which we have the right to invoice for services performed (transactional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214630</wp:posOffset>
            </wp:positionV>
            <wp:extent cx="65976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23</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Contract balances</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Our contract assets as of September 30, 2022 and December 31, 2021 were insignificant. Our closing balances of deferred revenue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shd w:val="clear" w:color="auto" w:fill="004054"/>
          </w:tcPr>
          <w:p>
            <w:pPr>
              <w:spacing w:after="0"/>
              <w:rPr>
                <w:sz w:val="17"/>
                <w:szCs w:val="17"/>
                <w:color w:val="auto"/>
              </w:rPr>
            </w:pPr>
          </w:p>
        </w:tc>
        <w:tc>
          <w:tcPr>
            <w:tcW w:w="380" w:type="dxa"/>
            <w:vAlign w:val="bottom"/>
            <w:shd w:val="clear" w:color="auto" w:fill="004054"/>
          </w:tcPr>
          <w:p>
            <w:pPr>
              <w:spacing w:after="0"/>
              <w:rPr>
                <w:sz w:val="17"/>
                <w:szCs w:val="17"/>
                <w:color w:val="auto"/>
              </w:rPr>
            </w:pPr>
          </w:p>
        </w:tc>
        <w:tc>
          <w:tcPr>
            <w:tcW w:w="12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420" w:type="dxa"/>
            <w:vAlign w:val="bottom"/>
            <w:shd w:val="clear" w:color="auto" w:fill="004054"/>
          </w:tcPr>
          <w:p>
            <w:pPr>
              <w:spacing w:after="0"/>
              <w:rPr>
                <w:sz w:val="17"/>
                <w:szCs w:val="17"/>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9"/>
        </w:trPr>
        <w:tc>
          <w:tcPr>
            <w:tcW w:w="79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(in thousands)</w:t>
            </w:r>
          </w:p>
        </w:tc>
        <w:tc>
          <w:tcPr>
            <w:tcW w:w="380" w:type="dxa"/>
            <w:vAlign w:val="bottom"/>
            <w:tcBorders>
              <w:bottom w:val="single" w:sz="8" w:color="004054"/>
            </w:tcBorders>
            <w:shd w:val="clear" w:color="auto" w:fill="004054"/>
          </w:tcPr>
          <w:p>
            <w:pPr>
              <w:spacing w:after="0"/>
              <w:rPr>
                <w:sz w:val="18"/>
                <w:szCs w:val="18"/>
                <w:color w:val="auto"/>
              </w:rPr>
            </w:pPr>
          </w:p>
        </w:tc>
        <w:tc>
          <w:tcPr>
            <w:tcW w:w="12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420" w:type="dxa"/>
            <w:vAlign w:val="bottom"/>
            <w:tcBorders>
              <w:bottom w:val="single" w:sz="8" w:color="004054"/>
            </w:tcBorders>
            <w:shd w:val="clear" w:color="auto" w:fill="004054"/>
          </w:tcPr>
          <w:p>
            <w:pPr>
              <w:spacing w:after="0"/>
              <w:rPr>
                <w:sz w:val="18"/>
                <w:szCs w:val="18"/>
                <w:color w:val="auto"/>
              </w:rPr>
            </w:pPr>
          </w:p>
        </w:tc>
        <w:tc>
          <w:tcPr>
            <w:tcW w:w="12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18"/>
                <w:szCs w:val="18"/>
                <w:color w:val="auto"/>
              </w:rPr>
            </w:pP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51555C"/>
              </w:rPr>
              <w:t>Total deferred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51555C"/>
                <w:w w:val="99"/>
              </w:rPr>
              <w:t>$</w:t>
            </w:r>
          </w:p>
        </w:tc>
        <w:tc>
          <w:tcPr>
            <w:tcW w:w="1280" w:type="dxa"/>
            <w:vAlign w:val="bottom"/>
          </w:tcPr>
          <w:p>
            <w:pPr>
              <w:jc w:val="right"/>
              <w:ind w:right="2"/>
              <w:spacing w:after="0"/>
              <w:rPr>
                <w:sz w:val="20"/>
                <w:szCs w:val="20"/>
                <w:color w:val="auto"/>
              </w:rPr>
            </w:pPr>
            <w:r>
              <w:rPr>
                <w:rFonts w:ascii="Arial" w:cs="Arial" w:eastAsia="Arial" w:hAnsi="Arial"/>
                <w:sz w:val="18"/>
                <w:szCs w:val="18"/>
                <w:color w:val="51555C"/>
              </w:rPr>
              <w:t>396,599</w:t>
            </w:r>
          </w:p>
        </w:tc>
        <w:tc>
          <w:tcPr>
            <w:tcW w:w="420" w:type="dxa"/>
            <w:vAlign w:val="bottom"/>
          </w:tcPr>
          <w:p>
            <w:pPr>
              <w:jc w:val="right"/>
              <w:ind w:right="210"/>
              <w:spacing w:after="0"/>
              <w:rPr>
                <w:sz w:val="20"/>
                <w:szCs w:val="20"/>
                <w:color w:val="auto"/>
              </w:rPr>
            </w:pPr>
            <w:r>
              <w:rPr>
                <w:rFonts w:ascii="Arial" w:cs="Arial" w:eastAsia="Arial" w:hAnsi="Arial"/>
                <w:sz w:val="18"/>
                <w:szCs w:val="18"/>
                <w:color w:val="51555C"/>
                <w:w w:val="99"/>
              </w:rPr>
              <w:t>$</w:t>
            </w:r>
          </w:p>
        </w:tc>
        <w:tc>
          <w:tcPr>
            <w:tcW w:w="1240" w:type="dxa"/>
            <w:vAlign w:val="bottom"/>
          </w:tcPr>
          <w:p>
            <w:pPr>
              <w:jc w:val="right"/>
              <w:ind w:right="2"/>
              <w:spacing w:after="0"/>
              <w:rPr>
                <w:sz w:val="20"/>
                <w:szCs w:val="20"/>
                <w:color w:val="auto"/>
              </w:rPr>
            </w:pPr>
            <w:r>
              <w:rPr>
                <w:rFonts w:ascii="Arial" w:cs="Arial" w:eastAsia="Arial" w:hAnsi="Arial"/>
                <w:sz w:val="18"/>
                <w:szCs w:val="18"/>
                <w:color w:val="51555C"/>
              </w:rPr>
              <w:t>378,746</w:t>
            </w:r>
          </w:p>
        </w:tc>
        <w:tc>
          <w:tcPr>
            <w:tcW w:w="20" w:type="dxa"/>
            <w:vAlign w:val="bottom"/>
          </w:tcPr>
          <w:p>
            <w:pPr>
              <w:spacing w:after="0"/>
              <w:rPr>
                <w:sz w:val="21"/>
                <w:szCs w:val="21"/>
                <w:color w:val="auto"/>
              </w:rPr>
            </w:pPr>
          </w:p>
        </w:tc>
      </w:tr>
      <w:tr>
        <w:trPr>
          <w:trHeight w:val="27"/>
        </w:trPr>
        <w:tc>
          <w:tcPr>
            <w:tcW w:w="7920" w:type="dxa"/>
            <w:vAlign w:val="bottom"/>
            <w:tcBorders>
              <w:bottom w:val="single" w:sz="8" w:color="0CD973"/>
            </w:tcBorders>
          </w:tcPr>
          <w:p>
            <w:pPr>
              <w:spacing w:after="0"/>
              <w:rPr>
                <w:sz w:val="2"/>
                <w:szCs w:val="2"/>
                <w:color w:val="auto"/>
              </w:rPr>
            </w:pPr>
          </w:p>
        </w:tc>
        <w:tc>
          <w:tcPr>
            <w:tcW w:w="380" w:type="dxa"/>
            <w:vAlign w:val="bottom"/>
            <w:tcBorders>
              <w:bottom w:val="single" w:sz="8" w:color="0CD973"/>
            </w:tcBorders>
          </w:tcPr>
          <w:p>
            <w:pPr>
              <w:spacing w:after="0"/>
              <w:rPr>
                <w:sz w:val="2"/>
                <w:szCs w:val="2"/>
                <w:color w:val="auto"/>
              </w:rPr>
            </w:pPr>
          </w:p>
        </w:tc>
        <w:tc>
          <w:tcPr>
            <w:tcW w:w="1280" w:type="dxa"/>
            <w:vAlign w:val="bottom"/>
            <w:tcBorders>
              <w:bottom w:val="single" w:sz="8" w:color="0CD973"/>
            </w:tcBorders>
          </w:tcPr>
          <w:p>
            <w:pPr>
              <w:spacing w:after="0"/>
              <w:rPr>
                <w:sz w:val="2"/>
                <w:szCs w:val="2"/>
                <w:color w:val="auto"/>
              </w:rPr>
            </w:pPr>
          </w:p>
        </w:tc>
        <w:tc>
          <w:tcPr>
            <w:tcW w:w="420" w:type="dxa"/>
            <w:vAlign w:val="bottom"/>
            <w:tcBorders>
              <w:bottom w:val="single" w:sz="8" w:color="0CD973"/>
            </w:tcBorders>
          </w:tcPr>
          <w:p>
            <w:pPr>
              <w:spacing w:after="0"/>
              <w:rPr>
                <w:sz w:val="2"/>
                <w:szCs w:val="2"/>
                <w:color w:val="auto"/>
              </w:rPr>
            </w:pPr>
          </w:p>
        </w:tc>
        <w:tc>
          <w:tcPr>
            <w:tcW w:w="124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56"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The increase in deferred revenue during the nine months ended September 30, 2022 was primarily due to a seasonal increase in customer contract renewals. Historically, due to the timing of customer budget cycles, we have an increase in customer contract renewals at or near the beginning of our third quarter. Generally, our lowest balance of deferred revenue during the year is at the end of our first quarter. The amount of revenue recognized during the nine months ended September 30, 2022 that was included in the deferred revenue balance at the beginning of the period was approximately $303 million. The amount of revenue recognized during the nine months ended September 30, 2022 from performance obligations satisfied in prior periods was insignificant.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Disaggregation of revenue</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We sell our cloud solutions and related services in three primary geographical markets: to customers in the United States, to customers in the United Kingdom and to customers located in other countries. The following table presents our revenue by geographic area based on the address of our customers: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shd w:val="clear" w:color="auto" w:fill="004054"/>
          </w:tcPr>
          <w:p>
            <w:pPr>
              <w:spacing w:after="0"/>
              <w:rPr>
                <w:sz w:val="16"/>
                <w:szCs w:val="16"/>
                <w:color w:val="auto"/>
              </w:rPr>
            </w:pPr>
          </w:p>
        </w:tc>
        <w:tc>
          <w:tcPr>
            <w:tcW w:w="500" w:type="dxa"/>
            <w:vAlign w:val="bottom"/>
            <w:shd w:val="clear" w:color="auto" w:fill="004054"/>
          </w:tcPr>
          <w:p>
            <w:pPr>
              <w:spacing w:after="0"/>
              <w:rPr>
                <w:sz w:val="16"/>
                <w:szCs w:val="16"/>
                <w:color w:val="auto"/>
              </w:rPr>
            </w:pPr>
          </w:p>
        </w:tc>
        <w:tc>
          <w:tcPr>
            <w:tcW w:w="1140" w:type="dxa"/>
            <w:vAlign w:val="bottom"/>
            <w:shd w:val="clear" w:color="auto" w:fill="004054"/>
          </w:tcPr>
          <w:p>
            <w:pPr>
              <w:spacing w:after="0"/>
              <w:rPr>
                <w:sz w:val="16"/>
                <w:szCs w:val="16"/>
                <w:color w:val="auto"/>
              </w:rPr>
            </w:pPr>
          </w:p>
        </w:tc>
        <w:tc>
          <w:tcPr>
            <w:tcW w:w="160" w:type="dxa"/>
            <w:vAlign w:val="bottom"/>
            <w:shd w:val="clear" w:color="auto" w:fill="004054"/>
          </w:tcPr>
          <w:p>
            <w:pPr>
              <w:spacing w:after="0"/>
              <w:rPr>
                <w:sz w:val="16"/>
                <w:szCs w:val="16"/>
                <w:color w:val="auto"/>
              </w:rPr>
            </w:pPr>
          </w:p>
        </w:tc>
        <w:tc>
          <w:tcPr>
            <w:tcW w:w="150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6"/>
                <w:szCs w:val="16"/>
                <w:color w:val="auto"/>
              </w:rPr>
            </w:pPr>
          </w:p>
        </w:tc>
        <w:tc>
          <w:tcPr>
            <w:tcW w:w="520" w:type="dxa"/>
            <w:vAlign w:val="bottom"/>
            <w:shd w:val="clear" w:color="auto" w:fill="004054"/>
          </w:tcPr>
          <w:p>
            <w:pPr>
              <w:spacing w:after="0"/>
              <w:rPr>
                <w:sz w:val="16"/>
                <w:szCs w:val="16"/>
                <w:color w:val="auto"/>
              </w:rPr>
            </w:pPr>
          </w:p>
        </w:tc>
        <w:tc>
          <w:tcPr>
            <w:tcW w:w="112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14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6"/>
                <w:szCs w:val="16"/>
                <w:color w:val="auto"/>
              </w:rPr>
            </w:pPr>
          </w:p>
        </w:tc>
      </w:tr>
      <w:tr>
        <w:trPr>
          <w:trHeight w:val="190"/>
        </w:trPr>
        <w:tc>
          <w:tcPr>
            <w:tcW w:w="4540" w:type="dxa"/>
            <w:vAlign w:val="bottom"/>
            <w:shd w:val="clear" w:color="auto" w:fill="004054"/>
          </w:tcPr>
          <w:p>
            <w:pPr>
              <w:spacing w:after="0"/>
              <w:rPr>
                <w:sz w:val="16"/>
                <w:szCs w:val="16"/>
                <w:color w:val="auto"/>
              </w:rPr>
            </w:pPr>
          </w:p>
        </w:tc>
        <w:tc>
          <w:tcPr>
            <w:tcW w:w="500" w:type="dxa"/>
            <w:vAlign w:val="bottom"/>
            <w:shd w:val="clear" w:color="auto" w:fill="004054"/>
          </w:tcPr>
          <w:p>
            <w:pPr>
              <w:spacing w:after="0"/>
              <w:rPr>
                <w:sz w:val="16"/>
                <w:szCs w:val="16"/>
                <w:color w:val="auto"/>
              </w:rPr>
            </w:pPr>
          </w:p>
        </w:tc>
        <w:tc>
          <w:tcPr>
            <w:tcW w:w="1140" w:type="dxa"/>
            <w:vAlign w:val="bottom"/>
            <w:shd w:val="clear" w:color="auto" w:fill="004054"/>
          </w:tcPr>
          <w:p>
            <w:pPr>
              <w:spacing w:after="0"/>
              <w:rPr>
                <w:sz w:val="16"/>
                <w:szCs w:val="16"/>
                <w:color w:val="auto"/>
              </w:rPr>
            </w:pPr>
          </w:p>
        </w:tc>
        <w:tc>
          <w:tcPr>
            <w:tcW w:w="160" w:type="dxa"/>
            <w:vAlign w:val="bottom"/>
            <w:shd w:val="clear" w:color="auto" w:fill="004054"/>
          </w:tcPr>
          <w:p>
            <w:pPr>
              <w:spacing w:after="0"/>
              <w:rPr>
                <w:sz w:val="16"/>
                <w:szCs w:val="16"/>
                <w:color w:val="auto"/>
              </w:rPr>
            </w:pPr>
          </w:p>
        </w:tc>
        <w:tc>
          <w:tcPr>
            <w:tcW w:w="150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6"/>
                <w:szCs w:val="16"/>
                <w:color w:val="auto"/>
              </w:rPr>
            </w:pPr>
          </w:p>
        </w:tc>
        <w:tc>
          <w:tcPr>
            <w:tcW w:w="520" w:type="dxa"/>
            <w:vAlign w:val="bottom"/>
            <w:shd w:val="clear" w:color="auto" w:fill="004054"/>
          </w:tcPr>
          <w:p>
            <w:pPr>
              <w:spacing w:after="0"/>
              <w:rPr>
                <w:sz w:val="16"/>
                <w:szCs w:val="16"/>
                <w:color w:val="auto"/>
              </w:rPr>
            </w:pPr>
          </w:p>
        </w:tc>
        <w:tc>
          <w:tcPr>
            <w:tcW w:w="112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14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6"/>
                <w:szCs w:val="16"/>
                <w:color w:val="auto"/>
              </w:rPr>
            </w:pPr>
          </w:p>
        </w:tc>
      </w:tr>
      <w:tr>
        <w:trPr>
          <w:trHeight w:val="257"/>
        </w:trPr>
        <w:tc>
          <w:tcPr>
            <w:tcW w:w="454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00" w:type="dxa"/>
            <w:vAlign w:val="bottom"/>
            <w:shd w:val="clear" w:color="auto" w:fill="004054"/>
          </w:tcPr>
          <w:p>
            <w:pPr>
              <w:spacing w:after="0"/>
              <w:rPr>
                <w:sz w:val="22"/>
                <w:szCs w:val="22"/>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60" w:type="dxa"/>
            <w:vAlign w:val="bottom"/>
            <w:shd w:val="clear" w:color="auto" w:fill="004054"/>
          </w:tcPr>
          <w:p>
            <w:pPr>
              <w:spacing w:after="0"/>
              <w:rPr>
                <w:sz w:val="22"/>
                <w:szCs w:val="22"/>
                <w:color w:val="auto"/>
              </w:rPr>
            </w:pPr>
          </w:p>
        </w:tc>
        <w:tc>
          <w:tcPr>
            <w:tcW w:w="150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00" w:type="dxa"/>
            <w:vAlign w:val="bottom"/>
          </w:tcPr>
          <w:p>
            <w:pPr>
              <w:spacing w:after="0"/>
              <w:rPr>
                <w:sz w:val="22"/>
                <w:szCs w:val="22"/>
                <w:color w:val="auto"/>
              </w:rPr>
            </w:pPr>
          </w:p>
        </w:tc>
        <w:tc>
          <w:tcPr>
            <w:tcW w:w="520" w:type="dxa"/>
            <w:vAlign w:val="bottom"/>
            <w:shd w:val="clear" w:color="auto" w:fill="004054"/>
          </w:tcPr>
          <w:p>
            <w:pPr>
              <w:spacing w:after="0"/>
              <w:rPr>
                <w:sz w:val="22"/>
                <w:szCs w:val="22"/>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20" w:type="dxa"/>
            <w:vAlign w:val="bottom"/>
            <w:shd w:val="clear" w:color="auto" w:fill="004054"/>
          </w:tcPr>
          <w:p>
            <w:pPr>
              <w:spacing w:after="0"/>
              <w:rPr>
                <w:sz w:val="22"/>
                <w:szCs w:val="22"/>
                <w:color w:val="auto"/>
              </w:rPr>
            </w:pPr>
          </w:p>
        </w:tc>
        <w:tc>
          <w:tcPr>
            <w:tcW w:w="14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shd w:val="clear" w:color="auto" w:fill="004054"/>
          </w:tcPr>
          <w:p>
            <w:pPr>
              <w:spacing w:after="0"/>
              <w:rPr>
                <w:sz w:val="22"/>
                <w:szCs w:val="22"/>
                <w:color w:val="auto"/>
              </w:rPr>
            </w:pPr>
          </w:p>
        </w:tc>
      </w:tr>
      <w:tr>
        <w:trPr>
          <w:trHeight w:val="25"/>
        </w:trPr>
        <w:tc>
          <w:tcPr>
            <w:tcW w:w="4540" w:type="dxa"/>
            <w:vAlign w:val="bottom"/>
            <w:tcBorders>
              <w:bottom w:val="single" w:sz="8" w:color="004054"/>
            </w:tcBorders>
            <w:shd w:val="clear" w:color="auto" w:fill="004054"/>
          </w:tcPr>
          <w:p>
            <w:pPr>
              <w:spacing w:after="0"/>
              <w:rPr>
                <w:sz w:val="2"/>
                <w:szCs w:val="2"/>
                <w:color w:val="auto"/>
              </w:rPr>
            </w:pPr>
          </w:p>
        </w:tc>
        <w:tc>
          <w:tcPr>
            <w:tcW w:w="500" w:type="dxa"/>
            <w:vAlign w:val="bottom"/>
            <w:tcBorders>
              <w:bottom w:val="single" w:sz="8" w:color="004054"/>
            </w:tcBorders>
            <w:shd w:val="clear" w:color="auto" w:fill="004054"/>
          </w:tcPr>
          <w:p>
            <w:pPr>
              <w:spacing w:after="0"/>
              <w:rPr>
                <w:sz w:val="2"/>
                <w:szCs w:val="2"/>
                <w:color w:val="auto"/>
              </w:rPr>
            </w:pPr>
          </w:p>
        </w:tc>
        <w:tc>
          <w:tcPr>
            <w:tcW w:w="1140" w:type="dxa"/>
            <w:vAlign w:val="bottom"/>
            <w:tcBorders>
              <w:bottom w:val="single" w:sz="8" w:color="004054"/>
            </w:tcBorders>
            <w:shd w:val="clear" w:color="auto" w:fill="004054"/>
          </w:tcPr>
          <w:p>
            <w:pPr>
              <w:spacing w:after="0"/>
              <w:rPr>
                <w:sz w:val="2"/>
                <w:szCs w:val="2"/>
                <w:color w:val="auto"/>
              </w:rPr>
            </w:pPr>
          </w:p>
        </w:tc>
        <w:tc>
          <w:tcPr>
            <w:tcW w:w="160" w:type="dxa"/>
            <w:vAlign w:val="bottom"/>
            <w:tcBorders>
              <w:bottom w:val="single" w:sz="8" w:color="004054"/>
            </w:tcBorders>
            <w:shd w:val="clear" w:color="auto" w:fill="004054"/>
          </w:tcPr>
          <w:p>
            <w:pPr>
              <w:spacing w:after="0"/>
              <w:rPr>
                <w:sz w:val="2"/>
                <w:szCs w:val="2"/>
                <w:color w:val="auto"/>
              </w:rPr>
            </w:pPr>
          </w:p>
        </w:tc>
        <w:tc>
          <w:tcPr>
            <w:tcW w:w="1500" w:type="dxa"/>
            <w:vAlign w:val="bottom"/>
            <w:tcBorders>
              <w:bottom w:val="single" w:sz="8" w:color="004054"/>
              <w:right w:val="single" w:sz="8" w:color="004054"/>
            </w:tcBorders>
            <w:shd w:val="clear" w:color="auto" w:fill="004054"/>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520" w:type="dxa"/>
            <w:vAlign w:val="bottom"/>
            <w:tcBorders>
              <w:bottom w:val="single" w:sz="8" w:color="004054"/>
            </w:tcBorders>
            <w:shd w:val="clear" w:color="auto" w:fill="004054"/>
          </w:tcPr>
          <w:p>
            <w:pPr>
              <w:spacing w:after="0"/>
              <w:rPr>
                <w:sz w:val="2"/>
                <w:szCs w:val="2"/>
                <w:color w:val="auto"/>
              </w:rPr>
            </w:pPr>
          </w:p>
        </w:tc>
        <w:tc>
          <w:tcPr>
            <w:tcW w:w="1120" w:type="dxa"/>
            <w:vAlign w:val="bottom"/>
            <w:tcBorders>
              <w:bottom w:val="single" w:sz="8" w:color="004054"/>
            </w:tcBorders>
            <w:shd w:val="clear" w:color="auto" w:fill="004054"/>
          </w:tcPr>
          <w:p>
            <w:pPr>
              <w:spacing w:after="0"/>
              <w:rPr>
                <w:sz w:val="2"/>
                <w:szCs w:val="2"/>
                <w:color w:val="auto"/>
              </w:rPr>
            </w:pPr>
          </w:p>
        </w:tc>
        <w:tc>
          <w:tcPr>
            <w:tcW w:w="220" w:type="dxa"/>
            <w:vAlign w:val="bottom"/>
            <w:tcBorders>
              <w:bottom w:val="single" w:sz="8" w:color="004054"/>
            </w:tcBorders>
            <w:shd w:val="clear" w:color="auto" w:fill="004054"/>
          </w:tcPr>
          <w:p>
            <w:pPr>
              <w:spacing w:after="0"/>
              <w:rPr>
                <w:sz w:val="2"/>
                <w:szCs w:val="2"/>
                <w:color w:val="auto"/>
              </w:rPr>
            </w:pPr>
          </w:p>
        </w:tc>
        <w:tc>
          <w:tcPr>
            <w:tcW w:w="1440" w:type="dxa"/>
            <w:vAlign w:val="bottom"/>
            <w:tcBorders>
              <w:bottom w:val="single" w:sz="8" w:color="004054"/>
            </w:tcBorders>
            <w:shd w:val="clear" w:color="auto" w:fill="004054"/>
          </w:tcPr>
          <w:p>
            <w:pPr>
              <w:spacing w:after="0"/>
              <w:rPr>
                <w:sz w:val="2"/>
                <w:szCs w:val="2"/>
                <w:color w:val="auto"/>
              </w:rPr>
            </w:pPr>
          </w:p>
        </w:tc>
        <w:tc>
          <w:tcPr>
            <w:tcW w:w="20" w:type="dxa"/>
            <w:vAlign w:val="bottom"/>
            <w:tcBorders>
              <w:bottom w:val="single" w:sz="8" w:color="004054"/>
            </w:tcBorders>
            <w:shd w:val="clear" w:color="auto" w:fill="004054"/>
          </w:tcPr>
          <w:p>
            <w:pPr>
              <w:spacing w:after="0"/>
              <w:rPr>
                <w:sz w:val="2"/>
                <w:szCs w:val="2"/>
                <w:color w:val="auto"/>
              </w:rPr>
            </w:pPr>
          </w:p>
        </w:tc>
      </w:tr>
      <w:tr>
        <w:trPr>
          <w:trHeight w:val="243"/>
        </w:trPr>
        <w:tc>
          <w:tcPr>
            <w:tcW w:w="45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United States</w:t>
            </w:r>
          </w:p>
        </w:tc>
        <w:tc>
          <w:tcPr>
            <w:tcW w:w="500" w:type="dxa"/>
            <w:vAlign w:val="bottom"/>
            <w:tcBorders>
              <w:bottom w:val="single" w:sz="8" w:color="EBFBFF"/>
            </w:tcBorders>
            <w:shd w:val="clear" w:color="auto" w:fill="EBFBFF"/>
          </w:tcPr>
          <w:p>
            <w:pPr>
              <w:jc w:val="right"/>
              <w:ind w:right="310"/>
              <w:spacing w:after="0"/>
              <w:rPr>
                <w:sz w:val="20"/>
                <w:szCs w:val="20"/>
                <w:color w:val="auto"/>
              </w:rPr>
            </w:pPr>
            <w:r>
              <w:rPr>
                <w:rFonts w:ascii="Arial" w:cs="Arial" w:eastAsia="Arial" w:hAnsi="Arial"/>
                <w:sz w:val="18"/>
                <w:szCs w:val="18"/>
                <w:color w:val="51555C"/>
                <w:w w:val="79"/>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220,177</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500" w:type="dxa"/>
            <w:vAlign w:val="bottom"/>
            <w:tcBorders>
              <w:bottom w:val="single" w:sz="8" w:color="EBFBFF"/>
              <w:right w:val="single" w:sz="8" w:color="EBFBFF"/>
            </w:tcBorders>
            <w:shd w:val="clear" w:color="auto" w:fill="EBFBFF"/>
          </w:tcPr>
          <w:p>
            <w:pPr>
              <w:jc w:val="right"/>
              <w:ind w:right="18"/>
              <w:spacing w:after="0"/>
              <w:rPr>
                <w:sz w:val="20"/>
                <w:szCs w:val="20"/>
                <w:color w:val="auto"/>
              </w:rPr>
            </w:pPr>
            <w:r>
              <w:rPr>
                <w:rFonts w:ascii="Arial" w:cs="Arial" w:eastAsia="Arial" w:hAnsi="Arial"/>
                <w:sz w:val="18"/>
                <w:szCs w:val="18"/>
                <w:color w:val="51555C"/>
              </w:rPr>
              <w:t>191,580</w:t>
            </w:r>
          </w:p>
        </w:tc>
        <w:tc>
          <w:tcPr>
            <w:tcW w:w="620" w:type="dxa"/>
            <w:vAlign w:val="bottom"/>
            <w:tcBorders>
              <w:bottom w:val="single" w:sz="8" w:color="EBFBFF"/>
            </w:tcBorders>
            <w:gridSpan w:val="2"/>
            <w:shd w:val="clear" w:color="auto" w:fill="EBFBFF"/>
          </w:tcPr>
          <w:p>
            <w:pPr>
              <w:jc w:val="right"/>
              <w:ind w:right="310"/>
              <w:spacing w:after="0"/>
              <w:rPr>
                <w:sz w:val="20"/>
                <w:szCs w:val="20"/>
                <w:color w:val="auto"/>
              </w:rPr>
            </w:pPr>
            <w:r>
              <w:rPr>
                <w:rFonts w:ascii="Arial" w:cs="Arial" w:eastAsia="Arial" w:hAnsi="Arial"/>
                <w:sz w:val="18"/>
                <w:szCs w:val="18"/>
                <w:color w:val="51555C"/>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657,699</w:t>
            </w:r>
          </w:p>
        </w:tc>
        <w:tc>
          <w:tcPr>
            <w:tcW w:w="22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99"/>
              </w:rPr>
              <w:t>$</w:t>
            </w:r>
          </w:p>
        </w:tc>
        <w:tc>
          <w:tcPr>
            <w:tcW w:w="14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563,916</w:t>
            </w:r>
          </w:p>
        </w:tc>
        <w:tc>
          <w:tcPr>
            <w:tcW w:w="20" w:type="dxa"/>
            <w:vAlign w:val="bottom"/>
          </w:tcPr>
          <w:p>
            <w:pPr>
              <w:spacing w:after="0"/>
              <w:rPr>
                <w:sz w:val="21"/>
                <w:szCs w:val="2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51555C"/>
              </w:rPr>
              <w:t>United Kingdom</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26,858</w:t>
            </w:r>
          </w:p>
        </w:tc>
        <w:tc>
          <w:tcPr>
            <w:tcW w:w="160" w:type="dxa"/>
            <w:vAlign w:val="bottom"/>
          </w:tcPr>
          <w:p>
            <w:pPr>
              <w:spacing w:after="0"/>
              <w:rPr>
                <w:sz w:val="21"/>
                <w:szCs w:val="21"/>
                <w:color w:val="auto"/>
              </w:rPr>
            </w:pPr>
          </w:p>
        </w:tc>
        <w:tc>
          <w:tcPr>
            <w:tcW w:w="1500" w:type="dxa"/>
            <w:vAlign w:val="bottom"/>
          </w:tcPr>
          <w:p>
            <w:pPr>
              <w:jc w:val="right"/>
              <w:ind w:right="18"/>
              <w:spacing w:after="0"/>
              <w:rPr>
                <w:sz w:val="20"/>
                <w:szCs w:val="20"/>
                <w:color w:val="auto"/>
              </w:rPr>
            </w:pPr>
            <w:r>
              <w:rPr>
                <w:rFonts w:ascii="Arial" w:cs="Arial" w:eastAsia="Arial" w:hAnsi="Arial"/>
                <w:sz w:val="18"/>
                <w:szCs w:val="18"/>
                <w:color w:val="51555C"/>
              </w:rPr>
              <w:t>25,351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51555C"/>
              </w:rPr>
              <w:t>81,349</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51555C"/>
              </w:rPr>
              <w:t>72,142</w:t>
            </w:r>
          </w:p>
        </w:tc>
        <w:tc>
          <w:tcPr>
            <w:tcW w:w="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5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 countries</w:t>
            </w:r>
          </w:p>
        </w:tc>
        <w:tc>
          <w:tcPr>
            <w:tcW w:w="500" w:type="dxa"/>
            <w:vAlign w:val="bottom"/>
            <w:tcBorders>
              <w:bottom w:val="single" w:sz="8" w:color="EBFBFF"/>
            </w:tcBorders>
            <w:shd w:val="clear" w:color="auto" w:fill="EBFBFF"/>
          </w:tcPr>
          <w:p>
            <w:pPr>
              <w:spacing w:after="0"/>
              <w:rPr>
                <w:sz w:val="23"/>
                <w:szCs w:val="23"/>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14,262</w:t>
            </w:r>
          </w:p>
        </w:tc>
        <w:tc>
          <w:tcPr>
            <w:tcW w:w="160" w:type="dxa"/>
            <w:vAlign w:val="bottom"/>
            <w:tcBorders>
              <w:bottom w:val="single" w:sz="8" w:color="EBFBFF"/>
            </w:tcBorders>
            <w:shd w:val="clear" w:color="auto" w:fill="EBFBFF"/>
          </w:tcPr>
          <w:p>
            <w:pPr>
              <w:spacing w:after="0"/>
              <w:rPr>
                <w:sz w:val="23"/>
                <w:szCs w:val="23"/>
                <w:color w:val="auto"/>
              </w:rPr>
            </w:pPr>
          </w:p>
        </w:tc>
        <w:tc>
          <w:tcPr>
            <w:tcW w:w="1500" w:type="dxa"/>
            <w:vAlign w:val="bottom"/>
            <w:tcBorders>
              <w:bottom w:val="single" w:sz="8" w:color="EBFBFF"/>
              <w:right w:val="single" w:sz="8" w:color="EBFBFF"/>
            </w:tcBorders>
            <w:shd w:val="clear" w:color="auto" w:fill="EBFBFF"/>
          </w:tcPr>
          <w:p>
            <w:pPr>
              <w:jc w:val="right"/>
              <w:ind w:right="18"/>
              <w:spacing w:after="0"/>
              <w:rPr>
                <w:sz w:val="20"/>
                <w:szCs w:val="20"/>
                <w:color w:val="auto"/>
              </w:rPr>
            </w:pPr>
            <w:r>
              <w:rPr>
                <w:rFonts w:ascii="Arial" w:cs="Arial" w:eastAsia="Arial" w:hAnsi="Arial"/>
                <w:sz w:val="18"/>
                <w:szCs w:val="18"/>
                <w:color w:val="51555C"/>
              </w:rPr>
              <w:t>14,287</w:t>
            </w:r>
          </w:p>
        </w:tc>
        <w:tc>
          <w:tcPr>
            <w:tcW w:w="100" w:type="dxa"/>
            <w:vAlign w:val="bottom"/>
            <w:tcBorders>
              <w:bottom w:val="single" w:sz="8" w:color="EBFBFF"/>
            </w:tcBorders>
            <w:shd w:val="clear" w:color="auto" w:fill="EBFBFF"/>
          </w:tcPr>
          <w:p>
            <w:pPr>
              <w:spacing w:after="0"/>
              <w:rPr>
                <w:sz w:val="23"/>
                <w:szCs w:val="23"/>
                <w:color w:val="auto"/>
              </w:rPr>
            </w:pPr>
          </w:p>
        </w:tc>
        <w:tc>
          <w:tcPr>
            <w:tcW w:w="520" w:type="dxa"/>
            <w:vAlign w:val="bottom"/>
            <w:tcBorders>
              <w:bottom w:val="single" w:sz="8" w:color="EBFBFF"/>
            </w:tcBorders>
            <w:shd w:val="clear" w:color="auto" w:fill="EBFBFF"/>
          </w:tcPr>
          <w:p>
            <w:pPr>
              <w:spacing w:after="0"/>
              <w:rPr>
                <w:sz w:val="23"/>
                <w:szCs w:val="23"/>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44,300</w:t>
            </w:r>
          </w:p>
        </w:tc>
        <w:tc>
          <w:tcPr>
            <w:tcW w:w="220" w:type="dxa"/>
            <w:vAlign w:val="bottom"/>
            <w:tcBorders>
              <w:bottom w:val="single" w:sz="8" w:color="EBFBFF"/>
            </w:tcBorders>
            <w:shd w:val="clear" w:color="auto" w:fill="EBFBFF"/>
          </w:tcPr>
          <w:p>
            <w:pPr>
              <w:spacing w:after="0"/>
              <w:rPr>
                <w:sz w:val="23"/>
                <w:szCs w:val="23"/>
                <w:color w:val="auto"/>
              </w:rPr>
            </w:pPr>
          </w:p>
        </w:tc>
        <w:tc>
          <w:tcPr>
            <w:tcW w:w="14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43,791</w:t>
            </w:r>
          </w:p>
        </w:tc>
        <w:tc>
          <w:tcPr>
            <w:tcW w:w="20" w:type="dxa"/>
            <w:vAlign w:val="bottom"/>
          </w:tcPr>
          <w:p>
            <w:pPr>
              <w:spacing w:after="0"/>
              <w:rPr>
                <w:sz w:val="23"/>
                <w:szCs w:val="23"/>
                <w:color w:val="auto"/>
              </w:rPr>
            </w:pPr>
          </w:p>
        </w:tc>
      </w:tr>
      <w:tr>
        <w:trPr>
          <w:trHeight w:val="237"/>
        </w:trPr>
        <w:tc>
          <w:tcPr>
            <w:tcW w:w="4540" w:type="dxa"/>
            <w:vAlign w:val="bottom"/>
          </w:tcPr>
          <w:p>
            <w:pPr>
              <w:ind w:left="140"/>
              <w:spacing w:after="0"/>
              <w:rPr>
                <w:sz w:val="20"/>
                <w:szCs w:val="20"/>
                <w:color w:val="auto"/>
              </w:rPr>
            </w:pPr>
            <w:r>
              <w:rPr>
                <w:rFonts w:ascii="Arial" w:cs="Arial" w:eastAsia="Arial" w:hAnsi="Arial"/>
                <w:sz w:val="18"/>
                <w:szCs w:val="18"/>
                <w:color w:val="51555C"/>
              </w:rPr>
              <w:t>Total revenue</w:t>
            </w:r>
          </w:p>
        </w:tc>
        <w:tc>
          <w:tcPr>
            <w:tcW w:w="500" w:type="dxa"/>
            <w:vAlign w:val="bottom"/>
            <w:tcBorders>
              <w:top w:val="single" w:sz="8" w:color="51555C"/>
            </w:tcBorders>
          </w:tcPr>
          <w:p>
            <w:pPr>
              <w:jc w:val="right"/>
              <w:ind w:right="310"/>
              <w:spacing w:after="0"/>
              <w:rPr>
                <w:sz w:val="20"/>
                <w:szCs w:val="20"/>
                <w:color w:val="auto"/>
              </w:rPr>
            </w:pPr>
            <w:r>
              <w:rPr>
                <w:rFonts w:ascii="Arial" w:cs="Arial" w:eastAsia="Arial" w:hAnsi="Arial"/>
                <w:sz w:val="18"/>
                <w:szCs w:val="18"/>
                <w:color w:val="51555C"/>
                <w:w w:val="79"/>
              </w:rPr>
              <w:t>$</w:t>
            </w:r>
          </w:p>
        </w:tc>
        <w:tc>
          <w:tcPr>
            <w:tcW w:w="11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261,297</w:t>
            </w:r>
          </w:p>
        </w:tc>
        <w:tc>
          <w:tcPr>
            <w:tcW w:w="1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500" w:type="dxa"/>
            <w:vAlign w:val="bottom"/>
            <w:tcBorders>
              <w:top w:val="single" w:sz="8" w:color="51555C"/>
            </w:tcBorders>
          </w:tcPr>
          <w:p>
            <w:pPr>
              <w:jc w:val="right"/>
              <w:ind w:right="18"/>
              <w:spacing w:after="0"/>
              <w:rPr>
                <w:sz w:val="20"/>
                <w:szCs w:val="20"/>
                <w:color w:val="auto"/>
              </w:rPr>
            </w:pPr>
            <w:r>
              <w:rPr>
                <w:rFonts w:ascii="Arial" w:cs="Arial" w:eastAsia="Arial" w:hAnsi="Arial"/>
                <w:sz w:val="18"/>
                <w:szCs w:val="18"/>
                <w:color w:val="51555C"/>
              </w:rPr>
              <w:t>231,218</w:t>
            </w:r>
          </w:p>
        </w:tc>
        <w:tc>
          <w:tcPr>
            <w:tcW w:w="100" w:type="dxa"/>
            <w:vAlign w:val="bottom"/>
          </w:tcPr>
          <w:p>
            <w:pPr>
              <w:spacing w:after="0"/>
              <w:rPr>
                <w:sz w:val="20"/>
                <w:szCs w:val="20"/>
                <w:color w:val="auto"/>
              </w:rPr>
            </w:pPr>
          </w:p>
        </w:tc>
        <w:tc>
          <w:tcPr>
            <w:tcW w:w="520" w:type="dxa"/>
            <w:vAlign w:val="bottom"/>
            <w:tcBorders>
              <w:top w:val="single" w:sz="8" w:color="51555C"/>
            </w:tcBorders>
          </w:tcPr>
          <w:p>
            <w:pPr>
              <w:jc w:val="right"/>
              <w:ind w:right="310"/>
              <w:spacing w:after="0"/>
              <w:rPr>
                <w:sz w:val="20"/>
                <w:szCs w:val="20"/>
                <w:color w:val="auto"/>
              </w:rPr>
            </w:pPr>
            <w:r>
              <w:rPr>
                <w:rFonts w:ascii="Arial" w:cs="Arial" w:eastAsia="Arial" w:hAnsi="Arial"/>
                <w:sz w:val="18"/>
                <w:szCs w:val="18"/>
                <w:color w:val="51555C"/>
                <w:w w:val="99"/>
              </w:rPr>
              <w:t>$</w:t>
            </w:r>
          </w:p>
        </w:tc>
        <w:tc>
          <w:tcPr>
            <w:tcW w:w="11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783,348</w:t>
            </w:r>
          </w:p>
        </w:tc>
        <w:tc>
          <w:tcPr>
            <w:tcW w:w="220" w:type="dxa"/>
            <w:vAlign w:val="bottom"/>
            <w:tcBorders>
              <w:top w:val="single" w:sz="8" w:color="51555C"/>
            </w:tcBorders>
          </w:tcPr>
          <w:p>
            <w:pPr>
              <w:jc w:val="right"/>
              <w:ind w:right="10"/>
              <w:spacing w:after="0"/>
              <w:rPr>
                <w:sz w:val="20"/>
                <w:szCs w:val="20"/>
                <w:color w:val="auto"/>
              </w:rPr>
            </w:pPr>
            <w:r>
              <w:rPr>
                <w:rFonts w:ascii="Arial" w:cs="Arial" w:eastAsia="Arial" w:hAnsi="Arial"/>
                <w:sz w:val="18"/>
                <w:szCs w:val="18"/>
                <w:color w:val="51555C"/>
                <w:w w:val="99"/>
              </w:rPr>
              <w:t>$</w:t>
            </w:r>
          </w:p>
        </w:tc>
        <w:tc>
          <w:tcPr>
            <w:tcW w:w="14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679,849</w:t>
            </w:r>
          </w:p>
        </w:tc>
        <w:tc>
          <w:tcPr>
            <w:tcW w:w="20" w:type="dxa"/>
            <w:vAlign w:val="bottom"/>
          </w:tcPr>
          <w:p>
            <w:pPr>
              <w:spacing w:after="0"/>
              <w:rPr>
                <w:sz w:val="20"/>
                <w:szCs w:val="20"/>
                <w:color w:val="auto"/>
              </w:rPr>
            </w:pPr>
          </w:p>
        </w:tc>
      </w:tr>
      <w:tr>
        <w:trPr>
          <w:trHeight w:val="27"/>
        </w:trPr>
        <w:tc>
          <w:tcPr>
            <w:tcW w:w="4540" w:type="dxa"/>
            <w:vAlign w:val="bottom"/>
            <w:tcBorders>
              <w:bottom w:val="single" w:sz="8" w:color="0CD973"/>
            </w:tcBorders>
          </w:tcPr>
          <w:p>
            <w:pPr>
              <w:spacing w:after="0"/>
              <w:rPr>
                <w:sz w:val="2"/>
                <w:szCs w:val="2"/>
                <w:color w:val="auto"/>
              </w:rPr>
            </w:pPr>
          </w:p>
        </w:tc>
        <w:tc>
          <w:tcPr>
            <w:tcW w:w="500" w:type="dxa"/>
            <w:vAlign w:val="bottom"/>
            <w:tcBorders>
              <w:bottom w:val="single" w:sz="8" w:color="0CD973"/>
            </w:tcBorders>
          </w:tcPr>
          <w:p>
            <w:pPr>
              <w:spacing w:after="0"/>
              <w:rPr>
                <w:sz w:val="2"/>
                <w:szCs w:val="2"/>
                <w:color w:val="auto"/>
              </w:rPr>
            </w:pPr>
          </w:p>
        </w:tc>
        <w:tc>
          <w:tcPr>
            <w:tcW w:w="1140" w:type="dxa"/>
            <w:vAlign w:val="bottom"/>
            <w:tcBorders>
              <w:bottom w:val="single" w:sz="8" w:color="0CD973"/>
            </w:tcBorders>
          </w:tcPr>
          <w:p>
            <w:pPr>
              <w:spacing w:after="0"/>
              <w:rPr>
                <w:sz w:val="2"/>
                <w:szCs w:val="2"/>
                <w:color w:val="auto"/>
              </w:rPr>
            </w:pPr>
          </w:p>
        </w:tc>
        <w:tc>
          <w:tcPr>
            <w:tcW w:w="160" w:type="dxa"/>
            <w:vAlign w:val="bottom"/>
            <w:tcBorders>
              <w:bottom w:val="single" w:sz="8" w:color="0CD973"/>
            </w:tcBorders>
          </w:tcPr>
          <w:p>
            <w:pPr>
              <w:spacing w:after="0"/>
              <w:rPr>
                <w:sz w:val="2"/>
                <w:szCs w:val="2"/>
                <w:color w:val="auto"/>
              </w:rPr>
            </w:pPr>
          </w:p>
        </w:tc>
        <w:tc>
          <w:tcPr>
            <w:tcW w:w="150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520" w:type="dxa"/>
            <w:vAlign w:val="bottom"/>
            <w:tcBorders>
              <w:bottom w:val="single" w:sz="8" w:color="0CD973"/>
            </w:tcBorders>
          </w:tcPr>
          <w:p>
            <w:pPr>
              <w:spacing w:after="0"/>
              <w:rPr>
                <w:sz w:val="2"/>
                <w:szCs w:val="2"/>
                <w:color w:val="auto"/>
              </w:rPr>
            </w:pPr>
          </w:p>
        </w:tc>
        <w:tc>
          <w:tcPr>
            <w:tcW w:w="1120" w:type="dxa"/>
            <w:vAlign w:val="bottom"/>
            <w:tcBorders>
              <w:bottom w:val="single" w:sz="8" w:color="0CD973"/>
            </w:tcBorders>
          </w:tcPr>
          <w:p>
            <w:pPr>
              <w:spacing w:after="0"/>
              <w:rPr>
                <w:sz w:val="2"/>
                <w:szCs w:val="2"/>
                <w:color w:val="auto"/>
              </w:rPr>
            </w:pPr>
          </w:p>
        </w:tc>
        <w:tc>
          <w:tcPr>
            <w:tcW w:w="220" w:type="dxa"/>
            <w:vAlign w:val="bottom"/>
            <w:tcBorders>
              <w:bottom w:val="single" w:sz="8" w:color="0CD973"/>
            </w:tcBorders>
          </w:tcPr>
          <w:p>
            <w:pPr>
              <w:spacing w:after="0"/>
              <w:rPr>
                <w:sz w:val="2"/>
                <w:szCs w:val="2"/>
                <w:color w:val="auto"/>
              </w:rPr>
            </w:pPr>
          </w:p>
        </w:tc>
        <w:tc>
          <w:tcPr>
            <w:tcW w:w="144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-864870</wp:posOffset>
            </wp:positionV>
            <wp:extent cx="42691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22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During the third quarter of 2022, we reorganized our market groups. The Social Sector and Corporate Sector market groups comprised our go-to-market organizations as of September 30, 2022. The following is a description of each market group as of that date:</w:t>
      </w:r>
    </w:p>
    <w:p>
      <w:pPr>
        <w:spacing w:after="0" w:line="144" w:lineRule="exact"/>
        <w:rPr>
          <w:sz w:val="20"/>
          <w:szCs w:val="20"/>
          <w:color w:val="auto"/>
        </w:rPr>
      </w:pPr>
    </w:p>
    <w:p>
      <w:pPr>
        <w:jc w:val="both"/>
        <w:ind w:left="660" w:right="20" w:hanging="328"/>
        <w:spacing w:after="0" w:line="261" w:lineRule="auto"/>
        <w:tabs>
          <w:tab w:leader="none" w:pos="628" w:val="left"/>
        </w:tabs>
        <w:numPr>
          <w:ilvl w:val="0"/>
          <w:numId w:val="12"/>
        </w:numPr>
        <w:rPr>
          <w:rFonts w:ascii="Arial" w:cs="Arial" w:eastAsia="Arial" w:hAnsi="Arial"/>
          <w:sz w:val="18"/>
          <w:szCs w:val="18"/>
          <w:color w:val="51555C"/>
        </w:rPr>
      </w:pPr>
      <w:r>
        <w:rPr>
          <w:rFonts w:ascii="Arial" w:cs="Arial" w:eastAsia="Arial" w:hAnsi="Arial"/>
          <w:sz w:val="18"/>
          <w:szCs w:val="18"/>
          <w:color w:val="51555C"/>
        </w:rPr>
        <w:t>The Social Sector market group focuses on sales to customers and prospects in the social sector, such as nonprofits, foundations, education institutions, healthcare organizations and other not-for-profit entities globally, and includes JustGiving from Blackbaud; and</w:t>
      </w:r>
    </w:p>
    <w:p>
      <w:pPr>
        <w:spacing w:after="0" w:line="143" w:lineRule="exact"/>
        <w:rPr>
          <w:rFonts w:ascii="Arial" w:cs="Arial" w:eastAsia="Arial" w:hAnsi="Arial"/>
          <w:sz w:val="18"/>
          <w:szCs w:val="18"/>
          <w:color w:val="51555C"/>
        </w:rPr>
      </w:pPr>
    </w:p>
    <w:p>
      <w:pPr>
        <w:ind w:left="660" w:right="20" w:hanging="328"/>
        <w:spacing w:after="0" w:line="261" w:lineRule="auto"/>
        <w:tabs>
          <w:tab w:leader="none" w:pos="628" w:val="left"/>
        </w:tabs>
        <w:numPr>
          <w:ilvl w:val="0"/>
          <w:numId w:val="12"/>
        </w:numPr>
        <w:rPr>
          <w:rFonts w:ascii="Arial" w:cs="Arial" w:eastAsia="Arial" w:hAnsi="Arial"/>
          <w:sz w:val="18"/>
          <w:szCs w:val="18"/>
          <w:color w:val="51555C"/>
        </w:rPr>
      </w:pPr>
      <w:r>
        <w:rPr>
          <w:rFonts w:ascii="Arial" w:cs="Arial" w:eastAsia="Arial" w:hAnsi="Arial"/>
          <w:sz w:val="18"/>
          <w:szCs w:val="18"/>
          <w:color w:val="51555C"/>
        </w:rPr>
        <w:t>The Corporate Sector market group focuses on sales to customers and prospects in the corporate sector globally, and includes EVERFI from Blackbaud and YourCause from Blackbaud.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presents our revenue by market group:</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shd w:val="clear" w:color="auto" w:fill="004054"/>
          </w:tcPr>
          <w:p>
            <w:pPr>
              <w:spacing w:after="0"/>
              <w:rPr>
                <w:sz w:val="17"/>
                <w:szCs w:val="17"/>
                <w:color w:val="auto"/>
              </w:rPr>
            </w:pPr>
          </w:p>
        </w:tc>
        <w:tc>
          <w:tcPr>
            <w:tcW w:w="500" w:type="dxa"/>
            <w:vAlign w:val="bottom"/>
            <w:shd w:val="clear" w:color="auto" w:fill="004054"/>
          </w:tcPr>
          <w:p>
            <w:pPr>
              <w:spacing w:after="0"/>
              <w:rPr>
                <w:sz w:val="17"/>
                <w:szCs w:val="17"/>
                <w:color w:val="auto"/>
              </w:rPr>
            </w:pPr>
          </w:p>
        </w:tc>
        <w:tc>
          <w:tcPr>
            <w:tcW w:w="1160" w:type="dxa"/>
            <w:vAlign w:val="bottom"/>
            <w:shd w:val="clear" w:color="auto" w:fill="004054"/>
          </w:tcPr>
          <w:p>
            <w:pPr>
              <w:spacing w:after="0"/>
              <w:rPr>
                <w:sz w:val="17"/>
                <w:szCs w:val="17"/>
                <w:color w:val="auto"/>
              </w:rPr>
            </w:pPr>
          </w:p>
        </w:tc>
        <w:tc>
          <w:tcPr>
            <w:tcW w:w="140" w:type="dxa"/>
            <w:vAlign w:val="bottom"/>
            <w:shd w:val="clear" w:color="auto" w:fill="004054"/>
          </w:tcPr>
          <w:p>
            <w:pPr>
              <w:spacing w:after="0"/>
              <w:rPr>
                <w:sz w:val="17"/>
                <w:szCs w:val="17"/>
                <w:color w:val="auto"/>
              </w:rPr>
            </w:pPr>
          </w:p>
        </w:tc>
        <w:tc>
          <w:tcPr>
            <w:tcW w:w="150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7"/>
                <w:szCs w:val="17"/>
                <w:color w:val="auto"/>
              </w:rPr>
            </w:pPr>
          </w:p>
        </w:tc>
        <w:tc>
          <w:tcPr>
            <w:tcW w:w="520" w:type="dxa"/>
            <w:vAlign w:val="bottom"/>
            <w:shd w:val="clear" w:color="auto" w:fill="004054"/>
          </w:tcPr>
          <w:p>
            <w:pPr>
              <w:spacing w:after="0"/>
              <w:rPr>
                <w:sz w:val="17"/>
                <w:szCs w:val="17"/>
                <w:color w:val="auto"/>
              </w:rPr>
            </w:pPr>
          </w:p>
        </w:tc>
        <w:tc>
          <w:tcPr>
            <w:tcW w:w="1140" w:type="dxa"/>
            <w:vAlign w:val="bottom"/>
            <w:shd w:val="clear" w:color="auto" w:fill="004054"/>
          </w:tcPr>
          <w:p>
            <w:pPr>
              <w:spacing w:after="0"/>
              <w:rPr>
                <w:sz w:val="17"/>
                <w:szCs w:val="17"/>
                <w:color w:val="auto"/>
              </w:rPr>
            </w:pPr>
          </w:p>
        </w:tc>
        <w:tc>
          <w:tcPr>
            <w:tcW w:w="200" w:type="dxa"/>
            <w:vAlign w:val="bottom"/>
            <w:shd w:val="clear" w:color="auto" w:fill="004054"/>
          </w:tcPr>
          <w:p>
            <w:pPr>
              <w:spacing w:after="0"/>
              <w:rPr>
                <w:sz w:val="17"/>
                <w:szCs w:val="17"/>
                <w:color w:val="auto"/>
              </w:rPr>
            </w:pPr>
          </w:p>
        </w:tc>
        <w:tc>
          <w:tcPr>
            <w:tcW w:w="14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7"/>
                <w:szCs w:val="17"/>
                <w:color w:val="auto"/>
              </w:rPr>
            </w:pPr>
          </w:p>
        </w:tc>
      </w:tr>
      <w:tr>
        <w:trPr>
          <w:trHeight w:val="190"/>
        </w:trPr>
        <w:tc>
          <w:tcPr>
            <w:tcW w:w="4540" w:type="dxa"/>
            <w:vAlign w:val="bottom"/>
            <w:shd w:val="clear" w:color="auto" w:fill="004054"/>
          </w:tcPr>
          <w:p>
            <w:pPr>
              <w:spacing w:after="0"/>
              <w:rPr>
                <w:sz w:val="16"/>
                <w:szCs w:val="16"/>
                <w:color w:val="auto"/>
              </w:rPr>
            </w:pPr>
          </w:p>
        </w:tc>
        <w:tc>
          <w:tcPr>
            <w:tcW w:w="500" w:type="dxa"/>
            <w:vAlign w:val="bottom"/>
            <w:shd w:val="clear" w:color="auto" w:fill="004054"/>
          </w:tcPr>
          <w:p>
            <w:pPr>
              <w:spacing w:after="0"/>
              <w:rPr>
                <w:sz w:val="16"/>
                <w:szCs w:val="16"/>
                <w:color w:val="auto"/>
              </w:rPr>
            </w:pPr>
          </w:p>
        </w:tc>
        <w:tc>
          <w:tcPr>
            <w:tcW w:w="1160" w:type="dxa"/>
            <w:vAlign w:val="bottom"/>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150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6"/>
                <w:szCs w:val="16"/>
                <w:color w:val="auto"/>
              </w:rPr>
            </w:pPr>
          </w:p>
        </w:tc>
        <w:tc>
          <w:tcPr>
            <w:tcW w:w="520" w:type="dxa"/>
            <w:vAlign w:val="bottom"/>
            <w:shd w:val="clear" w:color="auto" w:fill="004054"/>
          </w:tcPr>
          <w:p>
            <w:pPr>
              <w:spacing w:after="0"/>
              <w:rPr>
                <w:sz w:val="16"/>
                <w:szCs w:val="16"/>
                <w:color w:val="auto"/>
              </w:rPr>
            </w:pPr>
          </w:p>
        </w:tc>
        <w:tc>
          <w:tcPr>
            <w:tcW w:w="1140" w:type="dxa"/>
            <w:vAlign w:val="bottom"/>
            <w:shd w:val="clear" w:color="auto" w:fill="004054"/>
          </w:tcPr>
          <w:p>
            <w:pPr>
              <w:spacing w:after="0"/>
              <w:rPr>
                <w:sz w:val="16"/>
                <w:szCs w:val="16"/>
                <w:color w:val="auto"/>
              </w:rPr>
            </w:pPr>
          </w:p>
        </w:tc>
        <w:tc>
          <w:tcPr>
            <w:tcW w:w="200" w:type="dxa"/>
            <w:vAlign w:val="bottom"/>
            <w:shd w:val="clear" w:color="auto" w:fill="004054"/>
          </w:tcPr>
          <w:p>
            <w:pPr>
              <w:spacing w:after="0"/>
              <w:rPr>
                <w:sz w:val="16"/>
                <w:szCs w:val="16"/>
                <w:color w:val="auto"/>
              </w:rPr>
            </w:pPr>
          </w:p>
        </w:tc>
        <w:tc>
          <w:tcPr>
            <w:tcW w:w="14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6"/>
                <w:szCs w:val="16"/>
                <w:color w:val="auto"/>
              </w:rPr>
            </w:pPr>
          </w:p>
        </w:tc>
      </w:tr>
      <w:tr>
        <w:trPr>
          <w:trHeight w:val="268"/>
        </w:trPr>
        <w:tc>
          <w:tcPr>
            <w:tcW w:w="45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00" w:type="dxa"/>
            <w:vAlign w:val="bottom"/>
            <w:tcBorders>
              <w:bottom w:val="single" w:sz="8" w:color="004054"/>
            </w:tcBorders>
            <w:shd w:val="clear" w:color="auto" w:fill="004054"/>
          </w:tcPr>
          <w:p>
            <w:pPr>
              <w:spacing w:after="0"/>
              <w:rPr>
                <w:sz w:val="23"/>
                <w:szCs w:val="23"/>
                <w:color w:val="auto"/>
              </w:rPr>
            </w:pPr>
          </w:p>
        </w:tc>
        <w:tc>
          <w:tcPr>
            <w:tcW w:w="11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40" w:type="dxa"/>
            <w:vAlign w:val="bottom"/>
            <w:tcBorders>
              <w:bottom w:val="single" w:sz="8" w:color="004054"/>
            </w:tcBorders>
            <w:shd w:val="clear" w:color="auto" w:fill="004054"/>
          </w:tcPr>
          <w:p>
            <w:pPr>
              <w:spacing w:after="0"/>
              <w:rPr>
                <w:sz w:val="23"/>
                <w:szCs w:val="23"/>
                <w:color w:val="auto"/>
              </w:rPr>
            </w:pPr>
          </w:p>
        </w:tc>
        <w:tc>
          <w:tcPr>
            <w:tcW w:w="1500" w:type="dxa"/>
            <w:vAlign w:val="bottom"/>
            <w:tcBorders>
              <w:bottom w:val="single" w:sz="8" w:color="004054"/>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00" w:type="dxa"/>
            <w:vAlign w:val="bottom"/>
          </w:tcPr>
          <w:p>
            <w:pPr>
              <w:spacing w:after="0"/>
              <w:rPr>
                <w:sz w:val="23"/>
                <w:szCs w:val="23"/>
                <w:color w:val="auto"/>
              </w:rPr>
            </w:pPr>
          </w:p>
        </w:tc>
        <w:tc>
          <w:tcPr>
            <w:tcW w:w="520" w:type="dxa"/>
            <w:vAlign w:val="bottom"/>
            <w:tcBorders>
              <w:bottom w:val="single" w:sz="8" w:color="004054"/>
            </w:tcBorders>
            <w:shd w:val="clear" w:color="auto" w:fill="004054"/>
          </w:tcPr>
          <w:p>
            <w:pPr>
              <w:spacing w:after="0"/>
              <w:rPr>
                <w:sz w:val="23"/>
                <w:szCs w:val="23"/>
                <w:color w:val="auto"/>
              </w:rPr>
            </w:pP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00" w:type="dxa"/>
            <w:vAlign w:val="bottom"/>
            <w:tcBorders>
              <w:bottom w:val="single" w:sz="8" w:color="004054"/>
            </w:tcBorders>
            <w:shd w:val="clear" w:color="auto" w:fill="004054"/>
          </w:tcPr>
          <w:p>
            <w:pPr>
              <w:spacing w:after="0"/>
              <w:rPr>
                <w:sz w:val="23"/>
                <w:szCs w:val="23"/>
                <w:color w:val="auto"/>
              </w:rPr>
            </w:pPr>
          </w:p>
        </w:tc>
        <w:tc>
          <w:tcPr>
            <w:tcW w:w="14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23"/>
                <w:szCs w:val="23"/>
                <w:color w:val="auto"/>
              </w:rPr>
            </w:pPr>
          </w:p>
        </w:tc>
      </w:tr>
      <w:tr>
        <w:trPr>
          <w:trHeight w:val="243"/>
        </w:trPr>
        <w:tc>
          <w:tcPr>
            <w:tcW w:w="4540" w:type="dxa"/>
            <w:vAlign w:val="bottom"/>
            <w:tcBorders>
              <w:top w:val="single" w:sz="8" w:color="004054"/>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Social Sector</w:t>
            </w:r>
          </w:p>
        </w:tc>
        <w:tc>
          <w:tcPr>
            <w:tcW w:w="500" w:type="dxa"/>
            <w:vAlign w:val="bottom"/>
            <w:tcBorders>
              <w:top w:val="single" w:sz="8" w:color="004054"/>
              <w:bottom w:val="single" w:sz="8" w:color="EBFBFF"/>
            </w:tcBorders>
            <w:shd w:val="clear" w:color="auto" w:fill="EBFBFF"/>
          </w:tcPr>
          <w:p>
            <w:pPr>
              <w:jc w:val="right"/>
              <w:ind w:right="310"/>
              <w:spacing w:after="0"/>
              <w:rPr>
                <w:sz w:val="20"/>
                <w:szCs w:val="20"/>
                <w:color w:val="auto"/>
              </w:rPr>
            </w:pPr>
            <w:r>
              <w:rPr>
                <w:rFonts w:ascii="Arial" w:cs="Arial" w:eastAsia="Arial" w:hAnsi="Arial"/>
                <w:sz w:val="18"/>
                <w:szCs w:val="18"/>
                <w:color w:val="51555C"/>
                <w:w w:val="79"/>
              </w:rPr>
              <w:t>$</w:t>
            </w:r>
          </w:p>
        </w:tc>
        <w:tc>
          <w:tcPr>
            <w:tcW w:w="1160" w:type="dxa"/>
            <w:vAlign w:val="bottom"/>
            <w:tcBorders>
              <w:top w:val="single" w:sz="8" w:color="004054"/>
              <w:bottom w:val="single" w:sz="8" w:color="EBFBFF"/>
            </w:tcBorders>
            <w:shd w:val="clear" w:color="auto" w:fill="EBFBFF"/>
          </w:tcPr>
          <w:p>
            <w:pPr>
              <w:jc w:val="right"/>
              <w:ind w:right="14"/>
              <w:spacing w:after="0"/>
              <w:rPr>
                <w:sz w:val="20"/>
                <w:szCs w:val="20"/>
                <w:color w:val="auto"/>
              </w:rPr>
            </w:pPr>
            <w:r>
              <w:rPr>
                <w:rFonts w:ascii="Arial" w:cs="Arial" w:eastAsia="Arial" w:hAnsi="Arial"/>
                <w:sz w:val="18"/>
                <w:szCs w:val="18"/>
                <w:color w:val="51555C"/>
              </w:rPr>
              <w:t>223,809</w:t>
            </w:r>
          </w:p>
        </w:tc>
        <w:tc>
          <w:tcPr>
            <w:tcW w:w="14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79"/>
              </w:rPr>
              <w:t>$</w:t>
            </w:r>
          </w:p>
        </w:tc>
        <w:tc>
          <w:tcPr>
            <w:tcW w:w="1500" w:type="dxa"/>
            <w:vAlign w:val="bottom"/>
            <w:tcBorders>
              <w:top w:val="single" w:sz="8" w:color="004054"/>
              <w:bottom w:val="single" w:sz="8" w:color="EBFBFF"/>
              <w:right w:val="single" w:sz="8" w:color="EBFBFF"/>
            </w:tcBorders>
            <w:shd w:val="clear" w:color="auto" w:fill="EBFBFF"/>
          </w:tcPr>
          <w:p>
            <w:pPr>
              <w:jc w:val="right"/>
              <w:ind w:right="18"/>
              <w:spacing w:after="0"/>
              <w:rPr>
                <w:sz w:val="20"/>
                <w:szCs w:val="20"/>
                <w:color w:val="auto"/>
              </w:rPr>
            </w:pPr>
            <w:r>
              <w:rPr>
                <w:rFonts w:ascii="Arial" w:cs="Arial" w:eastAsia="Arial" w:hAnsi="Arial"/>
                <w:sz w:val="18"/>
                <w:szCs w:val="18"/>
                <w:color w:val="51555C"/>
              </w:rPr>
              <w:t>221,194</w:t>
            </w:r>
          </w:p>
        </w:tc>
        <w:tc>
          <w:tcPr>
            <w:tcW w:w="100" w:type="dxa"/>
            <w:vAlign w:val="bottom"/>
            <w:tcBorders>
              <w:top w:val="single" w:sz="8" w:color="EBFBFF"/>
              <w:bottom w:val="single" w:sz="8" w:color="EBFBFF"/>
            </w:tcBorders>
            <w:shd w:val="clear" w:color="auto" w:fill="EBFBFF"/>
          </w:tcPr>
          <w:p>
            <w:pPr>
              <w:spacing w:after="0"/>
              <w:rPr>
                <w:sz w:val="21"/>
                <w:szCs w:val="21"/>
                <w:color w:val="auto"/>
              </w:rPr>
            </w:pPr>
          </w:p>
        </w:tc>
        <w:tc>
          <w:tcPr>
            <w:tcW w:w="520" w:type="dxa"/>
            <w:vAlign w:val="bottom"/>
            <w:tcBorders>
              <w:top w:val="single" w:sz="8" w:color="004054"/>
              <w:bottom w:val="single" w:sz="8" w:color="EBFBFF"/>
            </w:tcBorders>
            <w:shd w:val="clear" w:color="auto" w:fill="EBFBFF"/>
          </w:tcPr>
          <w:p>
            <w:pPr>
              <w:jc w:val="right"/>
              <w:ind w:right="310"/>
              <w:spacing w:after="0"/>
              <w:rPr>
                <w:sz w:val="20"/>
                <w:szCs w:val="20"/>
                <w:color w:val="auto"/>
              </w:rPr>
            </w:pPr>
            <w:r>
              <w:rPr>
                <w:rFonts w:ascii="Arial" w:cs="Arial" w:eastAsia="Arial" w:hAnsi="Arial"/>
                <w:sz w:val="18"/>
                <w:szCs w:val="18"/>
                <w:color w:val="51555C"/>
                <w:w w:val="99"/>
              </w:rPr>
              <w:t>$</w:t>
            </w:r>
          </w:p>
        </w:tc>
        <w:tc>
          <w:tcPr>
            <w:tcW w:w="1140" w:type="dxa"/>
            <w:vAlign w:val="bottom"/>
            <w:tcBorders>
              <w:top w:val="single" w:sz="8" w:color="004054"/>
              <w:bottom w:val="single" w:sz="8" w:color="EBFBFF"/>
            </w:tcBorders>
            <w:shd w:val="clear" w:color="auto" w:fill="EBFBFF"/>
          </w:tcPr>
          <w:p>
            <w:pPr>
              <w:jc w:val="right"/>
              <w:ind w:right="14"/>
              <w:spacing w:after="0"/>
              <w:rPr>
                <w:sz w:val="20"/>
                <w:szCs w:val="20"/>
                <w:color w:val="auto"/>
              </w:rPr>
            </w:pPr>
            <w:r>
              <w:rPr>
                <w:rFonts w:ascii="Arial" w:cs="Arial" w:eastAsia="Arial" w:hAnsi="Arial"/>
                <w:sz w:val="18"/>
                <w:szCs w:val="18"/>
                <w:color w:val="51555C"/>
              </w:rPr>
              <w:t>672,182</w:t>
            </w:r>
          </w:p>
        </w:tc>
        <w:tc>
          <w:tcPr>
            <w:tcW w:w="200" w:type="dxa"/>
            <w:vAlign w:val="bottom"/>
            <w:tcBorders>
              <w:top w:val="single" w:sz="8" w:color="004054"/>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79"/>
              </w:rPr>
              <w:t>$</w:t>
            </w:r>
          </w:p>
        </w:tc>
        <w:tc>
          <w:tcPr>
            <w:tcW w:w="1440" w:type="dxa"/>
            <w:vAlign w:val="bottom"/>
            <w:tcBorders>
              <w:top w:val="single" w:sz="8" w:color="004054"/>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651,215</w:t>
            </w:r>
          </w:p>
        </w:tc>
        <w:tc>
          <w:tcPr>
            <w:tcW w:w="20" w:type="dxa"/>
            <w:vAlign w:val="bottom"/>
          </w:tcPr>
          <w:p>
            <w:pPr>
              <w:spacing w:after="0"/>
              <w:rPr>
                <w:sz w:val="21"/>
                <w:szCs w:val="21"/>
                <w:color w:val="auto"/>
              </w:rPr>
            </w:pPr>
          </w:p>
        </w:tc>
      </w:tr>
      <w:tr>
        <w:trPr>
          <w:trHeight w:val="297"/>
        </w:trPr>
        <w:tc>
          <w:tcPr>
            <w:tcW w:w="4540" w:type="dxa"/>
            <w:vAlign w:val="bottom"/>
          </w:tcPr>
          <w:p>
            <w:pPr>
              <w:ind w:left="20"/>
              <w:spacing w:after="0"/>
              <w:rPr>
                <w:sz w:val="20"/>
                <w:szCs w:val="20"/>
                <w:color w:val="auto"/>
              </w:rPr>
            </w:pPr>
            <w:r>
              <w:rPr>
                <w:rFonts w:ascii="Arial" w:cs="Arial" w:eastAsia="Arial" w:hAnsi="Arial"/>
                <w:sz w:val="18"/>
                <w:szCs w:val="18"/>
                <w:color w:val="51555C"/>
              </w:rPr>
              <w:t>Corporate Sector</w:t>
            </w:r>
          </w:p>
        </w:tc>
        <w:tc>
          <w:tcPr>
            <w:tcW w:w="500" w:type="dxa"/>
            <w:vAlign w:val="bottom"/>
          </w:tcPr>
          <w:p>
            <w:pPr>
              <w:spacing w:after="0"/>
              <w:rPr>
                <w:sz w:val="24"/>
                <w:szCs w:val="24"/>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51555C"/>
              </w:rPr>
              <w:t>37,334</w:t>
            </w:r>
          </w:p>
        </w:tc>
        <w:tc>
          <w:tcPr>
            <w:tcW w:w="140" w:type="dxa"/>
            <w:vAlign w:val="bottom"/>
          </w:tcPr>
          <w:p>
            <w:pPr>
              <w:spacing w:after="0"/>
              <w:rPr>
                <w:sz w:val="24"/>
                <w:szCs w:val="24"/>
                <w:color w:val="auto"/>
              </w:rPr>
            </w:pPr>
          </w:p>
        </w:tc>
        <w:tc>
          <w:tcPr>
            <w:tcW w:w="1500" w:type="dxa"/>
            <w:vAlign w:val="bottom"/>
          </w:tcPr>
          <w:p>
            <w:pPr>
              <w:jc w:val="right"/>
              <w:ind w:right="18"/>
              <w:spacing w:after="0"/>
              <w:rPr>
                <w:sz w:val="20"/>
                <w:szCs w:val="20"/>
                <w:color w:val="auto"/>
              </w:rPr>
            </w:pPr>
            <w:r>
              <w:rPr>
                <w:rFonts w:ascii="Arial" w:cs="Arial" w:eastAsia="Arial" w:hAnsi="Arial"/>
                <w:sz w:val="18"/>
                <w:szCs w:val="18"/>
                <w:color w:val="51555C"/>
              </w:rPr>
              <w:t>8,596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51555C"/>
              </w:rPr>
              <w:t>111,634</w:t>
            </w: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51555C"/>
              </w:rPr>
              <w:t>27,275</w:t>
            </w:r>
          </w:p>
        </w:tc>
        <w:tc>
          <w:tcPr>
            <w:tcW w:w="20" w:type="dxa"/>
            <w:vAlign w:val="bottom"/>
          </w:tcPr>
          <w:p>
            <w:pPr>
              <w:spacing w:after="0"/>
              <w:rPr>
                <w:sz w:val="24"/>
                <w:szCs w:val="24"/>
                <w:color w:val="auto"/>
              </w:rPr>
            </w:pPr>
          </w:p>
        </w:tc>
      </w:tr>
      <w:tr>
        <w:trPr>
          <w:trHeight w:val="27"/>
        </w:trPr>
        <w:tc>
          <w:tcPr>
            <w:tcW w:w="4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5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w:t>
            </w:r>
          </w:p>
        </w:tc>
        <w:tc>
          <w:tcPr>
            <w:tcW w:w="500" w:type="dxa"/>
            <w:vAlign w:val="bottom"/>
            <w:tcBorders>
              <w:bottom w:val="single" w:sz="8" w:color="EBFBFF"/>
            </w:tcBorders>
            <w:shd w:val="clear" w:color="auto" w:fill="EBFBFF"/>
          </w:tcPr>
          <w:p>
            <w:pPr>
              <w:spacing w:after="0"/>
              <w:rPr>
                <w:sz w:val="23"/>
                <w:szCs w:val="23"/>
                <w:color w:val="auto"/>
              </w:rPr>
            </w:pPr>
          </w:p>
        </w:tc>
        <w:tc>
          <w:tcPr>
            <w:tcW w:w="1160" w:type="dxa"/>
            <w:vAlign w:val="bottom"/>
            <w:tcBorders>
              <w:bottom w:val="single" w:sz="8" w:color="EBFBFF"/>
            </w:tcBorders>
            <w:shd w:val="clear" w:color="auto" w:fill="EBFBFF"/>
          </w:tcPr>
          <w:p>
            <w:pPr>
              <w:jc w:val="right"/>
              <w:ind w:right="14"/>
              <w:spacing w:after="0"/>
              <w:rPr>
                <w:sz w:val="20"/>
                <w:szCs w:val="20"/>
                <w:color w:val="auto"/>
              </w:rPr>
            </w:pPr>
            <w:r>
              <w:rPr>
                <w:rFonts w:ascii="Arial" w:cs="Arial" w:eastAsia="Arial" w:hAnsi="Arial"/>
                <w:sz w:val="18"/>
                <w:szCs w:val="18"/>
                <w:color w:val="51555C"/>
              </w:rPr>
              <w:t>154</w:t>
            </w:r>
          </w:p>
        </w:tc>
        <w:tc>
          <w:tcPr>
            <w:tcW w:w="140" w:type="dxa"/>
            <w:vAlign w:val="bottom"/>
            <w:tcBorders>
              <w:bottom w:val="single" w:sz="8" w:color="EBFBFF"/>
            </w:tcBorders>
            <w:shd w:val="clear" w:color="auto" w:fill="EBFBFF"/>
          </w:tcPr>
          <w:p>
            <w:pPr>
              <w:spacing w:after="0"/>
              <w:rPr>
                <w:sz w:val="23"/>
                <w:szCs w:val="23"/>
                <w:color w:val="auto"/>
              </w:rPr>
            </w:pPr>
          </w:p>
        </w:tc>
        <w:tc>
          <w:tcPr>
            <w:tcW w:w="1500" w:type="dxa"/>
            <w:vAlign w:val="bottom"/>
            <w:tcBorders>
              <w:bottom w:val="single" w:sz="8" w:color="EBFBFF"/>
              <w:right w:val="single" w:sz="8" w:color="EBFBFF"/>
            </w:tcBorders>
            <w:shd w:val="clear" w:color="auto" w:fill="EBFBFF"/>
          </w:tcPr>
          <w:p>
            <w:pPr>
              <w:jc w:val="right"/>
              <w:ind w:right="18"/>
              <w:spacing w:after="0"/>
              <w:rPr>
                <w:sz w:val="20"/>
                <w:szCs w:val="20"/>
                <w:color w:val="auto"/>
              </w:rPr>
            </w:pPr>
            <w:r>
              <w:rPr>
                <w:rFonts w:ascii="Arial" w:cs="Arial" w:eastAsia="Arial" w:hAnsi="Arial"/>
                <w:sz w:val="18"/>
                <w:szCs w:val="18"/>
                <w:color w:val="51555C"/>
              </w:rPr>
              <w:t>1,428</w:t>
            </w:r>
          </w:p>
        </w:tc>
        <w:tc>
          <w:tcPr>
            <w:tcW w:w="100" w:type="dxa"/>
            <w:vAlign w:val="bottom"/>
            <w:tcBorders>
              <w:bottom w:val="single" w:sz="8" w:color="EBFBFF"/>
            </w:tcBorders>
            <w:shd w:val="clear" w:color="auto" w:fill="EBFBFF"/>
          </w:tcPr>
          <w:p>
            <w:pPr>
              <w:spacing w:after="0"/>
              <w:rPr>
                <w:sz w:val="23"/>
                <w:szCs w:val="23"/>
                <w:color w:val="auto"/>
              </w:rPr>
            </w:pPr>
          </w:p>
        </w:tc>
        <w:tc>
          <w:tcPr>
            <w:tcW w:w="520" w:type="dxa"/>
            <w:vAlign w:val="bottom"/>
            <w:tcBorders>
              <w:bottom w:val="single" w:sz="8" w:color="EBFBFF"/>
            </w:tcBorders>
            <w:shd w:val="clear" w:color="auto" w:fill="EBFBFF"/>
          </w:tcPr>
          <w:p>
            <w:pPr>
              <w:spacing w:after="0"/>
              <w:rPr>
                <w:sz w:val="23"/>
                <w:szCs w:val="23"/>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(468)</w:t>
            </w:r>
          </w:p>
        </w:tc>
        <w:tc>
          <w:tcPr>
            <w:tcW w:w="200" w:type="dxa"/>
            <w:vAlign w:val="bottom"/>
            <w:tcBorders>
              <w:bottom w:val="single" w:sz="8" w:color="EBFBFF"/>
            </w:tcBorders>
            <w:shd w:val="clear" w:color="auto" w:fill="EBFBFF"/>
          </w:tcPr>
          <w:p>
            <w:pPr>
              <w:spacing w:after="0"/>
              <w:rPr>
                <w:sz w:val="23"/>
                <w:szCs w:val="23"/>
                <w:color w:val="auto"/>
              </w:rPr>
            </w:pPr>
          </w:p>
        </w:tc>
        <w:tc>
          <w:tcPr>
            <w:tcW w:w="14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1,359</w:t>
            </w:r>
          </w:p>
        </w:tc>
        <w:tc>
          <w:tcPr>
            <w:tcW w:w="20" w:type="dxa"/>
            <w:vAlign w:val="bottom"/>
          </w:tcPr>
          <w:p>
            <w:pPr>
              <w:spacing w:after="0"/>
              <w:rPr>
                <w:sz w:val="23"/>
                <w:szCs w:val="23"/>
                <w:color w:val="auto"/>
              </w:rPr>
            </w:pPr>
          </w:p>
        </w:tc>
      </w:tr>
      <w:tr>
        <w:trPr>
          <w:trHeight w:val="236"/>
        </w:trPr>
        <w:tc>
          <w:tcPr>
            <w:tcW w:w="4540" w:type="dxa"/>
            <w:vAlign w:val="bottom"/>
          </w:tcPr>
          <w:p>
            <w:pPr>
              <w:ind w:left="140"/>
              <w:spacing w:after="0"/>
              <w:rPr>
                <w:sz w:val="20"/>
                <w:szCs w:val="20"/>
                <w:color w:val="auto"/>
              </w:rPr>
            </w:pPr>
            <w:r>
              <w:rPr>
                <w:rFonts w:ascii="Arial" w:cs="Arial" w:eastAsia="Arial" w:hAnsi="Arial"/>
                <w:sz w:val="18"/>
                <w:szCs w:val="18"/>
                <w:color w:val="51555C"/>
              </w:rPr>
              <w:t>Total revenue</w:t>
            </w:r>
          </w:p>
        </w:tc>
        <w:tc>
          <w:tcPr>
            <w:tcW w:w="500" w:type="dxa"/>
            <w:vAlign w:val="bottom"/>
            <w:tcBorders>
              <w:top w:val="single" w:sz="8" w:color="51555C"/>
            </w:tcBorders>
          </w:tcPr>
          <w:p>
            <w:pPr>
              <w:jc w:val="right"/>
              <w:ind w:right="310"/>
              <w:spacing w:after="0"/>
              <w:rPr>
                <w:sz w:val="20"/>
                <w:szCs w:val="20"/>
                <w:color w:val="auto"/>
              </w:rPr>
            </w:pPr>
            <w:r>
              <w:rPr>
                <w:rFonts w:ascii="Arial" w:cs="Arial" w:eastAsia="Arial" w:hAnsi="Arial"/>
                <w:sz w:val="18"/>
                <w:szCs w:val="18"/>
                <w:color w:val="51555C"/>
                <w:w w:val="79"/>
              </w:rPr>
              <w:t>$</w:t>
            </w:r>
          </w:p>
        </w:tc>
        <w:tc>
          <w:tcPr>
            <w:tcW w:w="1160" w:type="dxa"/>
            <w:vAlign w:val="bottom"/>
            <w:tcBorders>
              <w:top w:val="single" w:sz="8" w:color="51555C"/>
            </w:tcBorders>
          </w:tcPr>
          <w:p>
            <w:pPr>
              <w:jc w:val="right"/>
              <w:ind w:right="14"/>
              <w:spacing w:after="0"/>
              <w:rPr>
                <w:sz w:val="20"/>
                <w:szCs w:val="20"/>
                <w:color w:val="auto"/>
              </w:rPr>
            </w:pPr>
            <w:r>
              <w:rPr>
                <w:rFonts w:ascii="Arial" w:cs="Arial" w:eastAsia="Arial" w:hAnsi="Arial"/>
                <w:sz w:val="18"/>
                <w:szCs w:val="18"/>
                <w:color w:val="51555C"/>
              </w:rPr>
              <w:t>261,297</w:t>
            </w:r>
          </w:p>
        </w:tc>
        <w:tc>
          <w:tcPr>
            <w:tcW w:w="1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79"/>
              </w:rPr>
              <w:t>$</w:t>
            </w:r>
          </w:p>
        </w:tc>
        <w:tc>
          <w:tcPr>
            <w:tcW w:w="1500" w:type="dxa"/>
            <w:vAlign w:val="bottom"/>
            <w:tcBorders>
              <w:top w:val="single" w:sz="8" w:color="51555C"/>
            </w:tcBorders>
          </w:tcPr>
          <w:p>
            <w:pPr>
              <w:jc w:val="right"/>
              <w:ind w:right="18"/>
              <w:spacing w:after="0"/>
              <w:rPr>
                <w:sz w:val="20"/>
                <w:szCs w:val="20"/>
                <w:color w:val="auto"/>
              </w:rPr>
            </w:pPr>
            <w:r>
              <w:rPr>
                <w:rFonts w:ascii="Arial" w:cs="Arial" w:eastAsia="Arial" w:hAnsi="Arial"/>
                <w:sz w:val="18"/>
                <w:szCs w:val="18"/>
                <w:color w:val="51555C"/>
              </w:rPr>
              <w:t>231,218</w:t>
            </w:r>
          </w:p>
        </w:tc>
        <w:tc>
          <w:tcPr>
            <w:tcW w:w="100" w:type="dxa"/>
            <w:vAlign w:val="bottom"/>
          </w:tcPr>
          <w:p>
            <w:pPr>
              <w:spacing w:after="0"/>
              <w:rPr>
                <w:sz w:val="20"/>
                <w:szCs w:val="20"/>
                <w:color w:val="auto"/>
              </w:rPr>
            </w:pPr>
          </w:p>
        </w:tc>
        <w:tc>
          <w:tcPr>
            <w:tcW w:w="520" w:type="dxa"/>
            <w:vAlign w:val="bottom"/>
            <w:tcBorders>
              <w:top w:val="single" w:sz="8" w:color="51555C"/>
            </w:tcBorders>
          </w:tcPr>
          <w:p>
            <w:pPr>
              <w:jc w:val="right"/>
              <w:ind w:right="310"/>
              <w:spacing w:after="0"/>
              <w:rPr>
                <w:sz w:val="20"/>
                <w:szCs w:val="20"/>
                <w:color w:val="auto"/>
              </w:rPr>
            </w:pPr>
            <w:r>
              <w:rPr>
                <w:rFonts w:ascii="Arial" w:cs="Arial" w:eastAsia="Arial" w:hAnsi="Arial"/>
                <w:sz w:val="18"/>
                <w:szCs w:val="18"/>
                <w:color w:val="51555C"/>
                <w:w w:val="99"/>
              </w:rPr>
              <w:t>$</w:t>
            </w:r>
          </w:p>
        </w:tc>
        <w:tc>
          <w:tcPr>
            <w:tcW w:w="1140" w:type="dxa"/>
            <w:vAlign w:val="bottom"/>
            <w:tcBorders>
              <w:top w:val="single" w:sz="8" w:color="51555C"/>
            </w:tcBorders>
          </w:tcPr>
          <w:p>
            <w:pPr>
              <w:jc w:val="right"/>
              <w:ind w:right="14"/>
              <w:spacing w:after="0"/>
              <w:rPr>
                <w:sz w:val="20"/>
                <w:szCs w:val="20"/>
                <w:color w:val="auto"/>
              </w:rPr>
            </w:pPr>
            <w:r>
              <w:rPr>
                <w:rFonts w:ascii="Arial" w:cs="Arial" w:eastAsia="Arial" w:hAnsi="Arial"/>
                <w:sz w:val="18"/>
                <w:szCs w:val="18"/>
                <w:color w:val="51555C"/>
              </w:rPr>
              <w:t>783,348</w:t>
            </w:r>
          </w:p>
        </w:tc>
        <w:tc>
          <w:tcPr>
            <w:tcW w:w="200" w:type="dxa"/>
            <w:vAlign w:val="bottom"/>
            <w:tcBorders>
              <w:top w:val="single" w:sz="8" w:color="51555C"/>
            </w:tcBorders>
          </w:tcPr>
          <w:p>
            <w:pPr>
              <w:jc w:val="right"/>
              <w:ind w:right="10"/>
              <w:spacing w:after="0"/>
              <w:rPr>
                <w:sz w:val="20"/>
                <w:szCs w:val="20"/>
                <w:color w:val="auto"/>
              </w:rPr>
            </w:pPr>
            <w:r>
              <w:rPr>
                <w:rFonts w:ascii="Arial" w:cs="Arial" w:eastAsia="Arial" w:hAnsi="Arial"/>
                <w:sz w:val="18"/>
                <w:szCs w:val="18"/>
                <w:color w:val="51555C"/>
                <w:w w:val="79"/>
              </w:rPr>
              <w:t>$</w:t>
            </w:r>
          </w:p>
        </w:tc>
        <w:tc>
          <w:tcPr>
            <w:tcW w:w="14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679,849</w:t>
            </w:r>
          </w:p>
        </w:tc>
        <w:tc>
          <w:tcPr>
            <w:tcW w:w="20" w:type="dxa"/>
            <w:vAlign w:val="bottom"/>
          </w:tcPr>
          <w:p>
            <w:pPr>
              <w:spacing w:after="0"/>
              <w:rPr>
                <w:sz w:val="20"/>
                <w:szCs w:val="20"/>
                <w:color w:val="auto"/>
              </w:rPr>
            </w:pPr>
          </w:p>
        </w:tc>
      </w:tr>
      <w:tr>
        <w:trPr>
          <w:trHeight w:val="27"/>
        </w:trPr>
        <w:tc>
          <w:tcPr>
            <w:tcW w:w="4540" w:type="dxa"/>
            <w:vAlign w:val="bottom"/>
            <w:tcBorders>
              <w:bottom w:val="single" w:sz="8" w:color="0CD973"/>
            </w:tcBorders>
          </w:tcPr>
          <w:p>
            <w:pPr>
              <w:spacing w:after="0"/>
              <w:rPr>
                <w:sz w:val="2"/>
                <w:szCs w:val="2"/>
                <w:color w:val="auto"/>
              </w:rPr>
            </w:pPr>
          </w:p>
        </w:tc>
        <w:tc>
          <w:tcPr>
            <w:tcW w:w="500" w:type="dxa"/>
            <w:vAlign w:val="bottom"/>
            <w:tcBorders>
              <w:bottom w:val="single" w:sz="8" w:color="0CD973"/>
            </w:tcBorders>
          </w:tcPr>
          <w:p>
            <w:pPr>
              <w:spacing w:after="0"/>
              <w:rPr>
                <w:sz w:val="2"/>
                <w:szCs w:val="2"/>
                <w:color w:val="auto"/>
              </w:rPr>
            </w:pPr>
          </w:p>
        </w:tc>
        <w:tc>
          <w:tcPr>
            <w:tcW w:w="1160" w:type="dxa"/>
            <w:vAlign w:val="bottom"/>
            <w:tcBorders>
              <w:bottom w:val="single" w:sz="8" w:color="0CD973"/>
            </w:tcBorders>
          </w:tcPr>
          <w:p>
            <w:pPr>
              <w:spacing w:after="0"/>
              <w:rPr>
                <w:sz w:val="2"/>
                <w:szCs w:val="2"/>
                <w:color w:val="auto"/>
              </w:rPr>
            </w:pPr>
          </w:p>
        </w:tc>
        <w:tc>
          <w:tcPr>
            <w:tcW w:w="140" w:type="dxa"/>
            <w:vAlign w:val="bottom"/>
            <w:tcBorders>
              <w:bottom w:val="single" w:sz="8" w:color="0CD973"/>
            </w:tcBorders>
          </w:tcPr>
          <w:p>
            <w:pPr>
              <w:spacing w:after="0"/>
              <w:rPr>
                <w:sz w:val="2"/>
                <w:szCs w:val="2"/>
                <w:color w:val="auto"/>
              </w:rPr>
            </w:pPr>
          </w:p>
        </w:tc>
        <w:tc>
          <w:tcPr>
            <w:tcW w:w="150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520" w:type="dxa"/>
            <w:vAlign w:val="bottom"/>
            <w:tcBorders>
              <w:bottom w:val="single" w:sz="8" w:color="0CD973"/>
            </w:tcBorders>
          </w:tcPr>
          <w:p>
            <w:pPr>
              <w:spacing w:after="0"/>
              <w:rPr>
                <w:sz w:val="2"/>
                <w:szCs w:val="2"/>
                <w:color w:val="auto"/>
              </w:rPr>
            </w:pPr>
          </w:p>
        </w:tc>
        <w:tc>
          <w:tcPr>
            <w:tcW w:w="1140" w:type="dxa"/>
            <w:vAlign w:val="bottom"/>
            <w:tcBorders>
              <w:bottom w:val="single" w:sz="8" w:color="0CD973"/>
            </w:tcBorders>
          </w:tcPr>
          <w:p>
            <w:pPr>
              <w:spacing w:after="0"/>
              <w:rPr>
                <w:sz w:val="2"/>
                <w:szCs w:val="2"/>
                <w:color w:val="auto"/>
              </w:rPr>
            </w:pPr>
          </w:p>
        </w:tc>
        <w:tc>
          <w:tcPr>
            <w:tcW w:w="200" w:type="dxa"/>
            <w:vAlign w:val="bottom"/>
            <w:tcBorders>
              <w:bottom w:val="single" w:sz="8" w:color="0CD973"/>
            </w:tcBorders>
          </w:tcPr>
          <w:p>
            <w:pPr>
              <w:spacing w:after="0"/>
              <w:rPr>
                <w:sz w:val="2"/>
                <w:szCs w:val="2"/>
                <w:color w:val="auto"/>
              </w:rPr>
            </w:pPr>
          </w:p>
        </w:tc>
        <w:tc>
          <w:tcPr>
            <w:tcW w:w="144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-899160</wp:posOffset>
            </wp:positionV>
            <wp:extent cx="42691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24</w:t>
      </w:r>
      <w:r>
        <w:rPr>
          <w:sz w:val="20"/>
          <w:szCs w:val="20"/>
          <w:color w:val="auto"/>
        </w:rPr>
        <w:tab/>
      </w:r>
      <w:r>
        <w:rPr>
          <w:sz w:val="1"/>
          <w:szCs w:val="1"/>
          <w:color w:val="auto"/>
        </w:rPr>
        <w:drawing>
          <wp:inline distT="0" distB="0" distL="0" distR="0">
            <wp:extent cx="651510" cy="17145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presents our recurring revenue by type: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shd w:val="clear" w:color="auto" w:fill="004054"/>
          </w:tcPr>
          <w:p>
            <w:pPr>
              <w:spacing w:after="0"/>
              <w:rPr>
                <w:sz w:val="17"/>
                <w:szCs w:val="17"/>
                <w:color w:val="auto"/>
              </w:rPr>
            </w:pPr>
          </w:p>
        </w:tc>
        <w:tc>
          <w:tcPr>
            <w:tcW w:w="500" w:type="dxa"/>
            <w:vAlign w:val="bottom"/>
            <w:shd w:val="clear" w:color="auto" w:fill="004054"/>
          </w:tcPr>
          <w:p>
            <w:pPr>
              <w:spacing w:after="0"/>
              <w:rPr>
                <w:sz w:val="17"/>
                <w:szCs w:val="17"/>
                <w:color w:val="auto"/>
              </w:rPr>
            </w:pPr>
          </w:p>
        </w:tc>
        <w:tc>
          <w:tcPr>
            <w:tcW w:w="1140" w:type="dxa"/>
            <w:vAlign w:val="bottom"/>
            <w:shd w:val="clear" w:color="auto" w:fill="004054"/>
          </w:tcPr>
          <w:p>
            <w:pPr>
              <w:spacing w:after="0"/>
              <w:rPr>
                <w:sz w:val="17"/>
                <w:szCs w:val="17"/>
                <w:color w:val="auto"/>
              </w:rPr>
            </w:pPr>
          </w:p>
        </w:tc>
        <w:tc>
          <w:tcPr>
            <w:tcW w:w="160" w:type="dxa"/>
            <w:vAlign w:val="bottom"/>
            <w:shd w:val="clear" w:color="auto" w:fill="004054"/>
          </w:tcPr>
          <w:p>
            <w:pPr>
              <w:spacing w:after="0"/>
              <w:rPr>
                <w:sz w:val="17"/>
                <w:szCs w:val="17"/>
                <w:color w:val="auto"/>
              </w:rPr>
            </w:pPr>
          </w:p>
        </w:tc>
        <w:tc>
          <w:tcPr>
            <w:tcW w:w="150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7"/>
                <w:szCs w:val="17"/>
                <w:color w:val="auto"/>
              </w:rPr>
            </w:pPr>
          </w:p>
        </w:tc>
        <w:tc>
          <w:tcPr>
            <w:tcW w:w="520" w:type="dxa"/>
            <w:vAlign w:val="bottom"/>
            <w:shd w:val="clear" w:color="auto" w:fill="004054"/>
          </w:tcPr>
          <w:p>
            <w:pPr>
              <w:spacing w:after="0"/>
              <w:rPr>
                <w:sz w:val="17"/>
                <w:szCs w:val="17"/>
                <w:color w:val="auto"/>
              </w:rPr>
            </w:pPr>
          </w:p>
        </w:tc>
        <w:tc>
          <w:tcPr>
            <w:tcW w:w="1120" w:type="dxa"/>
            <w:vAlign w:val="bottom"/>
            <w:shd w:val="clear" w:color="auto" w:fill="004054"/>
          </w:tcPr>
          <w:p>
            <w:pPr>
              <w:spacing w:after="0"/>
              <w:rPr>
                <w:sz w:val="17"/>
                <w:szCs w:val="17"/>
                <w:color w:val="auto"/>
              </w:rPr>
            </w:pPr>
          </w:p>
        </w:tc>
        <w:tc>
          <w:tcPr>
            <w:tcW w:w="220" w:type="dxa"/>
            <w:vAlign w:val="bottom"/>
            <w:shd w:val="clear" w:color="auto" w:fill="004054"/>
          </w:tcPr>
          <w:p>
            <w:pPr>
              <w:spacing w:after="0"/>
              <w:rPr>
                <w:sz w:val="17"/>
                <w:szCs w:val="17"/>
                <w:color w:val="auto"/>
              </w:rPr>
            </w:pPr>
          </w:p>
        </w:tc>
        <w:tc>
          <w:tcPr>
            <w:tcW w:w="14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7"/>
                <w:szCs w:val="17"/>
                <w:color w:val="auto"/>
              </w:rPr>
            </w:pPr>
          </w:p>
        </w:tc>
      </w:tr>
      <w:tr>
        <w:trPr>
          <w:trHeight w:val="190"/>
        </w:trPr>
        <w:tc>
          <w:tcPr>
            <w:tcW w:w="4540" w:type="dxa"/>
            <w:vAlign w:val="bottom"/>
            <w:shd w:val="clear" w:color="auto" w:fill="004054"/>
          </w:tcPr>
          <w:p>
            <w:pPr>
              <w:spacing w:after="0"/>
              <w:rPr>
                <w:sz w:val="16"/>
                <w:szCs w:val="16"/>
                <w:color w:val="auto"/>
              </w:rPr>
            </w:pPr>
          </w:p>
        </w:tc>
        <w:tc>
          <w:tcPr>
            <w:tcW w:w="500" w:type="dxa"/>
            <w:vAlign w:val="bottom"/>
            <w:shd w:val="clear" w:color="auto" w:fill="004054"/>
          </w:tcPr>
          <w:p>
            <w:pPr>
              <w:spacing w:after="0"/>
              <w:rPr>
                <w:sz w:val="16"/>
                <w:szCs w:val="16"/>
                <w:color w:val="auto"/>
              </w:rPr>
            </w:pPr>
          </w:p>
        </w:tc>
        <w:tc>
          <w:tcPr>
            <w:tcW w:w="1140" w:type="dxa"/>
            <w:vAlign w:val="bottom"/>
            <w:shd w:val="clear" w:color="auto" w:fill="004054"/>
          </w:tcPr>
          <w:p>
            <w:pPr>
              <w:spacing w:after="0"/>
              <w:rPr>
                <w:sz w:val="16"/>
                <w:szCs w:val="16"/>
                <w:color w:val="auto"/>
              </w:rPr>
            </w:pPr>
          </w:p>
        </w:tc>
        <w:tc>
          <w:tcPr>
            <w:tcW w:w="160" w:type="dxa"/>
            <w:vAlign w:val="bottom"/>
            <w:shd w:val="clear" w:color="auto" w:fill="004054"/>
          </w:tcPr>
          <w:p>
            <w:pPr>
              <w:spacing w:after="0"/>
              <w:rPr>
                <w:sz w:val="16"/>
                <w:szCs w:val="16"/>
                <w:color w:val="auto"/>
              </w:rPr>
            </w:pPr>
          </w:p>
        </w:tc>
        <w:tc>
          <w:tcPr>
            <w:tcW w:w="150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6"/>
                <w:szCs w:val="16"/>
                <w:color w:val="auto"/>
              </w:rPr>
            </w:pPr>
          </w:p>
        </w:tc>
        <w:tc>
          <w:tcPr>
            <w:tcW w:w="520" w:type="dxa"/>
            <w:vAlign w:val="bottom"/>
            <w:shd w:val="clear" w:color="auto" w:fill="004054"/>
          </w:tcPr>
          <w:p>
            <w:pPr>
              <w:spacing w:after="0"/>
              <w:rPr>
                <w:sz w:val="16"/>
                <w:szCs w:val="16"/>
                <w:color w:val="auto"/>
              </w:rPr>
            </w:pPr>
          </w:p>
        </w:tc>
        <w:tc>
          <w:tcPr>
            <w:tcW w:w="112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14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6"/>
                <w:szCs w:val="16"/>
                <w:color w:val="auto"/>
              </w:rPr>
            </w:pPr>
          </w:p>
        </w:tc>
      </w:tr>
      <w:tr>
        <w:trPr>
          <w:trHeight w:val="243"/>
        </w:trPr>
        <w:tc>
          <w:tcPr>
            <w:tcW w:w="454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00" w:type="dxa"/>
            <w:vAlign w:val="bottom"/>
            <w:shd w:val="clear" w:color="auto" w:fill="004054"/>
          </w:tcPr>
          <w:p>
            <w:pPr>
              <w:spacing w:after="0"/>
              <w:rPr>
                <w:sz w:val="21"/>
                <w:szCs w:val="21"/>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60" w:type="dxa"/>
            <w:vAlign w:val="bottom"/>
            <w:shd w:val="clear" w:color="auto" w:fill="004054"/>
          </w:tcPr>
          <w:p>
            <w:pPr>
              <w:spacing w:after="0"/>
              <w:rPr>
                <w:sz w:val="21"/>
                <w:szCs w:val="21"/>
                <w:color w:val="auto"/>
              </w:rPr>
            </w:pPr>
          </w:p>
        </w:tc>
        <w:tc>
          <w:tcPr>
            <w:tcW w:w="150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00" w:type="dxa"/>
            <w:vAlign w:val="bottom"/>
          </w:tcPr>
          <w:p>
            <w:pPr>
              <w:spacing w:after="0"/>
              <w:rPr>
                <w:sz w:val="21"/>
                <w:szCs w:val="21"/>
                <w:color w:val="auto"/>
              </w:rPr>
            </w:pPr>
          </w:p>
        </w:tc>
        <w:tc>
          <w:tcPr>
            <w:tcW w:w="520" w:type="dxa"/>
            <w:vAlign w:val="bottom"/>
            <w:shd w:val="clear" w:color="auto" w:fill="004054"/>
          </w:tcPr>
          <w:p>
            <w:pPr>
              <w:spacing w:after="0"/>
              <w:rPr>
                <w:sz w:val="21"/>
                <w:szCs w:val="21"/>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20" w:type="dxa"/>
            <w:vAlign w:val="bottom"/>
            <w:shd w:val="clear" w:color="auto" w:fill="004054"/>
          </w:tcPr>
          <w:p>
            <w:pPr>
              <w:spacing w:after="0"/>
              <w:rPr>
                <w:sz w:val="21"/>
                <w:szCs w:val="21"/>
                <w:color w:val="auto"/>
              </w:rPr>
            </w:pPr>
          </w:p>
        </w:tc>
        <w:tc>
          <w:tcPr>
            <w:tcW w:w="14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shd w:val="clear" w:color="auto" w:fill="004054"/>
          </w:tcPr>
          <w:p>
            <w:pPr>
              <w:spacing w:after="0"/>
              <w:rPr>
                <w:sz w:val="21"/>
                <w:szCs w:val="21"/>
                <w:color w:val="auto"/>
              </w:rPr>
            </w:pPr>
          </w:p>
        </w:tc>
      </w:tr>
      <w:tr>
        <w:trPr>
          <w:trHeight w:val="26"/>
        </w:trPr>
        <w:tc>
          <w:tcPr>
            <w:tcW w:w="4540" w:type="dxa"/>
            <w:vAlign w:val="bottom"/>
            <w:tcBorders>
              <w:bottom w:val="single" w:sz="8" w:color="004054"/>
            </w:tcBorders>
            <w:shd w:val="clear" w:color="auto" w:fill="004054"/>
          </w:tcPr>
          <w:p>
            <w:pPr>
              <w:spacing w:after="0"/>
              <w:rPr>
                <w:sz w:val="2"/>
                <w:szCs w:val="2"/>
                <w:color w:val="auto"/>
              </w:rPr>
            </w:pPr>
          </w:p>
        </w:tc>
        <w:tc>
          <w:tcPr>
            <w:tcW w:w="500" w:type="dxa"/>
            <w:vAlign w:val="bottom"/>
            <w:tcBorders>
              <w:bottom w:val="single" w:sz="8" w:color="004054"/>
            </w:tcBorders>
            <w:shd w:val="clear" w:color="auto" w:fill="004054"/>
          </w:tcPr>
          <w:p>
            <w:pPr>
              <w:spacing w:after="0"/>
              <w:rPr>
                <w:sz w:val="2"/>
                <w:szCs w:val="2"/>
                <w:color w:val="auto"/>
              </w:rPr>
            </w:pPr>
          </w:p>
        </w:tc>
        <w:tc>
          <w:tcPr>
            <w:tcW w:w="1140" w:type="dxa"/>
            <w:vAlign w:val="bottom"/>
            <w:tcBorders>
              <w:bottom w:val="single" w:sz="8" w:color="004054"/>
            </w:tcBorders>
            <w:shd w:val="clear" w:color="auto" w:fill="004054"/>
          </w:tcPr>
          <w:p>
            <w:pPr>
              <w:spacing w:after="0"/>
              <w:rPr>
                <w:sz w:val="2"/>
                <w:szCs w:val="2"/>
                <w:color w:val="auto"/>
              </w:rPr>
            </w:pPr>
          </w:p>
        </w:tc>
        <w:tc>
          <w:tcPr>
            <w:tcW w:w="160" w:type="dxa"/>
            <w:vAlign w:val="bottom"/>
            <w:tcBorders>
              <w:bottom w:val="single" w:sz="8" w:color="004054"/>
            </w:tcBorders>
            <w:shd w:val="clear" w:color="auto" w:fill="004054"/>
          </w:tcPr>
          <w:p>
            <w:pPr>
              <w:spacing w:after="0"/>
              <w:rPr>
                <w:sz w:val="2"/>
                <w:szCs w:val="2"/>
                <w:color w:val="auto"/>
              </w:rPr>
            </w:pPr>
          </w:p>
        </w:tc>
        <w:tc>
          <w:tcPr>
            <w:tcW w:w="1500" w:type="dxa"/>
            <w:vAlign w:val="bottom"/>
            <w:tcBorders>
              <w:bottom w:val="single" w:sz="8" w:color="004054"/>
              <w:right w:val="single" w:sz="8" w:color="004054"/>
            </w:tcBorders>
            <w:shd w:val="clear" w:color="auto" w:fill="004054"/>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520" w:type="dxa"/>
            <w:vAlign w:val="bottom"/>
            <w:tcBorders>
              <w:bottom w:val="single" w:sz="8" w:color="004054"/>
            </w:tcBorders>
            <w:shd w:val="clear" w:color="auto" w:fill="004054"/>
          </w:tcPr>
          <w:p>
            <w:pPr>
              <w:spacing w:after="0"/>
              <w:rPr>
                <w:sz w:val="2"/>
                <w:szCs w:val="2"/>
                <w:color w:val="auto"/>
              </w:rPr>
            </w:pPr>
          </w:p>
        </w:tc>
        <w:tc>
          <w:tcPr>
            <w:tcW w:w="1120" w:type="dxa"/>
            <w:vAlign w:val="bottom"/>
            <w:tcBorders>
              <w:bottom w:val="single" w:sz="8" w:color="004054"/>
            </w:tcBorders>
            <w:shd w:val="clear" w:color="auto" w:fill="004054"/>
          </w:tcPr>
          <w:p>
            <w:pPr>
              <w:spacing w:after="0"/>
              <w:rPr>
                <w:sz w:val="2"/>
                <w:szCs w:val="2"/>
                <w:color w:val="auto"/>
              </w:rPr>
            </w:pPr>
          </w:p>
        </w:tc>
        <w:tc>
          <w:tcPr>
            <w:tcW w:w="220" w:type="dxa"/>
            <w:vAlign w:val="bottom"/>
            <w:tcBorders>
              <w:bottom w:val="single" w:sz="8" w:color="004054"/>
            </w:tcBorders>
            <w:shd w:val="clear" w:color="auto" w:fill="004054"/>
          </w:tcPr>
          <w:p>
            <w:pPr>
              <w:spacing w:after="0"/>
              <w:rPr>
                <w:sz w:val="2"/>
                <w:szCs w:val="2"/>
                <w:color w:val="auto"/>
              </w:rPr>
            </w:pPr>
          </w:p>
        </w:tc>
        <w:tc>
          <w:tcPr>
            <w:tcW w:w="1440" w:type="dxa"/>
            <w:vAlign w:val="bottom"/>
            <w:tcBorders>
              <w:bottom w:val="single" w:sz="8" w:color="004054"/>
            </w:tcBorders>
            <w:shd w:val="clear" w:color="auto" w:fill="004054"/>
          </w:tcPr>
          <w:p>
            <w:pPr>
              <w:spacing w:after="0"/>
              <w:rPr>
                <w:sz w:val="2"/>
                <w:szCs w:val="2"/>
                <w:color w:val="auto"/>
              </w:rPr>
            </w:pPr>
          </w:p>
        </w:tc>
        <w:tc>
          <w:tcPr>
            <w:tcW w:w="20" w:type="dxa"/>
            <w:vAlign w:val="bottom"/>
            <w:tcBorders>
              <w:bottom w:val="single" w:sz="8" w:color="004054"/>
            </w:tcBorders>
            <w:shd w:val="clear" w:color="auto" w:fill="004054"/>
          </w:tcPr>
          <w:p>
            <w:pPr>
              <w:spacing w:after="0"/>
              <w:rPr>
                <w:sz w:val="2"/>
                <w:szCs w:val="2"/>
                <w:color w:val="auto"/>
              </w:rPr>
            </w:pPr>
          </w:p>
        </w:tc>
      </w:tr>
      <w:tr>
        <w:trPr>
          <w:trHeight w:val="243"/>
        </w:trPr>
        <w:tc>
          <w:tcPr>
            <w:tcW w:w="45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Contractual recurring</w:t>
            </w:r>
          </w:p>
        </w:tc>
        <w:tc>
          <w:tcPr>
            <w:tcW w:w="500" w:type="dxa"/>
            <w:vAlign w:val="bottom"/>
            <w:tcBorders>
              <w:bottom w:val="single" w:sz="8" w:color="EBFBFF"/>
            </w:tcBorders>
            <w:shd w:val="clear" w:color="auto" w:fill="EBFBFF"/>
          </w:tcPr>
          <w:p>
            <w:pPr>
              <w:jc w:val="right"/>
              <w:ind w:right="310"/>
              <w:spacing w:after="0"/>
              <w:rPr>
                <w:sz w:val="20"/>
                <w:szCs w:val="20"/>
                <w:color w:val="auto"/>
              </w:rPr>
            </w:pPr>
            <w:r>
              <w:rPr>
                <w:rFonts w:ascii="Arial" w:cs="Arial" w:eastAsia="Arial" w:hAnsi="Arial"/>
                <w:sz w:val="18"/>
                <w:szCs w:val="18"/>
                <w:color w:val="51555C"/>
                <w:w w:val="79"/>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178,264</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500" w:type="dxa"/>
            <w:vAlign w:val="bottom"/>
            <w:tcBorders>
              <w:bottom w:val="single" w:sz="8" w:color="EBFBFF"/>
              <w:right w:val="single" w:sz="8" w:color="EBFBFF"/>
            </w:tcBorders>
            <w:shd w:val="clear" w:color="auto" w:fill="EBFBFF"/>
          </w:tcPr>
          <w:p>
            <w:pPr>
              <w:jc w:val="right"/>
              <w:ind w:right="19"/>
              <w:spacing w:after="0"/>
              <w:rPr>
                <w:sz w:val="20"/>
                <w:szCs w:val="20"/>
                <w:color w:val="auto"/>
              </w:rPr>
            </w:pPr>
            <w:r>
              <w:rPr>
                <w:rFonts w:ascii="Arial" w:cs="Arial" w:eastAsia="Arial" w:hAnsi="Arial"/>
                <w:sz w:val="18"/>
                <w:szCs w:val="18"/>
                <w:color w:val="51555C"/>
              </w:rPr>
              <w:t>150,581</w:t>
            </w:r>
          </w:p>
        </w:tc>
        <w:tc>
          <w:tcPr>
            <w:tcW w:w="620" w:type="dxa"/>
            <w:vAlign w:val="bottom"/>
            <w:tcBorders>
              <w:bottom w:val="single" w:sz="8" w:color="EBFBFF"/>
            </w:tcBorders>
            <w:gridSpan w:val="2"/>
            <w:shd w:val="clear" w:color="auto" w:fill="EBFBFF"/>
          </w:tcPr>
          <w:p>
            <w:pPr>
              <w:jc w:val="right"/>
              <w:ind w:right="400"/>
              <w:spacing w:after="0"/>
              <w:rPr>
                <w:sz w:val="20"/>
                <w:szCs w:val="20"/>
                <w:color w:val="auto"/>
              </w:rPr>
            </w:pPr>
            <w:r>
              <w:rPr>
                <w:rFonts w:ascii="Arial" w:cs="Arial" w:eastAsia="Arial" w:hAnsi="Arial"/>
                <w:sz w:val="18"/>
                <w:szCs w:val="18"/>
                <w:color w:val="51555C"/>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530,146</w:t>
            </w:r>
          </w:p>
        </w:tc>
        <w:tc>
          <w:tcPr>
            <w:tcW w:w="22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99"/>
              </w:rPr>
              <w:t>$</w:t>
            </w:r>
          </w:p>
        </w:tc>
        <w:tc>
          <w:tcPr>
            <w:tcW w:w="14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448,552</w:t>
            </w:r>
          </w:p>
        </w:tc>
        <w:tc>
          <w:tcPr>
            <w:tcW w:w="20" w:type="dxa"/>
            <w:vAlign w:val="bottom"/>
          </w:tcPr>
          <w:p>
            <w:pPr>
              <w:spacing w:after="0"/>
              <w:rPr>
                <w:sz w:val="21"/>
                <w:szCs w:val="2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51555C"/>
              </w:rPr>
              <w:t>Transactional recurring</w:t>
            </w: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71,123</w:t>
            </w:r>
          </w:p>
        </w:tc>
        <w:tc>
          <w:tcPr>
            <w:tcW w:w="160" w:type="dxa"/>
            <w:vAlign w:val="bottom"/>
          </w:tcPr>
          <w:p>
            <w:pPr>
              <w:spacing w:after="0"/>
              <w:rPr>
                <w:sz w:val="21"/>
                <w:szCs w:val="21"/>
                <w:color w:val="auto"/>
              </w:rPr>
            </w:pPr>
          </w:p>
        </w:tc>
        <w:tc>
          <w:tcPr>
            <w:tcW w:w="1500" w:type="dxa"/>
            <w:vAlign w:val="bottom"/>
          </w:tcPr>
          <w:p>
            <w:pPr>
              <w:jc w:val="right"/>
              <w:ind w:right="19"/>
              <w:spacing w:after="0"/>
              <w:rPr>
                <w:sz w:val="20"/>
                <w:szCs w:val="20"/>
                <w:color w:val="auto"/>
              </w:rPr>
            </w:pPr>
            <w:r>
              <w:rPr>
                <w:rFonts w:ascii="Arial" w:cs="Arial" w:eastAsia="Arial" w:hAnsi="Arial"/>
                <w:sz w:val="18"/>
                <w:szCs w:val="18"/>
                <w:color w:val="51555C"/>
              </w:rPr>
              <w:t>67,949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51555C"/>
              </w:rPr>
              <w:t>216,414</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51555C"/>
              </w:rPr>
              <w:t>193,714</w:t>
            </w:r>
          </w:p>
        </w:tc>
        <w:tc>
          <w:tcPr>
            <w:tcW w:w="20" w:type="dxa"/>
            <w:vAlign w:val="bottom"/>
          </w:tcPr>
          <w:p>
            <w:pPr>
              <w:spacing w:after="0"/>
              <w:rPr>
                <w:sz w:val="21"/>
                <w:szCs w:val="21"/>
                <w:color w:val="auto"/>
              </w:rPr>
            </w:pPr>
          </w:p>
        </w:tc>
      </w:tr>
      <w:tr>
        <w:trPr>
          <w:trHeight w:val="27"/>
        </w:trPr>
        <w:tc>
          <w:tcPr>
            <w:tcW w:w="4540" w:type="dxa"/>
            <w:vAlign w:val="bottom"/>
            <w:tcBorders>
              <w:bottom w:val="single" w:sz="8" w:color="EBFBFF"/>
            </w:tcBorders>
          </w:tcPr>
          <w:p>
            <w:pPr>
              <w:spacing w:after="0"/>
              <w:rPr>
                <w:sz w:val="2"/>
                <w:szCs w:val="2"/>
                <w:color w:val="auto"/>
              </w:rPr>
            </w:pPr>
          </w:p>
        </w:tc>
        <w:tc>
          <w:tcPr>
            <w:tcW w:w="500" w:type="dxa"/>
            <w:vAlign w:val="bottom"/>
            <w:tcBorders>
              <w:bottom w:val="single" w:sz="8" w:color="51555C"/>
            </w:tcBorders>
          </w:tcPr>
          <w:p>
            <w:pPr>
              <w:spacing w:after="0"/>
              <w:rPr>
                <w:sz w:val="2"/>
                <w:szCs w:val="2"/>
                <w:color w:val="auto"/>
              </w:rPr>
            </w:pPr>
          </w:p>
        </w:tc>
        <w:tc>
          <w:tcPr>
            <w:tcW w:w="1140" w:type="dxa"/>
            <w:vAlign w:val="bottom"/>
            <w:tcBorders>
              <w:bottom w:val="single" w:sz="8" w:color="51555C"/>
            </w:tcBorders>
          </w:tcPr>
          <w:p>
            <w:pPr>
              <w:spacing w:after="0"/>
              <w:rPr>
                <w:sz w:val="2"/>
                <w:szCs w:val="2"/>
                <w:color w:val="auto"/>
              </w:rPr>
            </w:pPr>
          </w:p>
        </w:tc>
        <w:tc>
          <w:tcPr>
            <w:tcW w:w="160" w:type="dxa"/>
            <w:vAlign w:val="bottom"/>
            <w:tcBorders>
              <w:bottom w:val="single" w:sz="8" w:color="51555C"/>
            </w:tcBorders>
          </w:tcPr>
          <w:p>
            <w:pPr>
              <w:spacing w:after="0"/>
              <w:rPr>
                <w:sz w:val="2"/>
                <w:szCs w:val="2"/>
                <w:color w:val="auto"/>
              </w:rPr>
            </w:pPr>
          </w:p>
        </w:tc>
        <w:tc>
          <w:tcPr>
            <w:tcW w:w="150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520" w:type="dxa"/>
            <w:vAlign w:val="bottom"/>
            <w:tcBorders>
              <w:bottom w:val="single" w:sz="8" w:color="51555C"/>
            </w:tcBorders>
          </w:tcPr>
          <w:p>
            <w:pPr>
              <w:spacing w:after="0"/>
              <w:rPr>
                <w:sz w:val="2"/>
                <w:szCs w:val="2"/>
                <w:color w:val="auto"/>
              </w:rPr>
            </w:pPr>
          </w:p>
        </w:tc>
        <w:tc>
          <w:tcPr>
            <w:tcW w:w="1120" w:type="dxa"/>
            <w:vAlign w:val="bottom"/>
            <w:tcBorders>
              <w:bottom w:val="single" w:sz="8" w:color="51555C"/>
            </w:tcBorders>
          </w:tcPr>
          <w:p>
            <w:pPr>
              <w:spacing w:after="0"/>
              <w:rPr>
                <w:sz w:val="2"/>
                <w:szCs w:val="2"/>
                <w:color w:val="auto"/>
              </w:rPr>
            </w:pPr>
          </w:p>
        </w:tc>
        <w:tc>
          <w:tcPr>
            <w:tcW w:w="220" w:type="dxa"/>
            <w:vAlign w:val="bottom"/>
            <w:tcBorders>
              <w:bottom w:val="single" w:sz="8" w:color="51555C"/>
            </w:tcBorders>
          </w:tcPr>
          <w:p>
            <w:pPr>
              <w:spacing w:after="0"/>
              <w:rPr>
                <w:sz w:val="2"/>
                <w:szCs w:val="2"/>
                <w:color w:val="auto"/>
              </w:rPr>
            </w:pPr>
          </w:p>
        </w:tc>
        <w:tc>
          <w:tcPr>
            <w:tcW w:w="144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5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Total recurring revenue</w:t>
            </w:r>
          </w:p>
        </w:tc>
        <w:tc>
          <w:tcPr>
            <w:tcW w:w="500" w:type="dxa"/>
            <w:vAlign w:val="bottom"/>
            <w:tcBorders>
              <w:bottom w:val="single" w:sz="8" w:color="EBFBFF"/>
            </w:tcBorders>
            <w:shd w:val="clear" w:color="auto" w:fill="EBFBFF"/>
          </w:tcPr>
          <w:p>
            <w:pPr>
              <w:jc w:val="right"/>
              <w:ind w:right="310"/>
              <w:spacing w:after="0"/>
              <w:rPr>
                <w:sz w:val="20"/>
                <w:szCs w:val="20"/>
                <w:color w:val="auto"/>
              </w:rPr>
            </w:pPr>
            <w:r>
              <w:rPr>
                <w:rFonts w:ascii="Arial" w:cs="Arial" w:eastAsia="Arial" w:hAnsi="Arial"/>
                <w:sz w:val="18"/>
                <w:szCs w:val="18"/>
                <w:color w:val="51555C"/>
                <w:w w:val="79"/>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249,387</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500" w:type="dxa"/>
            <w:vAlign w:val="bottom"/>
            <w:tcBorders>
              <w:bottom w:val="single" w:sz="8" w:color="EBFBFF"/>
              <w:right w:val="single" w:sz="8" w:color="EBFBFF"/>
            </w:tcBorders>
            <w:shd w:val="clear" w:color="auto" w:fill="EBFBFF"/>
          </w:tcPr>
          <w:p>
            <w:pPr>
              <w:jc w:val="right"/>
              <w:ind w:right="19"/>
              <w:spacing w:after="0"/>
              <w:rPr>
                <w:sz w:val="20"/>
                <w:szCs w:val="20"/>
                <w:color w:val="auto"/>
              </w:rPr>
            </w:pPr>
            <w:r>
              <w:rPr>
                <w:rFonts w:ascii="Arial" w:cs="Arial" w:eastAsia="Arial" w:hAnsi="Arial"/>
                <w:sz w:val="18"/>
                <w:szCs w:val="18"/>
                <w:color w:val="51555C"/>
              </w:rPr>
              <w:t>218,530</w:t>
            </w:r>
          </w:p>
        </w:tc>
        <w:tc>
          <w:tcPr>
            <w:tcW w:w="620" w:type="dxa"/>
            <w:vAlign w:val="bottom"/>
            <w:tcBorders>
              <w:bottom w:val="single" w:sz="8" w:color="EBFBFF"/>
            </w:tcBorders>
            <w:gridSpan w:val="2"/>
            <w:shd w:val="clear" w:color="auto" w:fill="EBFBFF"/>
          </w:tcPr>
          <w:p>
            <w:pPr>
              <w:jc w:val="right"/>
              <w:ind w:right="400"/>
              <w:spacing w:after="0"/>
              <w:rPr>
                <w:sz w:val="20"/>
                <w:szCs w:val="20"/>
                <w:color w:val="auto"/>
              </w:rPr>
            </w:pPr>
            <w:r>
              <w:rPr>
                <w:rFonts w:ascii="Arial" w:cs="Arial" w:eastAsia="Arial" w:hAnsi="Arial"/>
                <w:sz w:val="18"/>
                <w:szCs w:val="18"/>
                <w:color w:val="51555C"/>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746,560</w:t>
            </w:r>
          </w:p>
        </w:tc>
        <w:tc>
          <w:tcPr>
            <w:tcW w:w="22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99"/>
              </w:rPr>
              <w:t>$</w:t>
            </w:r>
          </w:p>
        </w:tc>
        <w:tc>
          <w:tcPr>
            <w:tcW w:w="14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642,266</w:t>
            </w:r>
          </w:p>
        </w:tc>
        <w:tc>
          <w:tcPr>
            <w:tcW w:w="20" w:type="dxa"/>
            <w:vAlign w:val="bottom"/>
          </w:tcPr>
          <w:p>
            <w:pPr>
              <w:spacing w:after="0"/>
              <w:rPr>
                <w:sz w:val="21"/>
                <w:szCs w:val="21"/>
                <w:color w:val="auto"/>
              </w:rPr>
            </w:pPr>
          </w:p>
        </w:tc>
      </w:tr>
      <w:tr>
        <w:trPr>
          <w:trHeight w:val="20"/>
        </w:trPr>
        <w:tc>
          <w:tcPr>
            <w:tcW w:w="454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1140" w:type="dxa"/>
            <w:vAlign w:val="bottom"/>
            <w:shd w:val="clear" w:color="auto" w:fill="0CD973"/>
          </w:tcPr>
          <w:p>
            <w:pPr>
              <w:spacing w:after="0" w:line="20" w:lineRule="exact"/>
              <w:rPr>
                <w:sz w:val="1"/>
                <w:szCs w:val="1"/>
                <w:color w:val="auto"/>
              </w:rPr>
            </w:pPr>
          </w:p>
        </w:tc>
        <w:tc>
          <w:tcPr>
            <w:tcW w:w="160" w:type="dxa"/>
            <w:vAlign w:val="bottom"/>
            <w:shd w:val="clear" w:color="auto" w:fill="0CD973"/>
          </w:tcPr>
          <w:p>
            <w:pPr>
              <w:spacing w:after="0" w:line="20" w:lineRule="exact"/>
              <w:rPr>
                <w:sz w:val="1"/>
                <w:szCs w:val="1"/>
                <w:color w:val="auto"/>
              </w:rPr>
            </w:pPr>
          </w:p>
        </w:tc>
        <w:tc>
          <w:tcPr>
            <w:tcW w:w="1500" w:type="dxa"/>
            <w:vAlign w:val="bottom"/>
            <w:tcBorders>
              <w:right w:val="single" w:sz="8" w:color="0CD973"/>
            </w:tcBorders>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52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c>
          <w:tcPr>
            <w:tcW w:w="220" w:type="dxa"/>
            <w:vAlign w:val="bottom"/>
            <w:shd w:val="clear" w:color="auto" w:fill="0CD973"/>
          </w:tcPr>
          <w:p>
            <w:pPr>
              <w:spacing w:after="0" w:line="20" w:lineRule="exact"/>
              <w:rPr>
                <w:sz w:val="1"/>
                <w:szCs w:val="1"/>
                <w:color w:val="auto"/>
              </w:rPr>
            </w:pPr>
          </w:p>
        </w:tc>
        <w:tc>
          <w:tcPr>
            <w:tcW w:w="14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-693420</wp:posOffset>
            </wp:positionV>
            <wp:extent cx="42691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6880"/>
        </w:rPr>
        <w:t>14.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Rights Agreement</w:t>
      </w:r>
    </w:p>
    <w:p>
      <w:pPr>
        <w:spacing w:after="0" w:line="19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On October 7, 2022, our Board of Directors declared a dividend of one preferred share purchase right (a “Right”) for each of our issued and outstanding shares of common stock, which was paid to the stockholders of record at the close of business on October 17, 2022 (the “Record Date”). Each Right entitles the registered holder, subject to the terms of the Rights Agreement (as defined below), to purchase us one one-thousandth of a share of our Series A Junior Participating Preferred Stock, par value $0.001 per share (the “Preferred Stock”) at a price of $313.00, subject to certain adjustments (as adjusted from time to time, the “Exercise Price”). The description and terms of the Rights are set forth in the Stockholder Rights Agreement, dated as of October 7, 2022 (the “Rights Agreement”), by and between us and American Stock Transfer &amp; Trust Company, LLC.</w:t>
      </w:r>
    </w:p>
    <w:p>
      <w:pPr>
        <w:spacing w:after="0" w:line="15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Under the Rights Agreement, the Rights will become exercisable if an entity, person or group acquires beneficial ownership of 20% or more of our outstanding common stock in a transaction not approved by our Board of Directors. In the event that the Rights become exercisable due to the ownership threshold being crossed, each Right will entitle its holder (other than the person, entity or group triggering the Rights Plan, whose rights will become void and will not be exercisable) to purchase additional shares of common stock having a then-current market value of twice the Exercise Price.</w:t>
      </w:r>
    </w:p>
    <w:p>
      <w:pPr>
        <w:spacing w:after="0" w:line="15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Each share of Preferred Stock will be entitled, when, as and if declared, to a minimum preferential per share quarterly dividend payment equal to the greater of (i) $1.00 per share and (ii) an amount equal to 1,000 times the dividend declared per share of common stock. In the event of liquidation, dissolution or winding up of the Company, the holders of the Preferred Stock will be entitled to a minimum preferential payment of the greater of (i) $1,000.00 per share (plus any accrued but unpaid dividends), and (ii) an amount equal to 1,000 times the payment made per share of common stock. Each share of Preferred Stock will have 1,000 votes, voting together with the common stock. In the event of any merger, consolidation or other transaction in which outstanding shares of common stock are converted or exchanged, each share of Preferred Stock will be entitled to receive 1,000 times the amount received per share of common stock. These Rights are protected by customary antidilution provisions.</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Subject to the terms of the Rights Agreement, the Rights will expire on October 2, 2023. Additional information regarding the Rights Agreement, including a copy of the Rights Agreement, is contained in a Form 8-K filed with the SEC on October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220345</wp:posOffset>
            </wp:positionV>
            <wp:extent cx="65976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25</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600"/>
        <w:spacing w:after="0" w:line="287" w:lineRule="auto"/>
        <w:rPr>
          <w:sz w:val="20"/>
          <w:szCs w:val="20"/>
          <w:color w:val="auto"/>
        </w:rPr>
      </w:pPr>
      <w:r>
        <w:rPr>
          <w:rFonts w:ascii="Arial" w:cs="Arial" w:eastAsia="Arial" w:hAnsi="Arial"/>
          <w:sz w:val="29"/>
          <w:szCs w:val="29"/>
          <w:b w:val="1"/>
          <w:bCs w:val="1"/>
          <w:color w:val="004054"/>
        </w:rPr>
        <w:t>ITEM 2. MANAGEMENT'S DISCUSSION AND ANALYSIS OF FINANCIAL CONDITION AND RESULTS OF OPERATIONS</w:t>
      </w:r>
    </w:p>
    <w:p>
      <w:pPr>
        <w:spacing w:after="0" w:line="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51555C"/>
        </w:rPr>
        <w:t>The following discussion and analysis of our financial condition and results of operations should be read in conjunction with our unaudited, condensed consolidated financial statements and related notes included elsewhere in this Quarterly Report on Form 10-Q. The following discussion and analysis presents financial information denominated in millions of dollars which can lead to differences from rounding when compared to similar information contained in the unaudited, condensed consolidated financial statements and related notes which are primarily denominated in thousands of dollars.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to increase their impact through cloud software, services, expertise and data intelligence. Our portfolio is tailored to the unique needs of vertical markets, with solutions for fundraising and CRM, marketing, advocacy, peer-to-peer fundraising, corporate social responsibility (CSR) and environmental, social and governance (ESG), school management, ticketing, grantmaking, financial management, payment processing and analytics. Serving the industry for more than four decades, we are a remote-first company headquartered in Charleston, South Carolina, with operations in the United States, Australia, Canada, Costa Rica and the United Kingdom.</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Our revenue is primarily generated from the following sources: (i) charging for the use of our software solutions in cloud and hosted environments; (ii) providing payment and transactional services; (iii) providing software maintenance and support services; (iv) providing Impact-as-a-Service</w:t>
      </w:r>
      <w:r>
        <w:rPr>
          <w:rFonts w:ascii="Arial" w:cs="Arial" w:eastAsia="Arial" w:hAnsi="Arial"/>
          <w:sz w:val="18"/>
          <w:szCs w:val="18"/>
          <w:i w:val="1"/>
          <w:iCs w:val="1"/>
          <w:color w:val="51555C"/>
        </w:rPr>
        <w:t>™</w:t>
      </w:r>
      <w:r>
        <w:rPr>
          <w:rFonts w:ascii="Arial" w:cs="Arial" w:eastAsia="Arial" w:hAnsi="Arial"/>
          <w:sz w:val="18"/>
          <w:szCs w:val="18"/>
          <w:color w:val="51555C"/>
        </w:rPr>
        <w:t xml:space="preserve"> digital educational content; and (v) providing professional services, including implementation, consulting, training, analytic and other services.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COVID-19 Impact</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The economic impact of COVID-19 on the social good industry remains somewhat uncertain, although we are seeing signs of recovery in the industry. Our end markets continue to display resilience in the post-pandemic recovery with a digital-first mindset. In February 2022, the Blackbaud Institute released its annual Charitable Giving Report, which reported that overall giving in 2021 grew 9% with the percent of giving done online up significantly from pre-pandemic levels and holding steady in the low-teens. Nearly 30% of those online donations are being made on a mobile device, which we see as a long-term positive as we equip organizations to process mobile donations and optimize mobile user interfaces. If our existing and prospective customers remain cautious in their purchase decisions, our operating environment may continue to be challenging. Notwithstanding these conditions, we remain focused on continuing to execute our four-point strategy and strengthening our leadership position.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Four-Point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140335</wp:posOffset>
            </wp:positionV>
            <wp:extent cx="265430" cy="196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219" w:lineRule="exact"/>
        <w:rPr>
          <w:sz w:val="20"/>
          <w:szCs w:val="20"/>
          <w:color w:val="auto"/>
        </w:rPr>
      </w:pPr>
    </w:p>
    <w:p>
      <w:pPr>
        <w:ind w:left="1300" w:hanging="471"/>
        <w:spacing w:after="0"/>
        <w:tabs>
          <w:tab w:leader="none" w:pos="1300" w:val="left"/>
        </w:tabs>
        <w:numPr>
          <w:ilvl w:val="0"/>
          <w:numId w:val="13"/>
        </w:numPr>
        <w:rPr>
          <w:rFonts w:ascii="Arial" w:cs="Arial" w:eastAsia="Arial" w:hAnsi="Arial"/>
          <w:sz w:val="18"/>
          <w:szCs w:val="18"/>
          <w:b w:val="1"/>
          <w:bCs w:val="1"/>
          <w:color w:val="FFFFFF"/>
        </w:rPr>
      </w:pPr>
      <w:r>
        <w:rPr>
          <w:rFonts w:ascii="Arial" w:cs="Arial" w:eastAsia="Arial" w:hAnsi="Arial"/>
          <w:sz w:val="18"/>
          <w:szCs w:val="18"/>
          <w:b w:val="1"/>
          <w:bCs w:val="1"/>
          <w:color w:val="51555C"/>
        </w:rPr>
        <w:t>Expand Total Addressable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265430" cy="196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192" w:lineRule="exact"/>
        <w:rPr>
          <w:sz w:val="20"/>
          <w:szCs w:val="20"/>
          <w:color w:val="auto"/>
        </w:rPr>
      </w:pPr>
    </w:p>
    <w:p>
      <w:pPr>
        <w:ind w:left="1300" w:hanging="471"/>
        <w:spacing w:after="0"/>
        <w:tabs>
          <w:tab w:leader="none" w:pos="1300" w:val="left"/>
        </w:tabs>
        <w:numPr>
          <w:ilvl w:val="0"/>
          <w:numId w:val="14"/>
        </w:numPr>
        <w:rPr>
          <w:rFonts w:ascii="Arial" w:cs="Arial" w:eastAsia="Arial" w:hAnsi="Arial"/>
          <w:sz w:val="18"/>
          <w:szCs w:val="18"/>
          <w:b w:val="1"/>
          <w:bCs w:val="1"/>
          <w:color w:val="FFFFFF"/>
        </w:rPr>
      </w:pPr>
      <w:r>
        <w:rPr>
          <w:rFonts w:ascii="Arial" w:cs="Arial" w:eastAsia="Arial" w:hAnsi="Arial"/>
          <w:sz w:val="18"/>
          <w:szCs w:val="18"/>
          <w:b w:val="1"/>
          <w:bCs w:val="1"/>
          <w:color w:val="51555C"/>
        </w:rPr>
        <w:t>Lead with World Class Teams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265430" cy="196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192" w:lineRule="exact"/>
        <w:rPr>
          <w:sz w:val="20"/>
          <w:szCs w:val="20"/>
          <w:color w:val="auto"/>
        </w:rPr>
      </w:pPr>
    </w:p>
    <w:p>
      <w:pPr>
        <w:ind w:left="1300" w:hanging="471"/>
        <w:spacing w:after="0"/>
        <w:tabs>
          <w:tab w:leader="none" w:pos="1300" w:val="left"/>
        </w:tabs>
        <w:numPr>
          <w:ilvl w:val="1"/>
          <w:numId w:val="15"/>
        </w:numPr>
        <w:rPr>
          <w:rFonts w:ascii="Arial" w:cs="Arial" w:eastAsia="Arial" w:hAnsi="Arial"/>
          <w:sz w:val="18"/>
          <w:szCs w:val="18"/>
          <w:b w:val="1"/>
          <w:bCs w:val="1"/>
          <w:color w:val="FFFFFF"/>
        </w:rPr>
      </w:pPr>
      <w:r>
        <w:rPr>
          <w:rFonts w:ascii="Arial" w:cs="Arial" w:eastAsia="Arial" w:hAnsi="Arial"/>
          <w:sz w:val="18"/>
          <w:szCs w:val="18"/>
          <w:b w:val="1"/>
          <w:bCs w:val="1"/>
          <w:color w:val="51555C"/>
        </w:rPr>
        <w:t>Delight Customers with Innovative Cloud Solutions</w:t>
      </w:r>
    </w:p>
    <w:p>
      <w:pPr>
        <w:spacing w:after="0" w:line="211" w:lineRule="exact"/>
        <w:rPr>
          <w:rFonts w:ascii="Arial" w:cs="Arial" w:eastAsia="Arial" w:hAnsi="Arial"/>
          <w:sz w:val="18"/>
          <w:szCs w:val="18"/>
          <w:b w:val="1"/>
          <w:bCs w:val="1"/>
          <w:color w:val="FFFFFF"/>
        </w:rPr>
      </w:pPr>
    </w:p>
    <w:p>
      <w:pPr>
        <w:ind w:left="82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4</w:t>
      </w:r>
      <w:r>
        <w:rPr>
          <w:rFonts w:ascii="Arial" w:cs="Arial" w:eastAsia="Arial" w:hAnsi="Arial"/>
          <w:sz w:val="17"/>
          <w:szCs w:val="17"/>
          <w:b w:val="1"/>
          <w:bCs w:val="1"/>
          <w:color w:val="51555C"/>
        </w:rPr>
        <w:t>Focus on Employees, Culture and ESG Initiatives</w:t>
      </w:r>
    </w:p>
    <w:p>
      <w:pPr>
        <w:spacing w:after="0" w:line="323" w:lineRule="exact"/>
        <w:rPr>
          <w:rFonts w:ascii="Arial" w:cs="Arial" w:eastAsia="Arial" w:hAnsi="Arial"/>
          <w:sz w:val="18"/>
          <w:szCs w:val="18"/>
          <w:b w:val="1"/>
          <w:bCs w:val="1"/>
          <w:color w:val="FFFFFF"/>
        </w:rPr>
      </w:pPr>
    </w:p>
    <w:p>
      <w:pPr>
        <w:ind w:left="340" w:hanging="332"/>
        <w:spacing w:after="0"/>
        <w:tabs>
          <w:tab w:leader="none" w:pos="340" w:val="left"/>
        </w:tabs>
        <w:numPr>
          <w:ilvl w:val="0"/>
          <w:numId w:val="15"/>
        </w:numPr>
        <w:rPr>
          <w:rFonts w:ascii="Arial" w:cs="Arial" w:eastAsia="Arial" w:hAnsi="Arial"/>
          <w:sz w:val="18"/>
          <w:szCs w:val="18"/>
          <w:i w:val="1"/>
          <w:iCs w:val="1"/>
          <w:color w:val="51555C"/>
        </w:rPr>
      </w:pPr>
      <w:r>
        <w:rPr>
          <w:rFonts w:ascii="Arial" w:cs="Arial" w:eastAsia="Arial" w:hAnsi="Arial"/>
          <w:sz w:val="18"/>
          <w:szCs w:val="18"/>
          <w:i w:val="1"/>
          <w:iCs w:val="1"/>
          <w:color w:val="51555C"/>
        </w:rPr>
        <w:t>Expand Total Addressable Market ("TAM")</w:t>
      </w:r>
    </w:p>
    <w:p>
      <w:pPr>
        <w:spacing w:after="0" w:line="189" w:lineRule="exact"/>
        <w:rPr>
          <w:rFonts w:ascii="Arial" w:cs="Arial" w:eastAsia="Arial" w:hAnsi="Arial"/>
          <w:sz w:val="18"/>
          <w:szCs w:val="18"/>
          <w:i w:val="1"/>
          <w:iCs w:val="1"/>
          <w:color w:val="51555C"/>
        </w:rPr>
      </w:pPr>
    </w:p>
    <w:p>
      <w:pPr>
        <w:jc w:val="both"/>
        <w:ind w:left="340"/>
        <w:spacing w:after="0" w:line="253" w:lineRule="auto"/>
        <w:rPr>
          <w:rFonts w:ascii="Arial" w:cs="Arial" w:eastAsia="Arial" w:hAnsi="Arial"/>
          <w:sz w:val="18"/>
          <w:szCs w:val="18"/>
          <w:i w:val="1"/>
          <w:iCs w:val="1"/>
          <w:color w:val="51555C"/>
        </w:rPr>
      </w:pPr>
      <w:r>
        <w:rPr>
          <w:rFonts w:ascii="Arial" w:cs="Arial" w:eastAsia="Arial" w:hAnsi="Arial"/>
          <w:sz w:val="18"/>
          <w:szCs w:val="18"/>
          <w:color w:val="51555C"/>
        </w:rPr>
        <w:t>In December 2021, we doubled our TAM when we acquired EVERFI, an industry leader in global social impact technology. Adding EVERFI advances our position as a leader in the rapidly evolving ESG and CSR spaces and offers cross-selling and upselling opportunities through complementary product offerings with YourCause® solutions. Our TAM now stands at over $20 billion, and we remain active in the evaluation of opportunities to further expand our addressable market through acquisitions and internal product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-1291590</wp:posOffset>
            </wp:positionV>
            <wp:extent cx="265430" cy="196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291"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26</w:t>
      </w:r>
      <w:r>
        <w:rPr>
          <w:sz w:val="20"/>
          <w:szCs w:val="20"/>
          <w:color w:val="auto"/>
        </w:rPr>
        <w:tab/>
      </w:r>
      <w:r>
        <w:rPr>
          <w:sz w:val="1"/>
          <w:szCs w:val="1"/>
          <w:color w:val="auto"/>
        </w:rPr>
        <w:drawing>
          <wp:inline distT="0" distB="0" distL="0" distR="0">
            <wp:extent cx="651510" cy="17145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i w:val="1"/>
          <w:iCs w:val="1"/>
          <w:color w:val="51555C"/>
        </w:rPr>
      </w:pPr>
      <w:r>
        <w:rPr>
          <w:rFonts w:ascii="Arial" w:cs="Arial" w:eastAsia="Arial" w:hAnsi="Arial"/>
          <w:sz w:val="18"/>
          <w:szCs w:val="18"/>
          <w:i w:val="1"/>
          <w:iCs w:val="1"/>
          <w:color w:val="51555C"/>
        </w:rPr>
        <w:t>Lead with World Class Teams and Operations</w:t>
      </w:r>
    </w:p>
    <w:p>
      <w:pPr>
        <w:spacing w:after="0" w:line="189" w:lineRule="exact"/>
        <w:rPr>
          <w:rFonts w:ascii="Arial" w:cs="Arial" w:eastAsia="Arial" w:hAnsi="Arial"/>
          <w:sz w:val="18"/>
          <w:szCs w:val="18"/>
          <w:i w:val="1"/>
          <w:iCs w:val="1"/>
          <w:color w:val="51555C"/>
        </w:rPr>
      </w:pPr>
    </w:p>
    <w:p>
      <w:pPr>
        <w:jc w:val="both"/>
        <w:ind w:left="340"/>
        <w:spacing w:after="0" w:line="251" w:lineRule="auto"/>
        <w:rPr>
          <w:rFonts w:ascii="Arial" w:cs="Arial" w:eastAsia="Arial" w:hAnsi="Arial"/>
          <w:sz w:val="18"/>
          <w:szCs w:val="18"/>
          <w:i w:val="1"/>
          <w:iCs w:val="1"/>
          <w:color w:val="51555C"/>
        </w:rPr>
      </w:pPr>
      <w:r>
        <w:rPr>
          <w:rFonts w:ascii="Arial" w:cs="Arial" w:eastAsia="Arial" w:hAnsi="Arial"/>
          <w:sz w:val="18"/>
          <w:szCs w:val="18"/>
          <w:color w:val="51555C"/>
        </w:rPr>
        <w:t>This strategy expands upon our previous strategies to drive sales effectiveness and improve operating efficiency to include improving overall company performance as measured by the Rule of 40 (see discussion of Non-GAAP Financial Measures below). Recently, we announced a series of strategic organizational updates to streamline our business operations and become even more customer centric. We created three new roles: Chief Operating Officer, Chief Commercial Officer and Executive Vice President of Corporations. We believe these new roles will: ensure consistency in our approach to the customer experience; further streamline and simplify our go-to-market efforts to maximize our outcomes as a global company; and further align our YourCause and EVERFI offerings and continue our investment in being the partner of choice for corporations focused on social responsibility and impact. Additionally, we recently took steps to better align our workforce with our strategic priorities, including further elimination of open positions as well as the difficult decision to reduce our workforce (see additional discussion regarding our workforce reduction below). We also appointed a new member to our board of directors, who brings over 20 years of experience in technology and cybersecurity to our board.</w:t>
      </w:r>
    </w:p>
    <w:p>
      <w:pPr>
        <w:spacing w:after="0" w:line="139" w:lineRule="exact"/>
        <w:rPr>
          <w:rFonts w:ascii="Arial" w:cs="Arial" w:eastAsia="Arial" w:hAnsi="Arial"/>
          <w:sz w:val="18"/>
          <w:szCs w:val="18"/>
          <w:i w:val="1"/>
          <w:iCs w:val="1"/>
          <w:color w:val="51555C"/>
        </w:rPr>
      </w:pPr>
    </w:p>
    <w:p>
      <w:pPr>
        <w:ind w:left="340" w:hanging="332"/>
        <w:spacing w:after="0"/>
        <w:tabs>
          <w:tab w:leader="none" w:pos="340" w:val="left"/>
        </w:tabs>
        <w:numPr>
          <w:ilvl w:val="0"/>
          <w:numId w:val="16"/>
        </w:numPr>
        <w:rPr>
          <w:rFonts w:ascii="Arial" w:cs="Arial" w:eastAsia="Arial" w:hAnsi="Arial"/>
          <w:sz w:val="18"/>
          <w:szCs w:val="18"/>
          <w:i w:val="1"/>
          <w:iCs w:val="1"/>
          <w:color w:val="51555C"/>
        </w:rPr>
      </w:pPr>
      <w:r>
        <w:rPr>
          <w:rFonts w:ascii="Arial" w:cs="Arial" w:eastAsia="Arial" w:hAnsi="Arial"/>
          <w:sz w:val="18"/>
          <w:szCs w:val="18"/>
          <w:i w:val="1"/>
          <w:iCs w:val="1"/>
          <w:color w:val="51555C"/>
        </w:rPr>
        <w:t>Delight Customers with Innovative Cloud Solutions</w:t>
      </w:r>
    </w:p>
    <w:p>
      <w:pPr>
        <w:spacing w:after="0" w:line="189" w:lineRule="exact"/>
        <w:rPr>
          <w:rFonts w:ascii="Arial" w:cs="Arial" w:eastAsia="Arial" w:hAnsi="Arial"/>
          <w:sz w:val="18"/>
          <w:szCs w:val="18"/>
          <w:i w:val="1"/>
          <w:iCs w:val="1"/>
          <w:color w:val="51555C"/>
        </w:rPr>
      </w:pPr>
    </w:p>
    <w:p>
      <w:pPr>
        <w:jc w:val="both"/>
        <w:ind w:left="340"/>
        <w:spacing w:after="0" w:line="252" w:lineRule="auto"/>
        <w:rPr>
          <w:rFonts w:ascii="Arial" w:cs="Arial" w:eastAsia="Arial" w:hAnsi="Arial"/>
          <w:sz w:val="18"/>
          <w:szCs w:val="18"/>
          <w:i w:val="1"/>
          <w:iCs w:val="1"/>
          <w:color w:val="51555C"/>
        </w:rPr>
      </w:pPr>
      <w:r>
        <w:rPr>
          <w:rFonts w:ascii="Arial" w:cs="Arial" w:eastAsia="Arial" w:hAnsi="Arial"/>
          <w:sz w:val="18"/>
          <w:szCs w:val="18"/>
          <w:color w:val="51555C"/>
        </w:rPr>
        <w:t>During our recent annual user conference, bbcon, we shared how our purpose-built solutions bring together the capabilities essential to our customers in managing their data, making their teams more productive, motivating their audiences to act, and ultimately driving outcomes. During the third quarter, we also acquired Kilter, an intuitive, gamified, activity-based engagement app. We will initially pair Kilter with our Blackbaud TeamRaiser solution to serve nonprofits by expanding the ways they can engage with their supporters to prepare for their existing fundraising walks, runs and rides, and to create new types of engagement opportunities that are not tied to a specific date or place. Kilter will also provide a unique solution with YourCause CSRConnect platform for companies as employers take a more active role in supporting their employees’ health and wellness pursuits across their remote and distributed workforces.</w:t>
      </w:r>
    </w:p>
    <w:p>
      <w:pPr>
        <w:spacing w:after="0" w:line="134" w:lineRule="exact"/>
        <w:rPr>
          <w:rFonts w:ascii="Arial" w:cs="Arial" w:eastAsia="Arial" w:hAnsi="Arial"/>
          <w:sz w:val="18"/>
          <w:szCs w:val="18"/>
          <w:i w:val="1"/>
          <w:iCs w:val="1"/>
          <w:color w:val="51555C"/>
        </w:rPr>
      </w:pPr>
    </w:p>
    <w:p>
      <w:pPr>
        <w:ind w:left="340" w:hanging="332"/>
        <w:spacing w:after="0"/>
        <w:tabs>
          <w:tab w:leader="none" w:pos="340" w:val="left"/>
        </w:tabs>
        <w:numPr>
          <w:ilvl w:val="0"/>
          <w:numId w:val="16"/>
        </w:numPr>
        <w:rPr>
          <w:rFonts w:ascii="Arial" w:cs="Arial" w:eastAsia="Arial" w:hAnsi="Arial"/>
          <w:sz w:val="18"/>
          <w:szCs w:val="18"/>
          <w:i w:val="1"/>
          <w:iCs w:val="1"/>
          <w:color w:val="51555C"/>
        </w:rPr>
      </w:pPr>
      <w:r>
        <w:rPr>
          <w:rFonts w:ascii="Arial" w:cs="Arial" w:eastAsia="Arial" w:hAnsi="Arial"/>
          <w:sz w:val="18"/>
          <w:szCs w:val="18"/>
          <w:i w:val="1"/>
          <w:iCs w:val="1"/>
          <w:color w:val="51555C"/>
        </w:rPr>
        <w:t>Focus on Employees, Culture and ESG Initiatives</w:t>
      </w:r>
    </w:p>
    <w:p>
      <w:pPr>
        <w:spacing w:after="0" w:line="189" w:lineRule="exact"/>
        <w:rPr>
          <w:rFonts w:ascii="Arial" w:cs="Arial" w:eastAsia="Arial" w:hAnsi="Arial"/>
          <w:sz w:val="18"/>
          <w:szCs w:val="18"/>
          <w:i w:val="1"/>
          <w:iCs w:val="1"/>
          <w:color w:val="51555C"/>
        </w:rPr>
      </w:pPr>
    </w:p>
    <w:p>
      <w:pPr>
        <w:jc w:val="both"/>
        <w:ind w:left="340"/>
        <w:spacing w:after="0" w:line="251" w:lineRule="auto"/>
        <w:rPr>
          <w:rFonts w:ascii="Arial" w:cs="Arial" w:eastAsia="Arial" w:hAnsi="Arial"/>
          <w:sz w:val="18"/>
          <w:szCs w:val="18"/>
          <w:i w:val="1"/>
          <w:iCs w:val="1"/>
          <w:color w:val="51555C"/>
        </w:rPr>
      </w:pPr>
      <w:r>
        <w:rPr>
          <w:rFonts w:ascii="Arial" w:cs="Arial" w:eastAsia="Arial" w:hAnsi="Arial"/>
          <w:sz w:val="18"/>
          <w:szCs w:val="18"/>
          <w:color w:val="51555C"/>
        </w:rPr>
        <w:t>We recently announced that we achieved carbon neutrality for 2021. This is a goal we have been striving towards and our shift to a remote-first workforce enabled us to accelerate our timeline. Since 2019, Blackbaud has reduced its global real estate footprint by 50%, energy emissions to run office space by 63% and employee commute emissions by 75%. With a multi-pronged climate strategy, Blackbaud is focused on reducing emissions, using energy efficiently and investing in environmental projects for a more sustainable future. We shared more about our ESG strategy on our Corporate Social Responsibility website during the second quarter. Our mission driven culture has been in our DNA since inception and is very attractive in a competitive labor market. We continue to foster a diverse and inclusive environment focused on employee engagement and connectedness with our remote-first workforce strategy. We have a significant role to play in driving advances in the social good space, and we are proud of the strong corporate culture we have built and continue to cultivate in today's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220980</wp:posOffset>
            </wp:positionV>
            <wp:extent cx="65976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27</w:t>
            </w:r>
          </w:p>
        </w:tc>
      </w:tr>
      <w:tr>
        <w:trPr>
          <w:trHeight w:val="330"/>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Financial Summary</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40" w:type="dxa"/>
            <w:vAlign w:val="bottom"/>
            <w:gridSpan w:val="2"/>
          </w:tcPr>
          <w:p>
            <w:pPr>
              <w:jc w:val="center"/>
              <w:ind w:right="640"/>
              <w:spacing w:after="0"/>
              <w:rPr>
                <w:sz w:val="20"/>
                <w:szCs w:val="20"/>
                <w:color w:val="auto"/>
              </w:rPr>
            </w:pPr>
            <w:r>
              <w:rPr>
                <w:rFonts w:ascii="Arial" w:cs="Arial" w:eastAsia="Arial" w:hAnsi="Arial"/>
                <w:sz w:val="18"/>
                <w:szCs w:val="18"/>
                <w:i w:val="1"/>
                <w:iCs w:val="1"/>
                <w:color w:val="51555C"/>
                <w:w w:val="98"/>
              </w:rPr>
              <w:t>Total revenue ($M)</w:t>
            </w:r>
          </w:p>
        </w:tc>
        <w:tc>
          <w:tcPr>
            <w:tcW w:w="4300" w:type="dxa"/>
            <w:vAlign w:val="bottom"/>
          </w:tcPr>
          <w:p>
            <w:pPr>
              <w:jc w:val="center"/>
              <w:spacing w:after="0"/>
              <w:rPr>
                <w:sz w:val="20"/>
                <w:szCs w:val="20"/>
                <w:color w:val="auto"/>
              </w:rPr>
            </w:pPr>
            <w:r>
              <w:rPr>
                <w:rFonts w:ascii="Arial" w:cs="Arial" w:eastAsia="Arial" w:hAnsi="Arial"/>
                <w:sz w:val="18"/>
                <w:szCs w:val="18"/>
                <w:i w:val="1"/>
                <w:iCs w:val="1"/>
                <w:color w:val="51555C"/>
                <w:w w:val="99"/>
              </w:rPr>
              <w:t>Income from operations ($M)</w:t>
            </w:r>
          </w:p>
        </w:tc>
      </w:tr>
      <w:tr>
        <w:trPr>
          <w:trHeight w:val="27"/>
        </w:trPr>
        <w:tc>
          <w:tcPr>
            <w:tcW w:w="4280" w:type="dxa"/>
            <w:vAlign w:val="bottom"/>
            <w:tcBorders>
              <w:bottom w:val="single" w:sz="8" w:color="51555C"/>
            </w:tcBorders>
          </w:tcPr>
          <w:p>
            <w:pPr>
              <w:spacing w:after="0"/>
              <w:rPr>
                <w:sz w:val="2"/>
                <w:szCs w:val="2"/>
                <w:color w:val="auto"/>
              </w:rPr>
            </w:pPr>
          </w:p>
        </w:tc>
        <w:tc>
          <w:tcPr>
            <w:tcW w:w="660" w:type="dxa"/>
            <w:vAlign w:val="bottom"/>
          </w:tcPr>
          <w:p>
            <w:pPr>
              <w:spacing w:after="0"/>
              <w:rPr>
                <w:sz w:val="2"/>
                <w:szCs w:val="2"/>
                <w:color w:val="auto"/>
              </w:rPr>
            </w:pPr>
          </w:p>
        </w:tc>
        <w:tc>
          <w:tcPr>
            <w:tcW w:w="4300" w:type="dxa"/>
            <w:vAlign w:val="bottom"/>
            <w:tcBorders>
              <w:bottom w:val="single" w:sz="8" w:color="51555C"/>
            </w:tcBorders>
          </w:tcPr>
          <w:p>
            <w:pPr>
              <w:spacing w:after="0"/>
              <w:rPr>
                <w:sz w:val="2"/>
                <w:szCs w:val="2"/>
                <w:color w:val="auto"/>
              </w:rPr>
            </w:pPr>
          </w:p>
        </w:tc>
      </w:tr>
      <w:tr>
        <w:trPr>
          <w:trHeight w:val="221"/>
        </w:trPr>
        <w:tc>
          <w:tcPr>
            <w:tcW w:w="4940" w:type="dxa"/>
            <w:vAlign w:val="bottom"/>
            <w:gridSpan w:val="2"/>
          </w:tcPr>
          <w:p>
            <w:pPr>
              <w:jc w:val="center"/>
              <w:ind w:right="640"/>
              <w:spacing w:after="0"/>
              <w:rPr>
                <w:sz w:val="20"/>
                <w:szCs w:val="20"/>
                <w:color w:val="auto"/>
              </w:rPr>
            </w:pPr>
            <w:r>
              <w:rPr>
                <w:rFonts w:ascii="Arial" w:cs="Arial" w:eastAsia="Arial" w:hAnsi="Arial"/>
                <w:sz w:val="13"/>
                <w:szCs w:val="13"/>
                <w:i w:val="1"/>
                <w:iCs w:val="1"/>
                <w:color w:val="51555C"/>
                <w:w w:val="95"/>
              </w:rPr>
              <w:t>YoY Growth (%)</w:t>
            </w:r>
          </w:p>
        </w:tc>
        <w:tc>
          <w:tcPr>
            <w:tcW w:w="4300" w:type="dxa"/>
            <w:vAlign w:val="bottom"/>
          </w:tcPr>
          <w:p>
            <w:pPr>
              <w:jc w:val="center"/>
              <w:spacing w:after="0"/>
              <w:rPr>
                <w:sz w:val="20"/>
                <w:szCs w:val="20"/>
                <w:color w:val="auto"/>
              </w:rPr>
            </w:pPr>
            <w:r>
              <w:rPr>
                <w:rFonts w:ascii="Arial" w:cs="Arial" w:eastAsia="Arial" w:hAnsi="Arial"/>
                <w:sz w:val="13"/>
                <w:szCs w:val="13"/>
                <w:i w:val="1"/>
                <w:iCs w:val="1"/>
                <w:color w:val="51555C"/>
                <w:w w:val="95"/>
              </w:rPr>
              <w:t>YoY Growth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181610</wp:posOffset>
            </wp:positionV>
            <wp:extent cx="5734685" cy="30086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3468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51555C"/>
        </w:rPr>
        <w:t>Total revenue increased by $30.1 million and $103.5 million during the three and nine months ended September 30, 2022, respectively, when compared to the same periods in 2021, driven largely by the following:</w:t>
      </w:r>
    </w:p>
    <w:p>
      <w:pPr>
        <w:ind w:left="700" w:hanging="373"/>
        <w:spacing w:after="0" w:line="209" w:lineRule="auto"/>
        <w:tabs>
          <w:tab w:leader="none" w:pos="700" w:val="left"/>
        </w:tabs>
        <w:numPr>
          <w:ilvl w:val="0"/>
          <w:numId w:val="17"/>
        </w:numPr>
        <w:rPr>
          <w:rFonts w:ascii="Arial" w:cs="Arial" w:eastAsia="Arial" w:hAnsi="Arial"/>
          <w:sz w:val="36"/>
          <w:szCs w:val="36"/>
          <w:color w:val="51555C"/>
          <w:vertAlign w:val="superscript"/>
        </w:rPr>
      </w:pPr>
      <w:r>
        <w:rPr>
          <w:rFonts w:ascii="Arial" w:cs="Arial" w:eastAsia="Arial" w:hAnsi="Arial"/>
          <w:sz w:val="18"/>
          <w:szCs w:val="18"/>
          <w:color w:val="51555C"/>
        </w:rPr>
        <w:t>Growth in recurring revenue primarily related to:</w:t>
      </w:r>
    </w:p>
    <w:p>
      <w:pPr>
        <w:spacing w:after="0" w:line="53" w:lineRule="exact"/>
        <w:rPr>
          <w:rFonts w:ascii="Arial" w:cs="Arial" w:eastAsia="Arial" w:hAnsi="Arial"/>
          <w:sz w:val="36"/>
          <w:szCs w:val="36"/>
          <w:color w:val="51555C"/>
          <w:vertAlign w:val="superscript"/>
        </w:rPr>
      </w:pPr>
    </w:p>
    <w:p>
      <w:pPr>
        <w:jc w:val="both"/>
        <w:ind w:left="1340" w:right="20" w:hanging="315"/>
        <w:spacing w:after="0" w:line="254" w:lineRule="auto"/>
        <w:tabs>
          <w:tab w:leader="none" w:pos="1308" w:val="left"/>
        </w:tabs>
        <w:numPr>
          <w:ilvl w:val="1"/>
          <w:numId w:val="17"/>
        </w:numPr>
        <w:rPr>
          <w:rFonts w:ascii="Arial" w:cs="Arial" w:eastAsia="Arial" w:hAnsi="Arial"/>
          <w:sz w:val="18"/>
          <w:szCs w:val="18"/>
          <w:color w:val="51555C"/>
        </w:rPr>
      </w:pPr>
      <w:r>
        <w:rPr>
          <w:rFonts w:ascii="Arial" w:cs="Arial" w:eastAsia="Arial" w:hAnsi="Arial"/>
          <w:sz w:val="18"/>
          <w:szCs w:val="18"/>
          <w:color w:val="51555C"/>
        </w:rPr>
        <w:t>increases in contractual recurring revenue of $27.7 million and $81.6 million, respectively, related to the performance of our cloud solutions, of which $23.7 million and $71.2 million, respectively, was attributable to EVERFI; partially offset by decreases in maintenance revenue as customers migrate to our cloud solutions and decreases related to fluctuations in foreign currency exchange rates of $1.3 million and $2.3 million, respectively; and</w:t>
      </w:r>
    </w:p>
    <w:p>
      <w:pPr>
        <w:spacing w:after="0" w:line="41" w:lineRule="exact"/>
        <w:rPr>
          <w:rFonts w:ascii="Arial" w:cs="Arial" w:eastAsia="Arial" w:hAnsi="Arial"/>
          <w:sz w:val="18"/>
          <w:szCs w:val="18"/>
          <w:color w:val="51555C"/>
        </w:rPr>
      </w:pPr>
    </w:p>
    <w:p>
      <w:pPr>
        <w:jc w:val="both"/>
        <w:ind w:left="1340" w:right="20" w:hanging="315"/>
        <w:spacing w:after="0" w:line="253" w:lineRule="auto"/>
        <w:tabs>
          <w:tab w:leader="none" w:pos="1308" w:val="left"/>
        </w:tabs>
        <w:numPr>
          <w:ilvl w:val="1"/>
          <w:numId w:val="17"/>
        </w:numPr>
        <w:rPr>
          <w:rFonts w:ascii="Arial" w:cs="Arial" w:eastAsia="Arial" w:hAnsi="Arial"/>
          <w:sz w:val="18"/>
          <w:szCs w:val="18"/>
          <w:color w:val="51555C"/>
        </w:rPr>
      </w:pPr>
      <w:r>
        <w:rPr>
          <w:rFonts w:ascii="Arial" w:cs="Arial" w:eastAsia="Arial" w:hAnsi="Arial"/>
          <w:sz w:val="18"/>
          <w:szCs w:val="18"/>
          <w:color w:val="51555C"/>
        </w:rPr>
        <w:t>increases in transactional recurring revenue of $3.2 million and $22.7 million, respectively, primarily due to an increase in online charitable giving, an increase in enrollment for our Blackbaud Tuition Management solution resulting in a higher transactional volumes and, to a lesser extent, increased transactional volume as our customer's constituents have begun to return to in-person events. These increases in transactional recurring revenue were partially offset by decreases related to fluctuations in foreign currency exchange rates of $3.1 million and $5.5 million, respectively.</w:t>
      </w:r>
    </w:p>
    <w:p>
      <w:pPr>
        <w:ind w:left="700" w:hanging="351"/>
        <w:spacing w:after="0" w:line="181" w:lineRule="auto"/>
        <w:tabs>
          <w:tab w:leader="none" w:pos="700" w:val="left"/>
        </w:tabs>
        <w:numPr>
          <w:ilvl w:val="0"/>
          <w:numId w:val="18"/>
        </w:numPr>
        <w:rPr>
          <w:rFonts w:ascii="Arial" w:cs="Arial" w:eastAsia="Arial" w:hAnsi="Arial"/>
          <w:sz w:val="36"/>
          <w:szCs w:val="36"/>
          <w:color w:val="51555C"/>
          <w:vertAlign w:val="superscript"/>
        </w:rPr>
      </w:pPr>
      <w:r>
        <w:rPr>
          <w:rFonts w:ascii="Arial" w:cs="Arial" w:eastAsia="Arial" w:hAnsi="Arial"/>
          <w:sz w:val="18"/>
          <w:szCs w:val="18"/>
          <w:color w:val="51555C"/>
        </w:rPr>
        <w:t>Decreases in one-time service and other revenue primarily related to:</w:t>
      </w:r>
    </w:p>
    <w:p>
      <w:pPr>
        <w:spacing w:after="0" w:line="54" w:lineRule="exact"/>
        <w:rPr>
          <w:rFonts w:ascii="Arial" w:cs="Arial" w:eastAsia="Arial" w:hAnsi="Arial"/>
          <w:sz w:val="36"/>
          <w:szCs w:val="36"/>
          <w:color w:val="51555C"/>
          <w:vertAlign w:val="superscript"/>
        </w:rPr>
      </w:pPr>
    </w:p>
    <w:p>
      <w:pPr>
        <w:ind w:left="1320" w:hanging="295"/>
        <w:spacing w:after="0"/>
        <w:tabs>
          <w:tab w:leader="none" w:pos="1320" w:val="left"/>
        </w:tabs>
        <w:numPr>
          <w:ilvl w:val="1"/>
          <w:numId w:val="18"/>
        </w:numPr>
        <w:rPr>
          <w:rFonts w:ascii="Arial" w:cs="Arial" w:eastAsia="Arial" w:hAnsi="Arial"/>
          <w:sz w:val="18"/>
          <w:szCs w:val="18"/>
          <w:color w:val="51555C"/>
        </w:rPr>
      </w:pPr>
      <w:r>
        <w:rPr>
          <w:rFonts w:ascii="Arial" w:cs="Arial" w:eastAsia="Arial" w:hAnsi="Arial"/>
          <w:sz w:val="18"/>
          <w:szCs w:val="18"/>
          <w:color w:val="51555C"/>
        </w:rPr>
        <w:t>decreases in one-time analytics revenue as analytics are generally integrated in our cloud solutions; partially offset by</w:t>
      </w:r>
    </w:p>
    <w:p>
      <w:pPr>
        <w:spacing w:after="0" w:line="63" w:lineRule="exact"/>
        <w:rPr>
          <w:rFonts w:ascii="Arial" w:cs="Arial" w:eastAsia="Arial" w:hAnsi="Arial"/>
          <w:sz w:val="18"/>
          <w:szCs w:val="18"/>
          <w:color w:val="51555C"/>
        </w:rPr>
      </w:pPr>
    </w:p>
    <w:p>
      <w:pPr>
        <w:jc w:val="both"/>
        <w:ind w:left="1340" w:right="20" w:hanging="315"/>
        <w:spacing w:after="0" w:line="254" w:lineRule="auto"/>
        <w:tabs>
          <w:tab w:leader="none" w:pos="1308" w:val="left"/>
        </w:tabs>
        <w:numPr>
          <w:ilvl w:val="1"/>
          <w:numId w:val="18"/>
        </w:numPr>
        <w:rPr>
          <w:rFonts w:ascii="Arial" w:cs="Arial" w:eastAsia="Arial" w:hAnsi="Arial"/>
          <w:sz w:val="18"/>
          <w:szCs w:val="18"/>
          <w:color w:val="51555C"/>
        </w:rPr>
      </w:pPr>
      <w:r>
        <w:rPr>
          <w:rFonts w:ascii="Arial" w:cs="Arial" w:eastAsia="Arial" w:hAnsi="Arial"/>
          <w:sz w:val="18"/>
          <w:szCs w:val="18"/>
          <w:color w:val="51555C"/>
        </w:rPr>
        <w:t>increases in one-time consulting revenue due primarily to our acquisition of EVERFI, largely offset by a decrease in implementation and customization services, in line with our multi-year strategic shift from a license-based and one-time services business model to a cloud subscription business model. Our cloud subscription offerings generally require less implementation and customization services.</w:t>
      </w:r>
    </w:p>
    <w:p>
      <w:pPr>
        <w:spacing w:after="0" w:line="200" w:lineRule="exact"/>
        <w:rPr>
          <w:sz w:val="20"/>
          <w:szCs w:val="20"/>
          <w:color w:val="auto"/>
        </w:rPr>
      </w:pPr>
    </w:p>
    <w:p>
      <w:pPr>
        <w:spacing w:after="0" w:line="231"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28</w:t>
      </w:r>
      <w:r>
        <w:rPr>
          <w:sz w:val="20"/>
          <w:szCs w:val="20"/>
          <w:color w:val="auto"/>
        </w:rPr>
        <w:tab/>
      </w:r>
      <w:r>
        <w:rPr>
          <w:sz w:val="1"/>
          <w:szCs w:val="1"/>
          <w:color w:val="auto"/>
        </w:rPr>
        <w:drawing>
          <wp:inline distT="0" distB="0" distL="0" distR="0">
            <wp:extent cx="651510" cy="17145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We currently expect that fluctuations in foreign currency exchange rates will have a significant negative impact on our total revenue for the full year 2022. While our year-to-date bookings for EVERFI continue to be lighter than expected, we have taken action to bolster management and fill account executive vacancies, which are now fully staffed and ramping to drive future bookings. Additionally, we currently expect one-time services and other revenue to modestly decrease during 2022 when compared to 2021, inclusive of incremental one-time revenue expected from EVERFI. We have a number of multi-year pricing initiatives underway, some to bring our pricing in line with the market while others are model changes that are expected to drive greater revenue for both us and our customers.</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For additional information on the impact of foreign currency fluctuations on our financial results, see Foreign Currency Exchange Rates below on page 47.</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Income from operations decreased by $18.9 million and $44.5 million during the three and nine months ended September 30, 2022, respectively, when compared to the same periods in 2021, driven largely by the following:</w:t>
      </w:r>
    </w:p>
    <w:p>
      <w:pPr>
        <w:spacing w:after="0" w:line="252" w:lineRule="exact"/>
        <w:rPr>
          <w:sz w:val="20"/>
          <w:szCs w:val="20"/>
          <w:color w:val="auto"/>
        </w:rPr>
      </w:pPr>
    </w:p>
    <w:p>
      <w:pPr>
        <w:ind w:left="700" w:right="20" w:hanging="445"/>
        <w:spacing w:after="0" w:line="180" w:lineRule="auto"/>
        <w:tabs>
          <w:tab w:leader="none" w:pos="700" w:val="left"/>
        </w:tabs>
        <w:numPr>
          <w:ilvl w:val="0"/>
          <w:numId w:val="19"/>
        </w:numPr>
        <w:rPr>
          <w:rFonts w:ascii="Arial" w:cs="Arial" w:eastAsia="Arial" w:hAnsi="Arial"/>
          <w:sz w:val="33"/>
          <w:szCs w:val="33"/>
          <w:color w:val="51555C"/>
          <w:vertAlign w:val="superscript"/>
        </w:rPr>
      </w:pPr>
      <w:r>
        <w:rPr>
          <w:rFonts w:ascii="Arial" w:cs="Arial" w:eastAsia="Arial" w:hAnsi="Arial"/>
          <w:sz w:val="17"/>
          <w:szCs w:val="17"/>
          <w:color w:val="51555C"/>
        </w:rPr>
        <w:t>Increases in compensation costs other than stock-based compensation of $20.7 million and $61.5 million, respectively, primarily due to increased employee headcount due to our acquisition of EVERFI</w:t>
      </w:r>
    </w:p>
    <w:p>
      <w:pPr>
        <w:spacing w:after="0" w:line="108" w:lineRule="exact"/>
        <w:rPr>
          <w:rFonts w:ascii="Arial" w:cs="Arial" w:eastAsia="Arial" w:hAnsi="Arial"/>
          <w:sz w:val="33"/>
          <w:szCs w:val="33"/>
          <w:color w:val="51555C"/>
          <w:vertAlign w:val="superscript"/>
        </w:rPr>
      </w:pPr>
    </w:p>
    <w:p>
      <w:pPr>
        <w:jc w:val="both"/>
        <w:ind w:left="700" w:right="20" w:hanging="445"/>
        <w:spacing w:after="0" w:line="188" w:lineRule="auto"/>
        <w:tabs>
          <w:tab w:leader="none" w:pos="700" w:val="left"/>
        </w:tabs>
        <w:numPr>
          <w:ilvl w:val="0"/>
          <w:numId w:val="19"/>
        </w:numPr>
        <w:rPr>
          <w:rFonts w:ascii="Arial" w:cs="Arial" w:eastAsia="Arial" w:hAnsi="Arial"/>
          <w:sz w:val="36"/>
          <w:szCs w:val="36"/>
          <w:color w:val="51555C"/>
          <w:vertAlign w:val="superscript"/>
        </w:rPr>
      </w:pPr>
      <w:r>
        <w:rPr>
          <w:rFonts w:ascii="Arial" w:cs="Arial" w:eastAsia="Arial" w:hAnsi="Arial"/>
          <w:sz w:val="18"/>
          <w:szCs w:val="18"/>
          <w:color w:val="51555C"/>
        </w:rPr>
        <w:t>Increases in third-party contractor costs of $6.8 million and $21.6 million, respectively, and hosting costs of $1.0 million and $5.5 million, respectively, primarily attributable to our acquisition of EVERFI and, to a lesser extent, our continued migration of our cloud infrastructure to leading public cloud service providers and investments in cybersecurity</w:t>
      </w:r>
    </w:p>
    <w:p>
      <w:pPr>
        <w:spacing w:after="0" w:line="107" w:lineRule="exact"/>
        <w:rPr>
          <w:rFonts w:ascii="Arial" w:cs="Arial" w:eastAsia="Arial" w:hAnsi="Arial"/>
          <w:sz w:val="36"/>
          <w:szCs w:val="36"/>
          <w:color w:val="51555C"/>
          <w:vertAlign w:val="superscript"/>
        </w:rPr>
      </w:pPr>
    </w:p>
    <w:p>
      <w:pPr>
        <w:ind w:left="700" w:right="20" w:hanging="445"/>
        <w:spacing w:after="0" w:line="180" w:lineRule="auto"/>
        <w:tabs>
          <w:tab w:leader="none" w:pos="700" w:val="left"/>
        </w:tabs>
        <w:numPr>
          <w:ilvl w:val="0"/>
          <w:numId w:val="19"/>
        </w:numPr>
        <w:rPr>
          <w:rFonts w:ascii="Arial" w:cs="Arial" w:eastAsia="Arial" w:hAnsi="Arial"/>
          <w:sz w:val="33"/>
          <w:szCs w:val="33"/>
          <w:color w:val="51555C"/>
          <w:vertAlign w:val="superscript"/>
        </w:rPr>
      </w:pPr>
      <w:r>
        <w:rPr>
          <w:rFonts w:ascii="Arial" w:cs="Arial" w:eastAsia="Arial" w:hAnsi="Arial"/>
          <w:sz w:val="17"/>
          <w:szCs w:val="17"/>
          <w:color w:val="51555C"/>
        </w:rPr>
        <w:t>Increases in Security Incident-related expenses, net of insurance, of $12.8 million and $27.9 million, respectively. See "Security Incident update" below.</w:t>
      </w:r>
    </w:p>
    <w:p>
      <w:pPr>
        <w:spacing w:after="0" w:line="108" w:lineRule="exact"/>
        <w:rPr>
          <w:rFonts w:ascii="Arial" w:cs="Arial" w:eastAsia="Arial" w:hAnsi="Arial"/>
          <w:sz w:val="33"/>
          <w:szCs w:val="33"/>
          <w:color w:val="51555C"/>
          <w:vertAlign w:val="superscript"/>
        </w:rPr>
      </w:pPr>
    </w:p>
    <w:p>
      <w:pPr>
        <w:ind w:left="700" w:right="20" w:hanging="445"/>
        <w:spacing w:after="0" w:line="180" w:lineRule="auto"/>
        <w:tabs>
          <w:tab w:leader="none" w:pos="700" w:val="left"/>
        </w:tabs>
        <w:numPr>
          <w:ilvl w:val="0"/>
          <w:numId w:val="19"/>
        </w:numPr>
        <w:rPr>
          <w:rFonts w:ascii="Arial" w:cs="Arial" w:eastAsia="Arial" w:hAnsi="Arial"/>
          <w:sz w:val="33"/>
          <w:szCs w:val="33"/>
          <w:color w:val="51555C"/>
          <w:vertAlign w:val="superscript"/>
        </w:rPr>
      </w:pPr>
      <w:r>
        <w:rPr>
          <w:rFonts w:ascii="Arial" w:cs="Arial" w:eastAsia="Arial" w:hAnsi="Arial"/>
          <w:sz w:val="17"/>
          <w:szCs w:val="17"/>
          <w:color w:val="51555C"/>
        </w:rPr>
        <w:t>Increases in transaction-based costs of $2.9 million and $12.2 million, respectively, related to the increase in the volume of transactions for which we process payments</w:t>
      </w:r>
    </w:p>
    <w:p>
      <w:pPr>
        <w:spacing w:after="0" w:line="108" w:lineRule="exact"/>
        <w:rPr>
          <w:rFonts w:ascii="Arial" w:cs="Arial" w:eastAsia="Arial" w:hAnsi="Arial"/>
          <w:sz w:val="33"/>
          <w:szCs w:val="33"/>
          <w:color w:val="51555C"/>
          <w:vertAlign w:val="superscript"/>
        </w:rPr>
      </w:pPr>
    </w:p>
    <w:p>
      <w:pPr>
        <w:ind w:left="700" w:right="20" w:hanging="445"/>
        <w:spacing w:after="0" w:line="180" w:lineRule="auto"/>
        <w:tabs>
          <w:tab w:leader="none" w:pos="700" w:val="left"/>
        </w:tabs>
        <w:numPr>
          <w:ilvl w:val="0"/>
          <w:numId w:val="19"/>
        </w:numPr>
        <w:rPr>
          <w:rFonts w:ascii="Arial" w:cs="Arial" w:eastAsia="Arial" w:hAnsi="Arial"/>
          <w:sz w:val="33"/>
          <w:szCs w:val="33"/>
          <w:color w:val="51555C"/>
          <w:vertAlign w:val="superscript"/>
        </w:rPr>
      </w:pPr>
      <w:r>
        <w:rPr>
          <w:rFonts w:ascii="Arial" w:cs="Arial" w:eastAsia="Arial" w:hAnsi="Arial"/>
          <w:sz w:val="17"/>
          <w:szCs w:val="17"/>
          <w:color w:val="51555C"/>
        </w:rPr>
        <w:t>Increases in amortization of intangible assets from business combinations of $3.4 million and $10.8 million, respectively, due to our acquisition of EVERFI</w:t>
      </w:r>
    </w:p>
    <w:p>
      <w:pPr>
        <w:spacing w:after="0" w:line="108" w:lineRule="exact"/>
        <w:rPr>
          <w:rFonts w:ascii="Arial" w:cs="Arial" w:eastAsia="Arial" w:hAnsi="Arial"/>
          <w:sz w:val="33"/>
          <w:szCs w:val="33"/>
          <w:color w:val="51555C"/>
          <w:vertAlign w:val="superscript"/>
        </w:rPr>
      </w:pPr>
    </w:p>
    <w:p>
      <w:pPr>
        <w:ind w:left="700" w:right="20" w:hanging="445"/>
        <w:spacing w:after="0" w:line="180" w:lineRule="auto"/>
        <w:tabs>
          <w:tab w:leader="none" w:pos="700" w:val="left"/>
        </w:tabs>
        <w:numPr>
          <w:ilvl w:val="0"/>
          <w:numId w:val="19"/>
        </w:numPr>
        <w:rPr>
          <w:rFonts w:ascii="Arial" w:cs="Arial" w:eastAsia="Arial" w:hAnsi="Arial"/>
          <w:sz w:val="33"/>
          <w:szCs w:val="33"/>
          <w:color w:val="51555C"/>
          <w:vertAlign w:val="superscript"/>
        </w:rPr>
      </w:pPr>
      <w:r>
        <w:rPr>
          <w:rFonts w:ascii="Arial" w:cs="Arial" w:eastAsia="Arial" w:hAnsi="Arial"/>
          <w:sz w:val="17"/>
          <w:szCs w:val="17"/>
          <w:color w:val="51555C"/>
        </w:rPr>
        <w:t>Increases in infrastructure costs of $1.6 million and $5.8 million, respectively, primarily related to our acquisition of EVERFI and investments in security tools</w:t>
      </w:r>
    </w:p>
    <w:p>
      <w:pPr>
        <w:spacing w:after="0" w:line="108" w:lineRule="exact"/>
        <w:rPr>
          <w:rFonts w:ascii="Arial" w:cs="Arial" w:eastAsia="Arial" w:hAnsi="Arial"/>
          <w:sz w:val="33"/>
          <w:szCs w:val="33"/>
          <w:color w:val="51555C"/>
          <w:vertAlign w:val="superscript"/>
        </w:rPr>
      </w:pPr>
    </w:p>
    <w:p>
      <w:pPr>
        <w:ind w:left="700" w:right="140" w:hanging="445"/>
        <w:spacing w:after="0" w:line="180" w:lineRule="auto"/>
        <w:tabs>
          <w:tab w:leader="none" w:pos="700" w:val="left"/>
        </w:tabs>
        <w:numPr>
          <w:ilvl w:val="0"/>
          <w:numId w:val="19"/>
        </w:numPr>
        <w:rPr>
          <w:rFonts w:ascii="Arial" w:cs="Arial" w:eastAsia="Arial" w:hAnsi="Arial"/>
          <w:sz w:val="33"/>
          <w:szCs w:val="33"/>
          <w:color w:val="51555C"/>
          <w:vertAlign w:val="superscript"/>
        </w:rPr>
      </w:pPr>
      <w:r>
        <w:rPr>
          <w:rFonts w:ascii="Arial" w:cs="Arial" w:eastAsia="Arial" w:hAnsi="Arial"/>
          <w:sz w:val="17"/>
          <w:szCs w:val="17"/>
          <w:color w:val="51555C"/>
        </w:rPr>
        <w:t>Increases in acquisition and disposition-related costs of $2.4 million and $5.6 million, respectively, primarily related to a $2.0 million noncash impairment of certain insignificant intangible assets held for sale</w:t>
      </w:r>
    </w:p>
    <w:p>
      <w:pPr>
        <w:spacing w:after="0" w:line="1" w:lineRule="exact"/>
        <w:rPr>
          <w:rFonts w:ascii="Arial" w:cs="Arial" w:eastAsia="Arial" w:hAnsi="Arial"/>
          <w:sz w:val="33"/>
          <w:szCs w:val="33"/>
          <w:color w:val="51555C"/>
          <w:vertAlign w:val="superscript"/>
        </w:rPr>
      </w:pPr>
    </w:p>
    <w:p>
      <w:pPr>
        <w:ind w:left="700" w:hanging="445"/>
        <w:spacing w:after="0" w:line="187" w:lineRule="auto"/>
        <w:tabs>
          <w:tab w:leader="none" w:pos="700" w:val="left"/>
        </w:tabs>
        <w:numPr>
          <w:ilvl w:val="0"/>
          <w:numId w:val="19"/>
        </w:numPr>
        <w:rPr>
          <w:rFonts w:ascii="Arial" w:cs="Arial" w:eastAsia="Arial" w:hAnsi="Arial"/>
          <w:sz w:val="36"/>
          <w:szCs w:val="36"/>
          <w:color w:val="51555C"/>
          <w:vertAlign w:val="superscript"/>
        </w:rPr>
      </w:pPr>
      <w:r>
        <w:rPr>
          <w:rFonts w:ascii="Arial" w:cs="Arial" w:eastAsia="Arial" w:hAnsi="Arial"/>
          <w:sz w:val="18"/>
          <w:szCs w:val="18"/>
          <w:color w:val="51555C"/>
        </w:rPr>
        <w:t>Increases in marketing costs of $1.1 million and $5.0 million, respectively, primarily due to our acquisition of EVERFI</w:t>
      </w:r>
    </w:p>
    <w:p>
      <w:pPr>
        <w:spacing w:after="0" w:line="108" w:lineRule="exact"/>
        <w:rPr>
          <w:rFonts w:ascii="Arial" w:cs="Arial" w:eastAsia="Arial" w:hAnsi="Arial"/>
          <w:sz w:val="36"/>
          <w:szCs w:val="36"/>
          <w:color w:val="51555C"/>
          <w:vertAlign w:val="superscript"/>
        </w:rPr>
      </w:pPr>
    </w:p>
    <w:p>
      <w:pPr>
        <w:ind w:left="700" w:right="20" w:hanging="445"/>
        <w:spacing w:after="0" w:line="180" w:lineRule="auto"/>
        <w:tabs>
          <w:tab w:leader="none" w:pos="700" w:val="left"/>
        </w:tabs>
        <w:numPr>
          <w:ilvl w:val="0"/>
          <w:numId w:val="19"/>
        </w:numPr>
        <w:rPr>
          <w:rFonts w:ascii="Arial" w:cs="Arial" w:eastAsia="Arial" w:hAnsi="Arial"/>
          <w:sz w:val="33"/>
          <w:szCs w:val="33"/>
          <w:color w:val="51555C"/>
          <w:vertAlign w:val="superscript"/>
        </w:rPr>
      </w:pPr>
      <w:r>
        <w:rPr>
          <w:rFonts w:ascii="Arial" w:cs="Arial" w:eastAsia="Arial" w:hAnsi="Arial"/>
          <w:sz w:val="17"/>
          <w:szCs w:val="17"/>
          <w:color w:val="51555C"/>
        </w:rPr>
        <w:t>Increases in travel costs of $1.1 million and $3.7 million, respectively, due to our easing of restrictions on non-essential employee travel, which went into effect during March 2020 in response to the COVID-19 pandemic</w:t>
      </w:r>
    </w:p>
    <w:p>
      <w:pPr>
        <w:spacing w:after="0" w:line="108" w:lineRule="exact"/>
        <w:rPr>
          <w:rFonts w:ascii="Arial" w:cs="Arial" w:eastAsia="Arial" w:hAnsi="Arial"/>
          <w:sz w:val="33"/>
          <w:szCs w:val="33"/>
          <w:color w:val="51555C"/>
          <w:vertAlign w:val="superscript"/>
        </w:rPr>
      </w:pPr>
    </w:p>
    <w:p>
      <w:pPr>
        <w:ind w:left="700" w:right="140" w:hanging="445"/>
        <w:spacing w:after="0" w:line="188" w:lineRule="auto"/>
        <w:tabs>
          <w:tab w:leader="none" w:pos="700" w:val="left"/>
        </w:tabs>
        <w:numPr>
          <w:ilvl w:val="0"/>
          <w:numId w:val="19"/>
        </w:numPr>
        <w:rPr>
          <w:rFonts w:ascii="Arial" w:cs="Arial" w:eastAsia="Arial" w:hAnsi="Arial"/>
          <w:sz w:val="36"/>
          <w:szCs w:val="36"/>
          <w:color w:val="51555C"/>
          <w:vertAlign w:val="superscript"/>
        </w:rPr>
      </w:pPr>
      <w:r>
        <w:rPr>
          <w:rFonts w:ascii="Arial" w:cs="Arial" w:eastAsia="Arial" w:hAnsi="Arial"/>
          <w:sz w:val="18"/>
          <w:szCs w:val="18"/>
          <w:color w:val="51555C"/>
        </w:rPr>
        <w:t>A $2.3 million noncash impairment charge during the nine months ended September 30, 2022, against previously capitalized software development costs that reduced the carrying value of those assets to zero. The impairment charge resulted primarily from our decision to end customer support for certain solutions</w:t>
      </w:r>
    </w:p>
    <w:p>
      <w:pPr>
        <w:ind w:left="700" w:hanging="445"/>
        <w:spacing w:after="0" w:line="188" w:lineRule="auto"/>
        <w:tabs>
          <w:tab w:leader="none" w:pos="700" w:val="left"/>
        </w:tabs>
        <w:numPr>
          <w:ilvl w:val="0"/>
          <w:numId w:val="20"/>
        </w:numPr>
        <w:rPr>
          <w:rFonts w:ascii="Arial" w:cs="Arial" w:eastAsia="Arial" w:hAnsi="Arial"/>
          <w:sz w:val="36"/>
          <w:szCs w:val="36"/>
          <w:color w:val="51555C"/>
          <w:vertAlign w:val="superscript"/>
        </w:rPr>
      </w:pPr>
      <w:r>
        <w:rPr>
          <w:rFonts w:ascii="Arial" w:cs="Arial" w:eastAsia="Arial" w:hAnsi="Arial"/>
          <w:sz w:val="18"/>
          <w:szCs w:val="18"/>
          <w:color w:val="51555C"/>
        </w:rPr>
        <w:t>Increases in total revenue, as described above</w:t>
      </w:r>
    </w:p>
    <w:p>
      <w:pPr>
        <w:spacing w:after="0" w:line="107" w:lineRule="exact"/>
        <w:rPr>
          <w:rFonts w:ascii="Arial" w:cs="Arial" w:eastAsia="Arial" w:hAnsi="Arial"/>
          <w:sz w:val="36"/>
          <w:szCs w:val="36"/>
          <w:color w:val="51555C"/>
          <w:vertAlign w:val="superscript"/>
        </w:rPr>
      </w:pPr>
    </w:p>
    <w:p>
      <w:pPr>
        <w:ind w:left="700" w:hanging="445"/>
        <w:spacing w:after="0" w:line="181" w:lineRule="auto"/>
        <w:tabs>
          <w:tab w:leader="none" w:pos="700" w:val="left"/>
        </w:tabs>
        <w:numPr>
          <w:ilvl w:val="0"/>
          <w:numId w:val="20"/>
        </w:numPr>
        <w:rPr>
          <w:rFonts w:ascii="Arial" w:cs="Arial" w:eastAsia="Arial" w:hAnsi="Arial"/>
          <w:sz w:val="25"/>
          <w:szCs w:val="25"/>
          <w:color w:val="51555C"/>
          <w:vertAlign w:val="superscript"/>
        </w:rPr>
      </w:pPr>
      <w:r>
        <w:rPr>
          <w:rFonts w:ascii="Arial" w:cs="Arial" w:eastAsia="Arial" w:hAnsi="Arial"/>
          <w:sz w:val="14"/>
          <w:szCs w:val="14"/>
          <w:color w:val="51555C"/>
        </w:rPr>
        <w:t>Decreases in stock-based compensation expense of $1.0 million and $5.8 million, respectively, attributable to:</w:t>
      </w:r>
    </w:p>
    <w:p>
      <w:pPr>
        <w:spacing w:after="0" w:line="53" w:lineRule="exact"/>
        <w:rPr>
          <w:rFonts w:ascii="Arial" w:cs="Arial" w:eastAsia="Arial" w:hAnsi="Arial"/>
          <w:sz w:val="25"/>
          <w:szCs w:val="25"/>
          <w:color w:val="51555C"/>
          <w:vertAlign w:val="superscript"/>
        </w:rPr>
      </w:pPr>
    </w:p>
    <w:p>
      <w:pPr>
        <w:ind w:left="1340" w:right="20" w:hanging="315"/>
        <w:spacing w:after="0" w:line="261" w:lineRule="auto"/>
        <w:tabs>
          <w:tab w:leader="none" w:pos="1308" w:val="left"/>
        </w:tabs>
        <w:numPr>
          <w:ilvl w:val="1"/>
          <w:numId w:val="20"/>
        </w:numPr>
        <w:rPr>
          <w:rFonts w:ascii="Arial" w:cs="Arial" w:eastAsia="Arial" w:hAnsi="Arial"/>
          <w:sz w:val="18"/>
          <w:szCs w:val="18"/>
          <w:color w:val="51555C"/>
        </w:rPr>
      </w:pPr>
      <w:r>
        <w:rPr>
          <w:rFonts w:ascii="Arial" w:cs="Arial" w:eastAsia="Arial" w:hAnsi="Arial"/>
          <w:sz w:val="18"/>
          <w:szCs w:val="18"/>
          <w:color w:val="51555C"/>
        </w:rPr>
        <w:t>A decrease in the grant date fair value of our annual equity awards granted to employees during 2022 compared to 2021; and</w:t>
      </w:r>
    </w:p>
    <w:p>
      <w:pPr>
        <w:spacing w:after="0" w:line="35" w:lineRule="exact"/>
        <w:rPr>
          <w:rFonts w:ascii="Arial" w:cs="Arial" w:eastAsia="Arial" w:hAnsi="Arial"/>
          <w:sz w:val="18"/>
          <w:szCs w:val="18"/>
          <w:color w:val="51555C"/>
        </w:rPr>
      </w:pPr>
    </w:p>
    <w:p>
      <w:pPr>
        <w:ind w:left="1340" w:right="20" w:hanging="315"/>
        <w:spacing w:after="0" w:line="261" w:lineRule="auto"/>
        <w:tabs>
          <w:tab w:leader="none" w:pos="1308" w:val="left"/>
        </w:tabs>
        <w:numPr>
          <w:ilvl w:val="1"/>
          <w:numId w:val="20"/>
        </w:numPr>
        <w:rPr>
          <w:rFonts w:ascii="Arial" w:cs="Arial" w:eastAsia="Arial" w:hAnsi="Arial"/>
          <w:sz w:val="18"/>
          <w:szCs w:val="18"/>
          <w:color w:val="51555C"/>
        </w:rPr>
      </w:pPr>
      <w:r>
        <w:rPr>
          <w:rFonts w:ascii="Arial" w:cs="Arial" w:eastAsia="Arial" w:hAnsi="Arial"/>
          <w:sz w:val="18"/>
          <w:szCs w:val="18"/>
          <w:color w:val="51555C"/>
        </w:rPr>
        <w:t>As a one-time response to COVID-19, replacement of our 2020 base salary merit increases with one-year time-based equity awards, which vested and were recognized as expense between May 1, 2020 and May 1, 2021.</w:t>
      </w:r>
    </w:p>
    <w:p>
      <w:pPr>
        <w:spacing w:after="0" w:line="2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are continuing to make critical investments in the business in areas such as digital marketing, innovation, cybersecurity, customer success and our continued shift of cloud infrastructure to leading public cloud service providers. Our profitability through the third quarter reflects the addition of EVERFI and some of these incremental investments.</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We have taken steps to better align our workforce with our strategic priorities to drive efficiencies and minimize any potential impacts from the current uncertain macroeconomic environment. This recently included further elimination of open positions as well as the decision to reduce our workforce. As a result of the workforce targeted reduction, we expect to incur between $6 million and $8 million in pre-tax employee severance costs primarily during the fourth quarter of 2022. We expect this workforce reduction and other cost actions will reduce our planned future pre-tax cost run rate by approximately $40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216535</wp:posOffset>
            </wp:positionV>
            <wp:extent cx="65976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29</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to $ 50 million beginning in 2023, partially offset by continued investments in cybersecurity and innovation. We see further opportunity in 2023 and beyond to scale our infrastructure costs, reduce overhead and execute pricing initiatives.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continuously seek opportunities to optimize our portfolio of solutions to focus time and resources on innovation that will have the greatest impact for our customers and the markets we serve, and drive the highest return on investment. To that end, we will continue to simplify and rationalize our portfolio through product sunsets and divestitures of non-core businesses and technologies.</w:t>
      </w:r>
    </w:p>
    <w:p>
      <w:pPr>
        <w:spacing w:after="0" w:line="184" w:lineRule="exact"/>
        <w:rPr>
          <w:sz w:val="20"/>
          <w:szCs w:val="20"/>
          <w:color w:val="auto"/>
        </w:rPr>
      </w:pPr>
    </w:p>
    <w:p>
      <w:pPr>
        <w:ind w:left="1380"/>
        <w:spacing w:after="0"/>
        <w:rPr>
          <w:sz w:val="20"/>
          <w:szCs w:val="20"/>
          <w:color w:val="auto"/>
        </w:rPr>
      </w:pPr>
      <w:r>
        <w:rPr>
          <w:rFonts w:ascii="Arial" w:cs="Arial" w:eastAsia="Arial" w:hAnsi="Arial"/>
          <w:sz w:val="18"/>
          <w:szCs w:val="18"/>
          <w:i w:val="1"/>
          <w:iCs w:val="1"/>
          <w:color w:val="51555C"/>
        </w:rPr>
        <w:t>Customer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7260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206375</wp:posOffset>
            </wp:positionV>
            <wp:extent cx="2280285" cy="131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28028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Our recurring revenue contracts are generally for a term of three years at contract inception with one to three-year renewals thereafter. We anticipate a continued decrease in maintenance contract renewals as we transition our solution portfolio and maintenance customers from a perpetual license-based model to a cloud subscription delivery model. In the long term, we also anticipate an increase in recurring subscription contract renewals as we continue focusing on innovation, quality and the integration of our cloud solutions, which we believe will provide value-adding capabilities to better address our customers' needs. Due primarily to these factors, we believe a recurring revenue customer retention measure that combines recurring subscription, maintenance and recurring service customer contracts provides a better representation of our customers' overall behavior. For the twelve months ended September 30, 2022, approximately 91% of our customers with recurring revenue contracts were retained. This customer retention rate decreased from our rate for the full year ended December 31, 2021 and reflects our continuing efforts to rationalize our portfolio of solutions and migrate customers from legacy solutions towards our next generation solutions.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Balance sheet and cash flow</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At September 30, 2022, our cash and cash equivalents were $31.4 million and the carrying amount of our debt under the 2020 Credit Facility was $795.5 million. Our net leverage ratio was 3.10 to 1.00.</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During the nine months ended September 30, 2022, we generated $189.8 million in cash from operations, had a net decrease in borrowings of $102.5 million, had aggregate cash outlays of $53.3 million for purchases of property and equipment and capitalized software and content development costs, and spent $20.9 million for our purchases of EVERFI and Kilter.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Security Incident update</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As discussed in Note 10 to our unaudited, condensed consolidated financial statements included in this report, total costs related to the Security Incident have exceeded the limit of our insurance coverage. Accordingly, we expect that the Security Incident will continue to negatively impact our GAAP profitability and GAAP cash flow for the foreseeable future (see discussion regarding our non-GAAP financial measures beginning on page 38). For full year 2022, we currently expect net pre-tax expense of approximately $ 30 million to $35 million for ongoing legal fees related to the Security Incident. In line with our policy, legal fees are expensed as incurred. For full year 2022, we currently expect net cash outlays of approximately $15 million to $25 million for ongoing legal fees related to the Security Incident. As of September 30, 2022, we have recorded approximately $5.0 million in aggregate liabilities for a loss contingencies related to the Security Incident that we believe we can reasonably estimate. Certain of these recorded charges reflect the low end of a range of estimated losses based on our determination that no estimate within that range was better than any other amount. It is reasonably possible that actual losses in the future for those matters will be in excess of the amounts accrued, but we are unable at this time to reasonably estimate the possible additional loss. There are other Security Incident-related matters, including customer claims, customer constituent class actions and governmental investigations, for which we have not recorded a liability for a loss contingency as of September 30, 2022 because we are unable at this time to reasonably estimate the possible loss or range of loss.</w:t>
      </w:r>
    </w:p>
    <w:p>
      <w:pPr>
        <w:spacing w:after="0" w:line="330"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30</w:t>
      </w:r>
      <w:r>
        <w:rPr>
          <w:sz w:val="20"/>
          <w:szCs w:val="20"/>
          <w:color w:val="auto"/>
        </w:rPr>
        <w:tab/>
      </w:r>
      <w:r>
        <w:rPr>
          <w:sz w:val="1"/>
          <w:szCs w:val="1"/>
          <w:color w:val="auto"/>
        </w:rPr>
        <w:drawing>
          <wp:inline distT="0" distB="0" distL="0" distR="0">
            <wp:extent cx="651510" cy="17145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Comparison of the three and nine months ended September 30, 2022 and 2021</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have included the results of operations of acquired companies in our consolidated results of operations from the date of their respective acquisition. We determined that the EVERFI and Kilter acquisitions were not material to our consolidated financial statements; therefore, separate presentation of revenue and earnings since the acquisition date is not required.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Revenue and Cost of Revenue</w:t>
      </w: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51555C"/>
        </w:rPr>
        <w:t>Recurring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8"/>
                <w:szCs w:val="18"/>
                <w:i w:val="1"/>
                <w:iCs w:val="1"/>
                <w:color w:val="51555C"/>
                <w:w w:val="99"/>
              </w:rPr>
              <w:t>Gross profit ($M)</w:t>
            </w:r>
          </w:p>
        </w:tc>
      </w:tr>
      <w:tr>
        <w:trPr>
          <w:trHeight w:val="235"/>
        </w:trPr>
        <w:tc>
          <w:tcPr>
            <w:tcW w:w="320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51555C"/>
                <w:w w:val="99"/>
              </w:rPr>
              <w:t>Revenue ($M)</w:t>
            </w:r>
          </w:p>
        </w:tc>
        <w:tc>
          <w:tcPr>
            <w:tcW w:w="314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51555C"/>
                <w:w w:val="99"/>
              </w:rPr>
              <w:t>Cost of revenue ($M)</w:t>
            </w:r>
          </w:p>
        </w:tc>
        <w:tc>
          <w:tcPr>
            <w:tcW w:w="2900" w:type="dxa"/>
            <w:vAlign w:val="bottom"/>
          </w:tcPr>
          <w:p>
            <w:pPr>
              <w:jc w:val="center"/>
              <w:spacing w:after="0"/>
              <w:rPr>
                <w:sz w:val="20"/>
                <w:szCs w:val="20"/>
                <w:color w:val="auto"/>
              </w:rPr>
            </w:pPr>
            <w:r>
              <w:rPr>
                <w:rFonts w:ascii="Arial" w:cs="Arial" w:eastAsia="Arial" w:hAnsi="Arial"/>
                <w:sz w:val="18"/>
                <w:szCs w:val="18"/>
                <w:i w:val="1"/>
                <w:iCs w:val="1"/>
                <w:color w:val="51555C"/>
                <w:w w:val="99"/>
              </w:rPr>
              <w:t>and gross margin (%)</w:t>
            </w:r>
          </w:p>
        </w:tc>
      </w:tr>
      <w:tr>
        <w:trPr>
          <w:trHeight w:val="27"/>
        </w:trPr>
        <w:tc>
          <w:tcPr>
            <w:tcW w:w="2780" w:type="dxa"/>
            <w:vAlign w:val="bottom"/>
            <w:tcBorders>
              <w:bottom w:val="single" w:sz="8" w:color="51555C"/>
            </w:tcBorders>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Borders>
              <w:bottom w:val="single" w:sz="8" w:color="51555C"/>
            </w:tcBorders>
          </w:tcPr>
          <w:p>
            <w:pPr>
              <w:spacing w:after="0"/>
              <w:rPr>
                <w:sz w:val="2"/>
                <w:szCs w:val="2"/>
                <w:color w:val="auto"/>
              </w:rPr>
            </w:pPr>
          </w:p>
        </w:tc>
        <w:tc>
          <w:tcPr>
            <w:tcW w:w="420" w:type="dxa"/>
            <w:vAlign w:val="bottom"/>
          </w:tcPr>
          <w:p>
            <w:pPr>
              <w:spacing w:after="0"/>
              <w:rPr>
                <w:sz w:val="2"/>
                <w:szCs w:val="2"/>
                <w:color w:val="auto"/>
              </w:rPr>
            </w:pPr>
          </w:p>
        </w:tc>
        <w:tc>
          <w:tcPr>
            <w:tcW w:w="2900" w:type="dxa"/>
            <w:vAlign w:val="bottom"/>
            <w:tcBorders>
              <w:bottom w:val="single" w:sz="8" w:color="51555C"/>
            </w:tcBorders>
          </w:tcPr>
          <w:p>
            <w:pPr>
              <w:spacing w:after="0"/>
              <w:rPr>
                <w:sz w:val="2"/>
                <w:szCs w:val="2"/>
                <w:color w:val="auto"/>
              </w:rPr>
            </w:pPr>
          </w:p>
        </w:tc>
      </w:tr>
      <w:tr>
        <w:trPr>
          <w:trHeight w:val="221"/>
        </w:trPr>
        <w:tc>
          <w:tcPr>
            <w:tcW w:w="3200" w:type="dxa"/>
            <w:vAlign w:val="bottom"/>
            <w:gridSpan w:val="2"/>
          </w:tcPr>
          <w:p>
            <w:pPr>
              <w:jc w:val="center"/>
              <w:ind w:right="420"/>
              <w:spacing w:after="0"/>
              <w:rPr>
                <w:sz w:val="20"/>
                <w:szCs w:val="20"/>
                <w:color w:val="auto"/>
              </w:rPr>
            </w:pPr>
            <w:r>
              <w:rPr>
                <w:rFonts w:ascii="Arial" w:cs="Arial" w:eastAsia="Arial" w:hAnsi="Arial"/>
                <w:sz w:val="13"/>
                <w:szCs w:val="13"/>
                <w:i w:val="1"/>
                <w:iCs w:val="1"/>
                <w:color w:val="51555C"/>
                <w:w w:val="95"/>
              </w:rPr>
              <w:t>YoY Growth (%)</w:t>
            </w:r>
          </w:p>
        </w:tc>
        <w:tc>
          <w:tcPr>
            <w:tcW w:w="3140" w:type="dxa"/>
            <w:vAlign w:val="bottom"/>
            <w:gridSpan w:val="2"/>
          </w:tcPr>
          <w:p>
            <w:pPr>
              <w:jc w:val="center"/>
              <w:ind w:right="400"/>
              <w:spacing w:after="0"/>
              <w:rPr>
                <w:sz w:val="20"/>
                <w:szCs w:val="20"/>
                <w:color w:val="auto"/>
              </w:rPr>
            </w:pPr>
            <w:r>
              <w:rPr>
                <w:rFonts w:ascii="Arial" w:cs="Arial" w:eastAsia="Arial" w:hAnsi="Arial"/>
                <w:sz w:val="13"/>
                <w:szCs w:val="13"/>
                <w:i w:val="1"/>
                <w:iCs w:val="1"/>
                <w:color w:val="51555C"/>
                <w:w w:val="95"/>
              </w:rPr>
              <w:t>YoY Growth (%)</w:t>
            </w:r>
          </w:p>
        </w:tc>
        <w:tc>
          <w:tcPr>
            <w:tcW w:w="2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5812155" cy="30086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1215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Recurring revenue is comprised of fees for the use of our subscription-based software solutions, which includes providing access to cloud solutions, Impact-as-a-Service</w:t>
      </w:r>
      <w:r>
        <w:rPr>
          <w:rFonts w:ascii="Arial" w:cs="Arial" w:eastAsia="Arial" w:hAnsi="Arial"/>
          <w:sz w:val="18"/>
          <w:szCs w:val="18"/>
          <w:i w:val="1"/>
          <w:iCs w:val="1"/>
          <w:color w:val="51555C"/>
        </w:rPr>
        <w:t>™</w:t>
      </w:r>
      <w:r>
        <w:rPr>
          <w:rFonts w:ascii="Arial" w:cs="Arial" w:eastAsia="Arial" w:hAnsi="Arial"/>
          <w:sz w:val="18"/>
          <w:szCs w:val="18"/>
          <w:color w:val="51555C"/>
        </w:rPr>
        <w:t xml:space="preserve"> digital educational content, hosting services, payment services, online training programs, subscription-based analytic services. Recurring revenue also includes fees from maintenance services for our on-premises solutions, services included in our renewable subscription contracts, retained and managed services contracts that we expect to have a term consistent with our cloud solution contracts, and variable transaction revenue associated with the use of our solutions.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Cost of recurring revenue is primarily comprised of compensation costs for customer support and production IT personnel, hosting and data center costs, third-party contractor expenses, third-party royalty and data expenses, allocated depreciation, facilities and IT support costs, amortization of intangible assets from business combinations, amortization of software development costs, transaction-based costs related to payments services including remittances of amounts due to third-parties and other costs incurred in providing support and recurring services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216535</wp:posOffset>
            </wp:positionV>
            <wp:extent cx="659765"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31</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Our customers continue to prefer cloud subscription offerings with integrated analytics, training and payment services. Recurring subscription contracts are typically for a term of three years at contract inception with one to three-year renewals thereafter. We intend to continue focusing on innovation, quality and integration of our cloud solutions, which we believe will drive future revenue growth.</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51555C"/>
        </w:rPr>
        <w:t>Recurring revenue increased by $30.9 million, or 14.1%, and $104.3 million, or 16.2%, during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51555C"/>
        </w:rPr>
        <w:t>September 30, 2022, respectively, when compared to the same periods in 2021, driven primarily by the following:</w:t>
      </w:r>
    </w:p>
    <w:p>
      <w:pPr>
        <w:spacing w:after="0" w:line="171" w:lineRule="exact"/>
        <w:rPr>
          <w:sz w:val="20"/>
          <w:szCs w:val="20"/>
          <w:color w:val="auto"/>
        </w:rPr>
      </w:pPr>
    </w:p>
    <w:p>
      <w:pPr>
        <w:jc w:val="both"/>
        <w:ind w:left="700" w:right="20" w:hanging="373"/>
        <w:spacing w:after="0" w:line="200" w:lineRule="auto"/>
        <w:tabs>
          <w:tab w:leader="none" w:pos="700" w:val="left"/>
        </w:tabs>
        <w:numPr>
          <w:ilvl w:val="0"/>
          <w:numId w:val="21"/>
        </w:numPr>
        <w:rPr>
          <w:rFonts w:ascii="Arial" w:cs="Arial" w:eastAsia="Arial" w:hAnsi="Arial"/>
          <w:sz w:val="36"/>
          <w:szCs w:val="36"/>
          <w:color w:val="51555C"/>
          <w:vertAlign w:val="superscript"/>
        </w:rPr>
      </w:pPr>
      <w:r>
        <w:rPr>
          <w:rFonts w:ascii="Arial" w:cs="Arial" w:eastAsia="Arial" w:hAnsi="Arial"/>
          <w:sz w:val="18"/>
          <w:szCs w:val="18"/>
          <w:color w:val="51555C"/>
        </w:rPr>
        <w:t>Increases in contractual recurring revenue of $27.7 million and $81.6 million, respectively, related to the performance of our cloud solutions, of which $23.7 million and $71.2 million, respectively, was attributable to EVERFI; partially offset by decreases in maintenance revenue as customers migrate to our cloud solutions; also offsetting the increases in contractual recurring revenue were decreases related to fluctuations in foreign currency exchange rates of $1.3 million and $2.3 million, respectively</w:t>
      </w:r>
    </w:p>
    <w:p>
      <w:pPr>
        <w:spacing w:after="0" w:line="109" w:lineRule="exact"/>
        <w:rPr>
          <w:rFonts w:ascii="Arial" w:cs="Arial" w:eastAsia="Arial" w:hAnsi="Arial"/>
          <w:sz w:val="36"/>
          <w:szCs w:val="36"/>
          <w:color w:val="51555C"/>
          <w:vertAlign w:val="superscript"/>
        </w:rPr>
      </w:pPr>
    </w:p>
    <w:p>
      <w:pPr>
        <w:jc w:val="both"/>
        <w:ind w:left="700" w:right="20" w:hanging="373"/>
        <w:spacing w:after="0" w:line="200" w:lineRule="auto"/>
        <w:tabs>
          <w:tab w:leader="none" w:pos="700" w:val="left"/>
        </w:tabs>
        <w:numPr>
          <w:ilvl w:val="0"/>
          <w:numId w:val="21"/>
        </w:numPr>
        <w:rPr>
          <w:rFonts w:ascii="Arial" w:cs="Arial" w:eastAsia="Arial" w:hAnsi="Arial"/>
          <w:sz w:val="36"/>
          <w:szCs w:val="36"/>
          <w:color w:val="51555C"/>
          <w:vertAlign w:val="superscript"/>
        </w:rPr>
      </w:pPr>
      <w:r>
        <w:rPr>
          <w:rFonts w:ascii="Arial" w:cs="Arial" w:eastAsia="Arial" w:hAnsi="Arial"/>
          <w:sz w:val="18"/>
          <w:szCs w:val="18"/>
          <w:color w:val="51555C"/>
        </w:rPr>
        <w:t>Increase in transactional recurring revenue of $3.2 million for the three months ended, September 30, 2022, primarily due to an increase in enrollment for our Blackbaud Tuition Management solution resulting in higher transactional volumes. The increase in transactional recurring revenue during the three months ended September 30, 2022, was partially offset by a decrease related to fluctuations in foreign currency exchange rates of $3.1 million</w:t>
      </w:r>
    </w:p>
    <w:p>
      <w:pPr>
        <w:spacing w:after="0" w:line="2" w:lineRule="exact"/>
        <w:rPr>
          <w:rFonts w:ascii="Arial" w:cs="Arial" w:eastAsia="Arial" w:hAnsi="Arial"/>
          <w:sz w:val="36"/>
          <w:szCs w:val="36"/>
          <w:color w:val="51555C"/>
          <w:vertAlign w:val="superscript"/>
        </w:rPr>
      </w:pPr>
    </w:p>
    <w:p>
      <w:pPr>
        <w:ind w:left="700" w:hanging="373"/>
        <w:spacing w:after="0" w:line="187" w:lineRule="auto"/>
        <w:tabs>
          <w:tab w:leader="none" w:pos="700" w:val="left"/>
        </w:tabs>
        <w:numPr>
          <w:ilvl w:val="0"/>
          <w:numId w:val="21"/>
        </w:numPr>
        <w:rPr>
          <w:rFonts w:ascii="Arial" w:cs="Arial" w:eastAsia="Arial" w:hAnsi="Arial"/>
          <w:sz w:val="36"/>
          <w:szCs w:val="36"/>
          <w:color w:val="51555C"/>
          <w:vertAlign w:val="superscript"/>
        </w:rPr>
      </w:pPr>
      <w:r>
        <w:rPr>
          <w:rFonts w:ascii="Arial" w:cs="Arial" w:eastAsia="Arial" w:hAnsi="Arial"/>
          <w:sz w:val="18"/>
          <w:szCs w:val="18"/>
          <w:color w:val="51555C"/>
        </w:rPr>
        <w:t>Increase in transactional recurring revenue of $22.7 million for the nine months ended September 30, 2022, primarily due to:</w:t>
      </w:r>
    </w:p>
    <w:p>
      <w:pPr>
        <w:spacing w:after="0" w:line="54" w:lineRule="exact"/>
        <w:rPr>
          <w:rFonts w:ascii="Arial" w:cs="Arial" w:eastAsia="Arial" w:hAnsi="Arial"/>
          <w:sz w:val="36"/>
          <w:szCs w:val="36"/>
          <w:color w:val="51555C"/>
          <w:vertAlign w:val="superscript"/>
        </w:rPr>
      </w:pPr>
    </w:p>
    <w:p>
      <w:pPr>
        <w:ind w:left="1320" w:hanging="295"/>
        <w:spacing w:after="0"/>
        <w:tabs>
          <w:tab w:leader="none" w:pos="1320" w:val="left"/>
        </w:tabs>
        <w:numPr>
          <w:ilvl w:val="1"/>
          <w:numId w:val="21"/>
        </w:numPr>
        <w:rPr>
          <w:rFonts w:ascii="Arial" w:cs="Arial" w:eastAsia="Arial" w:hAnsi="Arial"/>
          <w:sz w:val="18"/>
          <w:szCs w:val="18"/>
          <w:color w:val="51555C"/>
        </w:rPr>
      </w:pPr>
      <w:r>
        <w:rPr>
          <w:rFonts w:ascii="Arial" w:cs="Arial" w:eastAsia="Arial" w:hAnsi="Arial"/>
          <w:sz w:val="18"/>
          <w:szCs w:val="18"/>
          <w:color w:val="51555C"/>
        </w:rPr>
        <w:t>an increase in online charitable giving;</w:t>
      </w:r>
    </w:p>
    <w:p>
      <w:pPr>
        <w:spacing w:after="0" w:line="63" w:lineRule="exact"/>
        <w:rPr>
          <w:rFonts w:ascii="Arial" w:cs="Arial" w:eastAsia="Arial" w:hAnsi="Arial"/>
          <w:sz w:val="18"/>
          <w:szCs w:val="18"/>
          <w:color w:val="51555C"/>
        </w:rPr>
      </w:pPr>
    </w:p>
    <w:p>
      <w:pPr>
        <w:ind w:left="1320" w:hanging="295"/>
        <w:spacing w:after="0"/>
        <w:tabs>
          <w:tab w:leader="none" w:pos="1320" w:val="left"/>
        </w:tabs>
        <w:numPr>
          <w:ilvl w:val="1"/>
          <w:numId w:val="21"/>
        </w:numPr>
        <w:rPr>
          <w:rFonts w:ascii="Arial" w:cs="Arial" w:eastAsia="Arial" w:hAnsi="Arial"/>
          <w:sz w:val="18"/>
          <w:szCs w:val="18"/>
          <w:color w:val="51555C"/>
        </w:rPr>
      </w:pPr>
      <w:r>
        <w:rPr>
          <w:rFonts w:ascii="Arial" w:cs="Arial" w:eastAsia="Arial" w:hAnsi="Arial"/>
          <w:sz w:val="18"/>
          <w:szCs w:val="18"/>
          <w:color w:val="51555C"/>
        </w:rPr>
        <w:t>an increase in enrollment for our Blackbaud Tuition Management solution resulting in a higher transactional volumes; and</w:t>
      </w:r>
    </w:p>
    <w:p>
      <w:pPr>
        <w:spacing w:after="0" w:line="63" w:lineRule="exact"/>
        <w:rPr>
          <w:rFonts w:ascii="Arial" w:cs="Arial" w:eastAsia="Arial" w:hAnsi="Arial"/>
          <w:sz w:val="18"/>
          <w:szCs w:val="18"/>
          <w:color w:val="51555C"/>
        </w:rPr>
      </w:pPr>
    </w:p>
    <w:p>
      <w:pPr>
        <w:ind w:left="1320" w:hanging="295"/>
        <w:spacing w:after="0"/>
        <w:tabs>
          <w:tab w:leader="none" w:pos="1320" w:val="left"/>
        </w:tabs>
        <w:numPr>
          <w:ilvl w:val="1"/>
          <w:numId w:val="21"/>
        </w:numPr>
        <w:rPr>
          <w:rFonts w:ascii="Arial" w:cs="Arial" w:eastAsia="Arial" w:hAnsi="Arial"/>
          <w:sz w:val="18"/>
          <w:szCs w:val="18"/>
          <w:color w:val="51555C"/>
        </w:rPr>
      </w:pPr>
      <w:r>
        <w:rPr>
          <w:rFonts w:ascii="Arial" w:cs="Arial" w:eastAsia="Arial" w:hAnsi="Arial"/>
          <w:sz w:val="18"/>
          <w:szCs w:val="18"/>
          <w:color w:val="51555C"/>
        </w:rPr>
        <w:t>to a lesser extent, increased transactional volume as our customer's constituents have begun to return to in-person events.</w:t>
      </w:r>
    </w:p>
    <w:p>
      <w:pPr>
        <w:spacing w:after="0" w:line="63" w:lineRule="exact"/>
        <w:rPr>
          <w:sz w:val="20"/>
          <w:szCs w:val="20"/>
          <w:color w:val="auto"/>
        </w:rPr>
      </w:pPr>
    </w:p>
    <w:p>
      <w:pPr>
        <w:ind w:left="700" w:right="20"/>
        <w:spacing w:after="0" w:line="261" w:lineRule="auto"/>
        <w:rPr>
          <w:sz w:val="20"/>
          <w:szCs w:val="20"/>
          <w:color w:val="auto"/>
        </w:rPr>
      </w:pPr>
      <w:r>
        <w:rPr>
          <w:rFonts w:ascii="Arial" w:cs="Arial" w:eastAsia="Arial" w:hAnsi="Arial"/>
          <w:sz w:val="18"/>
          <w:szCs w:val="18"/>
          <w:color w:val="51555C"/>
        </w:rPr>
        <w:t>The increase in transactional recurring revenue during the nine months ended September 30, 2022, was partially offset by a decrease related to fluctuations in foreign currency exchange rates of $5.5 million</w:t>
      </w:r>
    </w:p>
    <w:p>
      <w:pPr>
        <w:spacing w:after="0" w:line="265" w:lineRule="exact"/>
        <w:rPr>
          <w:sz w:val="20"/>
          <w:szCs w:val="20"/>
          <w:color w:val="auto"/>
        </w:rPr>
      </w:pPr>
    </w:p>
    <w:p>
      <w:pPr>
        <w:spacing w:after="0" w:line="261" w:lineRule="auto"/>
        <w:rPr>
          <w:sz w:val="20"/>
          <w:szCs w:val="20"/>
          <w:color w:val="auto"/>
        </w:rPr>
      </w:pPr>
      <w:r>
        <w:rPr>
          <w:rFonts w:ascii="Arial" w:cs="Arial" w:eastAsia="Arial" w:hAnsi="Arial"/>
          <w:sz w:val="18"/>
          <w:szCs w:val="18"/>
          <w:color w:val="51555C"/>
        </w:rPr>
        <w:t>For additional information on the impact of foreign currency fluctuations on our financial results, see Foreign Currency Exchange Rates below on page 47.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51555C"/>
        </w:rPr>
        <w:t>Cost of recurring revenue increased by $15.7 million, or 16.3%, and $59.0 million, or 21.1%, during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51555C"/>
        </w:rPr>
        <w:t>September 30, 2022, respectively, when compared to the same periods in 2021, driven primarily by the following:</w:t>
      </w:r>
    </w:p>
    <w:p>
      <w:pPr>
        <w:spacing w:after="0" w:line="171" w:lineRule="exact"/>
        <w:rPr>
          <w:sz w:val="20"/>
          <w:szCs w:val="20"/>
          <w:color w:val="auto"/>
        </w:rPr>
      </w:pPr>
    </w:p>
    <w:p>
      <w:pPr>
        <w:jc w:val="both"/>
        <w:ind w:left="700" w:right="60" w:hanging="373"/>
        <w:spacing w:after="0" w:line="188" w:lineRule="auto"/>
        <w:tabs>
          <w:tab w:leader="none" w:pos="700" w:val="left"/>
        </w:tabs>
        <w:numPr>
          <w:ilvl w:val="0"/>
          <w:numId w:val="22"/>
        </w:numPr>
        <w:rPr>
          <w:rFonts w:ascii="Arial" w:cs="Arial" w:eastAsia="Arial" w:hAnsi="Arial"/>
          <w:sz w:val="36"/>
          <w:szCs w:val="36"/>
          <w:color w:val="51555C"/>
          <w:vertAlign w:val="superscript"/>
        </w:rPr>
      </w:pPr>
      <w:r>
        <w:rPr>
          <w:rFonts w:ascii="Arial" w:cs="Arial" w:eastAsia="Arial" w:hAnsi="Arial"/>
          <w:sz w:val="18"/>
          <w:szCs w:val="18"/>
          <w:color w:val="51555C"/>
        </w:rPr>
        <w:t>Increases in compensation costs of $4.6 million and $17.4 million, respectively, primarily related to an increase in headcount due to our acquisition of EVERFI, and a continued shift in resources historically supporting one-time services and other towards recurring revenue</w:t>
      </w:r>
    </w:p>
    <w:p>
      <w:pPr>
        <w:spacing w:after="0" w:line="107" w:lineRule="exact"/>
        <w:rPr>
          <w:rFonts w:ascii="Arial" w:cs="Arial" w:eastAsia="Arial" w:hAnsi="Arial"/>
          <w:sz w:val="36"/>
          <w:szCs w:val="36"/>
          <w:color w:val="51555C"/>
          <w:vertAlign w:val="superscript"/>
        </w:rPr>
      </w:pPr>
    </w:p>
    <w:p>
      <w:pPr>
        <w:ind w:left="700" w:right="60" w:hanging="373"/>
        <w:spacing w:after="0" w:line="180" w:lineRule="auto"/>
        <w:tabs>
          <w:tab w:leader="none" w:pos="700" w:val="left"/>
        </w:tabs>
        <w:numPr>
          <w:ilvl w:val="0"/>
          <w:numId w:val="22"/>
        </w:numPr>
        <w:rPr>
          <w:rFonts w:ascii="Arial" w:cs="Arial" w:eastAsia="Arial" w:hAnsi="Arial"/>
          <w:sz w:val="33"/>
          <w:szCs w:val="33"/>
          <w:color w:val="51555C"/>
          <w:vertAlign w:val="superscript"/>
        </w:rPr>
      </w:pPr>
      <w:r>
        <w:rPr>
          <w:rFonts w:ascii="Arial" w:cs="Arial" w:eastAsia="Arial" w:hAnsi="Arial"/>
          <w:sz w:val="17"/>
          <w:szCs w:val="17"/>
          <w:color w:val="51555C"/>
        </w:rPr>
        <w:t>Increases in transaction-based costs of $2.9 million and $12.1 million, respectively, related to the increase in the volume of transactions for which we process payments</w:t>
      </w:r>
    </w:p>
    <w:p>
      <w:pPr>
        <w:spacing w:after="0" w:line="108" w:lineRule="exact"/>
        <w:rPr>
          <w:rFonts w:ascii="Arial" w:cs="Arial" w:eastAsia="Arial" w:hAnsi="Arial"/>
          <w:sz w:val="33"/>
          <w:szCs w:val="33"/>
          <w:color w:val="51555C"/>
          <w:vertAlign w:val="superscript"/>
        </w:rPr>
      </w:pPr>
    </w:p>
    <w:p>
      <w:pPr>
        <w:ind w:left="700" w:right="60" w:hanging="373"/>
        <w:spacing w:after="0" w:line="180" w:lineRule="auto"/>
        <w:tabs>
          <w:tab w:leader="none" w:pos="700" w:val="left"/>
        </w:tabs>
        <w:numPr>
          <w:ilvl w:val="0"/>
          <w:numId w:val="22"/>
        </w:numPr>
        <w:rPr>
          <w:rFonts w:ascii="Arial" w:cs="Arial" w:eastAsia="Arial" w:hAnsi="Arial"/>
          <w:sz w:val="33"/>
          <w:szCs w:val="33"/>
          <w:color w:val="51555C"/>
          <w:vertAlign w:val="superscript"/>
        </w:rPr>
      </w:pPr>
      <w:r>
        <w:rPr>
          <w:rFonts w:ascii="Arial" w:cs="Arial" w:eastAsia="Arial" w:hAnsi="Arial"/>
          <w:sz w:val="17"/>
          <w:szCs w:val="17"/>
          <w:color w:val="51555C"/>
        </w:rPr>
        <w:t>Increases in amortization of intangible assets from business combinations of $3.4 million and $10.5 million, respectively, due to our acquisition of EVERFI</w:t>
      </w:r>
    </w:p>
    <w:p>
      <w:pPr>
        <w:spacing w:after="0" w:line="108" w:lineRule="exact"/>
        <w:rPr>
          <w:rFonts w:ascii="Arial" w:cs="Arial" w:eastAsia="Arial" w:hAnsi="Arial"/>
          <w:sz w:val="33"/>
          <w:szCs w:val="33"/>
          <w:color w:val="51555C"/>
          <w:vertAlign w:val="superscript"/>
        </w:rPr>
      </w:pPr>
    </w:p>
    <w:p>
      <w:pPr>
        <w:jc w:val="both"/>
        <w:ind w:left="700" w:right="60" w:hanging="373"/>
        <w:spacing w:after="0" w:line="188" w:lineRule="auto"/>
        <w:tabs>
          <w:tab w:leader="none" w:pos="700" w:val="left"/>
        </w:tabs>
        <w:numPr>
          <w:ilvl w:val="0"/>
          <w:numId w:val="22"/>
        </w:numPr>
        <w:rPr>
          <w:rFonts w:ascii="Arial" w:cs="Arial" w:eastAsia="Arial" w:hAnsi="Arial"/>
          <w:sz w:val="36"/>
          <w:szCs w:val="36"/>
          <w:color w:val="51555C"/>
          <w:vertAlign w:val="superscript"/>
        </w:rPr>
      </w:pPr>
      <w:r>
        <w:rPr>
          <w:rFonts w:ascii="Arial" w:cs="Arial" w:eastAsia="Arial" w:hAnsi="Arial"/>
          <w:sz w:val="18"/>
          <w:szCs w:val="18"/>
          <w:color w:val="51555C"/>
        </w:rPr>
        <w:t>Increase in third-party contractor and hosting costs of $7.5 million for the nine months ended September 30, 2022 as we continue to migrate our cloud infrastructure to leading public cloud service providers and make investments in security; currently, we expect our cloud infrastructure migration efforts and increased level of cybersecurity investments to continue for the foreseeable future</w:t>
      </w:r>
    </w:p>
    <w:p>
      <w:pPr>
        <w:spacing w:after="0" w:line="107" w:lineRule="exact"/>
        <w:rPr>
          <w:rFonts w:ascii="Arial" w:cs="Arial" w:eastAsia="Arial" w:hAnsi="Arial"/>
          <w:sz w:val="36"/>
          <w:szCs w:val="36"/>
          <w:color w:val="51555C"/>
          <w:vertAlign w:val="superscript"/>
        </w:rPr>
      </w:pPr>
    </w:p>
    <w:p>
      <w:pPr>
        <w:ind w:left="700" w:right="60" w:hanging="373"/>
        <w:spacing w:after="0" w:line="180" w:lineRule="auto"/>
        <w:tabs>
          <w:tab w:leader="none" w:pos="700" w:val="left"/>
        </w:tabs>
        <w:numPr>
          <w:ilvl w:val="0"/>
          <w:numId w:val="22"/>
        </w:numPr>
        <w:rPr>
          <w:rFonts w:ascii="Arial" w:cs="Arial" w:eastAsia="Arial" w:hAnsi="Arial"/>
          <w:sz w:val="33"/>
          <w:szCs w:val="33"/>
          <w:color w:val="51555C"/>
          <w:vertAlign w:val="superscript"/>
        </w:rPr>
      </w:pPr>
      <w:r>
        <w:rPr>
          <w:rFonts w:ascii="Arial" w:cs="Arial" w:eastAsia="Arial" w:hAnsi="Arial"/>
          <w:sz w:val="17"/>
          <w:szCs w:val="17"/>
          <w:color w:val="51555C"/>
        </w:rPr>
        <w:t>Increases in amortization of software development costs of $1.8 million and $4.1 million, respectively, due to our continued investments in the innovation and security of our solutions</w:t>
      </w:r>
    </w:p>
    <w:p>
      <w:pPr>
        <w:spacing w:after="0" w:line="108" w:lineRule="exact"/>
        <w:rPr>
          <w:rFonts w:ascii="Arial" w:cs="Arial" w:eastAsia="Arial" w:hAnsi="Arial"/>
          <w:sz w:val="33"/>
          <w:szCs w:val="33"/>
          <w:color w:val="51555C"/>
          <w:vertAlign w:val="superscript"/>
        </w:rPr>
      </w:pPr>
    </w:p>
    <w:p>
      <w:pPr>
        <w:ind w:left="700" w:right="60" w:hanging="373"/>
        <w:spacing w:after="0" w:line="180" w:lineRule="auto"/>
        <w:tabs>
          <w:tab w:leader="none" w:pos="700" w:val="left"/>
        </w:tabs>
        <w:numPr>
          <w:ilvl w:val="0"/>
          <w:numId w:val="22"/>
        </w:numPr>
        <w:rPr>
          <w:rFonts w:ascii="Arial" w:cs="Arial" w:eastAsia="Arial" w:hAnsi="Arial"/>
          <w:sz w:val="33"/>
          <w:szCs w:val="33"/>
          <w:color w:val="51555C"/>
          <w:vertAlign w:val="superscript"/>
        </w:rPr>
      </w:pPr>
      <w:r>
        <w:rPr>
          <w:rFonts w:ascii="Arial" w:cs="Arial" w:eastAsia="Arial" w:hAnsi="Arial"/>
          <w:sz w:val="17"/>
          <w:szCs w:val="17"/>
          <w:color w:val="51555C"/>
        </w:rPr>
        <w:t>Increase in allocated overhead costs of $3.2 million for the nine months ended September 30, 2022 related to the increased headcount discussed above</w:t>
      </w:r>
    </w:p>
    <w:p>
      <w:pPr>
        <w:spacing w:after="0" w:line="2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Recurring gross margin decreased by 0.9% and 1.8% for the three and nine months ended September 30, 2022, respectively, when compared to the same periods in 2021, primarily due to the increase in cost of recurring revenue outpacing the increase in recurring revenue.</w:t>
      </w:r>
    </w:p>
    <w:p>
      <w:pPr>
        <w:spacing w:after="0" w:line="317"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32</w:t>
      </w:r>
      <w:r>
        <w:rPr>
          <w:sz w:val="20"/>
          <w:szCs w:val="20"/>
          <w:color w:val="auto"/>
        </w:rPr>
        <w:tab/>
      </w:r>
      <w:r>
        <w:rPr>
          <w:sz w:val="1"/>
          <w:szCs w:val="1"/>
          <w:color w:val="auto"/>
        </w:rPr>
        <w:drawing>
          <wp:inline distT="0" distB="0" distL="0" distR="0">
            <wp:extent cx="651510" cy="17145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0" w:type="dxa"/>
            <w:vAlign w:val="bottom"/>
            <w:gridSpan w:val="2"/>
          </w:tcPr>
          <w:p>
            <w:pPr>
              <w:jc w:val="center"/>
              <w:ind w:left="1557"/>
              <w:spacing w:after="0"/>
              <w:rPr>
                <w:sz w:val="20"/>
                <w:szCs w:val="20"/>
                <w:color w:val="auto"/>
              </w:rPr>
            </w:pPr>
            <w:r>
              <w:rPr>
                <w:rFonts w:ascii="Arial" w:cs="Arial" w:eastAsia="Arial" w:hAnsi="Arial"/>
                <w:sz w:val="18"/>
                <w:szCs w:val="18"/>
                <w:b w:val="1"/>
                <w:bCs w:val="1"/>
                <w:color w:val="51555C"/>
                <w:w w:val="99"/>
              </w:rPr>
              <w:t>Blackbaud, Inc.</w:t>
            </w:r>
          </w:p>
        </w:tc>
        <w:tc>
          <w:tcPr>
            <w:tcW w:w="2840" w:type="dxa"/>
            <w:vAlign w:val="bottom"/>
          </w:tcPr>
          <w:p>
            <w:pPr>
              <w:spacing w:after="0"/>
              <w:rPr>
                <w:sz w:val="18"/>
                <w:szCs w:val="18"/>
                <w:color w:val="auto"/>
              </w:rPr>
            </w:pPr>
          </w:p>
        </w:tc>
      </w:tr>
      <w:tr>
        <w:trPr>
          <w:trHeight w:val="239"/>
        </w:trPr>
        <w:tc>
          <w:tcPr>
            <w:tcW w:w="2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0" w:type="dxa"/>
            <w:vAlign w:val="bottom"/>
            <w:gridSpan w:val="2"/>
          </w:tcPr>
          <w:p>
            <w:pPr>
              <w:jc w:val="center"/>
              <w:ind w:left="1557"/>
              <w:spacing w:after="0"/>
              <w:rPr>
                <w:sz w:val="20"/>
                <w:szCs w:val="20"/>
                <w:color w:val="auto"/>
              </w:rPr>
            </w:pPr>
            <w:r>
              <w:rPr>
                <w:rFonts w:ascii="Arial" w:cs="Arial" w:eastAsia="Arial" w:hAnsi="Arial"/>
                <w:sz w:val="18"/>
                <w:szCs w:val="18"/>
                <w:b w:val="1"/>
                <w:bCs w:val="1"/>
                <w:color w:val="51555C"/>
                <w:w w:val="99"/>
              </w:rPr>
              <w:t>(Unaudited)</w:t>
            </w:r>
          </w:p>
        </w:tc>
        <w:tc>
          <w:tcPr>
            <w:tcW w:w="2840" w:type="dxa"/>
            <w:vAlign w:val="bottom"/>
          </w:tcPr>
          <w:p>
            <w:pPr>
              <w:spacing w:after="0"/>
              <w:rPr>
                <w:sz w:val="20"/>
                <w:szCs w:val="20"/>
                <w:color w:val="auto"/>
              </w:rPr>
            </w:pPr>
          </w:p>
        </w:tc>
      </w:tr>
      <w:tr>
        <w:trPr>
          <w:trHeight w:val="958"/>
        </w:trPr>
        <w:tc>
          <w:tcPr>
            <w:tcW w:w="3200" w:type="dxa"/>
            <w:vAlign w:val="bottom"/>
            <w:gridSpan w:val="2"/>
          </w:tcPr>
          <w:p>
            <w:pPr>
              <w:ind w:left="20"/>
              <w:spacing w:after="0"/>
              <w:rPr>
                <w:sz w:val="20"/>
                <w:szCs w:val="20"/>
                <w:color w:val="auto"/>
              </w:rPr>
            </w:pPr>
            <w:r>
              <w:rPr>
                <w:rFonts w:ascii="Arial" w:cs="Arial" w:eastAsia="Arial" w:hAnsi="Arial"/>
                <w:sz w:val="18"/>
                <w:szCs w:val="18"/>
                <w:i w:val="1"/>
                <w:iCs w:val="1"/>
                <w:color w:val="51555C"/>
              </w:rPr>
              <w:t>One-time services and other</w:t>
            </w: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332"/>
        </w:trPr>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i w:val="1"/>
                <w:iCs w:val="1"/>
                <w:color w:val="51555C"/>
              </w:rPr>
              <w:t>Gross profit ($M)</w:t>
            </w:r>
          </w:p>
        </w:tc>
      </w:tr>
      <w:tr>
        <w:trPr>
          <w:trHeight w:val="235"/>
        </w:trPr>
        <w:tc>
          <w:tcPr>
            <w:tcW w:w="3200" w:type="dxa"/>
            <w:vAlign w:val="bottom"/>
            <w:gridSpan w:val="2"/>
          </w:tcPr>
          <w:p>
            <w:pPr>
              <w:jc w:val="center"/>
              <w:ind w:right="500"/>
              <w:spacing w:after="0"/>
              <w:rPr>
                <w:sz w:val="20"/>
                <w:szCs w:val="20"/>
                <w:color w:val="auto"/>
              </w:rPr>
            </w:pPr>
            <w:r>
              <w:rPr>
                <w:rFonts w:ascii="Arial" w:cs="Arial" w:eastAsia="Arial" w:hAnsi="Arial"/>
                <w:sz w:val="18"/>
                <w:szCs w:val="18"/>
                <w:i w:val="1"/>
                <w:iCs w:val="1"/>
                <w:color w:val="51555C"/>
                <w:w w:val="99"/>
              </w:rPr>
              <w:t>Revenue ($M)</w:t>
            </w:r>
          </w:p>
        </w:tc>
        <w:tc>
          <w:tcPr>
            <w:tcW w:w="3200" w:type="dxa"/>
            <w:vAlign w:val="bottom"/>
            <w:gridSpan w:val="2"/>
          </w:tcPr>
          <w:p>
            <w:pPr>
              <w:jc w:val="center"/>
              <w:ind w:right="500"/>
              <w:spacing w:after="0"/>
              <w:rPr>
                <w:sz w:val="20"/>
                <w:szCs w:val="20"/>
                <w:color w:val="auto"/>
              </w:rPr>
            </w:pPr>
            <w:r>
              <w:rPr>
                <w:rFonts w:ascii="Arial" w:cs="Arial" w:eastAsia="Arial" w:hAnsi="Arial"/>
                <w:sz w:val="18"/>
                <w:szCs w:val="18"/>
                <w:i w:val="1"/>
                <w:iCs w:val="1"/>
                <w:color w:val="51555C"/>
              </w:rPr>
              <w:t>Cost of revenue ($M)</w:t>
            </w:r>
          </w:p>
        </w:tc>
        <w:tc>
          <w:tcPr>
            <w:tcW w:w="2840" w:type="dxa"/>
            <w:vAlign w:val="bottom"/>
          </w:tcPr>
          <w:p>
            <w:pPr>
              <w:jc w:val="center"/>
              <w:spacing w:after="0"/>
              <w:rPr>
                <w:sz w:val="20"/>
                <w:szCs w:val="20"/>
                <w:color w:val="auto"/>
              </w:rPr>
            </w:pPr>
            <w:r>
              <w:rPr>
                <w:rFonts w:ascii="Arial" w:cs="Arial" w:eastAsia="Arial" w:hAnsi="Arial"/>
                <w:sz w:val="18"/>
                <w:szCs w:val="18"/>
                <w:i w:val="1"/>
                <w:iCs w:val="1"/>
                <w:color w:val="51555C"/>
                <w:w w:val="99"/>
              </w:rPr>
              <w:t>and gross margin (%)</w:t>
            </w:r>
          </w:p>
        </w:tc>
      </w:tr>
      <w:tr>
        <w:trPr>
          <w:trHeight w:val="27"/>
        </w:trPr>
        <w:tc>
          <w:tcPr>
            <w:tcW w:w="2700" w:type="dxa"/>
            <w:vAlign w:val="bottom"/>
            <w:tcBorders>
              <w:bottom w:val="single" w:sz="8" w:color="51555C"/>
            </w:tcBorders>
          </w:tcPr>
          <w:p>
            <w:pPr>
              <w:spacing w:after="0"/>
              <w:rPr>
                <w:sz w:val="2"/>
                <w:szCs w:val="2"/>
                <w:color w:val="auto"/>
              </w:rPr>
            </w:pPr>
          </w:p>
        </w:tc>
        <w:tc>
          <w:tcPr>
            <w:tcW w:w="500" w:type="dxa"/>
            <w:vAlign w:val="bottom"/>
          </w:tcPr>
          <w:p>
            <w:pPr>
              <w:spacing w:after="0"/>
              <w:rPr>
                <w:sz w:val="2"/>
                <w:szCs w:val="2"/>
                <w:color w:val="auto"/>
              </w:rPr>
            </w:pPr>
          </w:p>
        </w:tc>
        <w:tc>
          <w:tcPr>
            <w:tcW w:w="2700" w:type="dxa"/>
            <w:vAlign w:val="bottom"/>
            <w:tcBorders>
              <w:bottom w:val="single" w:sz="8" w:color="51555C"/>
            </w:tcBorders>
          </w:tcPr>
          <w:p>
            <w:pPr>
              <w:spacing w:after="0"/>
              <w:rPr>
                <w:sz w:val="2"/>
                <w:szCs w:val="2"/>
                <w:color w:val="auto"/>
              </w:rPr>
            </w:pPr>
          </w:p>
        </w:tc>
        <w:tc>
          <w:tcPr>
            <w:tcW w:w="500" w:type="dxa"/>
            <w:vAlign w:val="bottom"/>
          </w:tcPr>
          <w:p>
            <w:pPr>
              <w:spacing w:after="0"/>
              <w:rPr>
                <w:sz w:val="2"/>
                <w:szCs w:val="2"/>
                <w:color w:val="auto"/>
              </w:rPr>
            </w:pPr>
          </w:p>
        </w:tc>
        <w:tc>
          <w:tcPr>
            <w:tcW w:w="2840" w:type="dxa"/>
            <w:vAlign w:val="bottom"/>
            <w:tcBorders>
              <w:bottom w:val="single" w:sz="8" w:color="51555C"/>
            </w:tcBorders>
          </w:tcPr>
          <w:p>
            <w:pPr>
              <w:spacing w:after="0"/>
              <w:rPr>
                <w:sz w:val="2"/>
                <w:szCs w:val="2"/>
                <w:color w:val="auto"/>
              </w:rPr>
            </w:pPr>
          </w:p>
        </w:tc>
      </w:tr>
      <w:tr>
        <w:trPr>
          <w:trHeight w:val="221"/>
        </w:trPr>
        <w:tc>
          <w:tcPr>
            <w:tcW w:w="3200" w:type="dxa"/>
            <w:vAlign w:val="bottom"/>
            <w:gridSpan w:val="2"/>
          </w:tcPr>
          <w:p>
            <w:pPr>
              <w:jc w:val="center"/>
              <w:ind w:right="500"/>
              <w:spacing w:after="0"/>
              <w:rPr>
                <w:sz w:val="20"/>
                <w:szCs w:val="20"/>
                <w:color w:val="auto"/>
              </w:rPr>
            </w:pPr>
            <w:r>
              <w:rPr>
                <w:rFonts w:ascii="Arial" w:cs="Arial" w:eastAsia="Arial" w:hAnsi="Arial"/>
                <w:sz w:val="13"/>
                <w:szCs w:val="13"/>
                <w:i w:val="1"/>
                <w:iCs w:val="1"/>
                <w:color w:val="51555C"/>
                <w:w w:val="95"/>
              </w:rPr>
              <w:t>YoY Growth (%)</w:t>
            </w:r>
          </w:p>
        </w:tc>
        <w:tc>
          <w:tcPr>
            <w:tcW w:w="3200" w:type="dxa"/>
            <w:vAlign w:val="bottom"/>
            <w:gridSpan w:val="2"/>
          </w:tcPr>
          <w:p>
            <w:pPr>
              <w:jc w:val="center"/>
              <w:ind w:right="500"/>
              <w:spacing w:after="0"/>
              <w:rPr>
                <w:sz w:val="20"/>
                <w:szCs w:val="20"/>
                <w:color w:val="auto"/>
              </w:rPr>
            </w:pPr>
            <w:r>
              <w:rPr>
                <w:rFonts w:ascii="Arial" w:cs="Arial" w:eastAsia="Arial" w:hAnsi="Arial"/>
                <w:sz w:val="13"/>
                <w:szCs w:val="13"/>
                <w:i w:val="1"/>
                <w:iCs w:val="1"/>
                <w:color w:val="51555C"/>
                <w:w w:val="95"/>
              </w:rPr>
              <w:t>YoY Growth (%)</w:t>
            </w:r>
          </w:p>
        </w:tc>
        <w:tc>
          <w:tcPr>
            <w:tcW w:w="2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5812155" cy="30003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1215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One-time services and other revenue is comprised of fees for one-time consulting, analytic and onsite training services, fees for retained and managed services contracts that we do not expect to have a term consistent with our cloud solution contracts, revenue from the sale of our software sold under perpetual license arrangements, and third-party software referral fees.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Cost of one-time services and other is primarily comprised of compensation costs for professional services and onsite training personnel, other costs incurred in providing onsite customer training, third-party contractor expenses, data expense incurred to perform one-time analytic services, third-party software royalties, allocated depreciation, facilities and IT support costs and amortization of intangible assets from business combinations.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1555C"/>
        </w:rPr>
        <w:t>One-time services and other revenue decreased by $0.8 million, or 6.1%, and $0.8 million, or 2.1%, during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51555C"/>
        </w:rPr>
        <w:t>September 30, 2022, when compared to the same periods in 2021, driven primarily by the following:</w:t>
      </w:r>
    </w:p>
    <w:p>
      <w:pPr>
        <w:spacing w:after="0" w:line="171" w:lineRule="exact"/>
        <w:rPr>
          <w:sz w:val="20"/>
          <w:szCs w:val="20"/>
          <w:color w:val="auto"/>
        </w:rPr>
      </w:pPr>
    </w:p>
    <w:p>
      <w:pPr>
        <w:ind w:left="700" w:right="80" w:hanging="351"/>
        <w:spacing w:after="0" w:line="180" w:lineRule="auto"/>
        <w:tabs>
          <w:tab w:leader="none" w:pos="700" w:val="left"/>
        </w:tabs>
        <w:numPr>
          <w:ilvl w:val="0"/>
          <w:numId w:val="23"/>
        </w:numPr>
        <w:rPr>
          <w:rFonts w:ascii="Arial" w:cs="Arial" w:eastAsia="Arial" w:hAnsi="Arial"/>
          <w:sz w:val="33"/>
          <w:szCs w:val="33"/>
          <w:color w:val="51555C"/>
          <w:vertAlign w:val="superscript"/>
        </w:rPr>
      </w:pPr>
      <w:r>
        <w:rPr>
          <w:rFonts w:ascii="Arial" w:cs="Arial" w:eastAsia="Arial" w:hAnsi="Arial"/>
          <w:sz w:val="17"/>
          <w:szCs w:val="17"/>
          <w:color w:val="51555C"/>
        </w:rPr>
        <w:t>Decreases in one-time analytics revenue of $0.5 million and $2.2 million, respectively, as analytics are generally integrated in our cloud solutions</w:t>
      </w:r>
    </w:p>
    <w:p>
      <w:pPr>
        <w:spacing w:after="0" w:line="109" w:lineRule="exact"/>
        <w:rPr>
          <w:sz w:val="20"/>
          <w:szCs w:val="20"/>
          <w:color w:val="auto"/>
        </w:rPr>
      </w:pPr>
    </w:p>
    <w:p>
      <w:pPr>
        <w:jc w:val="both"/>
        <w:ind w:left="700" w:right="60" w:hanging="373"/>
        <w:spacing w:after="0" w:line="200" w:lineRule="auto"/>
        <w:tabs>
          <w:tab w:leader="none" w:pos="700" w:val="left"/>
        </w:tabs>
        <w:numPr>
          <w:ilvl w:val="0"/>
          <w:numId w:val="24"/>
        </w:numPr>
        <w:rPr>
          <w:rFonts w:ascii="Arial" w:cs="Arial" w:eastAsia="Arial" w:hAnsi="Arial"/>
          <w:sz w:val="36"/>
          <w:szCs w:val="36"/>
          <w:color w:val="51555C"/>
          <w:vertAlign w:val="superscript"/>
        </w:rPr>
      </w:pPr>
      <w:r>
        <w:rPr>
          <w:rFonts w:ascii="Arial" w:cs="Arial" w:eastAsia="Arial" w:hAnsi="Arial"/>
          <w:sz w:val="18"/>
          <w:szCs w:val="18"/>
          <w:color w:val="51555C"/>
        </w:rPr>
        <w:t>Increases in one-time consulting revenue of $0.2 million and $1.9 million, respectively, primarily attributable to EVERFI, largely offset by less revenue from implementation and customization services, in line with our multi-year strategic shift from a license-based and one-time services business model to a cloud subscription business model. Our cloud subscription offerings generally require less implementation and customization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301625</wp:posOffset>
            </wp:positionV>
            <wp:extent cx="659765"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33</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51555C"/>
        </w:rPr>
        <w:t>Cost of one-time services and other decreased by $2.4 million, or 20.3%, and $8.3 million, or 20.6%, during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51555C"/>
        </w:rPr>
        <w:t>September 30, 2022, respectively, when compared to the same periods in 2021, driven primarily by the following:</w:t>
      </w:r>
    </w:p>
    <w:p>
      <w:pPr>
        <w:spacing w:after="0" w:line="171" w:lineRule="exact"/>
        <w:rPr>
          <w:sz w:val="20"/>
          <w:szCs w:val="20"/>
          <w:color w:val="auto"/>
        </w:rPr>
      </w:pPr>
    </w:p>
    <w:p>
      <w:pPr>
        <w:jc w:val="both"/>
        <w:ind w:left="700" w:right="20" w:hanging="351"/>
        <w:spacing w:after="0" w:line="188" w:lineRule="auto"/>
        <w:tabs>
          <w:tab w:leader="none" w:pos="700" w:val="left"/>
        </w:tabs>
        <w:numPr>
          <w:ilvl w:val="0"/>
          <w:numId w:val="25"/>
        </w:numPr>
        <w:rPr>
          <w:rFonts w:ascii="Arial" w:cs="Arial" w:eastAsia="Arial" w:hAnsi="Arial"/>
          <w:sz w:val="36"/>
          <w:szCs w:val="36"/>
          <w:color w:val="51555C"/>
          <w:vertAlign w:val="superscript"/>
        </w:rPr>
      </w:pPr>
      <w:r>
        <w:rPr>
          <w:rFonts w:ascii="Arial" w:cs="Arial" w:eastAsia="Arial" w:hAnsi="Arial"/>
          <w:sz w:val="18"/>
          <w:szCs w:val="18"/>
          <w:color w:val="51555C"/>
        </w:rPr>
        <w:t>Decreases in compensation costs of $1.4 million and $6.7 million, respectively, largely due to a continued shift in resources historically supporting one-time services and other towards recurring revenue as well as a decrease in professional services headcount</w:t>
      </w:r>
    </w:p>
    <w:p>
      <w:pPr>
        <w:spacing w:after="0" w:line="107" w:lineRule="exact"/>
        <w:rPr>
          <w:rFonts w:ascii="Arial" w:cs="Arial" w:eastAsia="Arial" w:hAnsi="Arial"/>
          <w:sz w:val="36"/>
          <w:szCs w:val="36"/>
          <w:color w:val="51555C"/>
          <w:vertAlign w:val="superscript"/>
        </w:rPr>
      </w:pPr>
    </w:p>
    <w:p>
      <w:pPr>
        <w:ind w:left="700" w:right="20" w:hanging="351"/>
        <w:spacing w:after="0" w:line="180" w:lineRule="auto"/>
        <w:tabs>
          <w:tab w:leader="none" w:pos="700" w:val="left"/>
        </w:tabs>
        <w:numPr>
          <w:ilvl w:val="0"/>
          <w:numId w:val="25"/>
        </w:numPr>
        <w:rPr>
          <w:rFonts w:ascii="Arial" w:cs="Arial" w:eastAsia="Arial" w:hAnsi="Arial"/>
          <w:sz w:val="33"/>
          <w:szCs w:val="33"/>
          <w:color w:val="51555C"/>
          <w:vertAlign w:val="superscript"/>
        </w:rPr>
      </w:pPr>
      <w:r>
        <w:rPr>
          <w:rFonts w:ascii="Arial" w:cs="Arial" w:eastAsia="Arial" w:hAnsi="Arial"/>
          <w:sz w:val="17"/>
          <w:szCs w:val="17"/>
          <w:color w:val="51555C"/>
        </w:rPr>
        <w:t>Decrease in allocated overhead costs of $1.4 million for the nine months ended September 30, 2022, primarily related to the decreased headcount discussed above</w:t>
      </w:r>
    </w:p>
    <w:p>
      <w:pPr>
        <w:spacing w:after="0" w:line="2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One-time services and other gross margin increased by 14.1% and 20.1% during the three and nine months ended September 30, 2022, respectively, when compared to the same periods in 2021, primarily due to the significant reductions in compensation costs discussed above.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40" w:type="dxa"/>
            <w:vAlign w:val="bottom"/>
          </w:tcPr>
          <w:p>
            <w:pPr>
              <w:spacing w:after="0"/>
              <w:rPr>
                <w:sz w:val="20"/>
                <w:szCs w:val="20"/>
                <w:color w:val="auto"/>
              </w:rPr>
            </w:pPr>
            <w:r>
              <w:rPr>
                <w:rFonts w:ascii="Arial" w:cs="Arial" w:eastAsia="Arial" w:hAnsi="Arial"/>
                <w:sz w:val="18"/>
                <w:szCs w:val="18"/>
                <w:b w:val="1"/>
                <w:bCs w:val="1"/>
                <w:color w:val="51555C"/>
              </w:rPr>
              <w:t>Operating Expenses</w:t>
            </w:r>
          </w:p>
        </w:tc>
        <w:tc>
          <w:tcPr>
            <w:tcW w:w="4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521"/>
        </w:trPr>
        <w:tc>
          <w:tcPr>
            <w:tcW w:w="2540" w:type="dxa"/>
            <w:vAlign w:val="bottom"/>
          </w:tcPr>
          <w:p>
            <w:pPr>
              <w:jc w:val="center"/>
              <w:ind w:left="50"/>
              <w:spacing w:after="0"/>
              <w:rPr>
                <w:sz w:val="20"/>
                <w:szCs w:val="20"/>
                <w:color w:val="auto"/>
              </w:rPr>
            </w:pPr>
            <w:r>
              <w:rPr>
                <w:rFonts w:ascii="Arial" w:cs="Arial" w:eastAsia="Arial" w:hAnsi="Arial"/>
                <w:sz w:val="18"/>
                <w:szCs w:val="18"/>
                <w:i w:val="1"/>
                <w:iCs w:val="1"/>
                <w:color w:val="51555C"/>
                <w:w w:val="99"/>
              </w:rPr>
              <w:t>Sales, marketing and</w:t>
            </w:r>
          </w:p>
        </w:tc>
        <w:tc>
          <w:tcPr>
            <w:tcW w:w="4200" w:type="dxa"/>
            <w:vAlign w:val="bottom"/>
          </w:tcPr>
          <w:p>
            <w:pPr>
              <w:jc w:val="center"/>
              <w:ind w:right="119"/>
              <w:spacing w:after="0"/>
              <w:rPr>
                <w:sz w:val="20"/>
                <w:szCs w:val="20"/>
                <w:color w:val="auto"/>
              </w:rPr>
            </w:pPr>
            <w:r>
              <w:rPr>
                <w:rFonts w:ascii="Arial" w:cs="Arial" w:eastAsia="Arial" w:hAnsi="Arial"/>
                <w:sz w:val="18"/>
                <w:szCs w:val="18"/>
                <w:i w:val="1"/>
                <w:iCs w:val="1"/>
                <w:color w:val="51555C"/>
                <w:w w:val="99"/>
              </w:rPr>
              <w:t>Research and</w:t>
            </w:r>
          </w:p>
        </w:tc>
        <w:tc>
          <w:tcPr>
            <w:tcW w:w="2480" w:type="dxa"/>
            <w:vAlign w:val="bottom"/>
          </w:tcPr>
          <w:p>
            <w:pPr>
              <w:jc w:val="center"/>
              <w:ind w:right="250"/>
              <w:spacing w:after="0"/>
              <w:rPr>
                <w:sz w:val="20"/>
                <w:szCs w:val="20"/>
                <w:color w:val="auto"/>
              </w:rPr>
            </w:pPr>
            <w:r>
              <w:rPr>
                <w:rFonts w:ascii="Arial" w:cs="Arial" w:eastAsia="Arial" w:hAnsi="Arial"/>
                <w:sz w:val="18"/>
                <w:szCs w:val="18"/>
                <w:i w:val="1"/>
                <w:iCs w:val="1"/>
                <w:color w:val="51555C"/>
                <w:w w:val="98"/>
              </w:rPr>
              <w:t>General and</w:t>
            </w:r>
          </w:p>
        </w:tc>
      </w:tr>
      <w:tr>
        <w:trPr>
          <w:trHeight w:val="235"/>
        </w:trPr>
        <w:tc>
          <w:tcPr>
            <w:tcW w:w="2540" w:type="dxa"/>
            <w:vAlign w:val="bottom"/>
          </w:tcPr>
          <w:p>
            <w:pPr>
              <w:jc w:val="center"/>
              <w:ind w:left="70"/>
              <w:spacing w:after="0"/>
              <w:rPr>
                <w:sz w:val="20"/>
                <w:szCs w:val="20"/>
                <w:color w:val="auto"/>
              </w:rPr>
            </w:pPr>
            <w:r>
              <w:rPr>
                <w:rFonts w:ascii="Arial" w:cs="Arial" w:eastAsia="Arial" w:hAnsi="Arial"/>
                <w:sz w:val="18"/>
                <w:szCs w:val="18"/>
                <w:i w:val="1"/>
                <w:iCs w:val="1"/>
                <w:color w:val="51555C"/>
                <w:w w:val="99"/>
              </w:rPr>
              <w:t>customer success ($M)</w:t>
            </w:r>
          </w:p>
        </w:tc>
        <w:tc>
          <w:tcPr>
            <w:tcW w:w="4200" w:type="dxa"/>
            <w:vAlign w:val="bottom"/>
          </w:tcPr>
          <w:p>
            <w:pPr>
              <w:jc w:val="center"/>
              <w:ind w:right="119"/>
              <w:spacing w:after="0"/>
              <w:rPr>
                <w:sz w:val="20"/>
                <w:szCs w:val="20"/>
                <w:color w:val="auto"/>
              </w:rPr>
            </w:pPr>
            <w:r>
              <w:rPr>
                <w:rFonts w:ascii="Arial" w:cs="Arial" w:eastAsia="Arial" w:hAnsi="Arial"/>
                <w:sz w:val="18"/>
                <w:szCs w:val="18"/>
                <w:i w:val="1"/>
                <w:iCs w:val="1"/>
                <w:color w:val="51555C"/>
                <w:w w:val="99"/>
              </w:rPr>
              <w:t>development ($M)</w:t>
            </w:r>
          </w:p>
        </w:tc>
        <w:tc>
          <w:tcPr>
            <w:tcW w:w="2480" w:type="dxa"/>
            <w:vAlign w:val="bottom"/>
          </w:tcPr>
          <w:p>
            <w:pPr>
              <w:jc w:val="center"/>
              <w:ind w:right="250"/>
              <w:spacing w:after="0"/>
              <w:rPr>
                <w:sz w:val="20"/>
                <w:szCs w:val="20"/>
                <w:color w:val="auto"/>
              </w:rPr>
            </w:pPr>
            <w:r>
              <w:rPr>
                <w:rFonts w:ascii="Arial" w:cs="Arial" w:eastAsia="Arial" w:hAnsi="Arial"/>
                <w:sz w:val="18"/>
                <w:szCs w:val="18"/>
                <w:i w:val="1"/>
                <w:iCs w:val="1"/>
                <w:color w:val="51555C"/>
              </w:rPr>
              <w:t>administrative ($M)</w:t>
            </w:r>
          </w:p>
        </w:tc>
      </w:tr>
      <w:tr>
        <w:trPr>
          <w:trHeight w:val="27"/>
        </w:trPr>
        <w:tc>
          <w:tcPr>
            <w:tcW w:w="2540" w:type="dxa"/>
            <w:vAlign w:val="bottom"/>
            <w:tcBorders>
              <w:bottom w:val="single" w:sz="8" w:color="51555C"/>
            </w:tcBorders>
          </w:tcPr>
          <w:p>
            <w:pPr>
              <w:spacing w:after="0"/>
              <w:rPr>
                <w:sz w:val="2"/>
                <w:szCs w:val="2"/>
                <w:color w:val="auto"/>
              </w:rPr>
            </w:pPr>
          </w:p>
        </w:tc>
        <w:tc>
          <w:tcPr>
            <w:tcW w:w="4200" w:type="dxa"/>
            <w:vAlign w:val="bottom"/>
            <w:tcBorders>
              <w:bottom w:val="single" w:sz="8" w:color="51555C"/>
            </w:tcBorders>
          </w:tcPr>
          <w:p>
            <w:pPr>
              <w:spacing w:after="0"/>
              <w:rPr>
                <w:sz w:val="2"/>
                <w:szCs w:val="2"/>
                <w:color w:val="auto"/>
              </w:rPr>
            </w:pPr>
          </w:p>
        </w:tc>
        <w:tc>
          <w:tcPr>
            <w:tcW w:w="2480" w:type="dxa"/>
            <w:vAlign w:val="bottom"/>
            <w:tcBorders>
              <w:bottom w:val="single" w:sz="8" w:color="51555C"/>
            </w:tcBorders>
          </w:tcPr>
          <w:p>
            <w:pPr>
              <w:spacing w:after="0"/>
              <w:rPr>
                <w:sz w:val="2"/>
                <w:szCs w:val="2"/>
                <w:color w:val="auto"/>
              </w:rPr>
            </w:pPr>
          </w:p>
        </w:tc>
      </w:tr>
      <w:tr>
        <w:trPr>
          <w:trHeight w:val="221"/>
        </w:trPr>
        <w:tc>
          <w:tcPr>
            <w:tcW w:w="2540" w:type="dxa"/>
            <w:vAlign w:val="bottom"/>
          </w:tcPr>
          <w:p>
            <w:pPr>
              <w:spacing w:after="0"/>
              <w:rPr>
                <w:sz w:val="19"/>
                <w:szCs w:val="19"/>
                <w:color w:val="auto"/>
              </w:rPr>
            </w:pPr>
          </w:p>
        </w:tc>
        <w:tc>
          <w:tcPr>
            <w:tcW w:w="4200" w:type="dxa"/>
            <w:vAlign w:val="bottom"/>
          </w:tcPr>
          <w:p>
            <w:pPr>
              <w:ind w:left="280"/>
              <w:spacing w:after="0"/>
              <w:rPr>
                <w:sz w:val="20"/>
                <w:szCs w:val="20"/>
                <w:color w:val="auto"/>
              </w:rPr>
            </w:pPr>
            <w:r>
              <w:rPr>
                <w:rFonts w:ascii="Arial" w:cs="Arial" w:eastAsia="Arial" w:hAnsi="Arial"/>
                <w:sz w:val="13"/>
                <w:szCs w:val="13"/>
                <w:i w:val="1"/>
                <w:iCs w:val="1"/>
                <w:color w:val="51555C"/>
              </w:rPr>
              <w:t>Percentages indicate expenses as a percentage of total revenue</w:t>
            </w:r>
          </w:p>
        </w:tc>
        <w:tc>
          <w:tcPr>
            <w:tcW w:w="2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5812155" cy="30086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1215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Sales, marketing and customer success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Sales, marketing and customer success expense includes compensation costs, variable sales commissions, travel-related expenses, advertising and marketing materials, public relations costs, variable reseller commissions and allocated depreciation, facilities and IT support costs.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We see a large market opportunity in the long-term and will continue to make investments to drive sales effectiveness. We have also implemented software tools to enhance our digital footprint and drive lead generation. The enhancements we are making in our go-to-market approach are expected to significantly reduce our average customer acquisition cost per customer as well as the related payback period while increasing sales velocity.</w:t>
      </w:r>
    </w:p>
    <w:p>
      <w:pPr>
        <w:spacing w:after="0" w:line="310"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34</w:t>
      </w:r>
      <w:r>
        <w:rPr>
          <w:sz w:val="20"/>
          <w:szCs w:val="20"/>
          <w:color w:val="auto"/>
        </w:rPr>
        <w:tab/>
      </w:r>
      <w:r>
        <w:rPr>
          <w:sz w:val="1"/>
          <w:szCs w:val="1"/>
          <w:color w:val="auto"/>
        </w:rPr>
        <w:drawing>
          <wp:inline distT="0" distB="0" distL="0" distR="0">
            <wp:extent cx="651510" cy="17145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61" w:lineRule="auto"/>
        <w:rPr>
          <w:sz w:val="20"/>
          <w:szCs w:val="20"/>
          <w:color w:val="auto"/>
        </w:rPr>
      </w:pPr>
      <w:r>
        <w:rPr>
          <w:rFonts w:ascii="Arial" w:cs="Arial" w:eastAsia="Arial" w:hAnsi="Arial"/>
          <w:sz w:val="18"/>
          <w:szCs w:val="18"/>
          <w:color w:val="51555C"/>
        </w:rPr>
        <w:t>Sales, marketing and customer success expense increased by $11.7 million, or 26.2%, and $25.4 million, or 18.3%, during the three and nine months ended September 30, 2022, respectively, when compared to the same periods in 2021, primarily driven by the following:</w:t>
      </w:r>
    </w:p>
    <w:p>
      <w:pPr>
        <w:spacing w:after="0" w:line="144" w:lineRule="exact"/>
        <w:rPr>
          <w:sz w:val="20"/>
          <w:szCs w:val="20"/>
          <w:color w:val="auto"/>
        </w:rPr>
      </w:pPr>
    </w:p>
    <w:p>
      <w:pPr>
        <w:ind w:left="700" w:right="60" w:hanging="373"/>
        <w:spacing w:after="0" w:line="180" w:lineRule="auto"/>
        <w:tabs>
          <w:tab w:leader="none" w:pos="700" w:val="left"/>
        </w:tabs>
        <w:numPr>
          <w:ilvl w:val="0"/>
          <w:numId w:val="26"/>
        </w:numPr>
        <w:rPr>
          <w:rFonts w:ascii="Arial" w:cs="Arial" w:eastAsia="Arial" w:hAnsi="Arial"/>
          <w:sz w:val="33"/>
          <w:szCs w:val="33"/>
          <w:color w:val="51555C"/>
          <w:vertAlign w:val="superscript"/>
        </w:rPr>
      </w:pPr>
      <w:r>
        <w:rPr>
          <w:rFonts w:ascii="Arial" w:cs="Arial" w:eastAsia="Arial" w:hAnsi="Arial"/>
          <w:sz w:val="17"/>
          <w:szCs w:val="17"/>
          <w:color w:val="51555C"/>
        </w:rPr>
        <w:t>Increases in compensation costs of $6.9 million and $14.6 million, respectively, primarily related to increased employee headcount due to our acquisition of EVERFI</w:t>
      </w:r>
    </w:p>
    <w:p>
      <w:pPr>
        <w:spacing w:after="0" w:line="1" w:lineRule="exact"/>
        <w:rPr>
          <w:rFonts w:ascii="Arial" w:cs="Arial" w:eastAsia="Arial" w:hAnsi="Arial"/>
          <w:sz w:val="33"/>
          <w:szCs w:val="33"/>
          <w:color w:val="51555C"/>
          <w:vertAlign w:val="superscript"/>
        </w:rPr>
      </w:pPr>
    </w:p>
    <w:p>
      <w:pPr>
        <w:ind w:left="700" w:hanging="373"/>
        <w:spacing w:after="0" w:line="187" w:lineRule="auto"/>
        <w:tabs>
          <w:tab w:leader="none" w:pos="700" w:val="left"/>
        </w:tabs>
        <w:numPr>
          <w:ilvl w:val="0"/>
          <w:numId w:val="26"/>
        </w:numPr>
        <w:rPr>
          <w:rFonts w:ascii="Arial" w:cs="Arial" w:eastAsia="Arial" w:hAnsi="Arial"/>
          <w:sz w:val="36"/>
          <w:szCs w:val="36"/>
          <w:color w:val="51555C"/>
          <w:vertAlign w:val="superscript"/>
        </w:rPr>
      </w:pPr>
      <w:r>
        <w:rPr>
          <w:rFonts w:ascii="Arial" w:cs="Arial" w:eastAsia="Arial" w:hAnsi="Arial"/>
          <w:sz w:val="18"/>
          <w:szCs w:val="18"/>
          <w:color w:val="51555C"/>
        </w:rPr>
        <w:t>Increases in third-party contractor costs of $2.5 million and $3.4 million, respectively, primarily related to strategic consulting</w:t>
      </w:r>
    </w:p>
    <w:p>
      <w:pPr>
        <w:spacing w:after="0" w:line="108" w:lineRule="exact"/>
        <w:rPr>
          <w:rFonts w:ascii="Arial" w:cs="Arial" w:eastAsia="Arial" w:hAnsi="Arial"/>
          <w:sz w:val="36"/>
          <w:szCs w:val="36"/>
          <w:color w:val="51555C"/>
          <w:vertAlign w:val="superscript"/>
        </w:rPr>
      </w:pPr>
    </w:p>
    <w:p>
      <w:pPr>
        <w:ind w:left="700" w:hanging="373"/>
        <w:spacing w:after="0" w:line="181" w:lineRule="auto"/>
        <w:tabs>
          <w:tab w:leader="none" w:pos="700" w:val="left"/>
        </w:tabs>
        <w:numPr>
          <w:ilvl w:val="0"/>
          <w:numId w:val="26"/>
        </w:numPr>
        <w:rPr>
          <w:rFonts w:ascii="Arial" w:cs="Arial" w:eastAsia="Arial" w:hAnsi="Arial"/>
          <w:sz w:val="25"/>
          <w:szCs w:val="25"/>
          <w:color w:val="51555C"/>
          <w:vertAlign w:val="superscript"/>
        </w:rPr>
      </w:pPr>
      <w:r>
        <w:rPr>
          <w:rFonts w:ascii="Arial" w:cs="Arial" w:eastAsia="Arial" w:hAnsi="Arial"/>
          <w:sz w:val="14"/>
          <w:szCs w:val="14"/>
          <w:color w:val="51555C"/>
        </w:rPr>
        <w:t>Increases in advertising costs of $1.1 million and $5.0 million, respectively, primarily due to our acquisition of EVERFI</w:t>
      </w:r>
    </w:p>
    <w:p>
      <w:pPr>
        <w:spacing w:after="0" w:line="107" w:lineRule="exact"/>
        <w:rPr>
          <w:rFonts w:ascii="Arial" w:cs="Arial" w:eastAsia="Arial" w:hAnsi="Arial"/>
          <w:sz w:val="25"/>
          <w:szCs w:val="25"/>
          <w:color w:val="51555C"/>
          <w:vertAlign w:val="superscript"/>
        </w:rPr>
      </w:pPr>
    </w:p>
    <w:p>
      <w:pPr>
        <w:ind w:left="700" w:right="60" w:hanging="373"/>
        <w:spacing w:after="0" w:line="180" w:lineRule="auto"/>
        <w:tabs>
          <w:tab w:leader="none" w:pos="700" w:val="left"/>
        </w:tabs>
        <w:numPr>
          <w:ilvl w:val="0"/>
          <w:numId w:val="26"/>
        </w:numPr>
        <w:rPr>
          <w:rFonts w:ascii="Arial" w:cs="Arial" w:eastAsia="Arial" w:hAnsi="Arial"/>
          <w:sz w:val="33"/>
          <w:szCs w:val="33"/>
          <w:color w:val="51555C"/>
          <w:vertAlign w:val="superscript"/>
        </w:rPr>
      </w:pPr>
      <w:r>
        <w:rPr>
          <w:rFonts w:ascii="Arial" w:cs="Arial" w:eastAsia="Arial" w:hAnsi="Arial"/>
          <w:sz w:val="17"/>
          <w:szCs w:val="17"/>
          <w:color w:val="51555C"/>
        </w:rPr>
        <w:t>Increase in travel costs of $1.6 million for the nine months ended September 30, 2022 due to our easing of restrictions on non-essential employee travel, which went into effect during March 2020 in response to the COVID-19 pandemic</w:t>
      </w:r>
    </w:p>
    <w:p>
      <w:pPr>
        <w:spacing w:after="0" w:line="108" w:lineRule="exact"/>
        <w:rPr>
          <w:rFonts w:ascii="Arial" w:cs="Arial" w:eastAsia="Arial" w:hAnsi="Arial"/>
          <w:sz w:val="33"/>
          <w:szCs w:val="33"/>
          <w:color w:val="51555C"/>
          <w:vertAlign w:val="superscript"/>
        </w:rPr>
      </w:pPr>
    </w:p>
    <w:p>
      <w:pPr>
        <w:ind w:left="700" w:right="60" w:hanging="373"/>
        <w:spacing w:after="0" w:line="180" w:lineRule="auto"/>
        <w:tabs>
          <w:tab w:leader="none" w:pos="700" w:val="left"/>
        </w:tabs>
        <w:numPr>
          <w:ilvl w:val="0"/>
          <w:numId w:val="26"/>
        </w:numPr>
        <w:rPr>
          <w:rFonts w:ascii="Arial" w:cs="Arial" w:eastAsia="Arial" w:hAnsi="Arial"/>
          <w:sz w:val="33"/>
          <w:szCs w:val="33"/>
          <w:color w:val="51555C"/>
          <w:vertAlign w:val="superscript"/>
        </w:rPr>
      </w:pPr>
      <w:r>
        <w:rPr>
          <w:rFonts w:ascii="Arial" w:cs="Arial" w:eastAsia="Arial" w:hAnsi="Arial"/>
          <w:sz w:val="17"/>
          <w:szCs w:val="17"/>
          <w:color w:val="51555C"/>
        </w:rPr>
        <w:t>Increase in software costs of $1.3 million for the nine months ended September 30, 2022 primarily related to our acquisition of EVERFI and our use of digital marketing tools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Research and development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costs.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continue to make investments to delight our customers with innovative and secure cloud solutions. Research and development expenses increased by $8.9 million, or 28.1%, and $27.8 million or 30.5%, during the three and nine months ended September 30, 2022, respectively, when compared to the same periods in 2021, primarily driven by the following:</w:t>
      </w:r>
    </w:p>
    <w:p>
      <w:pPr>
        <w:spacing w:after="0" w:line="148" w:lineRule="exact"/>
        <w:rPr>
          <w:sz w:val="20"/>
          <w:szCs w:val="20"/>
          <w:color w:val="auto"/>
        </w:rPr>
      </w:pPr>
    </w:p>
    <w:p>
      <w:pPr>
        <w:ind w:left="720" w:right="40" w:hanging="373"/>
        <w:spacing w:after="0" w:line="180" w:lineRule="auto"/>
        <w:tabs>
          <w:tab w:leader="none" w:pos="720" w:val="left"/>
        </w:tabs>
        <w:numPr>
          <w:ilvl w:val="0"/>
          <w:numId w:val="27"/>
        </w:numPr>
        <w:rPr>
          <w:rFonts w:ascii="Arial" w:cs="Arial" w:eastAsia="Arial" w:hAnsi="Arial"/>
          <w:sz w:val="33"/>
          <w:szCs w:val="33"/>
          <w:color w:val="51555C"/>
          <w:vertAlign w:val="superscript"/>
        </w:rPr>
      </w:pPr>
      <w:r>
        <w:rPr>
          <w:rFonts w:ascii="Arial" w:cs="Arial" w:eastAsia="Arial" w:hAnsi="Arial"/>
          <w:sz w:val="17"/>
          <w:szCs w:val="17"/>
          <w:color w:val="51555C"/>
        </w:rPr>
        <w:t>Increases in compensation costs of $7.9 million and $22.0 million, respectively, primarily related to increased employee headcount due to our acquisition of EVERFI, and to a lesser extent, our increased hiring of engineers</w:t>
      </w:r>
    </w:p>
    <w:p>
      <w:pPr>
        <w:spacing w:after="0" w:line="108" w:lineRule="exact"/>
        <w:rPr>
          <w:rFonts w:ascii="Arial" w:cs="Arial" w:eastAsia="Arial" w:hAnsi="Arial"/>
          <w:sz w:val="33"/>
          <w:szCs w:val="33"/>
          <w:color w:val="51555C"/>
          <w:vertAlign w:val="superscript"/>
        </w:rPr>
      </w:pPr>
    </w:p>
    <w:p>
      <w:pPr>
        <w:ind w:left="720" w:right="40" w:hanging="373"/>
        <w:spacing w:after="0" w:line="180" w:lineRule="auto"/>
        <w:tabs>
          <w:tab w:leader="none" w:pos="720" w:val="left"/>
        </w:tabs>
        <w:numPr>
          <w:ilvl w:val="0"/>
          <w:numId w:val="27"/>
        </w:numPr>
        <w:rPr>
          <w:rFonts w:ascii="Arial" w:cs="Arial" w:eastAsia="Arial" w:hAnsi="Arial"/>
          <w:sz w:val="33"/>
          <w:szCs w:val="33"/>
          <w:color w:val="51555C"/>
          <w:vertAlign w:val="superscript"/>
        </w:rPr>
      </w:pPr>
      <w:r>
        <w:rPr>
          <w:rFonts w:ascii="Arial" w:cs="Arial" w:eastAsia="Arial" w:hAnsi="Arial"/>
          <w:sz w:val="17"/>
          <w:szCs w:val="17"/>
          <w:color w:val="51555C"/>
        </w:rPr>
        <w:t>Increases in third-party contractor costs of $5.0 million and $16.0 million, respectively, primarily due to our acquisition of EVERFI and, to a lesser extent, an increase in our use of third-party software developers</w:t>
      </w:r>
    </w:p>
    <w:p>
      <w:pPr>
        <w:spacing w:after="0" w:line="108" w:lineRule="exact"/>
        <w:rPr>
          <w:rFonts w:ascii="Arial" w:cs="Arial" w:eastAsia="Arial" w:hAnsi="Arial"/>
          <w:sz w:val="33"/>
          <w:szCs w:val="33"/>
          <w:color w:val="51555C"/>
          <w:vertAlign w:val="superscript"/>
        </w:rPr>
      </w:pPr>
    </w:p>
    <w:p>
      <w:pPr>
        <w:ind w:left="720" w:right="40" w:hanging="373"/>
        <w:spacing w:after="0" w:line="180" w:lineRule="auto"/>
        <w:tabs>
          <w:tab w:leader="none" w:pos="720" w:val="left"/>
        </w:tabs>
        <w:numPr>
          <w:ilvl w:val="0"/>
          <w:numId w:val="27"/>
        </w:numPr>
        <w:rPr>
          <w:rFonts w:ascii="Arial" w:cs="Arial" w:eastAsia="Arial" w:hAnsi="Arial"/>
          <w:sz w:val="33"/>
          <w:szCs w:val="33"/>
          <w:color w:val="51555C"/>
          <w:vertAlign w:val="superscript"/>
        </w:rPr>
      </w:pPr>
      <w:r>
        <w:rPr>
          <w:rFonts w:ascii="Arial" w:cs="Arial" w:eastAsia="Arial" w:hAnsi="Arial"/>
          <w:sz w:val="17"/>
          <w:szCs w:val="17"/>
          <w:color w:val="51555C"/>
        </w:rPr>
        <w:t>Increase in allocated overhead costs of $2.1 million for the nine months ended September 30, 2022, primarily related to increased headcount discussed above</w:t>
      </w:r>
    </w:p>
    <w:p>
      <w:pPr>
        <w:spacing w:after="0" w:line="109" w:lineRule="exact"/>
        <w:rPr>
          <w:sz w:val="20"/>
          <w:szCs w:val="20"/>
          <w:color w:val="auto"/>
        </w:rPr>
      </w:pPr>
    </w:p>
    <w:p>
      <w:pPr>
        <w:ind w:left="720" w:right="40" w:hanging="350"/>
        <w:spacing w:after="0" w:line="180" w:lineRule="auto"/>
        <w:tabs>
          <w:tab w:leader="none" w:pos="720" w:val="left"/>
        </w:tabs>
        <w:numPr>
          <w:ilvl w:val="0"/>
          <w:numId w:val="28"/>
        </w:numPr>
        <w:rPr>
          <w:rFonts w:ascii="Arial" w:cs="Arial" w:eastAsia="Arial" w:hAnsi="Arial"/>
          <w:sz w:val="33"/>
          <w:szCs w:val="33"/>
          <w:color w:val="51555C"/>
          <w:vertAlign w:val="superscript"/>
        </w:rPr>
      </w:pPr>
      <w:r>
        <w:rPr>
          <w:rFonts w:ascii="Arial" w:cs="Arial" w:eastAsia="Arial" w:hAnsi="Arial"/>
          <w:sz w:val="17"/>
          <w:szCs w:val="17"/>
          <w:color w:val="51555C"/>
        </w:rPr>
        <w:t>Increases in software development costs of $5.4 million and $14.5 million, respectively, that were required to be capitalized under GAAP, of which $5.2 million and $9.3 million was attributable to EVERFI software and content</w:t>
      </w:r>
    </w:p>
    <w:p>
      <w:pPr>
        <w:spacing w:after="0" w:line="2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Not included in research and development expense for the three months ended September 30, 2022 and 2021 were $15.1 million and $9.7 million, respectively, and for the nine months ended September 30, 2022 and 2021 were $43.6 million and $ 29.2 million, respectively, of qualifying costs associated with software and content development activities that are required to be capitalized under GAAP, such as those for our cloud solutions, as well as development costs associated with acquired companies. Qualifying capitalized development costs associated with our cloud solutions are subsequently amortized to cost of subscriptions revenue over the related assets' estimated useful life, which generally range from three to seven years.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General and administrative</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General and administrative expense consists primarily of compensation costs for general corporate functions, including senior management, finance, accounting, legal, human resources and corporate development, third-party professional fees, insurance, allocated depreciation, facilities and IT support costs, acquisition-related expenses and other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222885</wp:posOffset>
            </wp:positionV>
            <wp:extent cx="659765"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35</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61" w:lineRule="auto"/>
        <w:rPr>
          <w:sz w:val="20"/>
          <w:szCs w:val="20"/>
          <w:color w:val="auto"/>
        </w:rPr>
      </w:pPr>
      <w:r>
        <w:rPr>
          <w:rFonts w:ascii="Arial" w:cs="Arial" w:eastAsia="Arial" w:hAnsi="Arial"/>
          <w:sz w:val="18"/>
          <w:szCs w:val="18"/>
          <w:color w:val="51555C"/>
        </w:rPr>
        <w:t>General and administrative expense increased by $15.1 million or 43.6%, and $43.7 million, or 44.9%, during the three and nine months ended September 30, 2022, respectively, when compared to the same periods in 2021, primarily driven by the following:</w:t>
      </w:r>
    </w:p>
    <w:p>
      <w:pPr>
        <w:spacing w:after="0" w:line="144" w:lineRule="exact"/>
        <w:rPr>
          <w:sz w:val="20"/>
          <w:szCs w:val="20"/>
          <w:color w:val="auto"/>
        </w:rPr>
      </w:pPr>
    </w:p>
    <w:p>
      <w:pPr>
        <w:ind w:left="700" w:hanging="373"/>
        <w:spacing w:after="0" w:line="180" w:lineRule="auto"/>
        <w:tabs>
          <w:tab w:leader="none" w:pos="700" w:val="left"/>
        </w:tabs>
        <w:numPr>
          <w:ilvl w:val="0"/>
          <w:numId w:val="29"/>
        </w:numPr>
        <w:rPr>
          <w:rFonts w:ascii="Arial" w:cs="Arial" w:eastAsia="Arial" w:hAnsi="Arial"/>
          <w:sz w:val="33"/>
          <w:szCs w:val="33"/>
          <w:color w:val="51555C"/>
          <w:vertAlign w:val="superscript"/>
        </w:rPr>
      </w:pPr>
      <w:r>
        <w:rPr>
          <w:rFonts w:ascii="Arial" w:cs="Arial" w:eastAsia="Arial" w:hAnsi="Arial"/>
          <w:sz w:val="17"/>
          <w:szCs w:val="17"/>
          <w:color w:val="51555C"/>
        </w:rPr>
        <w:t>Increases in Security Incident-related expenses, net of insurance, of $12.8 million and $27.9 million, respectively. See "Security Incident update" below on page 43</w:t>
      </w:r>
    </w:p>
    <w:p>
      <w:pPr>
        <w:spacing w:after="0" w:line="108" w:lineRule="exact"/>
        <w:rPr>
          <w:rFonts w:ascii="Arial" w:cs="Arial" w:eastAsia="Arial" w:hAnsi="Arial"/>
          <w:sz w:val="33"/>
          <w:szCs w:val="33"/>
          <w:color w:val="51555C"/>
          <w:vertAlign w:val="superscript"/>
        </w:rPr>
      </w:pPr>
    </w:p>
    <w:p>
      <w:pPr>
        <w:ind w:left="700" w:hanging="373"/>
        <w:spacing w:after="0" w:line="180" w:lineRule="auto"/>
        <w:tabs>
          <w:tab w:leader="none" w:pos="700" w:val="left"/>
        </w:tabs>
        <w:numPr>
          <w:ilvl w:val="0"/>
          <w:numId w:val="29"/>
        </w:numPr>
        <w:rPr>
          <w:rFonts w:ascii="Arial" w:cs="Arial" w:eastAsia="Arial" w:hAnsi="Arial"/>
          <w:sz w:val="33"/>
          <w:szCs w:val="33"/>
          <w:color w:val="51555C"/>
          <w:vertAlign w:val="superscript"/>
        </w:rPr>
      </w:pPr>
      <w:r>
        <w:rPr>
          <w:rFonts w:ascii="Arial" w:cs="Arial" w:eastAsia="Arial" w:hAnsi="Arial"/>
          <w:sz w:val="17"/>
          <w:szCs w:val="17"/>
          <w:color w:val="51555C"/>
        </w:rPr>
        <w:t>Increases in compensation costs of $1.8 million and $8.4 million, respectively, primarily related to increased employee headcount due to our acquisition of EVERFI</w:t>
      </w:r>
    </w:p>
    <w:p>
      <w:pPr>
        <w:spacing w:after="0" w:line="108" w:lineRule="exact"/>
        <w:rPr>
          <w:rFonts w:ascii="Arial" w:cs="Arial" w:eastAsia="Arial" w:hAnsi="Arial"/>
          <w:sz w:val="33"/>
          <w:szCs w:val="33"/>
          <w:color w:val="51555C"/>
          <w:vertAlign w:val="superscript"/>
        </w:rPr>
      </w:pPr>
    </w:p>
    <w:p>
      <w:pPr>
        <w:jc w:val="both"/>
        <w:ind w:left="700" w:hanging="373"/>
        <w:spacing w:after="0" w:line="200" w:lineRule="auto"/>
        <w:tabs>
          <w:tab w:leader="none" w:pos="700" w:val="left"/>
        </w:tabs>
        <w:numPr>
          <w:ilvl w:val="0"/>
          <w:numId w:val="29"/>
        </w:numPr>
        <w:rPr>
          <w:rFonts w:ascii="Arial" w:cs="Arial" w:eastAsia="Arial" w:hAnsi="Arial"/>
          <w:sz w:val="36"/>
          <w:szCs w:val="36"/>
          <w:color w:val="51555C"/>
          <w:vertAlign w:val="superscript"/>
        </w:rPr>
      </w:pPr>
      <w:r>
        <w:rPr>
          <w:rFonts w:ascii="Arial" w:cs="Arial" w:eastAsia="Arial" w:hAnsi="Arial"/>
          <w:sz w:val="18"/>
          <w:szCs w:val="18"/>
          <w:color w:val="51555C"/>
        </w:rPr>
        <w:t>Increases in acquisition and disposition-related costs of $2.4 million and $5.6 million, respectively, primarily related to aggregate noncash impairment charges of $1.3 million against certain operating lease right-of-use assets and property and equipment assets resulting from our decision to cease using a portion of EVERFI's leased office space. During the nine months ended September 30, 2022, we also recorded a $2.0 million noncash impairment of certain insignificant intangible assets that were held for sale</w:t>
      </w:r>
    </w:p>
    <w:p>
      <w:pPr>
        <w:spacing w:after="0" w:line="109" w:lineRule="exact"/>
        <w:rPr>
          <w:rFonts w:ascii="Arial" w:cs="Arial" w:eastAsia="Arial" w:hAnsi="Arial"/>
          <w:sz w:val="36"/>
          <w:szCs w:val="36"/>
          <w:color w:val="51555C"/>
          <w:vertAlign w:val="superscript"/>
        </w:rPr>
      </w:pPr>
    </w:p>
    <w:p>
      <w:pPr>
        <w:jc w:val="both"/>
        <w:ind w:left="700" w:hanging="373"/>
        <w:spacing w:after="0" w:line="188" w:lineRule="auto"/>
        <w:tabs>
          <w:tab w:leader="none" w:pos="700" w:val="left"/>
        </w:tabs>
        <w:numPr>
          <w:ilvl w:val="0"/>
          <w:numId w:val="29"/>
        </w:numPr>
        <w:rPr>
          <w:rFonts w:ascii="Arial" w:cs="Arial" w:eastAsia="Arial" w:hAnsi="Arial"/>
          <w:sz w:val="36"/>
          <w:szCs w:val="36"/>
          <w:color w:val="51555C"/>
          <w:vertAlign w:val="superscript"/>
        </w:rPr>
      </w:pPr>
      <w:r>
        <w:rPr>
          <w:rFonts w:ascii="Arial" w:cs="Arial" w:eastAsia="Arial" w:hAnsi="Arial"/>
          <w:sz w:val="18"/>
          <w:szCs w:val="18"/>
          <w:color w:val="51555C"/>
        </w:rPr>
        <w:t>A $2.3 million noncash impairment charge during the nine months ended September 30, 2022 against previously capitalized software development costs that reduced the carrying value of those assets to zero. The impairment charge resulted primarily from our decision to end customer support for certain solutions</w:t>
      </w:r>
    </w:p>
    <w:p>
      <w:pPr>
        <w:spacing w:after="0" w:line="107" w:lineRule="exact"/>
        <w:rPr>
          <w:rFonts w:ascii="Arial" w:cs="Arial" w:eastAsia="Arial" w:hAnsi="Arial"/>
          <w:sz w:val="36"/>
          <w:szCs w:val="36"/>
          <w:color w:val="51555C"/>
          <w:vertAlign w:val="superscript"/>
        </w:rPr>
      </w:pPr>
    </w:p>
    <w:p>
      <w:pPr>
        <w:ind w:left="700" w:hanging="373"/>
        <w:spacing w:after="0" w:line="180" w:lineRule="auto"/>
        <w:tabs>
          <w:tab w:leader="none" w:pos="700" w:val="left"/>
        </w:tabs>
        <w:numPr>
          <w:ilvl w:val="0"/>
          <w:numId w:val="29"/>
        </w:numPr>
        <w:rPr>
          <w:rFonts w:ascii="Arial" w:cs="Arial" w:eastAsia="Arial" w:hAnsi="Arial"/>
          <w:sz w:val="33"/>
          <w:szCs w:val="33"/>
          <w:color w:val="51555C"/>
          <w:vertAlign w:val="superscript"/>
        </w:rPr>
      </w:pPr>
      <w:r>
        <w:rPr>
          <w:rFonts w:ascii="Arial" w:cs="Arial" w:eastAsia="Arial" w:hAnsi="Arial"/>
          <w:sz w:val="17"/>
          <w:szCs w:val="17"/>
          <w:color w:val="51555C"/>
        </w:rPr>
        <w:t>Increase in rent expense of $1.7 million during the nine months ended September 30, 2022 primarily related to leases assumed from our acquisition of EVERFI</w:t>
      </w:r>
    </w:p>
    <w:p>
      <w:pPr>
        <w:spacing w:after="0" w:line="1" w:lineRule="exact"/>
        <w:rPr>
          <w:rFonts w:ascii="Arial" w:cs="Arial" w:eastAsia="Arial" w:hAnsi="Arial"/>
          <w:sz w:val="33"/>
          <w:szCs w:val="33"/>
          <w:color w:val="51555C"/>
          <w:vertAlign w:val="superscript"/>
        </w:rPr>
      </w:pPr>
    </w:p>
    <w:p>
      <w:pPr>
        <w:ind w:left="700" w:hanging="373"/>
        <w:spacing w:after="0" w:line="187" w:lineRule="auto"/>
        <w:tabs>
          <w:tab w:leader="none" w:pos="700" w:val="left"/>
        </w:tabs>
        <w:numPr>
          <w:ilvl w:val="0"/>
          <w:numId w:val="29"/>
        </w:numPr>
        <w:rPr>
          <w:rFonts w:ascii="Arial" w:cs="Arial" w:eastAsia="Arial" w:hAnsi="Arial"/>
          <w:sz w:val="36"/>
          <w:szCs w:val="36"/>
          <w:color w:val="51555C"/>
          <w:vertAlign w:val="superscript"/>
        </w:rPr>
      </w:pPr>
      <w:r>
        <w:rPr>
          <w:rFonts w:ascii="Arial" w:cs="Arial" w:eastAsia="Arial" w:hAnsi="Arial"/>
          <w:sz w:val="18"/>
          <w:szCs w:val="18"/>
          <w:color w:val="51555C"/>
        </w:rPr>
        <w:t>Increase in third-party contractor costs of $1.4 million during the nine months ended September 30, 2022</w:t>
      </w:r>
    </w:p>
    <w:p>
      <w:pPr>
        <w:spacing w:after="0" w:line="108" w:lineRule="exact"/>
        <w:rPr>
          <w:rFonts w:ascii="Arial" w:cs="Arial" w:eastAsia="Arial" w:hAnsi="Arial"/>
          <w:sz w:val="36"/>
          <w:szCs w:val="36"/>
          <w:color w:val="51555C"/>
          <w:vertAlign w:val="superscript"/>
        </w:rPr>
      </w:pPr>
    </w:p>
    <w:p>
      <w:pPr>
        <w:ind w:left="700" w:hanging="373"/>
        <w:spacing w:after="0" w:line="180" w:lineRule="auto"/>
        <w:tabs>
          <w:tab w:leader="none" w:pos="700" w:val="left"/>
        </w:tabs>
        <w:numPr>
          <w:ilvl w:val="0"/>
          <w:numId w:val="29"/>
        </w:numPr>
        <w:rPr>
          <w:rFonts w:ascii="Arial" w:cs="Arial" w:eastAsia="Arial" w:hAnsi="Arial"/>
          <w:sz w:val="33"/>
          <w:szCs w:val="33"/>
          <w:color w:val="51555C"/>
          <w:vertAlign w:val="superscript"/>
        </w:rPr>
      </w:pPr>
      <w:r>
        <w:rPr>
          <w:rFonts w:ascii="Arial" w:cs="Arial" w:eastAsia="Arial" w:hAnsi="Arial"/>
          <w:sz w:val="17"/>
          <w:szCs w:val="17"/>
          <w:color w:val="51555C"/>
        </w:rPr>
        <w:t>Increase in travel costs of $1.2 million during the nine months ended September 30, 2022 due to our easing of restrictions on non-essential employee travel, which went into effect during March 2020 in response to the COVID-19 pandemic</w:t>
      </w:r>
    </w:p>
    <w:p>
      <w:pPr>
        <w:spacing w:after="0" w:line="109" w:lineRule="exact"/>
        <w:rPr>
          <w:sz w:val="20"/>
          <w:szCs w:val="20"/>
          <w:color w:val="auto"/>
        </w:rPr>
      </w:pPr>
    </w:p>
    <w:p>
      <w:pPr>
        <w:jc w:val="both"/>
        <w:ind w:left="700" w:hanging="351"/>
        <w:spacing w:after="0" w:line="188" w:lineRule="auto"/>
        <w:tabs>
          <w:tab w:leader="none" w:pos="700" w:val="left"/>
        </w:tabs>
        <w:numPr>
          <w:ilvl w:val="0"/>
          <w:numId w:val="30"/>
        </w:numPr>
        <w:rPr>
          <w:rFonts w:ascii="Arial" w:cs="Arial" w:eastAsia="Arial" w:hAnsi="Arial"/>
          <w:sz w:val="36"/>
          <w:szCs w:val="36"/>
          <w:color w:val="51555C"/>
          <w:vertAlign w:val="superscript"/>
        </w:rPr>
      </w:pPr>
      <w:r>
        <w:rPr>
          <w:rFonts w:ascii="Arial" w:cs="Arial" w:eastAsia="Arial" w:hAnsi="Arial"/>
          <w:sz w:val="18"/>
          <w:szCs w:val="18"/>
          <w:color w:val="51555C"/>
        </w:rPr>
        <w:t>Increase in allocated corporate IT costs of $4.1 million during the nine months ended September 30, 2022 primarily related to investments in security tools. Depreciation, facilities and IT support costs are pooled and recorded to general and administrative expense and allocated to other lines of our condensed statements of comprehensive income based on headcount.</w:t>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36</w:t>
      </w:r>
      <w:r>
        <w:rPr>
          <w:sz w:val="20"/>
          <w:szCs w:val="20"/>
          <w:color w:val="auto"/>
        </w:rPr>
        <w:tab/>
      </w:r>
      <w:r>
        <w:rPr>
          <w:sz w:val="1"/>
          <w:szCs w:val="1"/>
          <w:color w:val="auto"/>
        </w:rPr>
        <w:drawing>
          <wp:inline distT="0" distB="0" distL="0" distR="0">
            <wp:extent cx="651510" cy="17145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Interest Expense</w:t>
      </w:r>
    </w:p>
    <w:p>
      <w:pPr>
        <w:spacing w:after="0" w:line="283" w:lineRule="exact"/>
        <w:rPr>
          <w:sz w:val="20"/>
          <w:szCs w:val="20"/>
          <w:color w:val="auto"/>
        </w:rPr>
      </w:pPr>
    </w:p>
    <w:p>
      <w:pPr>
        <w:jc w:val="center"/>
        <w:ind w:right="2000"/>
        <w:spacing w:after="0"/>
        <w:rPr>
          <w:sz w:val="20"/>
          <w:szCs w:val="20"/>
          <w:color w:val="auto"/>
        </w:rPr>
      </w:pPr>
      <w:r>
        <w:rPr>
          <w:rFonts w:ascii="Arial" w:cs="Arial" w:eastAsia="Arial" w:hAnsi="Arial"/>
          <w:sz w:val="18"/>
          <w:szCs w:val="18"/>
          <w:i w:val="1"/>
          <w:iCs w:val="1"/>
          <w:color w:val="51555C"/>
        </w:rPr>
        <w:t>Interest expense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8635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111" w:lineRule="exact"/>
        <w:rPr>
          <w:sz w:val="20"/>
          <w:szCs w:val="20"/>
          <w:color w:val="auto"/>
        </w:rPr>
      </w:pPr>
    </w:p>
    <w:p>
      <w:pPr>
        <w:ind w:left="2820"/>
        <w:spacing w:after="0"/>
        <w:rPr>
          <w:sz w:val="20"/>
          <w:szCs w:val="20"/>
          <w:color w:val="auto"/>
        </w:rPr>
      </w:pPr>
      <w:r>
        <w:rPr>
          <w:rFonts w:ascii="Arial" w:cs="Arial" w:eastAsia="Arial" w:hAnsi="Arial"/>
          <w:sz w:val="13"/>
          <w:szCs w:val="13"/>
          <w:i w:val="1"/>
          <w:iCs w:val="1"/>
          <w:color w:val="51555C"/>
        </w:rPr>
        <w:t>Percentages indicate expenses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191135</wp:posOffset>
            </wp:positionV>
            <wp:extent cx="5203190" cy="1423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0319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The increases in interest expense in dollars and as a percentage of total revenue during the three and nine months ended September 30, 2022, when compared to the same period in 2021, were primarily due to the new borrowings used to finance our acquisition of EVERFI. We currently expect interest expense for the full year 2022 to be approximately $34 million to $37 million although our interest expense in connection with the variable rate portion of our outstanding debt could increase in a rising interest rate environment. See Note 9 to our condensed consolidated financial statements in this report for more information regarding our derivative instruments, which we use to manage our variable interest rate risk, and Item 3. Quantitative and Qualitative Disclosures about Market Risk: Interest Rate Risk (below) for more information about our variable interest rate exposure and related risk.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Deferred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51555C"/>
        </w:rPr>
        <w:t>The table below compares the components of deferred revenue from our consolidated balance sheets: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shd w:val="clear" w:color="auto" w:fill="004054"/>
          </w:tcPr>
          <w:p>
            <w:pPr>
              <w:spacing w:after="0"/>
              <w:rPr>
                <w:sz w:val="17"/>
                <w:szCs w:val="17"/>
                <w:color w:val="auto"/>
              </w:rPr>
            </w:pPr>
          </w:p>
        </w:tc>
        <w:tc>
          <w:tcPr>
            <w:tcW w:w="240" w:type="dxa"/>
            <w:vAlign w:val="bottom"/>
            <w:shd w:val="clear" w:color="auto" w:fill="004054"/>
          </w:tcPr>
          <w:p>
            <w:pPr>
              <w:spacing w:after="0"/>
              <w:rPr>
                <w:sz w:val="17"/>
                <w:szCs w:val="17"/>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80" w:type="dxa"/>
            <w:vAlign w:val="bottom"/>
            <w:shd w:val="clear" w:color="auto" w:fill="004054"/>
          </w:tcPr>
          <w:p>
            <w:pPr>
              <w:spacing w:after="0"/>
              <w:rPr>
                <w:sz w:val="17"/>
                <w:szCs w:val="17"/>
                <w:color w:val="auto"/>
              </w:rPr>
            </w:pPr>
          </w:p>
        </w:tc>
        <w:tc>
          <w:tcPr>
            <w:tcW w:w="11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140" w:type="dxa"/>
            <w:vAlign w:val="bottom"/>
            <w:shd w:val="clear" w:color="auto" w:fill="004054"/>
          </w:tcPr>
          <w:p>
            <w:pPr>
              <w:spacing w:after="0"/>
              <w:rPr>
                <w:sz w:val="17"/>
                <w:szCs w:val="17"/>
                <w:color w:val="auto"/>
              </w:rPr>
            </w:pPr>
          </w:p>
        </w:tc>
        <w:tc>
          <w:tcPr>
            <w:tcW w:w="20" w:type="dxa"/>
            <w:vAlign w:val="bottom"/>
            <w:shd w:val="clear" w:color="auto" w:fill="004054"/>
          </w:tcPr>
          <w:p>
            <w:pPr>
              <w:spacing w:after="0"/>
              <w:rPr>
                <w:sz w:val="17"/>
                <w:szCs w:val="17"/>
                <w:color w:val="auto"/>
              </w:rPr>
            </w:pPr>
          </w:p>
        </w:tc>
      </w:tr>
      <w:tr>
        <w:trPr>
          <w:trHeight w:val="209"/>
        </w:trPr>
        <w:tc>
          <w:tcPr>
            <w:tcW w:w="73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240" w:type="dxa"/>
            <w:vAlign w:val="bottom"/>
            <w:tcBorders>
              <w:bottom w:val="single" w:sz="8" w:color="004054"/>
            </w:tcBorders>
            <w:shd w:val="clear" w:color="auto" w:fill="004054"/>
          </w:tcPr>
          <w:p>
            <w:pPr>
              <w:spacing w:after="0"/>
              <w:rPr>
                <w:sz w:val="18"/>
                <w:szCs w:val="18"/>
                <w:color w:val="auto"/>
              </w:rPr>
            </w:pPr>
          </w:p>
        </w:tc>
        <w:tc>
          <w:tcPr>
            <w:tcW w:w="11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80" w:type="dxa"/>
            <w:vAlign w:val="bottom"/>
            <w:tcBorders>
              <w:bottom w:val="single" w:sz="8" w:color="004054"/>
            </w:tcBorders>
            <w:shd w:val="clear" w:color="auto" w:fill="004054"/>
          </w:tcPr>
          <w:p>
            <w:pPr>
              <w:spacing w:after="0"/>
              <w:rPr>
                <w:sz w:val="18"/>
                <w:szCs w:val="18"/>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004054"/>
            </w:tcBorders>
            <w:shd w:val="clear" w:color="auto" w:fill="004054"/>
          </w:tcPr>
          <w:p>
            <w:pPr>
              <w:spacing w:after="0"/>
              <w:rPr>
                <w:sz w:val="18"/>
                <w:szCs w:val="18"/>
                <w:color w:val="auto"/>
              </w:rPr>
            </w:pPr>
          </w:p>
        </w:tc>
      </w:tr>
      <w:tr>
        <w:trPr>
          <w:trHeight w:val="324"/>
        </w:trPr>
        <w:tc>
          <w:tcPr>
            <w:tcW w:w="736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Deferred revenue</w:t>
            </w:r>
            <w:r>
              <w:rPr>
                <w:rFonts w:ascii="Arial" w:cs="Arial" w:eastAsia="Arial" w:hAnsi="Arial"/>
                <w:sz w:val="23"/>
                <w:szCs w:val="23"/>
                <w:color w:val="51555C"/>
                <w:vertAlign w:val="superscript"/>
              </w:rPr>
              <w:t>(1)</w:t>
            </w:r>
          </w:p>
        </w:tc>
        <w:tc>
          <w:tcPr>
            <w:tcW w:w="240" w:type="dxa"/>
            <w:vAlign w:val="bottom"/>
            <w:shd w:val="clear" w:color="auto" w:fill="EBFBFF"/>
          </w:tcPr>
          <w:p>
            <w:pPr>
              <w:jc w:val="right"/>
              <w:ind w:right="30"/>
              <w:spacing w:after="0"/>
              <w:rPr>
                <w:sz w:val="20"/>
                <w:szCs w:val="20"/>
                <w:color w:val="auto"/>
              </w:rPr>
            </w:pPr>
            <w:r>
              <w:rPr>
                <w:rFonts w:ascii="Arial" w:cs="Arial" w:eastAsia="Arial" w:hAnsi="Arial"/>
                <w:sz w:val="18"/>
                <w:szCs w:val="18"/>
                <w:color w:val="51555C"/>
                <w:w w:val="99"/>
              </w:rPr>
              <w:t>$</w:t>
            </w:r>
          </w:p>
        </w:tc>
        <w:tc>
          <w:tcPr>
            <w:tcW w:w="112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396.6</w:t>
            </w:r>
          </w:p>
        </w:tc>
        <w:tc>
          <w:tcPr>
            <w:tcW w:w="280" w:type="dxa"/>
            <w:vAlign w:val="bottom"/>
            <w:shd w:val="clear" w:color="auto" w:fill="EBFBFF"/>
          </w:tcPr>
          <w:p>
            <w:pPr>
              <w:jc w:val="right"/>
              <w:ind w:right="70"/>
              <w:spacing w:after="0"/>
              <w:rPr>
                <w:sz w:val="20"/>
                <w:szCs w:val="20"/>
                <w:color w:val="auto"/>
              </w:rPr>
            </w:pPr>
            <w:r>
              <w:rPr>
                <w:rFonts w:ascii="Arial" w:cs="Arial" w:eastAsia="Arial" w:hAnsi="Arial"/>
                <w:sz w:val="18"/>
                <w:szCs w:val="18"/>
                <w:color w:val="51555C"/>
                <w:w w:val="99"/>
              </w:rPr>
              <w:t>$</w:t>
            </w:r>
          </w:p>
        </w:tc>
        <w:tc>
          <w:tcPr>
            <w:tcW w:w="110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378.7</w:t>
            </w:r>
          </w:p>
        </w:tc>
        <w:tc>
          <w:tcPr>
            <w:tcW w:w="11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4.7 %</w:t>
            </w:r>
          </w:p>
        </w:tc>
        <w:tc>
          <w:tcPr>
            <w:tcW w:w="20" w:type="dxa"/>
            <w:vAlign w:val="bottom"/>
          </w:tcPr>
          <w:p>
            <w:pPr>
              <w:spacing w:after="0"/>
              <w:rPr>
                <w:sz w:val="24"/>
                <w:szCs w:val="24"/>
                <w:color w:val="auto"/>
              </w:rPr>
            </w:pPr>
          </w:p>
        </w:tc>
      </w:tr>
      <w:tr>
        <w:trPr>
          <w:trHeight w:val="243"/>
        </w:trPr>
        <w:tc>
          <w:tcPr>
            <w:tcW w:w="7360" w:type="dxa"/>
            <w:vAlign w:val="bottom"/>
          </w:tcPr>
          <w:p>
            <w:pPr>
              <w:ind w:left="140"/>
              <w:spacing w:after="0"/>
              <w:rPr>
                <w:sz w:val="20"/>
                <w:szCs w:val="20"/>
                <w:color w:val="auto"/>
              </w:rPr>
            </w:pPr>
            <w:r>
              <w:rPr>
                <w:rFonts w:ascii="Arial" w:cs="Arial" w:eastAsia="Arial" w:hAnsi="Arial"/>
                <w:sz w:val="18"/>
                <w:szCs w:val="18"/>
                <w:color w:val="51555C"/>
              </w:rPr>
              <w:t>Less: Long-term portion</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51555C"/>
              </w:rPr>
              <w:t>2.9</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4.2</w:t>
            </w:r>
          </w:p>
        </w:tc>
        <w:tc>
          <w:tcPr>
            <w:tcW w:w="1140" w:type="dxa"/>
            <w:vAlign w:val="bottom"/>
          </w:tcPr>
          <w:p>
            <w:pPr>
              <w:jc w:val="right"/>
              <w:spacing w:after="0"/>
              <w:rPr>
                <w:sz w:val="20"/>
                <w:szCs w:val="20"/>
                <w:color w:val="auto"/>
              </w:rPr>
            </w:pPr>
            <w:r>
              <w:rPr>
                <w:rFonts w:ascii="Arial" w:cs="Arial" w:eastAsia="Arial" w:hAnsi="Arial"/>
                <w:sz w:val="18"/>
                <w:szCs w:val="18"/>
                <w:color w:val="51555C"/>
              </w:rPr>
              <w:t>(31.2)%</w:t>
            </w:r>
          </w:p>
        </w:tc>
        <w:tc>
          <w:tcPr>
            <w:tcW w:w="20" w:type="dxa"/>
            <w:vAlign w:val="bottom"/>
          </w:tcPr>
          <w:p>
            <w:pPr>
              <w:spacing w:after="0"/>
              <w:rPr>
                <w:sz w:val="21"/>
                <w:szCs w:val="21"/>
                <w:color w:val="auto"/>
              </w:rPr>
            </w:pPr>
          </w:p>
        </w:tc>
      </w:tr>
      <w:tr>
        <w:trPr>
          <w:trHeight w:val="27"/>
        </w:trPr>
        <w:tc>
          <w:tcPr>
            <w:tcW w:w="7360" w:type="dxa"/>
            <w:vAlign w:val="bottom"/>
            <w:tcBorders>
              <w:bottom w:val="single" w:sz="8" w:color="EBFBFF"/>
            </w:tcBorders>
          </w:tcPr>
          <w:p>
            <w:pPr>
              <w:spacing w:after="0"/>
              <w:rPr>
                <w:sz w:val="2"/>
                <w:szCs w:val="2"/>
                <w:color w:val="auto"/>
              </w:rPr>
            </w:pPr>
          </w:p>
        </w:tc>
        <w:tc>
          <w:tcPr>
            <w:tcW w:w="240" w:type="dxa"/>
            <w:vAlign w:val="bottom"/>
            <w:tcBorders>
              <w:bottom w:val="single" w:sz="8" w:color="51555C"/>
            </w:tcBorders>
          </w:tcPr>
          <w:p>
            <w:pPr>
              <w:spacing w:after="0"/>
              <w:rPr>
                <w:sz w:val="2"/>
                <w:szCs w:val="2"/>
                <w:color w:val="auto"/>
              </w:rPr>
            </w:pPr>
          </w:p>
        </w:tc>
        <w:tc>
          <w:tcPr>
            <w:tcW w:w="1120" w:type="dxa"/>
            <w:vAlign w:val="bottom"/>
            <w:tcBorders>
              <w:bottom w:val="single" w:sz="8" w:color="51555C"/>
            </w:tcBorders>
          </w:tcPr>
          <w:p>
            <w:pPr>
              <w:spacing w:after="0"/>
              <w:rPr>
                <w:sz w:val="2"/>
                <w:szCs w:val="2"/>
                <w:color w:val="auto"/>
              </w:rPr>
            </w:pPr>
          </w:p>
        </w:tc>
        <w:tc>
          <w:tcPr>
            <w:tcW w:w="280" w:type="dxa"/>
            <w:vAlign w:val="bottom"/>
            <w:tcBorders>
              <w:bottom w:val="single" w:sz="8" w:color="51555C"/>
            </w:tcBorders>
          </w:tcPr>
          <w:p>
            <w:pPr>
              <w:spacing w:after="0"/>
              <w:rPr>
                <w:sz w:val="2"/>
                <w:szCs w:val="2"/>
                <w:color w:val="auto"/>
              </w:rPr>
            </w:pPr>
          </w:p>
        </w:tc>
        <w:tc>
          <w:tcPr>
            <w:tcW w:w="1100" w:type="dxa"/>
            <w:vAlign w:val="bottom"/>
            <w:tcBorders>
              <w:bottom w:val="single" w:sz="8" w:color="51555C"/>
            </w:tcBorders>
          </w:tcPr>
          <w:p>
            <w:pPr>
              <w:spacing w:after="0"/>
              <w:rPr>
                <w:sz w:val="2"/>
                <w:szCs w:val="2"/>
                <w:color w:val="auto"/>
              </w:rPr>
            </w:pPr>
          </w:p>
        </w:tc>
        <w:tc>
          <w:tcPr>
            <w:tcW w:w="1140" w:type="dxa"/>
            <w:vAlign w:val="bottom"/>
            <w:tcBorders>
              <w:bottom w:val="single" w:sz="8" w:color="EBFBFF"/>
            </w:tcBorders>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7360" w:type="dxa"/>
            <w:vAlign w:val="bottom"/>
            <w:tcBorders>
              <w:bottom w:val="single" w:sz="8" w:color="0CD973"/>
            </w:tcBorders>
            <w:shd w:val="clear" w:color="auto" w:fill="EBFBFF"/>
          </w:tcPr>
          <w:p>
            <w:pPr>
              <w:ind w:left="140"/>
              <w:spacing w:after="0"/>
              <w:rPr>
                <w:sz w:val="20"/>
                <w:szCs w:val="20"/>
                <w:color w:val="auto"/>
              </w:rPr>
            </w:pPr>
            <w:r>
              <w:rPr>
                <w:rFonts w:ascii="Arial" w:cs="Arial" w:eastAsia="Arial" w:hAnsi="Arial"/>
                <w:sz w:val="18"/>
                <w:szCs w:val="18"/>
                <w:color w:val="51555C"/>
              </w:rPr>
              <w:t>Current portion</w:t>
            </w:r>
            <w:r>
              <w:rPr>
                <w:rFonts w:ascii="Arial" w:cs="Arial" w:eastAsia="Arial" w:hAnsi="Arial"/>
                <w:sz w:val="23"/>
                <w:szCs w:val="23"/>
                <w:color w:val="51555C"/>
                <w:vertAlign w:val="superscript"/>
              </w:rPr>
              <w:t>(1)</w:t>
            </w:r>
          </w:p>
        </w:tc>
        <w:tc>
          <w:tcPr>
            <w:tcW w:w="240" w:type="dxa"/>
            <w:vAlign w:val="bottom"/>
            <w:tcBorders>
              <w:bottom w:val="single" w:sz="8" w:color="0CD973"/>
            </w:tcBorders>
            <w:shd w:val="clear" w:color="auto" w:fill="EBFBFF"/>
          </w:tcPr>
          <w:p>
            <w:pPr>
              <w:jc w:val="right"/>
              <w:ind w:right="30"/>
              <w:spacing w:after="0"/>
              <w:rPr>
                <w:sz w:val="20"/>
                <w:szCs w:val="20"/>
                <w:color w:val="auto"/>
              </w:rPr>
            </w:pPr>
            <w:r>
              <w:rPr>
                <w:rFonts w:ascii="Arial" w:cs="Arial" w:eastAsia="Arial" w:hAnsi="Arial"/>
                <w:sz w:val="18"/>
                <w:szCs w:val="18"/>
                <w:color w:val="51555C"/>
                <w:w w:val="99"/>
              </w:rPr>
              <w:t>$</w:t>
            </w:r>
          </w:p>
        </w:tc>
        <w:tc>
          <w:tcPr>
            <w:tcW w:w="112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393.7</w:t>
            </w:r>
          </w:p>
        </w:tc>
        <w:tc>
          <w:tcPr>
            <w:tcW w:w="280" w:type="dxa"/>
            <w:vAlign w:val="bottom"/>
            <w:tcBorders>
              <w:bottom w:val="single" w:sz="8" w:color="0CD973"/>
            </w:tcBorders>
            <w:shd w:val="clear" w:color="auto" w:fill="EBFBFF"/>
          </w:tcPr>
          <w:p>
            <w:pPr>
              <w:jc w:val="right"/>
              <w:ind w:right="70"/>
              <w:spacing w:after="0"/>
              <w:rPr>
                <w:sz w:val="20"/>
                <w:szCs w:val="20"/>
                <w:color w:val="auto"/>
              </w:rPr>
            </w:pPr>
            <w:r>
              <w:rPr>
                <w:rFonts w:ascii="Arial" w:cs="Arial" w:eastAsia="Arial" w:hAnsi="Arial"/>
                <w:sz w:val="18"/>
                <w:szCs w:val="18"/>
                <w:color w:val="51555C"/>
                <w:w w:val="99"/>
              </w:rPr>
              <w:t>$</w:t>
            </w:r>
          </w:p>
        </w:tc>
        <w:tc>
          <w:tcPr>
            <w:tcW w:w="110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374.5</w:t>
            </w:r>
          </w:p>
        </w:tc>
        <w:tc>
          <w:tcPr>
            <w:tcW w:w="11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5.1 %</w:t>
            </w:r>
          </w:p>
        </w:tc>
        <w:tc>
          <w:tcPr>
            <w:tcW w:w="20" w:type="dxa"/>
            <w:vAlign w:val="bottom"/>
          </w:tcPr>
          <w:p>
            <w:pPr>
              <w:spacing w:after="0"/>
              <w:rPr>
                <w:sz w:val="24"/>
                <w:szCs w:val="24"/>
                <w:color w:val="auto"/>
              </w:rPr>
            </w:pPr>
          </w:p>
        </w:tc>
      </w:tr>
    </w:tbl>
    <w:p>
      <w:pPr>
        <w:spacing w:after="0" w:line="9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deferred revenue or current portion of deferred revenue due to rounding.</w:t>
      </w:r>
    </w:p>
    <w:p>
      <w:pPr>
        <w:spacing w:after="0" w:line="17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To the extent that our customers are billed for our solutions and services in advance of delivery, we record such amounts in deferred revenue. Our recurring revenue contracts are generally for a term of three years at contract inception, billed annually in advance, and non-cancelable. We have been for several years successfully shifting our legacy customer base away from annual renewals and moving them onto multi-year renewal contracts. We generally invoice our customers with recurring revenue contracts in annual cycles 30 days prior to the end of each one-year period.</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The increase in deferred revenue during the nine months ended September 30, 2022 was primarily due to a seasonal increase in customer contract renewals. Historically, due to the timing of customer budget cycles, we have an increase in customer contract renewals at or near the beginning of our third quarter. Generally, our lowest balance of deferred revenue during the year is at the end of our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214630</wp:posOffset>
            </wp:positionV>
            <wp:extent cx="659765"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37</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Income Taxes</w:t>
      </w: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51555C"/>
        </w:rPr>
        <w:t>Income tax (benefit) provision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8635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1" w:lineRule="exact"/>
        <w:rPr>
          <w:sz w:val="20"/>
          <w:szCs w:val="20"/>
          <w:color w:val="auto"/>
        </w:rPr>
      </w:pPr>
    </w:p>
    <w:p>
      <w:pPr>
        <w:ind w:left="3300"/>
        <w:spacing w:after="0"/>
        <w:rPr>
          <w:sz w:val="20"/>
          <w:szCs w:val="20"/>
          <w:color w:val="auto"/>
        </w:rPr>
      </w:pPr>
      <w:r>
        <w:rPr>
          <w:rFonts w:ascii="Arial" w:cs="Arial" w:eastAsia="Arial" w:hAnsi="Arial"/>
          <w:sz w:val="13"/>
          <w:szCs w:val="13"/>
          <w:i w:val="1"/>
          <w:iCs w:val="1"/>
          <w:color w:val="51555C"/>
        </w:rPr>
        <w:t>Percentages indicate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190500</wp:posOffset>
            </wp:positionV>
            <wp:extent cx="5203190" cy="1423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0319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51555C"/>
        </w:rPr>
        <w:t xml:space="preserve">For the six months ended June 30, 2022, we utilized the discrete effective tax rate method, as allowed by ASC 740-270-30-18, </w:t>
      </w:r>
      <w:r>
        <w:rPr>
          <w:rFonts w:ascii="Arial" w:cs="Arial" w:eastAsia="Arial" w:hAnsi="Arial"/>
          <w:sz w:val="18"/>
          <w:szCs w:val="18"/>
          <w:i w:val="1"/>
          <w:iCs w:val="1"/>
          <w:color w:val="51555C"/>
        </w:rPr>
        <w:t>Income Taxes</w:t>
      </w:r>
      <w:r>
        <w:rPr>
          <w:rFonts w:ascii="Arial" w:cs="Arial" w:eastAsia="Arial" w:hAnsi="Arial"/>
          <w:sz w:val="18"/>
          <w:szCs w:val="18"/>
          <w:color w:val="51555C"/>
        </w:rPr>
        <w:t xml:space="preserve"> </w:t>
      </w:r>
      <w:r>
        <w:rPr>
          <w:rFonts w:ascii="Arial" w:cs="Arial" w:eastAsia="Arial" w:hAnsi="Arial"/>
          <w:sz w:val="18"/>
          <w:szCs w:val="18"/>
          <w:i w:val="1"/>
          <w:iCs w:val="1"/>
          <w:color w:val="51555C"/>
        </w:rPr>
        <w:t>—Interim Reporting</w:t>
      </w:r>
      <w:r>
        <w:rPr>
          <w:rFonts w:ascii="Arial" w:cs="Arial" w:eastAsia="Arial" w:hAnsi="Arial"/>
          <w:sz w:val="18"/>
          <w:szCs w:val="18"/>
          <w:color w:val="51555C"/>
        </w:rPr>
        <w:t>, to calculate its interim income tax provision. The discrete method is applied when the application of the estimated</w:t>
      </w:r>
      <w:r>
        <w:rPr>
          <w:rFonts w:ascii="Arial" w:cs="Arial" w:eastAsia="Arial" w:hAnsi="Arial"/>
          <w:sz w:val="18"/>
          <w:szCs w:val="18"/>
          <w:i w:val="1"/>
          <w:iCs w:val="1"/>
          <w:color w:val="51555C"/>
        </w:rPr>
        <w:t xml:space="preserve"> </w:t>
      </w:r>
      <w:r>
        <w:rPr>
          <w:rFonts w:ascii="Arial" w:cs="Arial" w:eastAsia="Arial" w:hAnsi="Arial"/>
          <w:sz w:val="18"/>
          <w:szCs w:val="18"/>
          <w:color w:val="51555C"/>
        </w:rPr>
        <w:t>annual effective tax rate is impractical because it is not possible to reliably estimate the annual effective tax rate. The discrete method treats the year-to-date period as if it was the annual period and determines the income tax expense or benefit on that basis. We believe that, at this time, the use of this discrete method is no longer more appropriate than the annual effective tax rate method.</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The decreases in our effective income tax rate for the three and nine months ended September 30, 2022 when compared to the same periods in 2021 was primarily due to the effect of year-to-date losses relative to our forecasted permanent items, including foreign-derived intangible income deduction not generated in the prior year. Furthermore, the 2022 effective income tax rate was negatively impacted by expenses attributable to stock-based compensation.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Non-GAAP Financial Measures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The operating results analyzed below are presented on a non-GAAP basis. We use non-GAAP financial measures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w:t>
      </w:r>
    </w:p>
    <w:p>
      <w:pPr>
        <w:spacing w:after="0" w:line="323"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38</w:t>
      </w:r>
      <w:r>
        <w:rPr>
          <w:sz w:val="20"/>
          <w:szCs w:val="20"/>
          <w:color w:val="auto"/>
        </w:rPr>
        <w:tab/>
      </w:r>
      <w:r>
        <w:rPr>
          <w:sz w:val="1"/>
          <w:szCs w:val="1"/>
          <w:color w:val="auto"/>
        </w:rPr>
        <w:drawing>
          <wp:inline distT="0" distB="0" distL="0" distR="0">
            <wp:extent cx="651510" cy="17145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shd w:val="clear" w:color="auto" w:fill="004054"/>
          </w:tcPr>
          <w:p>
            <w:pPr>
              <w:spacing w:after="0"/>
              <w:rPr>
                <w:sz w:val="17"/>
                <w:szCs w:val="17"/>
                <w:color w:val="auto"/>
              </w:rPr>
            </w:pPr>
          </w:p>
        </w:tc>
        <w:tc>
          <w:tcPr>
            <w:tcW w:w="200" w:type="dxa"/>
            <w:vAlign w:val="bottom"/>
            <w:shd w:val="clear" w:color="auto" w:fill="004054"/>
          </w:tcPr>
          <w:p>
            <w:pPr>
              <w:spacing w:after="0"/>
              <w:rPr>
                <w:sz w:val="17"/>
                <w:szCs w:val="17"/>
                <w:color w:val="auto"/>
              </w:rPr>
            </w:pPr>
          </w:p>
        </w:tc>
        <w:tc>
          <w:tcPr>
            <w:tcW w:w="1020" w:type="dxa"/>
            <w:vAlign w:val="bottom"/>
            <w:shd w:val="clear" w:color="auto" w:fill="004054"/>
          </w:tcPr>
          <w:p>
            <w:pPr>
              <w:spacing w:after="0"/>
              <w:rPr>
                <w:sz w:val="17"/>
                <w:szCs w:val="17"/>
                <w:color w:val="auto"/>
              </w:rPr>
            </w:pPr>
          </w:p>
        </w:tc>
        <w:tc>
          <w:tcPr>
            <w:tcW w:w="200" w:type="dxa"/>
            <w:vAlign w:val="bottom"/>
            <w:shd w:val="clear" w:color="auto" w:fill="004054"/>
          </w:tcPr>
          <w:p>
            <w:pPr>
              <w:spacing w:after="0"/>
              <w:rPr>
                <w:sz w:val="17"/>
                <w:szCs w:val="17"/>
                <w:color w:val="auto"/>
              </w:rPr>
            </w:pPr>
          </w:p>
        </w:tc>
        <w:tc>
          <w:tcPr>
            <w:tcW w:w="204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7"/>
                <w:szCs w:val="17"/>
                <w:color w:val="auto"/>
              </w:rPr>
            </w:pPr>
          </w:p>
        </w:tc>
        <w:tc>
          <w:tcPr>
            <w:tcW w:w="200" w:type="dxa"/>
            <w:vAlign w:val="bottom"/>
            <w:shd w:val="clear" w:color="auto" w:fill="004054"/>
          </w:tcPr>
          <w:p>
            <w:pPr>
              <w:spacing w:after="0"/>
              <w:rPr>
                <w:sz w:val="17"/>
                <w:szCs w:val="17"/>
                <w:color w:val="auto"/>
              </w:rPr>
            </w:pPr>
          </w:p>
        </w:tc>
        <w:tc>
          <w:tcPr>
            <w:tcW w:w="1020" w:type="dxa"/>
            <w:vAlign w:val="bottom"/>
            <w:shd w:val="clear" w:color="auto" w:fill="004054"/>
          </w:tcPr>
          <w:p>
            <w:pPr>
              <w:spacing w:after="0"/>
              <w:rPr>
                <w:sz w:val="17"/>
                <w:szCs w:val="17"/>
                <w:color w:val="auto"/>
              </w:rPr>
            </w:pPr>
          </w:p>
        </w:tc>
        <w:tc>
          <w:tcPr>
            <w:tcW w:w="200" w:type="dxa"/>
            <w:vAlign w:val="bottom"/>
            <w:shd w:val="clear" w:color="auto" w:fill="004054"/>
          </w:tcPr>
          <w:p>
            <w:pPr>
              <w:spacing w:after="0"/>
              <w:rPr>
                <w:sz w:val="17"/>
                <w:szCs w:val="17"/>
                <w:color w:val="auto"/>
              </w:rPr>
            </w:pPr>
          </w:p>
        </w:tc>
        <w:tc>
          <w:tcPr>
            <w:tcW w:w="204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7"/>
                <w:szCs w:val="17"/>
                <w:color w:val="auto"/>
              </w:rPr>
            </w:pPr>
          </w:p>
        </w:tc>
      </w:tr>
      <w:tr>
        <w:trPr>
          <w:trHeight w:val="190"/>
        </w:trPr>
        <w:tc>
          <w:tcPr>
            <w:tcW w:w="4220" w:type="dxa"/>
            <w:vAlign w:val="bottom"/>
            <w:shd w:val="clear" w:color="auto" w:fill="004054"/>
          </w:tcPr>
          <w:p>
            <w:pPr>
              <w:spacing w:after="0"/>
              <w:rPr>
                <w:sz w:val="16"/>
                <w:szCs w:val="16"/>
                <w:color w:val="auto"/>
              </w:rPr>
            </w:pPr>
          </w:p>
        </w:tc>
        <w:tc>
          <w:tcPr>
            <w:tcW w:w="200" w:type="dxa"/>
            <w:vAlign w:val="bottom"/>
            <w:shd w:val="clear" w:color="auto" w:fill="004054"/>
          </w:tcPr>
          <w:p>
            <w:pPr>
              <w:spacing w:after="0"/>
              <w:rPr>
                <w:sz w:val="16"/>
                <w:szCs w:val="16"/>
                <w:color w:val="auto"/>
              </w:rPr>
            </w:pPr>
          </w:p>
        </w:tc>
        <w:tc>
          <w:tcPr>
            <w:tcW w:w="1020" w:type="dxa"/>
            <w:vAlign w:val="bottom"/>
            <w:shd w:val="clear" w:color="auto" w:fill="004054"/>
          </w:tcPr>
          <w:p>
            <w:pPr>
              <w:spacing w:after="0"/>
              <w:rPr>
                <w:sz w:val="16"/>
                <w:szCs w:val="16"/>
                <w:color w:val="auto"/>
              </w:rPr>
            </w:pPr>
          </w:p>
        </w:tc>
        <w:tc>
          <w:tcPr>
            <w:tcW w:w="200" w:type="dxa"/>
            <w:vAlign w:val="bottom"/>
            <w:shd w:val="clear" w:color="auto" w:fill="004054"/>
          </w:tcPr>
          <w:p>
            <w:pPr>
              <w:spacing w:after="0"/>
              <w:rPr>
                <w:sz w:val="16"/>
                <w:szCs w:val="16"/>
                <w:color w:val="auto"/>
              </w:rPr>
            </w:pPr>
          </w:p>
        </w:tc>
        <w:tc>
          <w:tcPr>
            <w:tcW w:w="1000" w:type="dxa"/>
            <w:vAlign w:val="bottom"/>
            <w:shd w:val="clear" w:color="auto" w:fill="004054"/>
          </w:tcPr>
          <w:p>
            <w:pPr>
              <w:spacing w:after="0"/>
              <w:rPr>
                <w:sz w:val="16"/>
                <w:szCs w:val="16"/>
                <w:color w:val="auto"/>
              </w:rPr>
            </w:pPr>
          </w:p>
        </w:tc>
        <w:tc>
          <w:tcPr>
            <w:tcW w:w="10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6"/>
                <w:szCs w:val="16"/>
                <w:color w:val="auto"/>
              </w:rPr>
            </w:pPr>
          </w:p>
        </w:tc>
        <w:tc>
          <w:tcPr>
            <w:tcW w:w="200" w:type="dxa"/>
            <w:vAlign w:val="bottom"/>
            <w:shd w:val="clear" w:color="auto" w:fill="004054"/>
          </w:tcPr>
          <w:p>
            <w:pPr>
              <w:spacing w:after="0"/>
              <w:rPr>
                <w:sz w:val="16"/>
                <w:szCs w:val="16"/>
                <w:color w:val="auto"/>
              </w:rPr>
            </w:pPr>
          </w:p>
        </w:tc>
        <w:tc>
          <w:tcPr>
            <w:tcW w:w="1020" w:type="dxa"/>
            <w:vAlign w:val="bottom"/>
            <w:shd w:val="clear" w:color="auto" w:fill="004054"/>
          </w:tcPr>
          <w:p>
            <w:pPr>
              <w:spacing w:after="0"/>
              <w:rPr>
                <w:sz w:val="16"/>
                <w:szCs w:val="16"/>
                <w:color w:val="auto"/>
              </w:rPr>
            </w:pPr>
          </w:p>
        </w:tc>
        <w:tc>
          <w:tcPr>
            <w:tcW w:w="200" w:type="dxa"/>
            <w:vAlign w:val="bottom"/>
            <w:shd w:val="clear" w:color="auto" w:fill="004054"/>
          </w:tcPr>
          <w:p>
            <w:pPr>
              <w:spacing w:after="0"/>
              <w:rPr>
                <w:sz w:val="16"/>
                <w:szCs w:val="16"/>
                <w:color w:val="auto"/>
              </w:rPr>
            </w:pPr>
          </w:p>
        </w:tc>
        <w:tc>
          <w:tcPr>
            <w:tcW w:w="1020" w:type="dxa"/>
            <w:vAlign w:val="bottom"/>
            <w:shd w:val="clear" w:color="auto" w:fill="004054"/>
          </w:tcPr>
          <w:p>
            <w:pPr>
              <w:spacing w:after="0"/>
              <w:rPr>
                <w:sz w:val="16"/>
                <w:szCs w:val="16"/>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6"/>
                <w:szCs w:val="16"/>
                <w:color w:val="auto"/>
              </w:rPr>
            </w:pPr>
          </w:p>
        </w:tc>
      </w:tr>
      <w:tr>
        <w:trPr>
          <w:trHeight w:val="243"/>
        </w:trPr>
        <w:tc>
          <w:tcPr>
            <w:tcW w:w="422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 except per share amounts)</w:t>
            </w:r>
          </w:p>
        </w:tc>
        <w:tc>
          <w:tcPr>
            <w:tcW w:w="200" w:type="dxa"/>
            <w:vAlign w:val="bottom"/>
            <w:shd w:val="clear" w:color="auto" w:fill="004054"/>
          </w:tcPr>
          <w:p>
            <w:pPr>
              <w:spacing w:after="0"/>
              <w:rPr>
                <w:sz w:val="21"/>
                <w:szCs w:val="21"/>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00" w:type="dxa"/>
            <w:vAlign w:val="bottom"/>
            <w:shd w:val="clear" w:color="auto" w:fill="004054"/>
          </w:tcPr>
          <w:p>
            <w:pPr>
              <w:spacing w:after="0"/>
              <w:rPr>
                <w:sz w:val="21"/>
                <w:szCs w:val="21"/>
                <w:color w:val="auto"/>
              </w:rPr>
            </w:pPr>
          </w:p>
        </w:tc>
        <w:tc>
          <w:tcPr>
            <w:tcW w:w="10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0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100" w:type="dxa"/>
            <w:vAlign w:val="bottom"/>
          </w:tcPr>
          <w:p>
            <w:pPr>
              <w:spacing w:after="0"/>
              <w:rPr>
                <w:sz w:val="21"/>
                <w:szCs w:val="21"/>
                <w:color w:val="auto"/>
              </w:rPr>
            </w:pPr>
          </w:p>
        </w:tc>
        <w:tc>
          <w:tcPr>
            <w:tcW w:w="200" w:type="dxa"/>
            <w:vAlign w:val="bottom"/>
            <w:shd w:val="clear" w:color="auto" w:fill="004054"/>
          </w:tcPr>
          <w:p>
            <w:pPr>
              <w:spacing w:after="0"/>
              <w:rPr>
                <w:sz w:val="21"/>
                <w:szCs w:val="21"/>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00" w:type="dxa"/>
            <w:vAlign w:val="bottom"/>
            <w:shd w:val="clear" w:color="auto" w:fill="004054"/>
          </w:tcPr>
          <w:p>
            <w:pPr>
              <w:spacing w:after="0"/>
              <w:rPr>
                <w:sz w:val="21"/>
                <w:szCs w:val="21"/>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shd w:val="clear" w:color="auto" w:fill="004054"/>
          </w:tcPr>
          <w:p>
            <w:pPr>
              <w:spacing w:after="0"/>
              <w:rPr>
                <w:sz w:val="21"/>
                <w:szCs w:val="21"/>
                <w:color w:val="auto"/>
              </w:rPr>
            </w:pPr>
          </w:p>
        </w:tc>
      </w:tr>
      <w:tr>
        <w:trPr>
          <w:trHeight w:val="26"/>
        </w:trPr>
        <w:tc>
          <w:tcPr>
            <w:tcW w:w="4220" w:type="dxa"/>
            <w:vAlign w:val="bottom"/>
            <w:tcBorders>
              <w:bottom w:val="single" w:sz="8" w:color="004054"/>
            </w:tcBorders>
            <w:shd w:val="clear" w:color="auto" w:fill="004054"/>
          </w:tcPr>
          <w:p>
            <w:pPr>
              <w:spacing w:after="0"/>
              <w:rPr>
                <w:sz w:val="2"/>
                <w:szCs w:val="2"/>
                <w:color w:val="auto"/>
              </w:rPr>
            </w:pPr>
          </w:p>
        </w:tc>
        <w:tc>
          <w:tcPr>
            <w:tcW w:w="200" w:type="dxa"/>
            <w:vAlign w:val="bottom"/>
            <w:tcBorders>
              <w:bottom w:val="single" w:sz="8" w:color="004054"/>
            </w:tcBorders>
            <w:shd w:val="clear" w:color="auto" w:fill="004054"/>
          </w:tcPr>
          <w:p>
            <w:pPr>
              <w:spacing w:after="0"/>
              <w:rPr>
                <w:sz w:val="2"/>
                <w:szCs w:val="2"/>
                <w:color w:val="auto"/>
              </w:rPr>
            </w:pPr>
          </w:p>
        </w:tc>
        <w:tc>
          <w:tcPr>
            <w:tcW w:w="1020" w:type="dxa"/>
            <w:vAlign w:val="bottom"/>
            <w:tcBorders>
              <w:bottom w:val="single" w:sz="8" w:color="004054"/>
            </w:tcBorders>
            <w:shd w:val="clear" w:color="auto" w:fill="004054"/>
          </w:tcPr>
          <w:p>
            <w:pPr>
              <w:spacing w:after="0"/>
              <w:rPr>
                <w:sz w:val="2"/>
                <w:szCs w:val="2"/>
                <w:color w:val="auto"/>
              </w:rPr>
            </w:pPr>
          </w:p>
        </w:tc>
        <w:tc>
          <w:tcPr>
            <w:tcW w:w="200" w:type="dxa"/>
            <w:vAlign w:val="bottom"/>
            <w:tcBorders>
              <w:bottom w:val="single" w:sz="8" w:color="004054"/>
            </w:tcBorders>
            <w:shd w:val="clear" w:color="auto" w:fill="004054"/>
          </w:tcPr>
          <w:p>
            <w:pPr>
              <w:spacing w:after="0"/>
              <w:rPr>
                <w:sz w:val="2"/>
                <w:szCs w:val="2"/>
                <w:color w:val="auto"/>
              </w:rPr>
            </w:pPr>
          </w:p>
        </w:tc>
        <w:tc>
          <w:tcPr>
            <w:tcW w:w="1000" w:type="dxa"/>
            <w:vAlign w:val="bottom"/>
            <w:tcBorders>
              <w:bottom w:val="single" w:sz="8" w:color="004054"/>
            </w:tcBorders>
            <w:shd w:val="clear" w:color="auto" w:fill="004054"/>
          </w:tcPr>
          <w:p>
            <w:pPr>
              <w:spacing w:after="0"/>
              <w:rPr>
                <w:sz w:val="2"/>
                <w:szCs w:val="2"/>
                <w:color w:val="auto"/>
              </w:rPr>
            </w:pPr>
          </w:p>
        </w:tc>
        <w:tc>
          <w:tcPr>
            <w:tcW w:w="1040" w:type="dxa"/>
            <w:vAlign w:val="bottom"/>
            <w:tcBorders>
              <w:bottom w:val="single" w:sz="8" w:color="004054"/>
            </w:tcBorders>
            <w:shd w:val="clear" w:color="auto" w:fill="004054"/>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200" w:type="dxa"/>
            <w:vAlign w:val="bottom"/>
            <w:tcBorders>
              <w:bottom w:val="single" w:sz="8" w:color="004054"/>
            </w:tcBorders>
            <w:shd w:val="clear" w:color="auto" w:fill="004054"/>
          </w:tcPr>
          <w:p>
            <w:pPr>
              <w:spacing w:after="0"/>
              <w:rPr>
                <w:sz w:val="2"/>
                <w:szCs w:val="2"/>
                <w:color w:val="auto"/>
              </w:rPr>
            </w:pPr>
          </w:p>
        </w:tc>
        <w:tc>
          <w:tcPr>
            <w:tcW w:w="1020" w:type="dxa"/>
            <w:vAlign w:val="bottom"/>
            <w:tcBorders>
              <w:bottom w:val="single" w:sz="8" w:color="004054"/>
            </w:tcBorders>
            <w:shd w:val="clear" w:color="auto" w:fill="004054"/>
          </w:tcPr>
          <w:p>
            <w:pPr>
              <w:spacing w:after="0"/>
              <w:rPr>
                <w:sz w:val="2"/>
                <w:szCs w:val="2"/>
                <w:color w:val="auto"/>
              </w:rPr>
            </w:pPr>
          </w:p>
        </w:tc>
        <w:tc>
          <w:tcPr>
            <w:tcW w:w="200" w:type="dxa"/>
            <w:vAlign w:val="bottom"/>
            <w:tcBorders>
              <w:bottom w:val="single" w:sz="8" w:color="004054"/>
            </w:tcBorders>
            <w:shd w:val="clear" w:color="auto" w:fill="004054"/>
          </w:tcPr>
          <w:p>
            <w:pPr>
              <w:spacing w:after="0"/>
              <w:rPr>
                <w:sz w:val="2"/>
                <w:szCs w:val="2"/>
                <w:color w:val="auto"/>
              </w:rPr>
            </w:pPr>
          </w:p>
        </w:tc>
        <w:tc>
          <w:tcPr>
            <w:tcW w:w="1020" w:type="dxa"/>
            <w:vAlign w:val="bottom"/>
            <w:tcBorders>
              <w:bottom w:val="single" w:sz="8" w:color="004054"/>
            </w:tcBorders>
            <w:shd w:val="clear" w:color="auto" w:fill="004054"/>
          </w:tcPr>
          <w:p>
            <w:pPr>
              <w:spacing w:after="0"/>
              <w:rPr>
                <w:sz w:val="2"/>
                <w:szCs w:val="2"/>
                <w:color w:val="auto"/>
              </w:rPr>
            </w:pPr>
          </w:p>
        </w:tc>
        <w:tc>
          <w:tcPr>
            <w:tcW w:w="1020" w:type="dxa"/>
            <w:vAlign w:val="bottom"/>
            <w:tcBorders>
              <w:bottom w:val="single" w:sz="8" w:color="004054"/>
            </w:tcBorders>
            <w:shd w:val="clear" w:color="auto" w:fill="004054"/>
          </w:tcPr>
          <w:p>
            <w:pPr>
              <w:spacing w:after="0"/>
              <w:rPr>
                <w:sz w:val="2"/>
                <w:szCs w:val="2"/>
                <w:color w:val="auto"/>
              </w:rPr>
            </w:pPr>
          </w:p>
        </w:tc>
        <w:tc>
          <w:tcPr>
            <w:tcW w:w="20" w:type="dxa"/>
            <w:vAlign w:val="bottom"/>
            <w:tcBorders>
              <w:bottom w:val="single" w:sz="8" w:color="004054"/>
            </w:tcBorders>
            <w:shd w:val="clear" w:color="auto" w:fill="004054"/>
          </w:tcPr>
          <w:p>
            <w:pPr>
              <w:spacing w:after="0"/>
              <w:rPr>
                <w:sz w:val="2"/>
                <w:szCs w:val="2"/>
                <w:color w:val="auto"/>
              </w:rPr>
            </w:pPr>
          </w:p>
        </w:tc>
      </w:tr>
      <w:tr>
        <w:trPr>
          <w:trHeight w:val="223"/>
        </w:trPr>
        <w:tc>
          <w:tcPr>
            <w:tcW w:w="42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GAAP Revenue</w:t>
            </w:r>
          </w:p>
        </w:tc>
        <w:tc>
          <w:tcPr>
            <w:tcW w:w="200" w:type="dxa"/>
            <w:vAlign w:val="bottom"/>
            <w:tcBorders>
              <w:bottom w:val="single" w:sz="8" w:color="EBFBFF"/>
            </w:tcBorders>
            <w:shd w:val="clear" w:color="auto" w:fill="EBFBFF"/>
          </w:tcPr>
          <w:p>
            <w:pPr>
              <w:jc w:val="right"/>
              <w:ind w:right="28"/>
              <w:spacing w:after="0"/>
              <w:rPr>
                <w:sz w:val="20"/>
                <w:szCs w:val="20"/>
                <w:color w:val="auto"/>
              </w:rPr>
            </w:pPr>
            <w:r>
              <w:rPr>
                <w:rFonts w:ascii="Arial" w:cs="Arial" w:eastAsia="Arial" w:hAnsi="Arial"/>
                <w:sz w:val="14"/>
                <w:szCs w:val="14"/>
                <w:color w:val="51555C"/>
              </w:rPr>
              <w:t>$</w:t>
            </w:r>
          </w:p>
        </w:tc>
        <w:tc>
          <w:tcPr>
            <w:tcW w:w="102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261.3</w:t>
            </w:r>
          </w:p>
        </w:tc>
        <w:tc>
          <w:tcPr>
            <w:tcW w:w="200" w:type="dxa"/>
            <w:vAlign w:val="bottom"/>
            <w:tcBorders>
              <w:bottom w:val="single" w:sz="8" w:color="EBFBFF"/>
            </w:tcBorders>
            <w:shd w:val="clear" w:color="auto" w:fill="EBFBFF"/>
          </w:tcPr>
          <w:p>
            <w:pPr>
              <w:jc w:val="right"/>
              <w:ind w:right="28"/>
              <w:spacing w:after="0"/>
              <w:rPr>
                <w:sz w:val="20"/>
                <w:szCs w:val="20"/>
                <w:color w:val="auto"/>
              </w:rPr>
            </w:pPr>
            <w:r>
              <w:rPr>
                <w:rFonts w:ascii="Arial" w:cs="Arial" w:eastAsia="Arial" w:hAnsi="Arial"/>
                <w:sz w:val="14"/>
                <w:szCs w:val="14"/>
                <w:color w:val="51555C"/>
              </w:rPr>
              <w:t>$</w:t>
            </w:r>
          </w:p>
        </w:tc>
        <w:tc>
          <w:tcPr>
            <w:tcW w:w="10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231.2</w:t>
            </w: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13.0 %</w:t>
            </w:r>
          </w:p>
        </w:tc>
        <w:tc>
          <w:tcPr>
            <w:tcW w:w="300" w:type="dxa"/>
            <w:vAlign w:val="bottom"/>
            <w:tcBorders>
              <w:bottom w:val="single" w:sz="8" w:color="EBFBFF"/>
            </w:tcBorders>
            <w:gridSpan w:val="2"/>
            <w:shd w:val="clear" w:color="auto" w:fill="EBFBFF"/>
          </w:tcPr>
          <w:p>
            <w:pPr>
              <w:jc w:val="right"/>
              <w:ind w:right="100"/>
              <w:spacing w:after="0"/>
              <w:rPr>
                <w:sz w:val="20"/>
                <w:szCs w:val="20"/>
                <w:color w:val="auto"/>
              </w:rPr>
            </w:pPr>
            <w:r>
              <w:rPr>
                <w:rFonts w:ascii="Arial" w:cs="Arial" w:eastAsia="Arial" w:hAnsi="Arial"/>
                <w:sz w:val="14"/>
                <w:szCs w:val="14"/>
                <w:color w:val="51555C"/>
              </w:rPr>
              <w:t>$</w:t>
            </w:r>
          </w:p>
        </w:tc>
        <w:tc>
          <w:tcPr>
            <w:tcW w:w="102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783.3</w:t>
            </w:r>
          </w:p>
        </w:tc>
        <w:tc>
          <w:tcPr>
            <w:tcW w:w="200" w:type="dxa"/>
            <w:vAlign w:val="bottom"/>
            <w:tcBorders>
              <w:bottom w:val="single" w:sz="8" w:color="EBFBFF"/>
            </w:tcBorders>
            <w:shd w:val="clear" w:color="auto" w:fill="EBFBFF"/>
          </w:tcPr>
          <w:p>
            <w:pPr>
              <w:jc w:val="right"/>
              <w:ind w:right="28"/>
              <w:spacing w:after="0"/>
              <w:rPr>
                <w:sz w:val="20"/>
                <w:szCs w:val="20"/>
                <w:color w:val="auto"/>
              </w:rPr>
            </w:pPr>
            <w:r>
              <w:rPr>
                <w:rFonts w:ascii="Arial" w:cs="Arial" w:eastAsia="Arial" w:hAnsi="Arial"/>
                <w:sz w:val="14"/>
                <w:szCs w:val="14"/>
                <w:color w:val="51555C"/>
              </w:rPr>
              <w:t>$</w:t>
            </w:r>
          </w:p>
        </w:tc>
        <w:tc>
          <w:tcPr>
            <w:tcW w:w="102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679.8</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15.2 %</w:t>
            </w:r>
          </w:p>
        </w:tc>
        <w:tc>
          <w:tcPr>
            <w:tcW w:w="20" w:type="dxa"/>
            <w:vAlign w:val="bottom"/>
          </w:tcPr>
          <w:p>
            <w:pPr>
              <w:spacing w:after="0"/>
              <w:rPr>
                <w:sz w:val="19"/>
                <w:szCs w:val="19"/>
                <w:color w:val="auto"/>
              </w:rPr>
            </w:pPr>
          </w:p>
        </w:tc>
      </w:tr>
      <w:tr>
        <w:trPr>
          <w:trHeight w:val="34"/>
        </w:trPr>
        <w:tc>
          <w:tcPr>
            <w:tcW w:w="4220" w:type="dxa"/>
            <w:vAlign w:val="bottom"/>
          </w:tcPr>
          <w:p>
            <w:pPr>
              <w:spacing w:after="0"/>
              <w:rPr>
                <w:sz w:val="2"/>
                <w:szCs w:val="2"/>
                <w:color w:val="auto"/>
              </w:rPr>
            </w:pPr>
          </w:p>
        </w:tc>
        <w:tc>
          <w:tcPr>
            <w:tcW w:w="200" w:type="dxa"/>
            <w:vAlign w:val="bottom"/>
            <w:tcBorders>
              <w:top w:val="single" w:sz="8" w:color="51555C"/>
            </w:tcBorders>
          </w:tcPr>
          <w:p>
            <w:pPr>
              <w:spacing w:after="0"/>
              <w:rPr>
                <w:sz w:val="2"/>
                <w:szCs w:val="2"/>
                <w:color w:val="auto"/>
              </w:rPr>
            </w:pPr>
          </w:p>
        </w:tc>
        <w:tc>
          <w:tcPr>
            <w:tcW w:w="1020" w:type="dxa"/>
            <w:vAlign w:val="bottom"/>
            <w:tcBorders>
              <w:top w:val="single" w:sz="8" w:color="51555C"/>
            </w:tcBorders>
          </w:tcPr>
          <w:p>
            <w:pPr>
              <w:spacing w:after="0"/>
              <w:rPr>
                <w:sz w:val="2"/>
                <w:szCs w:val="2"/>
                <w:color w:val="auto"/>
              </w:rPr>
            </w:pPr>
          </w:p>
        </w:tc>
        <w:tc>
          <w:tcPr>
            <w:tcW w:w="200" w:type="dxa"/>
            <w:vAlign w:val="bottom"/>
            <w:tcBorders>
              <w:top w:val="single" w:sz="8" w:color="51555C"/>
            </w:tcBorders>
          </w:tcPr>
          <w:p>
            <w:pPr>
              <w:spacing w:after="0"/>
              <w:rPr>
                <w:sz w:val="2"/>
                <w:szCs w:val="2"/>
                <w:color w:val="auto"/>
              </w:rPr>
            </w:pPr>
          </w:p>
        </w:tc>
        <w:tc>
          <w:tcPr>
            <w:tcW w:w="1000" w:type="dxa"/>
            <w:vAlign w:val="bottom"/>
            <w:tcBorders>
              <w:top w:val="single" w:sz="8" w:color="51555C"/>
            </w:tcBorders>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51555C"/>
            </w:tcBorders>
          </w:tcPr>
          <w:p>
            <w:pPr>
              <w:spacing w:after="0"/>
              <w:rPr>
                <w:sz w:val="2"/>
                <w:szCs w:val="2"/>
                <w:color w:val="auto"/>
              </w:rPr>
            </w:pPr>
          </w:p>
        </w:tc>
        <w:tc>
          <w:tcPr>
            <w:tcW w:w="1020" w:type="dxa"/>
            <w:vAlign w:val="bottom"/>
            <w:tcBorders>
              <w:top w:val="single" w:sz="8" w:color="51555C"/>
            </w:tcBorders>
          </w:tcPr>
          <w:p>
            <w:pPr>
              <w:spacing w:after="0"/>
              <w:rPr>
                <w:sz w:val="2"/>
                <w:szCs w:val="2"/>
                <w:color w:val="auto"/>
              </w:rPr>
            </w:pPr>
          </w:p>
        </w:tc>
        <w:tc>
          <w:tcPr>
            <w:tcW w:w="200" w:type="dxa"/>
            <w:vAlign w:val="bottom"/>
            <w:tcBorders>
              <w:top w:val="single" w:sz="8" w:color="51555C"/>
            </w:tcBorders>
          </w:tcPr>
          <w:p>
            <w:pPr>
              <w:spacing w:after="0"/>
              <w:rPr>
                <w:sz w:val="2"/>
                <w:szCs w:val="2"/>
                <w:color w:val="auto"/>
              </w:rPr>
            </w:pPr>
          </w:p>
        </w:tc>
        <w:tc>
          <w:tcPr>
            <w:tcW w:w="1020" w:type="dxa"/>
            <w:vAlign w:val="bottom"/>
            <w:tcBorders>
              <w:top w:val="single" w:sz="8" w:color="51555C"/>
            </w:tcBorders>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42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GAAP gross profit</w:t>
            </w:r>
          </w:p>
        </w:tc>
        <w:tc>
          <w:tcPr>
            <w:tcW w:w="200" w:type="dxa"/>
            <w:vAlign w:val="bottom"/>
            <w:tcBorders>
              <w:bottom w:val="single" w:sz="8" w:color="EBFBFF"/>
            </w:tcBorders>
            <w:shd w:val="clear" w:color="auto" w:fill="EBFBFF"/>
          </w:tcPr>
          <w:p>
            <w:pPr>
              <w:jc w:val="right"/>
              <w:ind w:right="28"/>
              <w:spacing w:after="0"/>
              <w:rPr>
                <w:sz w:val="20"/>
                <w:szCs w:val="20"/>
                <w:color w:val="auto"/>
              </w:rPr>
            </w:pPr>
            <w:r>
              <w:rPr>
                <w:rFonts w:ascii="Arial" w:cs="Arial" w:eastAsia="Arial" w:hAnsi="Arial"/>
                <w:sz w:val="14"/>
                <w:szCs w:val="14"/>
                <w:color w:val="51555C"/>
              </w:rPr>
              <w:t>$</w:t>
            </w:r>
          </w:p>
        </w:tc>
        <w:tc>
          <w:tcPr>
            <w:tcW w:w="102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140.4</w:t>
            </w:r>
          </w:p>
        </w:tc>
        <w:tc>
          <w:tcPr>
            <w:tcW w:w="200" w:type="dxa"/>
            <w:vAlign w:val="bottom"/>
            <w:tcBorders>
              <w:bottom w:val="single" w:sz="8" w:color="EBFBFF"/>
            </w:tcBorders>
            <w:shd w:val="clear" w:color="auto" w:fill="EBFBFF"/>
          </w:tcPr>
          <w:p>
            <w:pPr>
              <w:jc w:val="right"/>
              <w:ind w:right="28"/>
              <w:spacing w:after="0"/>
              <w:rPr>
                <w:sz w:val="20"/>
                <w:szCs w:val="20"/>
                <w:color w:val="auto"/>
              </w:rPr>
            </w:pPr>
            <w:r>
              <w:rPr>
                <w:rFonts w:ascii="Arial" w:cs="Arial" w:eastAsia="Arial" w:hAnsi="Arial"/>
                <w:sz w:val="14"/>
                <w:szCs w:val="14"/>
                <w:color w:val="51555C"/>
              </w:rPr>
              <w:t>$</w:t>
            </w:r>
          </w:p>
        </w:tc>
        <w:tc>
          <w:tcPr>
            <w:tcW w:w="10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123.5</w:t>
            </w: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13.6 %</w:t>
            </w:r>
          </w:p>
        </w:tc>
        <w:tc>
          <w:tcPr>
            <w:tcW w:w="300" w:type="dxa"/>
            <w:vAlign w:val="bottom"/>
            <w:tcBorders>
              <w:bottom w:val="single" w:sz="8" w:color="EBFBFF"/>
            </w:tcBorders>
            <w:gridSpan w:val="2"/>
            <w:shd w:val="clear" w:color="auto" w:fill="EBFBFF"/>
          </w:tcPr>
          <w:p>
            <w:pPr>
              <w:jc w:val="right"/>
              <w:ind w:right="100"/>
              <w:spacing w:after="0"/>
              <w:rPr>
                <w:sz w:val="20"/>
                <w:szCs w:val="20"/>
                <w:color w:val="auto"/>
              </w:rPr>
            </w:pPr>
            <w:r>
              <w:rPr>
                <w:rFonts w:ascii="Arial" w:cs="Arial" w:eastAsia="Arial" w:hAnsi="Arial"/>
                <w:sz w:val="14"/>
                <w:szCs w:val="14"/>
                <w:color w:val="51555C"/>
              </w:rPr>
              <w:t>$</w:t>
            </w:r>
          </w:p>
        </w:tc>
        <w:tc>
          <w:tcPr>
            <w:tcW w:w="102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413.4</w:t>
            </w:r>
          </w:p>
        </w:tc>
        <w:tc>
          <w:tcPr>
            <w:tcW w:w="200" w:type="dxa"/>
            <w:vAlign w:val="bottom"/>
            <w:tcBorders>
              <w:bottom w:val="single" w:sz="8" w:color="EBFBFF"/>
            </w:tcBorders>
            <w:shd w:val="clear" w:color="auto" w:fill="EBFBFF"/>
          </w:tcPr>
          <w:p>
            <w:pPr>
              <w:jc w:val="right"/>
              <w:ind w:right="28"/>
              <w:spacing w:after="0"/>
              <w:rPr>
                <w:sz w:val="20"/>
                <w:szCs w:val="20"/>
                <w:color w:val="auto"/>
              </w:rPr>
            </w:pPr>
            <w:r>
              <w:rPr>
                <w:rFonts w:ascii="Arial" w:cs="Arial" w:eastAsia="Arial" w:hAnsi="Arial"/>
                <w:sz w:val="14"/>
                <w:szCs w:val="14"/>
                <w:color w:val="51555C"/>
              </w:rPr>
              <w:t>$</w:t>
            </w:r>
          </w:p>
        </w:tc>
        <w:tc>
          <w:tcPr>
            <w:tcW w:w="102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360.7</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14.6 %</w:t>
            </w:r>
          </w:p>
        </w:tc>
        <w:tc>
          <w:tcPr>
            <w:tcW w:w="20" w:type="dxa"/>
            <w:vAlign w:val="bottom"/>
          </w:tcPr>
          <w:p>
            <w:pPr>
              <w:spacing w:after="0"/>
              <w:rPr>
                <w:sz w:val="18"/>
                <w:szCs w:val="18"/>
                <w:color w:val="auto"/>
              </w:rPr>
            </w:pPr>
          </w:p>
        </w:tc>
      </w:tr>
      <w:tr>
        <w:trPr>
          <w:trHeight w:val="204"/>
        </w:trPr>
        <w:tc>
          <w:tcPr>
            <w:tcW w:w="4220" w:type="dxa"/>
            <w:vAlign w:val="bottom"/>
          </w:tcPr>
          <w:p>
            <w:pPr>
              <w:ind w:left="140"/>
              <w:spacing w:after="0"/>
              <w:rPr>
                <w:sz w:val="20"/>
                <w:szCs w:val="20"/>
                <w:color w:val="auto"/>
              </w:rPr>
            </w:pPr>
            <w:r>
              <w:rPr>
                <w:rFonts w:ascii="Arial" w:cs="Arial" w:eastAsia="Arial" w:hAnsi="Arial"/>
                <w:sz w:val="14"/>
                <w:szCs w:val="14"/>
                <w:b w:val="1"/>
                <w:bCs w:val="1"/>
                <w:color w:val="51555C"/>
              </w:rPr>
              <w:t>GAAP gross margin</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51555C"/>
              </w:rPr>
              <w:t>53.7 %</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51555C"/>
              </w:rPr>
              <w:t>53.4 %</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51555C"/>
              </w:rPr>
              <w:t>52.8 %</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51555C"/>
              </w:rPr>
              <w:t>53.1 %</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
        </w:trPr>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42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2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spacing w:after="0"/>
              <w:rPr>
                <w:sz w:val="18"/>
                <w:szCs w:val="18"/>
                <w:color w:val="auto"/>
              </w:rPr>
            </w:pPr>
          </w:p>
        </w:tc>
        <w:tc>
          <w:tcPr>
            <w:tcW w:w="200" w:type="dxa"/>
            <w:vAlign w:val="bottom"/>
            <w:tcBorders>
              <w:bottom w:val="single" w:sz="8" w:color="EBFBFF"/>
            </w:tcBorders>
            <w:shd w:val="clear" w:color="auto" w:fill="EBFBFF"/>
          </w:tcPr>
          <w:p>
            <w:pPr>
              <w:spacing w:after="0"/>
              <w:rPr>
                <w:sz w:val="18"/>
                <w:szCs w:val="18"/>
                <w:color w:val="auto"/>
              </w:rPr>
            </w:pPr>
          </w:p>
        </w:tc>
        <w:tc>
          <w:tcPr>
            <w:tcW w:w="100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spacing w:after="0"/>
              <w:rPr>
                <w:sz w:val="18"/>
                <w:szCs w:val="18"/>
                <w:color w:val="auto"/>
              </w:rPr>
            </w:pPr>
          </w:p>
        </w:tc>
        <w:tc>
          <w:tcPr>
            <w:tcW w:w="100" w:type="dxa"/>
            <w:vAlign w:val="bottom"/>
            <w:tcBorders>
              <w:bottom w:val="single" w:sz="8" w:color="EBFBFF"/>
            </w:tcBorders>
            <w:shd w:val="clear" w:color="auto" w:fill="EBFBFF"/>
          </w:tcPr>
          <w:p>
            <w:pPr>
              <w:spacing w:after="0"/>
              <w:rPr>
                <w:sz w:val="18"/>
                <w:szCs w:val="18"/>
                <w:color w:val="auto"/>
              </w:rPr>
            </w:pPr>
          </w:p>
        </w:tc>
        <w:tc>
          <w:tcPr>
            <w:tcW w:w="2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spacing w:after="0"/>
              <w:rPr>
                <w:sz w:val="18"/>
                <w:szCs w:val="18"/>
                <w:color w:val="auto"/>
              </w:rPr>
            </w:pPr>
          </w:p>
        </w:tc>
        <w:tc>
          <w:tcPr>
            <w:tcW w:w="2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4220" w:type="dxa"/>
            <w:vAlign w:val="bottom"/>
          </w:tcPr>
          <w:p>
            <w:pPr>
              <w:ind w:left="140"/>
              <w:spacing w:after="0"/>
              <w:rPr>
                <w:sz w:val="20"/>
                <w:szCs w:val="20"/>
                <w:color w:val="auto"/>
              </w:rPr>
            </w:pPr>
            <w:r>
              <w:rPr>
                <w:rFonts w:ascii="Arial" w:cs="Arial" w:eastAsia="Arial" w:hAnsi="Arial"/>
                <w:sz w:val="14"/>
                <w:szCs w:val="14"/>
                <w:color w:val="51555C"/>
              </w:rPr>
              <w:t>Add: Stock-based compensation expense</w:t>
            </w:r>
          </w:p>
        </w:tc>
        <w:tc>
          <w:tcPr>
            <w:tcW w:w="20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51555C"/>
              </w:rPr>
              <w:t>3.4</w:t>
            </w:r>
          </w:p>
        </w:tc>
        <w:tc>
          <w:tcPr>
            <w:tcW w:w="2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51555C"/>
              </w:rPr>
              <w:t>4.3</w:t>
            </w:r>
          </w:p>
        </w:tc>
        <w:tc>
          <w:tcPr>
            <w:tcW w:w="1040" w:type="dxa"/>
            <w:vAlign w:val="bottom"/>
          </w:tcPr>
          <w:p>
            <w:pPr>
              <w:jc w:val="right"/>
              <w:spacing w:after="0"/>
              <w:rPr>
                <w:sz w:val="20"/>
                <w:szCs w:val="20"/>
                <w:color w:val="auto"/>
              </w:rPr>
            </w:pPr>
            <w:r>
              <w:rPr>
                <w:rFonts w:ascii="Arial" w:cs="Arial" w:eastAsia="Arial" w:hAnsi="Arial"/>
                <w:sz w:val="14"/>
                <w:szCs w:val="14"/>
                <w:color w:val="51555C"/>
              </w:rPr>
              <w:t>(19.9)%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51555C"/>
              </w:rPr>
              <w:t>11.3</w:t>
            </w:r>
          </w:p>
        </w:tc>
        <w:tc>
          <w:tcPr>
            <w:tcW w:w="20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51555C"/>
              </w:rPr>
              <w:t>14.9</w:t>
            </w:r>
          </w:p>
        </w:tc>
        <w:tc>
          <w:tcPr>
            <w:tcW w:w="1020" w:type="dxa"/>
            <w:vAlign w:val="bottom"/>
          </w:tcPr>
          <w:p>
            <w:pPr>
              <w:jc w:val="right"/>
              <w:spacing w:after="0"/>
              <w:rPr>
                <w:sz w:val="20"/>
                <w:szCs w:val="20"/>
                <w:color w:val="auto"/>
              </w:rPr>
            </w:pPr>
            <w:r>
              <w:rPr>
                <w:rFonts w:ascii="Arial" w:cs="Arial" w:eastAsia="Arial" w:hAnsi="Arial"/>
                <w:sz w:val="14"/>
                <w:szCs w:val="14"/>
                <w:color w:val="51555C"/>
              </w:rPr>
              <w:t>(23.8)%</w:t>
            </w:r>
          </w:p>
        </w:tc>
        <w:tc>
          <w:tcPr>
            <w:tcW w:w="20" w:type="dxa"/>
            <w:vAlign w:val="bottom"/>
          </w:tcPr>
          <w:p>
            <w:pPr>
              <w:spacing w:after="0"/>
              <w:rPr>
                <w:sz w:val="17"/>
                <w:szCs w:val="17"/>
                <w:color w:val="auto"/>
              </w:rPr>
            </w:pPr>
          </w:p>
        </w:tc>
      </w:tr>
      <w:tr>
        <w:trPr>
          <w:trHeight w:val="26"/>
        </w:trPr>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42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Amortization of intangibles from business combinations</w:t>
            </w:r>
          </w:p>
        </w:tc>
        <w:tc>
          <w:tcPr>
            <w:tcW w:w="2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11.9</w:t>
            </w:r>
          </w:p>
        </w:tc>
        <w:tc>
          <w:tcPr>
            <w:tcW w:w="200" w:type="dxa"/>
            <w:vAlign w:val="bottom"/>
            <w:tcBorders>
              <w:bottom w:val="single" w:sz="8" w:color="EBFBFF"/>
            </w:tcBorders>
            <w:shd w:val="clear" w:color="auto" w:fill="EBFBFF"/>
          </w:tcPr>
          <w:p>
            <w:pPr>
              <w:spacing w:after="0"/>
              <w:rPr>
                <w:sz w:val="18"/>
                <w:szCs w:val="18"/>
                <w:color w:val="auto"/>
              </w:rPr>
            </w:pPr>
          </w:p>
        </w:tc>
        <w:tc>
          <w:tcPr>
            <w:tcW w:w="10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8.6</w:t>
            </w: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38.6 %</w:t>
            </w:r>
          </w:p>
        </w:tc>
        <w:tc>
          <w:tcPr>
            <w:tcW w:w="100" w:type="dxa"/>
            <w:vAlign w:val="bottom"/>
            <w:tcBorders>
              <w:bottom w:val="single" w:sz="8" w:color="EBFBFF"/>
            </w:tcBorders>
            <w:shd w:val="clear" w:color="auto" w:fill="EBFBFF"/>
          </w:tcPr>
          <w:p>
            <w:pPr>
              <w:spacing w:after="0"/>
              <w:rPr>
                <w:sz w:val="18"/>
                <w:szCs w:val="18"/>
                <w:color w:val="auto"/>
              </w:rPr>
            </w:pPr>
          </w:p>
        </w:tc>
        <w:tc>
          <w:tcPr>
            <w:tcW w:w="2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36.8</w:t>
            </w:r>
          </w:p>
        </w:tc>
        <w:tc>
          <w:tcPr>
            <w:tcW w:w="2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26.6</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38.4 %</w:t>
            </w:r>
          </w:p>
        </w:tc>
        <w:tc>
          <w:tcPr>
            <w:tcW w:w="20" w:type="dxa"/>
            <w:vAlign w:val="bottom"/>
          </w:tcPr>
          <w:p>
            <w:pPr>
              <w:spacing w:after="0"/>
              <w:rPr>
                <w:sz w:val="18"/>
                <w:szCs w:val="18"/>
                <w:color w:val="auto"/>
              </w:rPr>
            </w:pPr>
          </w:p>
        </w:tc>
      </w:tr>
      <w:tr>
        <w:trPr>
          <w:trHeight w:val="204"/>
        </w:trPr>
        <w:tc>
          <w:tcPr>
            <w:tcW w:w="4220" w:type="dxa"/>
            <w:vAlign w:val="bottom"/>
          </w:tcPr>
          <w:p>
            <w:pPr>
              <w:ind w:left="140"/>
              <w:spacing w:after="0"/>
              <w:rPr>
                <w:sz w:val="20"/>
                <w:szCs w:val="20"/>
                <w:color w:val="auto"/>
              </w:rPr>
            </w:pPr>
            <w:r>
              <w:rPr>
                <w:rFonts w:ascii="Arial" w:cs="Arial" w:eastAsia="Arial" w:hAnsi="Arial"/>
                <w:sz w:val="14"/>
                <w:szCs w:val="14"/>
                <w:color w:val="51555C"/>
              </w:rPr>
              <w:t>Add: Employee severance</w:t>
            </w:r>
          </w:p>
        </w:tc>
        <w:tc>
          <w:tcPr>
            <w:tcW w:w="20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2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1040" w:type="dxa"/>
            <w:vAlign w:val="bottom"/>
          </w:tcPr>
          <w:p>
            <w:pPr>
              <w:jc w:val="right"/>
              <w:spacing w:after="0"/>
              <w:rPr>
                <w:sz w:val="20"/>
                <w:szCs w:val="20"/>
                <w:color w:val="auto"/>
              </w:rPr>
            </w:pPr>
            <w:r>
              <w:rPr>
                <w:rFonts w:ascii="Arial" w:cs="Arial" w:eastAsia="Arial" w:hAnsi="Arial"/>
                <w:sz w:val="14"/>
                <w:szCs w:val="14"/>
                <w:color w:val="51555C"/>
              </w:rPr>
              <w:t>(335.7)%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51555C"/>
              </w:rPr>
              <w:t>0.3</w:t>
            </w:r>
          </w:p>
        </w:tc>
        <w:tc>
          <w:tcPr>
            <w:tcW w:w="20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1020" w:type="dxa"/>
            <w:vAlign w:val="bottom"/>
          </w:tcPr>
          <w:p>
            <w:pPr>
              <w:jc w:val="right"/>
              <w:spacing w:after="0"/>
              <w:rPr>
                <w:sz w:val="20"/>
                <w:szCs w:val="20"/>
                <w:color w:val="auto"/>
              </w:rPr>
            </w:pPr>
            <w:r>
              <w:rPr>
                <w:rFonts w:ascii="Arial" w:cs="Arial" w:eastAsia="Arial" w:hAnsi="Arial"/>
                <w:sz w:val="14"/>
                <w:szCs w:val="14"/>
                <w:color w:val="51555C"/>
              </w:rPr>
              <w:t>1,100.0 %</w:t>
            </w:r>
          </w:p>
        </w:tc>
        <w:tc>
          <w:tcPr>
            <w:tcW w:w="20" w:type="dxa"/>
            <w:vAlign w:val="bottom"/>
          </w:tcPr>
          <w:p>
            <w:pPr>
              <w:spacing w:after="0"/>
              <w:rPr>
                <w:sz w:val="17"/>
                <w:szCs w:val="17"/>
                <w:color w:val="auto"/>
              </w:rPr>
            </w:pPr>
          </w:p>
        </w:tc>
      </w:tr>
      <w:tr>
        <w:trPr>
          <w:trHeight w:val="26"/>
        </w:trPr>
        <w:tc>
          <w:tcPr>
            <w:tcW w:w="4220" w:type="dxa"/>
            <w:vAlign w:val="bottom"/>
            <w:tcBorders>
              <w:bottom w:val="single" w:sz="8" w:color="EBFB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EBFBFF"/>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EBFBFF"/>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220" w:type="dxa"/>
            <w:vAlign w:val="bottom"/>
            <w:shd w:val="clear" w:color="auto" w:fill="EBFBFF"/>
          </w:tcPr>
          <w:p>
            <w:pPr>
              <w:ind w:left="240"/>
              <w:spacing w:after="0"/>
              <w:rPr>
                <w:sz w:val="20"/>
                <w:szCs w:val="20"/>
                <w:color w:val="auto"/>
              </w:rPr>
            </w:pPr>
            <w:r>
              <w:rPr>
                <w:rFonts w:ascii="Arial" w:cs="Arial" w:eastAsia="Arial" w:hAnsi="Arial"/>
                <w:sz w:val="14"/>
                <w:szCs w:val="14"/>
                <w:color w:val="51555C"/>
              </w:rPr>
              <w:t>Subtotal</w:t>
            </w:r>
            <w:r>
              <w:rPr>
                <w:rFonts w:ascii="Arial" w:cs="Arial" w:eastAsia="Arial" w:hAnsi="Arial"/>
                <w:sz w:val="18"/>
                <w:szCs w:val="18"/>
                <w:color w:val="51555C"/>
                <w:vertAlign w:val="superscript"/>
              </w:rPr>
              <w:t>(1)</w:t>
            </w:r>
          </w:p>
        </w:tc>
        <w:tc>
          <w:tcPr>
            <w:tcW w:w="200" w:type="dxa"/>
            <w:vAlign w:val="bottom"/>
            <w:tcBorders>
              <w:bottom w:val="single" w:sz="8" w:color="51555C"/>
            </w:tcBorders>
            <w:shd w:val="clear" w:color="auto" w:fill="EBFBFF"/>
          </w:tcPr>
          <w:p>
            <w:pPr>
              <w:spacing w:after="0"/>
              <w:rPr>
                <w:sz w:val="19"/>
                <w:szCs w:val="19"/>
                <w:color w:val="auto"/>
              </w:rPr>
            </w:pPr>
          </w:p>
        </w:tc>
        <w:tc>
          <w:tcPr>
            <w:tcW w:w="102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15.3</w:t>
            </w:r>
          </w:p>
        </w:tc>
        <w:tc>
          <w:tcPr>
            <w:tcW w:w="200" w:type="dxa"/>
            <w:vAlign w:val="bottom"/>
            <w:tcBorders>
              <w:bottom w:val="single" w:sz="8" w:color="51555C"/>
            </w:tcBorders>
            <w:shd w:val="clear" w:color="auto" w:fill="EBFBFF"/>
          </w:tcPr>
          <w:p>
            <w:pPr>
              <w:spacing w:after="0"/>
              <w:rPr>
                <w:sz w:val="19"/>
                <w:szCs w:val="19"/>
                <w:color w:val="auto"/>
              </w:rPr>
            </w:pPr>
          </w:p>
        </w:tc>
        <w:tc>
          <w:tcPr>
            <w:tcW w:w="100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12.9</w:t>
            </w:r>
          </w:p>
        </w:tc>
        <w:tc>
          <w:tcPr>
            <w:tcW w:w="104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18.8 %</w:t>
            </w:r>
          </w:p>
        </w:tc>
        <w:tc>
          <w:tcPr>
            <w:tcW w:w="100" w:type="dxa"/>
            <w:vAlign w:val="bottom"/>
            <w:shd w:val="clear" w:color="auto" w:fill="EBFBFF"/>
          </w:tcPr>
          <w:p>
            <w:pPr>
              <w:spacing w:after="0"/>
              <w:rPr>
                <w:sz w:val="19"/>
                <w:szCs w:val="19"/>
                <w:color w:val="auto"/>
              </w:rPr>
            </w:pPr>
          </w:p>
        </w:tc>
        <w:tc>
          <w:tcPr>
            <w:tcW w:w="200" w:type="dxa"/>
            <w:vAlign w:val="bottom"/>
            <w:tcBorders>
              <w:bottom w:val="single" w:sz="8" w:color="51555C"/>
            </w:tcBorders>
            <w:shd w:val="clear" w:color="auto" w:fill="EBFBFF"/>
          </w:tcPr>
          <w:p>
            <w:pPr>
              <w:spacing w:after="0"/>
              <w:rPr>
                <w:sz w:val="19"/>
                <w:szCs w:val="19"/>
                <w:color w:val="auto"/>
              </w:rPr>
            </w:pPr>
          </w:p>
        </w:tc>
        <w:tc>
          <w:tcPr>
            <w:tcW w:w="102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48.5</w:t>
            </w:r>
          </w:p>
        </w:tc>
        <w:tc>
          <w:tcPr>
            <w:tcW w:w="200" w:type="dxa"/>
            <w:vAlign w:val="bottom"/>
            <w:tcBorders>
              <w:bottom w:val="single" w:sz="8" w:color="51555C"/>
            </w:tcBorders>
            <w:shd w:val="clear" w:color="auto" w:fill="EBFBFF"/>
          </w:tcPr>
          <w:p>
            <w:pPr>
              <w:spacing w:after="0"/>
              <w:rPr>
                <w:sz w:val="19"/>
                <w:szCs w:val="19"/>
                <w:color w:val="auto"/>
              </w:rPr>
            </w:pPr>
          </w:p>
        </w:tc>
        <w:tc>
          <w:tcPr>
            <w:tcW w:w="102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41.5</w:t>
            </w:r>
          </w:p>
        </w:tc>
        <w:tc>
          <w:tcPr>
            <w:tcW w:w="102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16.8 %</w:t>
            </w:r>
          </w:p>
        </w:tc>
        <w:tc>
          <w:tcPr>
            <w:tcW w:w="20" w:type="dxa"/>
            <w:vAlign w:val="bottom"/>
          </w:tcPr>
          <w:p>
            <w:pPr>
              <w:spacing w:after="0"/>
              <w:rPr>
                <w:sz w:val="19"/>
                <w:szCs w:val="19"/>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4"/>
                <w:szCs w:val="14"/>
                <w:b w:val="1"/>
                <w:bCs w:val="1"/>
                <w:color w:val="51555C"/>
              </w:rPr>
              <w:t>Non-GAAP gross profit</w:t>
            </w:r>
            <w:r>
              <w:rPr>
                <w:rFonts w:ascii="Arial" w:cs="Arial" w:eastAsia="Arial" w:hAnsi="Arial"/>
                <w:sz w:val="18"/>
                <w:szCs w:val="18"/>
                <w:b w:val="1"/>
                <w:bCs w:val="1"/>
                <w:color w:val="51555C"/>
                <w:vertAlign w:val="superscript"/>
              </w:rPr>
              <w:t>(1)</w:t>
            </w:r>
          </w:p>
        </w:tc>
        <w:tc>
          <w:tcPr>
            <w:tcW w:w="200" w:type="dxa"/>
            <w:vAlign w:val="bottom"/>
          </w:tcPr>
          <w:p>
            <w:pPr>
              <w:jc w:val="right"/>
              <w:ind w:right="28"/>
              <w:spacing w:after="0"/>
              <w:rPr>
                <w:sz w:val="20"/>
                <w:szCs w:val="20"/>
                <w:color w:val="auto"/>
              </w:rPr>
            </w:pPr>
            <w:r>
              <w:rPr>
                <w:rFonts w:ascii="Arial" w:cs="Arial" w:eastAsia="Arial" w:hAnsi="Arial"/>
                <w:sz w:val="14"/>
                <w:szCs w:val="14"/>
                <w:color w:val="51555C"/>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51555C"/>
              </w:rPr>
              <w:t>155.7</w:t>
            </w:r>
          </w:p>
        </w:tc>
        <w:tc>
          <w:tcPr>
            <w:tcW w:w="200" w:type="dxa"/>
            <w:vAlign w:val="bottom"/>
          </w:tcPr>
          <w:p>
            <w:pPr>
              <w:jc w:val="right"/>
              <w:ind w:right="28"/>
              <w:spacing w:after="0"/>
              <w:rPr>
                <w:sz w:val="20"/>
                <w:szCs w:val="20"/>
                <w:color w:val="auto"/>
              </w:rPr>
            </w:pPr>
            <w:r>
              <w:rPr>
                <w:rFonts w:ascii="Arial" w:cs="Arial" w:eastAsia="Arial" w:hAnsi="Arial"/>
                <w:sz w:val="14"/>
                <w:szCs w:val="14"/>
                <w:color w:val="51555C"/>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51555C"/>
              </w:rPr>
              <w:t>136.4</w:t>
            </w:r>
          </w:p>
        </w:tc>
        <w:tc>
          <w:tcPr>
            <w:tcW w:w="1040" w:type="dxa"/>
            <w:vAlign w:val="bottom"/>
          </w:tcPr>
          <w:p>
            <w:pPr>
              <w:jc w:val="right"/>
              <w:spacing w:after="0"/>
              <w:rPr>
                <w:sz w:val="20"/>
                <w:szCs w:val="20"/>
                <w:color w:val="auto"/>
              </w:rPr>
            </w:pPr>
            <w:r>
              <w:rPr>
                <w:rFonts w:ascii="Arial" w:cs="Arial" w:eastAsia="Arial" w:hAnsi="Arial"/>
                <w:sz w:val="14"/>
                <w:szCs w:val="14"/>
                <w:color w:val="51555C"/>
              </w:rPr>
              <w:t>14.1 %</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51555C"/>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51555C"/>
              </w:rPr>
              <w:t>461.9</w:t>
            </w:r>
          </w:p>
        </w:tc>
        <w:tc>
          <w:tcPr>
            <w:tcW w:w="200" w:type="dxa"/>
            <w:vAlign w:val="bottom"/>
          </w:tcPr>
          <w:p>
            <w:pPr>
              <w:jc w:val="right"/>
              <w:ind w:right="28"/>
              <w:spacing w:after="0"/>
              <w:rPr>
                <w:sz w:val="20"/>
                <w:szCs w:val="20"/>
                <w:color w:val="auto"/>
              </w:rPr>
            </w:pPr>
            <w:r>
              <w:rPr>
                <w:rFonts w:ascii="Arial" w:cs="Arial" w:eastAsia="Arial" w:hAnsi="Arial"/>
                <w:sz w:val="14"/>
                <w:szCs w:val="14"/>
                <w:color w:val="51555C"/>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51555C"/>
              </w:rPr>
              <w:t>402.2</w:t>
            </w:r>
          </w:p>
        </w:tc>
        <w:tc>
          <w:tcPr>
            <w:tcW w:w="1020" w:type="dxa"/>
            <w:vAlign w:val="bottom"/>
          </w:tcPr>
          <w:p>
            <w:pPr>
              <w:jc w:val="right"/>
              <w:spacing w:after="0"/>
              <w:rPr>
                <w:sz w:val="20"/>
                <w:szCs w:val="20"/>
                <w:color w:val="auto"/>
              </w:rPr>
            </w:pPr>
            <w:r>
              <w:rPr>
                <w:rFonts w:ascii="Arial" w:cs="Arial" w:eastAsia="Arial" w:hAnsi="Arial"/>
                <w:sz w:val="14"/>
                <w:szCs w:val="14"/>
                <w:color w:val="51555C"/>
              </w:rPr>
              <w:t>14.8 %</w:t>
            </w:r>
          </w:p>
        </w:tc>
        <w:tc>
          <w:tcPr>
            <w:tcW w:w="20" w:type="dxa"/>
            <w:vAlign w:val="bottom"/>
          </w:tcPr>
          <w:p>
            <w:pPr>
              <w:spacing w:after="0"/>
              <w:rPr>
                <w:sz w:val="19"/>
                <w:szCs w:val="19"/>
                <w:color w:val="auto"/>
              </w:rPr>
            </w:pPr>
          </w:p>
        </w:tc>
      </w:tr>
      <w:tr>
        <w:trPr>
          <w:trHeight w:val="203"/>
        </w:trPr>
        <w:tc>
          <w:tcPr>
            <w:tcW w:w="4220" w:type="dxa"/>
            <w:vAlign w:val="bottom"/>
            <w:tcBorders>
              <w:top w:val="single" w:sz="8" w:color="EBFBFF"/>
              <w:bottom w:val="single" w:sz="8" w:color="EBFBFF"/>
            </w:tcBorders>
            <w:shd w:val="clear" w:color="auto" w:fill="EBFBFF"/>
          </w:tcPr>
          <w:p>
            <w:pPr>
              <w:ind w:left="140"/>
              <w:spacing w:after="0"/>
              <w:rPr>
                <w:sz w:val="20"/>
                <w:szCs w:val="20"/>
                <w:color w:val="auto"/>
              </w:rPr>
            </w:pPr>
            <w:r>
              <w:rPr>
                <w:rFonts w:ascii="Arial" w:cs="Arial" w:eastAsia="Arial" w:hAnsi="Arial"/>
                <w:sz w:val="14"/>
                <w:szCs w:val="14"/>
                <w:b w:val="1"/>
                <w:bCs w:val="1"/>
                <w:color w:val="51555C"/>
              </w:rPr>
              <w:t>Non-GAAP gross margin</w:t>
            </w:r>
          </w:p>
        </w:tc>
        <w:tc>
          <w:tcPr>
            <w:tcW w:w="200" w:type="dxa"/>
            <w:vAlign w:val="bottom"/>
            <w:tcBorders>
              <w:top w:val="single" w:sz="8" w:color="51555C"/>
              <w:bottom w:val="single" w:sz="8" w:color="EBFBFF"/>
            </w:tcBorders>
            <w:shd w:val="clear" w:color="auto" w:fill="EBFBFF"/>
          </w:tcPr>
          <w:p>
            <w:pPr>
              <w:spacing w:after="0"/>
              <w:rPr>
                <w:sz w:val="17"/>
                <w:szCs w:val="17"/>
                <w:color w:val="auto"/>
              </w:rPr>
            </w:pPr>
          </w:p>
        </w:tc>
        <w:tc>
          <w:tcPr>
            <w:tcW w:w="102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59.6 %</w:t>
            </w:r>
          </w:p>
        </w:tc>
        <w:tc>
          <w:tcPr>
            <w:tcW w:w="200" w:type="dxa"/>
            <w:vAlign w:val="bottom"/>
            <w:tcBorders>
              <w:top w:val="single" w:sz="8" w:color="51555C"/>
              <w:bottom w:val="single" w:sz="8" w:color="EBFBFF"/>
            </w:tcBorders>
            <w:shd w:val="clear" w:color="auto" w:fill="EBFBFF"/>
          </w:tcPr>
          <w:p>
            <w:pPr>
              <w:spacing w:after="0"/>
              <w:rPr>
                <w:sz w:val="17"/>
                <w:szCs w:val="17"/>
                <w:color w:val="auto"/>
              </w:rPr>
            </w:pPr>
          </w:p>
        </w:tc>
        <w:tc>
          <w:tcPr>
            <w:tcW w:w="100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59.0 %</w:t>
            </w:r>
          </w:p>
        </w:tc>
        <w:tc>
          <w:tcPr>
            <w:tcW w:w="1040" w:type="dxa"/>
            <w:vAlign w:val="bottom"/>
            <w:tcBorders>
              <w:top w:val="single" w:sz="8" w:color="EBFBFF"/>
              <w:bottom w:val="single" w:sz="8" w:color="EBFBFF"/>
            </w:tcBorders>
            <w:shd w:val="clear" w:color="auto" w:fill="EBFBFF"/>
          </w:tcPr>
          <w:p>
            <w:pPr>
              <w:spacing w:after="0"/>
              <w:rPr>
                <w:sz w:val="17"/>
                <w:szCs w:val="17"/>
                <w:color w:val="auto"/>
              </w:rPr>
            </w:pPr>
          </w:p>
        </w:tc>
        <w:tc>
          <w:tcPr>
            <w:tcW w:w="100" w:type="dxa"/>
            <w:vAlign w:val="bottom"/>
            <w:tcBorders>
              <w:top w:val="single" w:sz="8" w:color="EBFBFF"/>
              <w:bottom w:val="single" w:sz="8" w:color="EBFBFF"/>
            </w:tcBorders>
            <w:shd w:val="clear" w:color="auto" w:fill="EBFBFF"/>
          </w:tcPr>
          <w:p>
            <w:pPr>
              <w:spacing w:after="0"/>
              <w:rPr>
                <w:sz w:val="17"/>
                <w:szCs w:val="17"/>
                <w:color w:val="auto"/>
              </w:rPr>
            </w:pPr>
          </w:p>
        </w:tc>
        <w:tc>
          <w:tcPr>
            <w:tcW w:w="200" w:type="dxa"/>
            <w:vAlign w:val="bottom"/>
            <w:tcBorders>
              <w:top w:val="single" w:sz="8" w:color="51555C"/>
              <w:bottom w:val="single" w:sz="8" w:color="EBFBFF"/>
            </w:tcBorders>
            <w:shd w:val="clear" w:color="auto" w:fill="EBFBFF"/>
          </w:tcPr>
          <w:p>
            <w:pPr>
              <w:spacing w:after="0"/>
              <w:rPr>
                <w:sz w:val="17"/>
                <w:szCs w:val="17"/>
                <w:color w:val="auto"/>
              </w:rPr>
            </w:pPr>
          </w:p>
        </w:tc>
        <w:tc>
          <w:tcPr>
            <w:tcW w:w="102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59.0 %</w:t>
            </w:r>
          </w:p>
        </w:tc>
        <w:tc>
          <w:tcPr>
            <w:tcW w:w="200" w:type="dxa"/>
            <w:vAlign w:val="bottom"/>
            <w:tcBorders>
              <w:top w:val="single" w:sz="8" w:color="51555C"/>
              <w:bottom w:val="single" w:sz="8" w:color="EBFBFF"/>
            </w:tcBorders>
            <w:shd w:val="clear" w:color="auto" w:fill="EBFBFF"/>
          </w:tcPr>
          <w:p>
            <w:pPr>
              <w:spacing w:after="0"/>
              <w:rPr>
                <w:sz w:val="17"/>
                <w:szCs w:val="17"/>
                <w:color w:val="auto"/>
              </w:rPr>
            </w:pPr>
          </w:p>
        </w:tc>
        <w:tc>
          <w:tcPr>
            <w:tcW w:w="102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59.2 %</w:t>
            </w:r>
          </w:p>
        </w:tc>
        <w:tc>
          <w:tcPr>
            <w:tcW w:w="1020" w:type="dxa"/>
            <w:vAlign w:val="bottom"/>
            <w:tcBorders>
              <w:top w:val="single" w:sz="8" w:color="EBFBFF"/>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54"/>
        </w:trPr>
        <w:tc>
          <w:tcPr>
            <w:tcW w:w="4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9"/>
        </w:trPr>
        <w:tc>
          <w:tcPr>
            <w:tcW w:w="42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GAAP (loss) income from operations</w:t>
            </w:r>
          </w:p>
        </w:tc>
        <w:tc>
          <w:tcPr>
            <w:tcW w:w="200" w:type="dxa"/>
            <w:vAlign w:val="bottom"/>
            <w:tcBorders>
              <w:bottom w:val="single" w:sz="8" w:color="EBFBFF"/>
            </w:tcBorders>
            <w:shd w:val="clear" w:color="auto" w:fill="EBFBFF"/>
          </w:tcPr>
          <w:p>
            <w:pPr>
              <w:jc w:val="right"/>
              <w:ind w:right="28"/>
              <w:spacing w:after="0"/>
              <w:rPr>
                <w:sz w:val="20"/>
                <w:szCs w:val="20"/>
                <w:color w:val="auto"/>
              </w:rPr>
            </w:pPr>
            <w:r>
              <w:rPr>
                <w:rFonts w:ascii="Arial" w:cs="Arial" w:eastAsia="Arial" w:hAnsi="Arial"/>
                <w:sz w:val="14"/>
                <w:szCs w:val="14"/>
                <w:color w:val="51555C"/>
              </w:rPr>
              <w:t>$</w:t>
            </w: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(7.0)</w:t>
            </w:r>
          </w:p>
        </w:tc>
        <w:tc>
          <w:tcPr>
            <w:tcW w:w="200" w:type="dxa"/>
            <w:vAlign w:val="bottom"/>
            <w:tcBorders>
              <w:bottom w:val="single" w:sz="8" w:color="EBFBFF"/>
            </w:tcBorders>
            <w:shd w:val="clear" w:color="auto" w:fill="EBFBFF"/>
          </w:tcPr>
          <w:p>
            <w:pPr>
              <w:jc w:val="right"/>
              <w:ind w:right="28"/>
              <w:spacing w:after="0"/>
              <w:rPr>
                <w:sz w:val="20"/>
                <w:szCs w:val="20"/>
                <w:color w:val="auto"/>
              </w:rPr>
            </w:pPr>
            <w:r>
              <w:rPr>
                <w:rFonts w:ascii="Arial" w:cs="Arial" w:eastAsia="Arial" w:hAnsi="Arial"/>
                <w:sz w:val="14"/>
                <w:szCs w:val="14"/>
                <w:color w:val="51555C"/>
              </w:rPr>
              <w:t>$</w:t>
            </w:r>
          </w:p>
        </w:tc>
        <w:tc>
          <w:tcPr>
            <w:tcW w:w="10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11.8</w:t>
            </w: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(159.2)%</w:t>
            </w:r>
          </w:p>
        </w:tc>
        <w:tc>
          <w:tcPr>
            <w:tcW w:w="300" w:type="dxa"/>
            <w:vAlign w:val="bottom"/>
            <w:tcBorders>
              <w:bottom w:val="single" w:sz="8" w:color="EBFBFF"/>
            </w:tcBorders>
            <w:gridSpan w:val="2"/>
            <w:shd w:val="clear" w:color="auto" w:fill="EBFBFF"/>
          </w:tcPr>
          <w:p>
            <w:pPr>
              <w:jc w:val="right"/>
              <w:ind w:right="100"/>
              <w:spacing w:after="0"/>
              <w:rPr>
                <w:sz w:val="20"/>
                <w:szCs w:val="20"/>
                <w:color w:val="auto"/>
              </w:rPr>
            </w:pPr>
            <w:r>
              <w:rPr>
                <w:rFonts w:ascii="Arial" w:cs="Arial" w:eastAsia="Arial" w:hAnsi="Arial"/>
                <w:sz w:val="14"/>
                <w:szCs w:val="14"/>
                <w:color w:val="51555C"/>
              </w:rPr>
              <w:t>$</w:t>
            </w:r>
          </w:p>
        </w:tc>
        <w:tc>
          <w:tcPr>
            <w:tcW w:w="102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(12.9)</w:t>
            </w:r>
          </w:p>
        </w:tc>
        <w:tc>
          <w:tcPr>
            <w:tcW w:w="200" w:type="dxa"/>
            <w:vAlign w:val="bottom"/>
            <w:tcBorders>
              <w:bottom w:val="single" w:sz="8" w:color="EBFBFF"/>
            </w:tcBorders>
            <w:shd w:val="clear" w:color="auto" w:fill="EBFBFF"/>
          </w:tcPr>
          <w:p>
            <w:pPr>
              <w:jc w:val="right"/>
              <w:ind w:right="28"/>
              <w:spacing w:after="0"/>
              <w:rPr>
                <w:sz w:val="20"/>
                <w:szCs w:val="20"/>
                <w:color w:val="auto"/>
              </w:rPr>
            </w:pPr>
            <w:r>
              <w:rPr>
                <w:rFonts w:ascii="Arial" w:cs="Arial" w:eastAsia="Arial" w:hAnsi="Arial"/>
                <w:sz w:val="14"/>
                <w:szCs w:val="14"/>
                <w:color w:val="51555C"/>
              </w:rPr>
              <w:t>$</w:t>
            </w:r>
          </w:p>
        </w:tc>
        <w:tc>
          <w:tcPr>
            <w:tcW w:w="102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31.5</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(141.0)%</w:t>
            </w:r>
          </w:p>
        </w:tc>
        <w:tc>
          <w:tcPr>
            <w:tcW w:w="20" w:type="dxa"/>
            <w:vAlign w:val="bottom"/>
          </w:tcPr>
          <w:p>
            <w:pPr>
              <w:spacing w:after="0"/>
              <w:rPr>
                <w:sz w:val="18"/>
                <w:szCs w:val="18"/>
                <w:color w:val="auto"/>
              </w:rPr>
            </w:pPr>
          </w:p>
        </w:tc>
      </w:tr>
      <w:tr>
        <w:trPr>
          <w:trHeight w:val="204"/>
        </w:trPr>
        <w:tc>
          <w:tcPr>
            <w:tcW w:w="4220" w:type="dxa"/>
            <w:vAlign w:val="bottom"/>
          </w:tcPr>
          <w:p>
            <w:pPr>
              <w:ind w:left="140"/>
              <w:spacing w:after="0"/>
              <w:rPr>
                <w:sz w:val="20"/>
                <w:szCs w:val="20"/>
                <w:color w:val="auto"/>
              </w:rPr>
            </w:pPr>
            <w:r>
              <w:rPr>
                <w:rFonts w:ascii="Arial" w:cs="Arial" w:eastAsia="Arial" w:hAnsi="Arial"/>
                <w:sz w:val="14"/>
                <w:szCs w:val="14"/>
                <w:b w:val="1"/>
                <w:bCs w:val="1"/>
                <w:color w:val="51555C"/>
              </w:rPr>
              <w:t>GAAP operating margin</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51555C"/>
              </w:rPr>
              <w:t>(2.7)%</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51555C"/>
              </w:rPr>
              <w:t>5.1 %</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51555C"/>
              </w:rPr>
              <w:t>(1.7)%</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51555C"/>
              </w:rPr>
              <w:t>4.6 %</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
        </w:trPr>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42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2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spacing w:after="0"/>
              <w:rPr>
                <w:sz w:val="18"/>
                <w:szCs w:val="18"/>
                <w:color w:val="auto"/>
              </w:rPr>
            </w:pPr>
          </w:p>
        </w:tc>
        <w:tc>
          <w:tcPr>
            <w:tcW w:w="200" w:type="dxa"/>
            <w:vAlign w:val="bottom"/>
            <w:tcBorders>
              <w:bottom w:val="single" w:sz="8" w:color="EBFBFF"/>
            </w:tcBorders>
            <w:shd w:val="clear" w:color="auto" w:fill="EBFBFF"/>
          </w:tcPr>
          <w:p>
            <w:pPr>
              <w:spacing w:after="0"/>
              <w:rPr>
                <w:sz w:val="18"/>
                <w:szCs w:val="18"/>
                <w:color w:val="auto"/>
              </w:rPr>
            </w:pPr>
          </w:p>
        </w:tc>
        <w:tc>
          <w:tcPr>
            <w:tcW w:w="100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spacing w:after="0"/>
              <w:rPr>
                <w:sz w:val="18"/>
                <w:szCs w:val="18"/>
                <w:color w:val="auto"/>
              </w:rPr>
            </w:pPr>
          </w:p>
        </w:tc>
        <w:tc>
          <w:tcPr>
            <w:tcW w:w="100" w:type="dxa"/>
            <w:vAlign w:val="bottom"/>
            <w:tcBorders>
              <w:bottom w:val="single" w:sz="8" w:color="EBFBFF"/>
            </w:tcBorders>
            <w:shd w:val="clear" w:color="auto" w:fill="EBFBFF"/>
          </w:tcPr>
          <w:p>
            <w:pPr>
              <w:spacing w:after="0"/>
              <w:rPr>
                <w:sz w:val="18"/>
                <w:szCs w:val="18"/>
                <w:color w:val="auto"/>
              </w:rPr>
            </w:pPr>
          </w:p>
        </w:tc>
        <w:tc>
          <w:tcPr>
            <w:tcW w:w="2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spacing w:after="0"/>
              <w:rPr>
                <w:sz w:val="18"/>
                <w:szCs w:val="18"/>
                <w:color w:val="auto"/>
              </w:rPr>
            </w:pPr>
          </w:p>
        </w:tc>
        <w:tc>
          <w:tcPr>
            <w:tcW w:w="2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4220" w:type="dxa"/>
            <w:vAlign w:val="bottom"/>
          </w:tcPr>
          <w:p>
            <w:pPr>
              <w:ind w:left="140"/>
              <w:spacing w:after="0"/>
              <w:rPr>
                <w:sz w:val="20"/>
                <w:szCs w:val="20"/>
                <w:color w:val="auto"/>
              </w:rPr>
            </w:pPr>
            <w:r>
              <w:rPr>
                <w:rFonts w:ascii="Arial" w:cs="Arial" w:eastAsia="Arial" w:hAnsi="Arial"/>
                <w:sz w:val="14"/>
                <w:szCs w:val="14"/>
                <w:color w:val="51555C"/>
              </w:rPr>
              <w:t>Add: Stock-based compensation expense</w:t>
            </w:r>
          </w:p>
        </w:tc>
        <w:tc>
          <w:tcPr>
            <w:tcW w:w="20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51555C"/>
              </w:rPr>
              <w:t>27.9</w:t>
            </w:r>
          </w:p>
        </w:tc>
        <w:tc>
          <w:tcPr>
            <w:tcW w:w="2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51555C"/>
              </w:rPr>
              <w:t>28.9</w:t>
            </w:r>
          </w:p>
        </w:tc>
        <w:tc>
          <w:tcPr>
            <w:tcW w:w="1040" w:type="dxa"/>
            <w:vAlign w:val="bottom"/>
          </w:tcPr>
          <w:p>
            <w:pPr>
              <w:jc w:val="right"/>
              <w:spacing w:after="0"/>
              <w:rPr>
                <w:sz w:val="20"/>
                <w:szCs w:val="20"/>
                <w:color w:val="auto"/>
              </w:rPr>
            </w:pPr>
            <w:r>
              <w:rPr>
                <w:rFonts w:ascii="Arial" w:cs="Arial" w:eastAsia="Arial" w:hAnsi="Arial"/>
                <w:sz w:val="14"/>
                <w:szCs w:val="14"/>
                <w:color w:val="51555C"/>
              </w:rPr>
              <w:t>(3.4)%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51555C"/>
              </w:rPr>
              <w:t>83.7</w:t>
            </w:r>
          </w:p>
        </w:tc>
        <w:tc>
          <w:tcPr>
            <w:tcW w:w="20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51555C"/>
              </w:rPr>
              <w:t>89.5</w:t>
            </w:r>
          </w:p>
        </w:tc>
        <w:tc>
          <w:tcPr>
            <w:tcW w:w="1020" w:type="dxa"/>
            <w:vAlign w:val="bottom"/>
          </w:tcPr>
          <w:p>
            <w:pPr>
              <w:jc w:val="right"/>
              <w:spacing w:after="0"/>
              <w:rPr>
                <w:sz w:val="20"/>
                <w:szCs w:val="20"/>
                <w:color w:val="auto"/>
              </w:rPr>
            </w:pPr>
            <w:r>
              <w:rPr>
                <w:rFonts w:ascii="Arial" w:cs="Arial" w:eastAsia="Arial" w:hAnsi="Arial"/>
                <w:sz w:val="14"/>
                <w:szCs w:val="14"/>
                <w:color w:val="51555C"/>
              </w:rPr>
              <w:t>(6.5)%</w:t>
            </w:r>
          </w:p>
        </w:tc>
        <w:tc>
          <w:tcPr>
            <w:tcW w:w="20" w:type="dxa"/>
            <w:vAlign w:val="bottom"/>
          </w:tcPr>
          <w:p>
            <w:pPr>
              <w:spacing w:after="0"/>
              <w:rPr>
                <w:sz w:val="17"/>
                <w:szCs w:val="17"/>
                <w:color w:val="auto"/>
              </w:rPr>
            </w:pPr>
          </w:p>
        </w:tc>
      </w:tr>
      <w:tr>
        <w:trPr>
          <w:trHeight w:val="26"/>
        </w:trPr>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42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Amortization of intangibles from business combinations</w:t>
            </w:r>
          </w:p>
        </w:tc>
        <w:tc>
          <w:tcPr>
            <w:tcW w:w="2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12.6</w:t>
            </w:r>
          </w:p>
        </w:tc>
        <w:tc>
          <w:tcPr>
            <w:tcW w:w="200" w:type="dxa"/>
            <w:vAlign w:val="bottom"/>
            <w:tcBorders>
              <w:bottom w:val="single" w:sz="8" w:color="EBFBFF"/>
            </w:tcBorders>
            <w:shd w:val="clear" w:color="auto" w:fill="EBFBFF"/>
          </w:tcPr>
          <w:p>
            <w:pPr>
              <w:spacing w:after="0"/>
              <w:rPr>
                <w:sz w:val="18"/>
                <w:szCs w:val="18"/>
                <w:color w:val="auto"/>
              </w:rPr>
            </w:pPr>
          </w:p>
        </w:tc>
        <w:tc>
          <w:tcPr>
            <w:tcW w:w="10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9.2</w:t>
            </w: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37.2 %</w:t>
            </w:r>
          </w:p>
        </w:tc>
        <w:tc>
          <w:tcPr>
            <w:tcW w:w="100" w:type="dxa"/>
            <w:vAlign w:val="bottom"/>
            <w:tcBorders>
              <w:bottom w:val="single" w:sz="8" w:color="EBFBFF"/>
            </w:tcBorders>
            <w:shd w:val="clear" w:color="auto" w:fill="EBFBFF"/>
          </w:tcPr>
          <w:p>
            <w:pPr>
              <w:spacing w:after="0"/>
              <w:rPr>
                <w:sz w:val="18"/>
                <w:szCs w:val="18"/>
                <w:color w:val="auto"/>
              </w:rPr>
            </w:pPr>
          </w:p>
        </w:tc>
        <w:tc>
          <w:tcPr>
            <w:tcW w:w="2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39.1</w:t>
            </w:r>
          </w:p>
        </w:tc>
        <w:tc>
          <w:tcPr>
            <w:tcW w:w="2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28.3</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38.2 %</w:t>
            </w:r>
          </w:p>
        </w:tc>
        <w:tc>
          <w:tcPr>
            <w:tcW w:w="20" w:type="dxa"/>
            <w:vAlign w:val="bottom"/>
          </w:tcPr>
          <w:p>
            <w:pPr>
              <w:spacing w:after="0"/>
              <w:rPr>
                <w:sz w:val="18"/>
                <w:szCs w:val="18"/>
                <w:color w:val="auto"/>
              </w:rPr>
            </w:pPr>
          </w:p>
        </w:tc>
      </w:tr>
      <w:tr>
        <w:trPr>
          <w:trHeight w:val="204"/>
        </w:trPr>
        <w:tc>
          <w:tcPr>
            <w:tcW w:w="4220" w:type="dxa"/>
            <w:vAlign w:val="bottom"/>
          </w:tcPr>
          <w:p>
            <w:pPr>
              <w:ind w:left="140"/>
              <w:spacing w:after="0"/>
              <w:rPr>
                <w:sz w:val="20"/>
                <w:szCs w:val="20"/>
                <w:color w:val="auto"/>
              </w:rPr>
            </w:pPr>
            <w:r>
              <w:rPr>
                <w:rFonts w:ascii="Arial" w:cs="Arial" w:eastAsia="Arial" w:hAnsi="Arial"/>
                <w:sz w:val="14"/>
                <w:szCs w:val="14"/>
                <w:color w:val="51555C"/>
              </w:rPr>
              <w:t>Add: Employee severance</w:t>
            </w:r>
          </w:p>
        </w:tc>
        <w:tc>
          <w:tcPr>
            <w:tcW w:w="20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51555C"/>
              </w:rPr>
              <w:t>0.2</w:t>
            </w:r>
          </w:p>
        </w:tc>
        <w:tc>
          <w:tcPr>
            <w:tcW w:w="2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51555C"/>
              </w:rPr>
              <w:t>0.1</w:t>
            </w:r>
          </w:p>
        </w:tc>
        <w:tc>
          <w:tcPr>
            <w:tcW w:w="1040" w:type="dxa"/>
            <w:vAlign w:val="bottom"/>
          </w:tcPr>
          <w:p>
            <w:pPr>
              <w:jc w:val="right"/>
              <w:spacing w:after="0"/>
              <w:rPr>
                <w:sz w:val="20"/>
                <w:szCs w:val="20"/>
                <w:color w:val="auto"/>
              </w:rPr>
            </w:pPr>
            <w:r>
              <w:rPr>
                <w:rFonts w:ascii="Arial" w:cs="Arial" w:eastAsia="Arial" w:hAnsi="Arial"/>
                <w:sz w:val="14"/>
                <w:szCs w:val="14"/>
                <w:color w:val="51555C"/>
              </w:rPr>
              <w:t>241.2 %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51555C"/>
              </w:rPr>
              <w:t>0.7</w:t>
            </w:r>
          </w:p>
        </w:tc>
        <w:tc>
          <w:tcPr>
            <w:tcW w:w="20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51555C"/>
              </w:rPr>
              <w:t>1.5</w:t>
            </w:r>
          </w:p>
        </w:tc>
        <w:tc>
          <w:tcPr>
            <w:tcW w:w="1020" w:type="dxa"/>
            <w:vAlign w:val="bottom"/>
          </w:tcPr>
          <w:p>
            <w:pPr>
              <w:jc w:val="right"/>
              <w:spacing w:after="0"/>
              <w:rPr>
                <w:sz w:val="20"/>
                <w:szCs w:val="20"/>
                <w:color w:val="auto"/>
              </w:rPr>
            </w:pPr>
            <w:r>
              <w:rPr>
                <w:rFonts w:ascii="Arial" w:cs="Arial" w:eastAsia="Arial" w:hAnsi="Arial"/>
                <w:sz w:val="14"/>
                <w:szCs w:val="14"/>
                <w:color w:val="51555C"/>
              </w:rPr>
              <w:t>(54.0)%</w:t>
            </w:r>
          </w:p>
        </w:tc>
        <w:tc>
          <w:tcPr>
            <w:tcW w:w="20" w:type="dxa"/>
            <w:vAlign w:val="bottom"/>
          </w:tcPr>
          <w:p>
            <w:pPr>
              <w:spacing w:after="0"/>
              <w:rPr>
                <w:sz w:val="17"/>
                <w:szCs w:val="17"/>
                <w:color w:val="auto"/>
              </w:rPr>
            </w:pPr>
          </w:p>
        </w:tc>
      </w:tr>
      <w:tr>
        <w:trPr>
          <w:trHeight w:val="26"/>
        </w:trPr>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422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Acquisition and disposition-related costs</w:t>
            </w:r>
            <w:r>
              <w:rPr>
                <w:rFonts w:ascii="Arial" w:cs="Arial" w:eastAsia="Arial" w:hAnsi="Arial"/>
                <w:sz w:val="18"/>
                <w:szCs w:val="18"/>
                <w:color w:val="51555C"/>
                <w:vertAlign w:val="superscript"/>
              </w:rPr>
              <w:t>(2)</w:t>
            </w:r>
          </w:p>
        </w:tc>
        <w:tc>
          <w:tcPr>
            <w:tcW w:w="200" w:type="dxa"/>
            <w:vAlign w:val="bottom"/>
            <w:shd w:val="clear" w:color="auto" w:fill="EBFBFF"/>
          </w:tcPr>
          <w:p>
            <w:pPr>
              <w:spacing w:after="0"/>
              <w:rPr>
                <w:sz w:val="19"/>
                <w:szCs w:val="19"/>
                <w:color w:val="auto"/>
              </w:rPr>
            </w:pPr>
          </w:p>
        </w:tc>
        <w:tc>
          <w:tcPr>
            <w:tcW w:w="102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2.5</w:t>
            </w:r>
          </w:p>
        </w:tc>
        <w:tc>
          <w:tcPr>
            <w:tcW w:w="200" w:type="dxa"/>
            <w:vAlign w:val="bottom"/>
            <w:shd w:val="clear" w:color="auto" w:fill="EBFBFF"/>
          </w:tcPr>
          <w:p>
            <w:pPr>
              <w:spacing w:after="0"/>
              <w:rPr>
                <w:sz w:val="19"/>
                <w:szCs w:val="19"/>
                <w:color w:val="auto"/>
              </w:rPr>
            </w:pPr>
          </w:p>
        </w:tc>
        <w:tc>
          <w:tcPr>
            <w:tcW w:w="10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0.1</w:t>
            </w:r>
          </w:p>
        </w:tc>
        <w:tc>
          <w:tcPr>
            <w:tcW w:w="104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4,812.0 %</w:t>
            </w:r>
          </w:p>
        </w:tc>
        <w:tc>
          <w:tcPr>
            <w:tcW w:w="100" w:type="dxa"/>
            <w:vAlign w:val="bottom"/>
            <w:shd w:val="clear" w:color="auto" w:fill="EBFBFF"/>
          </w:tcPr>
          <w:p>
            <w:pPr>
              <w:spacing w:after="0"/>
              <w:rPr>
                <w:sz w:val="19"/>
                <w:szCs w:val="19"/>
                <w:color w:val="auto"/>
              </w:rPr>
            </w:pPr>
          </w:p>
        </w:tc>
        <w:tc>
          <w:tcPr>
            <w:tcW w:w="200" w:type="dxa"/>
            <w:vAlign w:val="bottom"/>
            <w:shd w:val="clear" w:color="auto" w:fill="EBFBFF"/>
          </w:tcPr>
          <w:p>
            <w:pPr>
              <w:spacing w:after="0"/>
              <w:rPr>
                <w:sz w:val="19"/>
                <w:szCs w:val="19"/>
                <w:color w:val="auto"/>
              </w:rPr>
            </w:pPr>
          </w:p>
        </w:tc>
        <w:tc>
          <w:tcPr>
            <w:tcW w:w="102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5.7</w:t>
            </w:r>
          </w:p>
        </w:tc>
        <w:tc>
          <w:tcPr>
            <w:tcW w:w="200" w:type="dxa"/>
            <w:vAlign w:val="bottom"/>
            <w:shd w:val="clear" w:color="auto" w:fill="EBFBFF"/>
          </w:tcPr>
          <w:p>
            <w:pPr>
              <w:spacing w:after="0"/>
              <w:rPr>
                <w:sz w:val="19"/>
                <w:szCs w:val="19"/>
                <w:color w:val="auto"/>
              </w:rPr>
            </w:pPr>
          </w:p>
        </w:tc>
        <w:tc>
          <w:tcPr>
            <w:tcW w:w="102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0.1</w:t>
            </w:r>
          </w:p>
        </w:tc>
        <w:tc>
          <w:tcPr>
            <w:tcW w:w="102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6,943.2 %</w:t>
            </w:r>
          </w:p>
        </w:tc>
        <w:tc>
          <w:tcPr>
            <w:tcW w:w="20" w:type="dxa"/>
            <w:vAlign w:val="bottom"/>
          </w:tcPr>
          <w:p>
            <w:pPr>
              <w:spacing w:after="0"/>
              <w:rPr>
                <w:sz w:val="19"/>
                <w:szCs w:val="19"/>
                <w:color w:val="auto"/>
              </w:rPr>
            </w:pPr>
          </w:p>
        </w:tc>
      </w:tr>
      <w:tr>
        <w:trPr>
          <w:trHeight w:val="204"/>
        </w:trPr>
        <w:tc>
          <w:tcPr>
            <w:tcW w:w="4220" w:type="dxa"/>
            <w:vAlign w:val="bottom"/>
          </w:tcPr>
          <w:p>
            <w:pPr>
              <w:ind w:left="140"/>
              <w:spacing w:after="0"/>
              <w:rPr>
                <w:sz w:val="20"/>
                <w:szCs w:val="20"/>
                <w:color w:val="auto"/>
              </w:rPr>
            </w:pPr>
            <w:r>
              <w:rPr>
                <w:rFonts w:ascii="Arial" w:cs="Arial" w:eastAsia="Arial" w:hAnsi="Arial"/>
                <w:sz w:val="14"/>
                <w:szCs w:val="14"/>
                <w:color w:val="51555C"/>
              </w:rPr>
              <w:t>Add: Restructuring and other real estate activities</w:t>
            </w:r>
          </w:p>
        </w:tc>
        <w:tc>
          <w:tcPr>
            <w:tcW w:w="20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20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51555C"/>
              </w:rPr>
              <w:t>(0.4)</w:t>
            </w:r>
          </w:p>
        </w:tc>
        <w:tc>
          <w:tcPr>
            <w:tcW w:w="1040" w:type="dxa"/>
            <w:vAlign w:val="bottom"/>
          </w:tcPr>
          <w:p>
            <w:pPr>
              <w:jc w:val="right"/>
              <w:spacing w:after="0"/>
              <w:rPr>
                <w:sz w:val="20"/>
                <w:szCs w:val="20"/>
                <w:color w:val="auto"/>
              </w:rPr>
            </w:pPr>
            <w:r>
              <w:rPr>
                <w:rFonts w:ascii="Arial" w:cs="Arial" w:eastAsia="Arial" w:hAnsi="Arial"/>
                <w:sz w:val="14"/>
                <w:szCs w:val="14"/>
                <w:color w:val="51555C"/>
              </w:rPr>
              <w:t>(100.0)%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51555C"/>
              </w:rPr>
              <w:t>0.1</w:t>
            </w:r>
          </w:p>
        </w:tc>
        <w:tc>
          <w:tcPr>
            <w:tcW w:w="20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51555C"/>
              </w:rPr>
              <w:t>(0.4)</w:t>
            </w:r>
          </w:p>
        </w:tc>
        <w:tc>
          <w:tcPr>
            <w:tcW w:w="1020" w:type="dxa"/>
            <w:vAlign w:val="bottom"/>
          </w:tcPr>
          <w:p>
            <w:pPr>
              <w:jc w:val="right"/>
              <w:spacing w:after="0"/>
              <w:rPr>
                <w:sz w:val="20"/>
                <w:szCs w:val="20"/>
                <w:color w:val="auto"/>
              </w:rPr>
            </w:pPr>
            <w:r>
              <w:rPr>
                <w:rFonts w:ascii="Arial" w:cs="Arial" w:eastAsia="Arial" w:hAnsi="Arial"/>
                <w:sz w:val="14"/>
                <w:szCs w:val="14"/>
                <w:color w:val="51555C"/>
              </w:rPr>
              <w:t>(117.2)%</w:t>
            </w:r>
          </w:p>
        </w:tc>
        <w:tc>
          <w:tcPr>
            <w:tcW w:w="20" w:type="dxa"/>
            <w:vAlign w:val="bottom"/>
          </w:tcPr>
          <w:p>
            <w:pPr>
              <w:spacing w:after="0"/>
              <w:rPr>
                <w:sz w:val="17"/>
                <w:szCs w:val="17"/>
                <w:color w:val="auto"/>
              </w:rPr>
            </w:pPr>
          </w:p>
        </w:tc>
      </w:tr>
      <w:tr>
        <w:trPr>
          <w:trHeight w:val="26"/>
        </w:trPr>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422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Security Incident-related costs, net of insurance</w:t>
            </w:r>
            <w:r>
              <w:rPr>
                <w:rFonts w:ascii="Arial" w:cs="Arial" w:eastAsia="Arial" w:hAnsi="Arial"/>
                <w:sz w:val="18"/>
                <w:szCs w:val="18"/>
                <w:color w:val="51555C"/>
                <w:vertAlign w:val="superscript"/>
              </w:rPr>
              <w:t>(3)</w:t>
            </w:r>
          </w:p>
        </w:tc>
        <w:tc>
          <w:tcPr>
            <w:tcW w:w="200" w:type="dxa"/>
            <w:vAlign w:val="bottom"/>
            <w:shd w:val="clear" w:color="auto" w:fill="EBFBFF"/>
          </w:tcPr>
          <w:p>
            <w:pPr>
              <w:spacing w:after="0"/>
              <w:rPr>
                <w:sz w:val="19"/>
                <w:szCs w:val="19"/>
                <w:color w:val="auto"/>
              </w:rPr>
            </w:pPr>
          </w:p>
        </w:tc>
        <w:tc>
          <w:tcPr>
            <w:tcW w:w="102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13.7</w:t>
            </w:r>
          </w:p>
        </w:tc>
        <w:tc>
          <w:tcPr>
            <w:tcW w:w="200" w:type="dxa"/>
            <w:vAlign w:val="bottom"/>
            <w:shd w:val="clear" w:color="auto" w:fill="EBFBFF"/>
          </w:tcPr>
          <w:p>
            <w:pPr>
              <w:spacing w:after="0"/>
              <w:rPr>
                <w:sz w:val="19"/>
                <w:szCs w:val="19"/>
                <w:color w:val="auto"/>
              </w:rPr>
            </w:pPr>
          </w:p>
        </w:tc>
        <w:tc>
          <w:tcPr>
            <w:tcW w:w="10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0.9</w:t>
            </w:r>
          </w:p>
        </w:tc>
        <w:tc>
          <w:tcPr>
            <w:tcW w:w="104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1,504.9 %</w:t>
            </w:r>
          </w:p>
        </w:tc>
        <w:tc>
          <w:tcPr>
            <w:tcW w:w="100" w:type="dxa"/>
            <w:vAlign w:val="bottom"/>
            <w:shd w:val="clear" w:color="auto" w:fill="EBFBFF"/>
          </w:tcPr>
          <w:p>
            <w:pPr>
              <w:spacing w:after="0"/>
              <w:rPr>
                <w:sz w:val="19"/>
                <w:szCs w:val="19"/>
                <w:color w:val="auto"/>
              </w:rPr>
            </w:pPr>
          </w:p>
        </w:tc>
        <w:tc>
          <w:tcPr>
            <w:tcW w:w="200" w:type="dxa"/>
            <w:vAlign w:val="bottom"/>
            <w:shd w:val="clear" w:color="auto" w:fill="EBFBFF"/>
          </w:tcPr>
          <w:p>
            <w:pPr>
              <w:spacing w:after="0"/>
              <w:rPr>
                <w:sz w:val="19"/>
                <w:szCs w:val="19"/>
                <w:color w:val="auto"/>
              </w:rPr>
            </w:pPr>
          </w:p>
        </w:tc>
        <w:tc>
          <w:tcPr>
            <w:tcW w:w="102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29.2</w:t>
            </w:r>
          </w:p>
        </w:tc>
        <w:tc>
          <w:tcPr>
            <w:tcW w:w="200" w:type="dxa"/>
            <w:vAlign w:val="bottom"/>
            <w:shd w:val="clear" w:color="auto" w:fill="EBFBFF"/>
          </w:tcPr>
          <w:p>
            <w:pPr>
              <w:spacing w:after="0"/>
              <w:rPr>
                <w:sz w:val="19"/>
                <w:szCs w:val="19"/>
                <w:color w:val="auto"/>
              </w:rPr>
            </w:pPr>
          </w:p>
        </w:tc>
        <w:tc>
          <w:tcPr>
            <w:tcW w:w="102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1.3</w:t>
            </w:r>
          </w:p>
        </w:tc>
        <w:tc>
          <w:tcPr>
            <w:tcW w:w="102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2,109.3 %</w:t>
            </w:r>
          </w:p>
        </w:tc>
        <w:tc>
          <w:tcPr>
            <w:tcW w:w="20" w:type="dxa"/>
            <w:vAlign w:val="bottom"/>
          </w:tcPr>
          <w:p>
            <w:pPr>
              <w:spacing w:after="0"/>
              <w:rPr>
                <w:sz w:val="19"/>
                <w:szCs w:val="19"/>
                <w:color w:val="auto"/>
              </w:rPr>
            </w:pPr>
          </w:p>
        </w:tc>
      </w:tr>
      <w:tr>
        <w:trPr>
          <w:trHeight w:val="204"/>
        </w:trPr>
        <w:tc>
          <w:tcPr>
            <w:tcW w:w="4220" w:type="dxa"/>
            <w:vAlign w:val="bottom"/>
          </w:tcPr>
          <w:p>
            <w:pPr>
              <w:ind w:left="140"/>
              <w:spacing w:after="0"/>
              <w:rPr>
                <w:sz w:val="20"/>
                <w:szCs w:val="20"/>
                <w:color w:val="auto"/>
              </w:rPr>
            </w:pPr>
            <w:r>
              <w:rPr>
                <w:rFonts w:ascii="Arial" w:cs="Arial" w:eastAsia="Arial" w:hAnsi="Arial"/>
                <w:sz w:val="14"/>
                <w:szCs w:val="14"/>
                <w:color w:val="51555C"/>
              </w:rPr>
              <w:t>Add: Impairment of capitalized software development costs</w:t>
            </w:r>
          </w:p>
        </w:tc>
        <w:tc>
          <w:tcPr>
            <w:tcW w:w="20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2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1040" w:type="dxa"/>
            <w:vAlign w:val="bottom"/>
          </w:tcPr>
          <w:p>
            <w:pPr>
              <w:jc w:val="right"/>
              <w:spacing w:after="0"/>
              <w:rPr>
                <w:sz w:val="20"/>
                <w:szCs w:val="20"/>
                <w:color w:val="auto"/>
              </w:rPr>
            </w:pPr>
            <w:r>
              <w:rPr>
                <w:rFonts w:ascii="Arial" w:cs="Arial" w:eastAsia="Arial" w:hAnsi="Arial"/>
                <w:sz w:val="14"/>
                <w:szCs w:val="14"/>
                <w:color w:val="51555C"/>
              </w:rPr>
              <w:t>—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51555C"/>
              </w:rPr>
              <w:t>2.3</w:t>
            </w:r>
          </w:p>
        </w:tc>
        <w:tc>
          <w:tcPr>
            <w:tcW w:w="20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1020" w:type="dxa"/>
            <w:vAlign w:val="bottom"/>
          </w:tcPr>
          <w:p>
            <w:pPr>
              <w:jc w:val="right"/>
              <w:spacing w:after="0"/>
              <w:rPr>
                <w:sz w:val="20"/>
                <w:szCs w:val="20"/>
                <w:color w:val="auto"/>
              </w:rPr>
            </w:pPr>
            <w:r>
              <w:rPr>
                <w:rFonts w:ascii="Arial" w:cs="Arial" w:eastAsia="Arial" w:hAnsi="Arial"/>
                <w:sz w:val="14"/>
                <w:szCs w:val="14"/>
                <w:color w:val="51555C"/>
              </w:rPr>
              <w:t>100.0 %</w:t>
            </w:r>
          </w:p>
        </w:tc>
        <w:tc>
          <w:tcPr>
            <w:tcW w:w="20" w:type="dxa"/>
            <w:vAlign w:val="bottom"/>
          </w:tcPr>
          <w:p>
            <w:pPr>
              <w:spacing w:after="0"/>
              <w:rPr>
                <w:sz w:val="17"/>
                <w:szCs w:val="17"/>
                <w:color w:val="auto"/>
              </w:rPr>
            </w:pPr>
          </w:p>
        </w:tc>
      </w:tr>
      <w:tr>
        <w:trPr>
          <w:trHeight w:val="25"/>
        </w:trPr>
        <w:tc>
          <w:tcPr>
            <w:tcW w:w="4220" w:type="dxa"/>
            <w:vAlign w:val="bottom"/>
            <w:tcBorders>
              <w:bottom w:val="single" w:sz="8" w:color="EBFBFF"/>
            </w:tcBorders>
          </w:tcPr>
          <w:p>
            <w:pPr>
              <w:spacing w:after="0"/>
              <w:rPr>
                <w:sz w:val="2"/>
                <w:szCs w:val="2"/>
                <w:color w:val="auto"/>
              </w:rPr>
            </w:pPr>
          </w:p>
        </w:tc>
        <w:tc>
          <w:tcPr>
            <w:tcW w:w="200" w:type="dxa"/>
            <w:vAlign w:val="bottom"/>
            <w:tcBorders>
              <w:bottom w:val="single" w:sz="8" w:color="51555C"/>
            </w:tcBorders>
          </w:tcPr>
          <w:p>
            <w:pPr>
              <w:spacing w:after="0"/>
              <w:rPr>
                <w:sz w:val="2"/>
                <w:szCs w:val="2"/>
                <w:color w:val="auto"/>
              </w:rPr>
            </w:pPr>
          </w:p>
        </w:tc>
        <w:tc>
          <w:tcPr>
            <w:tcW w:w="1020" w:type="dxa"/>
            <w:vAlign w:val="bottom"/>
            <w:tcBorders>
              <w:bottom w:val="single" w:sz="8" w:color="51555C"/>
            </w:tcBorders>
          </w:tcPr>
          <w:p>
            <w:pPr>
              <w:spacing w:after="0"/>
              <w:rPr>
                <w:sz w:val="2"/>
                <w:szCs w:val="2"/>
                <w:color w:val="auto"/>
              </w:rPr>
            </w:pPr>
          </w:p>
        </w:tc>
        <w:tc>
          <w:tcPr>
            <w:tcW w:w="200" w:type="dxa"/>
            <w:vAlign w:val="bottom"/>
            <w:tcBorders>
              <w:bottom w:val="single" w:sz="8" w:color="51555C"/>
            </w:tcBorders>
          </w:tcPr>
          <w:p>
            <w:pPr>
              <w:spacing w:after="0"/>
              <w:rPr>
                <w:sz w:val="2"/>
                <w:szCs w:val="2"/>
                <w:color w:val="auto"/>
              </w:rPr>
            </w:pPr>
          </w:p>
        </w:tc>
        <w:tc>
          <w:tcPr>
            <w:tcW w:w="1000" w:type="dxa"/>
            <w:vAlign w:val="bottom"/>
            <w:tcBorders>
              <w:bottom w:val="single" w:sz="8" w:color="51555C"/>
            </w:tcBorders>
          </w:tcPr>
          <w:p>
            <w:pPr>
              <w:spacing w:after="0"/>
              <w:rPr>
                <w:sz w:val="2"/>
                <w:szCs w:val="2"/>
                <w:color w:val="auto"/>
              </w:rPr>
            </w:pPr>
          </w:p>
        </w:tc>
        <w:tc>
          <w:tcPr>
            <w:tcW w:w="1040" w:type="dxa"/>
            <w:vAlign w:val="bottom"/>
            <w:tcBorders>
              <w:bottom w:val="single" w:sz="8" w:color="EBFBFF"/>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200" w:type="dxa"/>
            <w:vAlign w:val="bottom"/>
            <w:tcBorders>
              <w:bottom w:val="single" w:sz="8" w:color="51555C"/>
            </w:tcBorders>
          </w:tcPr>
          <w:p>
            <w:pPr>
              <w:spacing w:after="0"/>
              <w:rPr>
                <w:sz w:val="2"/>
                <w:szCs w:val="2"/>
                <w:color w:val="auto"/>
              </w:rPr>
            </w:pPr>
          </w:p>
        </w:tc>
        <w:tc>
          <w:tcPr>
            <w:tcW w:w="1020" w:type="dxa"/>
            <w:vAlign w:val="bottom"/>
            <w:tcBorders>
              <w:bottom w:val="single" w:sz="8" w:color="51555C"/>
            </w:tcBorders>
          </w:tcPr>
          <w:p>
            <w:pPr>
              <w:spacing w:after="0"/>
              <w:rPr>
                <w:sz w:val="2"/>
                <w:szCs w:val="2"/>
                <w:color w:val="auto"/>
              </w:rPr>
            </w:pPr>
          </w:p>
        </w:tc>
        <w:tc>
          <w:tcPr>
            <w:tcW w:w="200" w:type="dxa"/>
            <w:vAlign w:val="bottom"/>
            <w:tcBorders>
              <w:bottom w:val="single" w:sz="8" w:color="51555C"/>
            </w:tcBorders>
          </w:tcPr>
          <w:p>
            <w:pPr>
              <w:spacing w:after="0"/>
              <w:rPr>
                <w:sz w:val="2"/>
                <w:szCs w:val="2"/>
                <w:color w:val="auto"/>
              </w:rPr>
            </w:pPr>
          </w:p>
        </w:tc>
        <w:tc>
          <w:tcPr>
            <w:tcW w:w="1020" w:type="dxa"/>
            <w:vAlign w:val="bottom"/>
            <w:tcBorders>
              <w:bottom w:val="single" w:sz="8" w:color="51555C"/>
            </w:tcBorders>
          </w:tcPr>
          <w:p>
            <w:pPr>
              <w:spacing w:after="0"/>
              <w:rPr>
                <w:sz w:val="2"/>
                <w:szCs w:val="2"/>
                <w:color w:val="auto"/>
              </w:rPr>
            </w:pPr>
          </w:p>
        </w:tc>
        <w:tc>
          <w:tcPr>
            <w:tcW w:w="1020" w:type="dxa"/>
            <w:vAlign w:val="bottom"/>
            <w:tcBorders>
              <w:bottom w:val="single" w:sz="8" w:color="EBFBFF"/>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220" w:type="dxa"/>
            <w:vAlign w:val="bottom"/>
            <w:shd w:val="clear" w:color="auto" w:fill="EBFBFF"/>
          </w:tcPr>
          <w:p>
            <w:pPr>
              <w:ind w:left="240"/>
              <w:spacing w:after="0"/>
              <w:rPr>
                <w:sz w:val="20"/>
                <w:szCs w:val="20"/>
                <w:color w:val="auto"/>
              </w:rPr>
            </w:pPr>
            <w:r>
              <w:rPr>
                <w:rFonts w:ascii="Arial" w:cs="Arial" w:eastAsia="Arial" w:hAnsi="Arial"/>
                <w:sz w:val="14"/>
                <w:szCs w:val="14"/>
                <w:color w:val="51555C"/>
              </w:rPr>
              <w:t>Subtotal</w:t>
            </w:r>
            <w:r>
              <w:rPr>
                <w:rFonts w:ascii="Arial" w:cs="Arial" w:eastAsia="Arial" w:hAnsi="Arial"/>
                <w:sz w:val="18"/>
                <w:szCs w:val="18"/>
                <w:color w:val="51555C"/>
                <w:vertAlign w:val="superscript"/>
              </w:rPr>
              <w:t>(1)</w:t>
            </w:r>
          </w:p>
        </w:tc>
        <w:tc>
          <w:tcPr>
            <w:tcW w:w="200" w:type="dxa"/>
            <w:vAlign w:val="bottom"/>
            <w:shd w:val="clear" w:color="auto" w:fill="EBFBFF"/>
          </w:tcPr>
          <w:p>
            <w:pPr>
              <w:spacing w:after="0"/>
              <w:rPr>
                <w:sz w:val="19"/>
                <w:szCs w:val="19"/>
                <w:color w:val="auto"/>
              </w:rPr>
            </w:pPr>
          </w:p>
        </w:tc>
        <w:tc>
          <w:tcPr>
            <w:tcW w:w="102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56.9</w:t>
            </w:r>
          </w:p>
        </w:tc>
        <w:tc>
          <w:tcPr>
            <w:tcW w:w="200" w:type="dxa"/>
            <w:vAlign w:val="bottom"/>
            <w:shd w:val="clear" w:color="auto" w:fill="EBFBFF"/>
          </w:tcPr>
          <w:p>
            <w:pPr>
              <w:spacing w:after="0"/>
              <w:rPr>
                <w:sz w:val="19"/>
                <w:szCs w:val="19"/>
                <w:color w:val="auto"/>
              </w:rPr>
            </w:pPr>
          </w:p>
        </w:tc>
        <w:tc>
          <w:tcPr>
            <w:tcW w:w="10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38.6</w:t>
            </w:r>
          </w:p>
        </w:tc>
        <w:tc>
          <w:tcPr>
            <w:tcW w:w="104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47.2 %</w:t>
            </w:r>
          </w:p>
        </w:tc>
        <w:tc>
          <w:tcPr>
            <w:tcW w:w="100" w:type="dxa"/>
            <w:vAlign w:val="bottom"/>
            <w:shd w:val="clear" w:color="auto" w:fill="EBFBFF"/>
          </w:tcPr>
          <w:p>
            <w:pPr>
              <w:spacing w:after="0"/>
              <w:rPr>
                <w:sz w:val="19"/>
                <w:szCs w:val="19"/>
                <w:color w:val="auto"/>
              </w:rPr>
            </w:pPr>
          </w:p>
        </w:tc>
        <w:tc>
          <w:tcPr>
            <w:tcW w:w="200" w:type="dxa"/>
            <w:vAlign w:val="bottom"/>
            <w:shd w:val="clear" w:color="auto" w:fill="EBFBFF"/>
          </w:tcPr>
          <w:p>
            <w:pPr>
              <w:spacing w:after="0"/>
              <w:rPr>
                <w:sz w:val="19"/>
                <w:szCs w:val="19"/>
                <w:color w:val="auto"/>
              </w:rPr>
            </w:pPr>
          </w:p>
        </w:tc>
        <w:tc>
          <w:tcPr>
            <w:tcW w:w="102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160.7</w:t>
            </w:r>
          </w:p>
        </w:tc>
        <w:tc>
          <w:tcPr>
            <w:tcW w:w="200" w:type="dxa"/>
            <w:vAlign w:val="bottom"/>
            <w:shd w:val="clear" w:color="auto" w:fill="EBFBFF"/>
          </w:tcPr>
          <w:p>
            <w:pPr>
              <w:spacing w:after="0"/>
              <w:rPr>
                <w:sz w:val="19"/>
                <w:szCs w:val="19"/>
                <w:color w:val="auto"/>
              </w:rPr>
            </w:pPr>
          </w:p>
        </w:tc>
        <w:tc>
          <w:tcPr>
            <w:tcW w:w="102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120.3</w:t>
            </w:r>
          </w:p>
        </w:tc>
        <w:tc>
          <w:tcPr>
            <w:tcW w:w="102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33.6 %</w:t>
            </w:r>
          </w:p>
        </w:tc>
        <w:tc>
          <w:tcPr>
            <w:tcW w:w="20" w:type="dxa"/>
            <w:vAlign w:val="bottom"/>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4"/>
                <w:szCs w:val="14"/>
                <w:b w:val="1"/>
                <w:bCs w:val="1"/>
                <w:color w:val="51555C"/>
              </w:rPr>
              <w:t>Non-GAAP income from operations</w:t>
            </w:r>
            <w:r>
              <w:rPr>
                <w:rFonts w:ascii="Arial" w:cs="Arial" w:eastAsia="Arial" w:hAnsi="Arial"/>
                <w:sz w:val="18"/>
                <w:szCs w:val="18"/>
                <w:b w:val="1"/>
                <w:bCs w:val="1"/>
                <w:color w:val="51555C"/>
                <w:vertAlign w:val="superscript"/>
              </w:rPr>
              <w:t>(1)</w:t>
            </w:r>
          </w:p>
        </w:tc>
        <w:tc>
          <w:tcPr>
            <w:tcW w:w="200" w:type="dxa"/>
            <w:vAlign w:val="bottom"/>
          </w:tcPr>
          <w:p>
            <w:pPr>
              <w:jc w:val="right"/>
              <w:ind w:right="28"/>
              <w:spacing w:after="0"/>
              <w:rPr>
                <w:sz w:val="20"/>
                <w:szCs w:val="20"/>
                <w:color w:val="auto"/>
              </w:rPr>
            </w:pPr>
            <w:r>
              <w:rPr>
                <w:rFonts w:ascii="Arial" w:cs="Arial" w:eastAsia="Arial" w:hAnsi="Arial"/>
                <w:sz w:val="14"/>
                <w:szCs w:val="14"/>
                <w:color w:val="51555C"/>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51555C"/>
              </w:rPr>
              <w:t>49.8</w:t>
            </w:r>
          </w:p>
        </w:tc>
        <w:tc>
          <w:tcPr>
            <w:tcW w:w="200" w:type="dxa"/>
            <w:vAlign w:val="bottom"/>
          </w:tcPr>
          <w:p>
            <w:pPr>
              <w:jc w:val="right"/>
              <w:ind w:right="28"/>
              <w:spacing w:after="0"/>
              <w:rPr>
                <w:sz w:val="20"/>
                <w:szCs w:val="20"/>
                <w:color w:val="auto"/>
              </w:rPr>
            </w:pPr>
            <w:r>
              <w:rPr>
                <w:rFonts w:ascii="Arial" w:cs="Arial" w:eastAsia="Arial" w:hAnsi="Arial"/>
                <w:sz w:val="14"/>
                <w:szCs w:val="14"/>
                <w:color w:val="51555C"/>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51555C"/>
              </w:rPr>
              <w:t>50.5</w:t>
            </w:r>
          </w:p>
        </w:tc>
        <w:tc>
          <w:tcPr>
            <w:tcW w:w="1040" w:type="dxa"/>
            <w:vAlign w:val="bottom"/>
          </w:tcPr>
          <w:p>
            <w:pPr>
              <w:jc w:val="right"/>
              <w:spacing w:after="0"/>
              <w:rPr>
                <w:sz w:val="20"/>
                <w:szCs w:val="20"/>
                <w:color w:val="auto"/>
              </w:rPr>
            </w:pPr>
            <w:r>
              <w:rPr>
                <w:rFonts w:ascii="Arial" w:cs="Arial" w:eastAsia="Arial" w:hAnsi="Arial"/>
                <w:sz w:val="14"/>
                <w:szCs w:val="14"/>
                <w:color w:val="51555C"/>
              </w:rPr>
              <w:t>(1.3)%</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51555C"/>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51555C"/>
              </w:rPr>
              <w:t>147.7</w:t>
            </w:r>
          </w:p>
        </w:tc>
        <w:tc>
          <w:tcPr>
            <w:tcW w:w="200" w:type="dxa"/>
            <w:vAlign w:val="bottom"/>
          </w:tcPr>
          <w:p>
            <w:pPr>
              <w:jc w:val="right"/>
              <w:ind w:right="28"/>
              <w:spacing w:after="0"/>
              <w:rPr>
                <w:sz w:val="20"/>
                <w:szCs w:val="20"/>
                <w:color w:val="auto"/>
              </w:rPr>
            </w:pPr>
            <w:r>
              <w:rPr>
                <w:rFonts w:ascii="Arial" w:cs="Arial" w:eastAsia="Arial" w:hAnsi="Arial"/>
                <w:sz w:val="14"/>
                <w:szCs w:val="14"/>
                <w:color w:val="51555C"/>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51555C"/>
              </w:rPr>
              <w:t>151.8</w:t>
            </w:r>
          </w:p>
        </w:tc>
        <w:tc>
          <w:tcPr>
            <w:tcW w:w="1020" w:type="dxa"/>
            <w:vAlign w:val="bottom"/>
          </w:tcPr>
          <w:p>
            <w:pPr>
              <w:jc w:val="right"/>
              <w:spacing w:after="0"/>
              <w:rPr>
                <w:sz w:val="20"/>
                <w:szCs w:val="20"/>
                <w:color w:val="auto"/>
              </w:rPr>
            </w:pPr>
            <w:r>
              <w:rPr>
                <w:rFonts w:ascii="Arial" w:cs="Arial" w:eastAsia="Arial" w:hAnsi="Arial"/>
                <w:sz w:val="14"/>
                <w:szCs w:val="14"/>
                <w:color w:val="51555C"/>
              </w:rPr>
              <w:t>(2.7)%</w:t>
            </w:r>
          </w:p>
        </w:tc>
        <w:tc>
          <w:tcPr>
            <w:tcW w:w="20" w:type="dxa"/>
            <w:vAlign w:val="bottom"/>
          </w:tcPr>
          <w:p>
            <w:pPr>
              <w:spacing w:after="0"/>
              <w:rPr>
                <w:sz w:val="19"/>
                <w:szCs w:val="19"/>
                <w:color w:val="auto"/>
              </w:rPr>
            </w:pPr>
          </w:p>
        </w:tc>
      </w:tr>
      <w:tr>
        <w:trPr>
          <w:trHeight w:val="203"/>
        </w:trPr>
        <w:tc>
          <w:tcPr>
            <w:tcW w:w="4220" w:type="dxa"/>
            <w:vAlign w:val="bottom"/>
            <w:tcBorders>
              <w:top w:val="single" w:sz="8" w:color="EBFBFF"/>
              <w:bottom w:val="single" w:sz="8" w:color="EBFBFF"/>
            </w:tcBorders>
            <w:shd w:val="clear" w:color="auto" w:fill="EBFBFF"/>
          </w:tcPr>
          <w:p>
            <w:pPr>
              <w:ind w:left="140"/>
              <w:spacing w:after="0"/>
              <w:rPr>
                <w:sz w:val="20"/>
                <w:szCs w:val="20"/>
                <w:color w:val="auto"/>
              </w:rPr>
            </w:pPr>
            <w:r>
              <w:rPr>
                <w:rFonts w:ascii="Arial" w:cs="Arial" w:eastAsia="Arial" w:hAnsi="Arial"/>
                <w:sz w:val="14"/>
                <w:szCs w:val="14"/>
                <w:b w:val="1"/>
                <w:bCs w:val="1"/>
                <w:color w:val="51555C"/>
              </w:rPr>
              <w:t>Non-GAAP operating margin</w:t>
            </w:r>
          </w:p>
        </w:tc>
        <w:tc>
          <w:tcPr>
            <w:tcW w:w="200" w:type="dxa"/>
            <w:vAlign w:val="bottom"/>
            <w:tcBorders>
              <w:top w:val="single" w:sz="8" w:color="51555C"/>
              <w:bottom w:val="single" w:sz="8" w:color="EBFBFF"/>
            </w:tcBorders>
            <w:shd w:val="clear" w:color="auto" w:fill="EBFBFF"/>
          </w:tcPr>
          <w:p>
            <w:pPr>
              <w:spacing w:after="0"/>
              <w:rPr>
                <w:sz w:val="17"/>
                <w:szCs w:val="17"/>
                <w:color w:val="auto"/>
              </w:rPr>
            </w:pPr>
          </w:p>
        </w:tc>
        <w:tc>
          <w:tcPr>
            <w:tcW w:w="102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19.1 %</w:t>
            </w:r>
          </w:p>
        </w:tc>
        <w:tc>
          <w:tcPr>
            <w:tcW w:w="200" w:type="dxa"/>
            <w:vAlign w:val="bottom"/>
            <w:tcBorders>
              <w:top w:val="single" w:sz="8" w:color="51555C"/>
              <w:bottom w:val="single" w:sz="8" w:color="EBFBFF"/>
            </w:tcBorders>
            <w:shd w:val="clear" w:color="auto" w:fill="EBFBFF"/>
          </w:tcPr>
          <w:p>
            <w:pPr>
              <w:spacing w:after="0"/>
              <w:rPr>
                <w:sz w:val="17"/>
                <w:szCs w:val="17"/>
                <w:color w:val="auto"/>
              </w:rPr>
            </w:pPr>
          </w:p>
        </w:tc>
        <w:tc>
          <w:tcPr>
            <w:tcW w:w="100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21.8 %</w:t>
            </w:r>
          </w:p>
        </w:tc>
        <w:tc>
          <w:tcPr>
            <w:tcW w:w="1040" w:type="dxa"/>
            <w:vAlign w:val="bottom"/>
            <w:tcBorders>
              <w:top w:val="single" w:sz="8" w:color="EBFBFF"/>
              <w:bottom w:val="single" w:sz="8" w:color="EBFBFF"/>
            </w:tcBorders>
            <w:shd w:val="clear" w:color="auto" w:fill="EBFBFF"/>
          </w:tcPr>
          <w:p>
            <w:pPr>
              <w:spacing w:after="0"/>
              <w:rPr>
                <w:sz w:val="17"/>
                <w:szCs w:val="17"/>
                <w:color w:val="auto"/>
              </w:rPr>
            </w:pPr>
          </w:p>
        </w:tc>
        <w:tc>
          <w:tcPr>
            <w:tcW w:w="100" w:type="dxa"/>
            <w:vAlign w:val="bottom"/>
            <w:tcBorders>
              <w:top w:val="single" w:sz="8" w:color="EBFBFF"/>
              <w:bottom w:val="single" w:sz="8" w:color="EBFBFF"/>
            </w:tcBorders>
            <w:shd w:val="clear" w:color="auto" w:fill="EBFBFF"/>
          </w:tcPr>
          <w:p>
            <w:pPr>
              <w:spacing w:after="0"/>
              <w:rPr>
                <w:sz w:val="17"/>
                <w:szCs w:val="17"/>
                <w:color w:val="auto"/>
              </w:rPr>
            </w:pPr>
          </w:p>
        </w:tc>
        <w:tc>
          <w:tcPr>
            <w:tcW w:w="200" w:type="dxa"/>
            <w:vAlign w:val="bottom"/>
            <w:tcBorders>
              <w:top w:val="single" w:sz="8" w:color="51555C"/>
              <w:bottom w:val="single" w:sz="8" w:color="EBFBFF"/>
            </w:tcBorders>
            <w:shd w:val="clear" w:color="auto" w:fill="EBFBFF"/>
          </w:tcPr>
          <w:p>
            <w:pPr>
              <w:spacing w:after="0"/>
              <w:rPr>
                <w:sz w:val="17"/>
                <w:szCs w:val="17"/>
                <w:color w:val="auto"/>
              </w:rPr>
            </w:pPr>
          </w:p>
        </w:tc>
        <w:tc>
          <w:tcPr>
            <w:tcW w:w="102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18.9 %</w:t>
            </w:r>
          </w:p>
        </w:tc>
        <w:tc>
          <w:tcPr>
            <w:tcW w:w="200" w:type="dxa"/>
            <w:vAlign w:val="bottom"/>
            <w:tcBorders>
              <w:top w:val="single" w:sz="8" w:color="51555C"/>
              <w:bottom w:val="single" w:sz="8" w:color="EBFBFF"/>
            </w:tcBorders>
            <w:shd w:val="clear" w:color="auto" w:fill="EBFBFF"/>
          </w:tcPr>
          <w:p>
            <w:pPr>
              <w:spacing w:after="0"/>
              <w:rPr>
                <w:sz w:val="17"/>
                <w:szCs w:val="17"/>
                <w:color w:val="auto"/>
              </w:rPr>
            </w:pPr>
          </w:p>
        </w:tc>
        <w:tc>
          <w:tcPr>
            <w:tcW w:w="102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22.3 %</w:t>
            </w:r>
          </w:p>
        </w:tc>
        <w:tc>
          <w:tcPr>
            <w:tcW w:w="1020" w:type="dxa"/>
            <w:vAlign w:val="bottom"/>
            <w:tcBorders>
              <w:top w:val="single" w:sz="8" w:color="EBFBFF"/>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54"/>
        </w:trPr>
        <w:tc>
          <w:tcPr>
            <w:tcW w:w="4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0"/>
        </w:trPr>
        <w:tc>
          <w:tcPr>
            <w:tcW w:w="42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GAAP (loss) income before provision for income taxes</w:t>
            </w:r>
          </w:p>
        </w:tc>
        <w:tc>
          <w:tcPr>
            <w:tcW w:w="200" w:type="dxa"/>
            <w:vAlign w:val="bottom"/>
            <w:tcBorders>
              <w:bottom w:val="single" w:sz="8" w:color="EBFBFF"/>
            </w:tcBorders>
            <w:shd w:val="clear" w:color="auto" w:fill="EBFBFF"/>
          </w:tcPr>
          <w:p>
            <w:pPr>
              <w:jc w:val="right"/>
              <w:ind w:right="28"/>
              <w:spacing w:after="0"/>
              <w:rPr>
                <w:sz w:val="20"/>
                <w:szCs w:val="20"/>
                <w:color w:val="auto"/>
              </w:rPr>
            </w:pPr>
            <w:r>
              <w:rPr>
                <w:rFonts w:ascii="Arial" w:cs="Arial" w:eastAsia="Arial" w:hAnsi="Arial"/>
                <w:sz w:val="14"/>
                <w:szCs w:val="14"/>
                <w:color w:val="51555C"/>
              </w:rPr>
              <w:t>$</w:t>
            </w:r>
          </w:p>
        </w:tc>
        <w:tc>
          <w:tcPr>
            <w:tcW w:w="102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(11.9)</w:t>
            </w:r>
          </w:p>
        </w:tc>
        <w:tc>
          <w:tcPr>
            <w:tcW w:w="200" w:type="dxa"/>
            <w:vAlign w:val="bottom"/>
            <w:tcBorders>
              <w:bottom w:val="single" w:sz="8" w:color="EBFBFF"/>
            </w:tcBorders>
            <w:shd w:val="clear" w:color="auto" w:fill="EBFBFF"/>
          </w:tcPr>
          <w:p>
            <w:pPr>
              <w:jc w:val="right"/>
              <w:ind w:right="28"/>
              <w:spacing w:after="0"/>
              <w:rPr>
                <w:sz w:val="20"/>
                <w:szCs w:val="20"/>
                <w:color w:val="auto"/>
              </w:rPr>
            </w:pPr>
            <w:r>
              <w:rPr>
                <w:rFonts w:ascii="Arial" w:cs="Arial" w:eastAsia="Arial" w:hAnsi="Arial"/>
                <w:sz w:val="14"/>
                <w:szCs w:val="14"/>
                <w:color w:val="51555C"/>
              </w:rPr>
              <w:t>$</w:t>
            </w:r>
          </w:p>
        </w:tc>
        <w:tc>
          <w:tcPr>
            <w:tcW w:w="10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8.7</w:t>
            </w: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(236.6)%</w:t>
            </w:r>
          </w:p>
        </w:tc>
        <w:tc>
          <w:tcPr>
            <w:tcW w:w="300" w:type="dxa"/>
            <w:vAlign w:val="bottom"/>
            <w:tcBorders>
              <w:bottom w:val="single" w:sz="8" w:color="EBFBFF"/>
            </w:tcBorders>
            <w:gridSpan w:val="2"/>
            <w:shd w:val="clear" w:color="auto" w:fill="EBFBFF"/>
          </w:tcPr>
          <w:p>
            <w:pPr>
              <w:jc w:val="right"/>
              <w:ind w:right="100"/>
              <w:spacing w:after="0"/>
              <w:rPr>
                <w:sz w:val="20"/>
                <w:szCs w:val="20"/>
                <w:color w:val="auto"/>
              </w:rPr>
            </w:pPr>
            <w:r>
              <w:rPr>
                <w:rFonts w:ascii="Arial" w:cs="Arial" w:eastAsia="Arial" w:hAnsi="Arial"/>
                <w:sz w:val="14"/>
                <w:szCs w:val="14"/>
                <w:color w:val="51555C"/>
              </w:rPr>
              <w:t>$</w:t>
            </w:r>
          </w:p>
        </w:tc>
        <w:tc>
          <w:tcPr>
            <w:tcW w:w="102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(30.1)</w:t>
            </w:r>
          </w:p>
        </w:tc>
        <w:tc>
          <w:tcPr>
            <w:tcW w:w="200" w:type="dxa"/>
            <w:vAlign w:val="bottom"/>
            <w:tcBorders>
              <w:bottom w:val="single" w:sz="8" w:color="EBFBFF"/>
            </w:tcBorders>
            <w:shd w:val="clear" w:color="auto" w:fill="EBFBFF"/>
          </w:tcPr>
          <w:p>
            <w:pPr>
              <w:jc w:val="right"/>
              <w:ind w:right="28"/>
              <w:spacing w:after="0"/>
              <w:rPr>
                <w:sz w:val="20"/>
                <w:szCs w:val="20"/>
                <w:color w:val="auto"/>
              </w:rPr>
            </w:pPr>
            <w:r>
              <w:rPr>
                <w:rFonts w:ascii="Arial" w:cs="Arial" w:eastAsia="Arial" w:hAnsi="Arial"/>
                <w:sz w:val="14"/>
                <w:szCs w:val="14"/>
                <w:color w:val="51555C"/>
              </w:rPr>
              <w:t>$</w:t>
            </w:r>
          </w:p>
        </w:tc>
        <w:tc>
          <w:tcPr>
            <w:tcW w:w="102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17.7</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(270.3)%</w:t>
            </w:r>
          </w:p>
        </w:tc>
        <w:tc>
          <w:tcPr>
            <w:tcW w:w="20" w:type="dxa"/>
            <w:vAlign w:val="bottom"/>
          </w:tcPr>
          <w:p>
            <w:pPr>
              <w:spacing w:after="0"/>
              <w:rPr>
                <w:sz w:val="18"/>
                <w:szCs w:val="18"/>
                <w:color w:val="auto"/>
              </w:rPr>
            </w:pPr>
          </w:p>
        </w:tc>
      </w:tr>
      <w:tr>
        <w:trPr>
          <w:trHeight w:val="204"/>
        </w:trPr>
        <w:tc>
          <w:tcPr>
            <w:tcW w:w="4220" w:type="dxa"/>
            <w:vAlign w:val="bottom"/>
          </w:tcPr>
          <w:p>
            <w:pPr>
              <w:ind w:left="20"/>
              <w:spacing w:after="0"/>
              <w:rPr>
                <w:sz w:val="20"/>
                <w:szCs w:val="20"/>
                <w:color w:val="auto"/>
              </w:rPr>
            </w:pPr>
            <w:r>
              <w:rPr>
                <w:rFonts w:ascii="Arial" w:cs="Arial" w:eastAsia="Arial" w:hAnsi="Arial"/>
                <w:sz w:val="14"/>
                <w:szCs w:val="14"/>
                <w:b w:val="1"/>
                <w:bCs w:val="1"/>
                <w:color w:val="51555C"/>
              </w:rPr>
              <w:t>GAAP net (loss) income</w:t>
            </w:r>
          </w:p>
        </w:tc>
        <w:tc>
          <w:tcPr>
            <w:tcW w:w="200" w:type="dxa"/>
            <w:vAlign w:val="bottom"/>
          </w:tcPr>
          <w:p>
            <w:pPr>
              <w:jc w:val="right"/>
              <w:ind w:right="28"/>
              <w:spacing w:after="0"/>
              <w:rPr>
                <w:sz w:val="20"/>
                <w:szCs w:val="20"/>
                <w:color w:val="auto"/>
              </w:rPr>
            </w:pPr>
            <w:r>
              <w:rPr>
                <w:rFonts w:ascii="Arial" w:cs="Arial" w:eastAsia="Arial" w:hAnsi="Arial"/>
                <w:sz w:val="14"/>
                <w:szCs w:val="14"/>
                <w:color w:val="51555C"/>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51555C"/>
              </w:rPr>
              <w:t>(10.3)</w:t>
            </w:r>
          </w:p>
        </w:tc>
        <w:tc>
          <w:tcPr>
            <w:tcW w:w="200" w:type="dxa"/>
            <w:vAlign w:val="bottom"/>
          </w:tcPr>
          <w:p>
            <w:pPr>
              <w:jc w:val="right"/>
              <w:ind w:right="28"/>
              <w:spacing w:after="0"/>
              <w:rPr>
                <w:sz w:val="20"/>
                <w:szCs w:val="20"/>
                <w:color w:val="auto"/>
              </w:rPr>
            </w:pPr>
            <w:r>
              <w:rPr>
                <w:rFonts w:ascii="Arial" w:cs="Arial" w:eastAsia="Arial" w:hAnsi="Arial"/>
                <w:sz w:val="14"/>
                <w:szCs w:val="14"/>
                <w:color w:val="51555C"/>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51555C"/>
              </w:rPr>
              <w:t>6.2</w:t>
            </w:r>
          </w:p>
        </w:tc>
        <w:tc>
          <w:tcPr>
            <w:tcW w:w="1040" w:type="dxa"/>
            <w:vAlign w:val="bottom"/>
          </w:tcPr>
          <w:p>
            <w:pPr>
              <w:jc w:val="right"/>
              <w:spacing w:after="0"/>
              <w:rPr>
                <w:sz w:val="20"/>
                <w:szCs w:val="20"/>
                <w:color w:val="auto"/>
              </w:rPr>
            </w:pPr>
            <w:r>
              <w:rPr>
                <w:rFonts w:ascii="Arial" w:cs="Arial" w:eastAsia="Arial" w:hAnsi="Arial"/>
                <w:sz w:val="14"/>
                <w:szCs w:val="14"/>
                <w:color w:val="51555C"/>
              </w:rPr>
              <w:t>(266.8)%</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51555C"/>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51555C"/>
              </w:rPr>
              <w:t>(24.1)</w:t>
            </w:r>
          </w:p>
        </w:tc>
        <w:tc>
          <w:tcPr>
            <w:tcW w:w="200" w:type="dxa"/>
            <w:vAlign w:val="bottom"/>
          </w:tcPr>
          <w:p>
            <w:pPr>
              <w:jc w:val="right"/>
              <w:ind w:right="28"/>
              <w:spacing w:after="0"/>
              <w:rPr>
                <w:sz w:val="20"/>
                <w:szCs w:val="20"/>
                <w:color w:val="auto"/>
              </w:rPr>
            </w:pPr>
            <w:r>
              <w:rPr>
                <w:rFonts w:ascii="Arial" w:cs="Arial" w:eastAsia="Arial" w:hAnsi="Arial"/>
                <w:sz w:val="14"/>
                <w:szCs w:val="14"/>
                <w:color w:val="51555C"/>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51555C"/>
              </w:rPr>
              <w:t>12.8</w:t>
            </w:r>
          </w:p>
        </w:tc>
        <w:tc>
          <w:tcPr>
            <w:tcW w:w="1020" w:type="dxa"/>
            <w:vAlign w:val="bottom"/>
          </w:tcPr>
          <w:p>
            <w:pPr>
              <w:jc w:val="right"/>
              <w:spacing w:after="0"/>
              <w:rPr>
                <w:sz w:val="20"/>
                <w:szCs w:val="20"/>
                <w:color w:val="auto"/>
              </w:rPr>
            </w:pPr>
            <w:r>
              <w:rPr>
                <w:rFonts w:ascii="Arial" w:cs="Arial" w:eastAsia="Arial" w:hAnsi="Arial"/>
                <w:sz w:val="14"/>
                <w:szCs w:val="14"/>
                <w:color w:val="51555C"/>
              </w:rPr>
              <w:t>(289.3)%</w:t>
            </w:r>
          </w:p>
        </w:tc>
        <w:tc>
          <w:tcPr>
            <w:tcW w:w="20" w:type="dxa"/>
            <w:vAlign w:val="bottom"/>
          </w:tcPr>
          <w:p>
            <w:pPr>
              <w:spacing w:after="0"/>
              <w:rPr>
                <w:sz w:val="17"/>
                <w:szCs w:val="17"/>
                <w:color w:val="auto"/>
              </w:rPr>
            </w:pPr>
          </w:p>
        </w:tc>
      </w:tr>
      <w:tr>
        <w:trPr>
          <w:trHeight w:val="25"/>
        </w:trPr>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4"/>
        </w:trPr>
        <w:tc>
          <w:tcPr>
            <w:tcW w:w="422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Shares used in computing GAAP diluted (loss) earnings per</w:t>
            </w:r>
          </w:p>
        </w:tc>
        <w:tc>
          <w:tcPr>
            <w:tcW w:w="200" w:type="dxa"/>
            <w:vAlign w:val="bottom"/>
            <w:shd w:val="clear" w:color="auto" w:fill="EBFBFF"/>
          </w:tcPr>
          <w:p>
            <w:pPr>
              <w:spacing w:after="0"/>
              <w:rPr>
                <w:sz w:val="17"/>
                <w:szCs w:val="17"/>
                <w:color w:val="auto"/>
              </w:rPr>
            </w:pPr>
          </w:p>
        </w:tc>
        <w:tc>
          <w:tcPr>
            <w:tcW w:w="1020" w:type="dxa"/>
            <w:vAlign w:val="bottom"/>
            <w:shd w:val="clear" w:color="auto" w:fill="EBFBFF"/>
          </w:tcPr>
          <w:p>
            <w:pPr>
              <w:spacing w:after="0"/>
              <w:rPr>
                <w:sz w:val="17"/>
                <w:szCs w:val="17"/>
                <w:color w:val="auto"/>
              </w:rPr>
            </w:pPr>
          </w:p>
        </w:tc>
        <w:tc>
          <w:tcPr>
            <w:tcW w:w="200" w:type="dxa"/>
            <w:vAlign w:val="bottom"/>
            <w:shd w:val="clear" w:color="auto" w:fill="EBFBFF"/>
          </w:tcPr>
          <w:p>
            <w:pPr>
              <w:spacing w:after="0"/>
              <w:rPr>
                <w:sz w:val="17"/>
                <w:szCs w:val="17"/>
                <w:color w:val="auto"/>
              </w:rPr>
            </w:pPr>
          </w:p>
        </w:tc>
        <w:tc>
          <w:tcPr>
            <w:tcW w:w="1000" w:type="dxa"/>
            <w:vAlign w:val="bottom"/>
            <w:shd w:val="clear" w:color="auto" w:fill="EBFBFF"/>
          </w:tcPr>
          <w:p>
            <w:pPr>
              <w:spacing w:after="0"/>
              <w:rPr>
                <w:sz w:val="17"/>
                <w:szCs w:val="17"/>
                <w:color w:val="auto"/>
              </w:rPr>
            </w:pPr>
          </w:p>
        </w:tc>
        <w:tc>
          <w:tcPr>
            <w:tcW w:w="1040" w:type="dxa"/>
            <w:vAlign w:val="bottom"/>
            <w:shd w:val="clear" w:color="auto" w:fill="EBFBFF"/>
          </w:tcPr>
          <w:p>
            <w:pPr>
              <w:spacing w:after="0"/>
              <w:rPr>
                <w:sz w:val="17"/>
                <w:szCs w:val="17"/>
                <w:color w:val="auto"/>
              </w:rPr>
            </w:pPr>
          </w:p>
        </w:tc>
        <w:tc>
          <w:tcPr>
            <w:tcW w:w="100" w:type="dxa"/>
            <w:vAlign w:val="bottom"/>
            <w:shd w:val="clear" w:color="auto" w:fill="EBFBFF"/>
          </w:tcPr>
          <w:p>
            <w:pPr>
              <w:spacing w:after="0"/>
              <w:rPr>
                <w:sz w:val="17"/>
                <w:szCs w:val="17"/>
                <w:color w:val="auto"/>
              </w:rPr>
            </w:pPr>
          </w:p>
        </w:tc>
        <w:tc>
          <w:tcPr>
            <w:tcW w:w="200" w:type="dxa"/>
            <w:vAlign w:val="bottom"/>
            <w:shd w:val="clear" w:color="auto" w:fill="EBFBFF"/>
          </w:tcPr>
          <w:p>
            <w:pPr>
              <w:spacing w:after="0"/>
              <w:rPr>
                <w:sz w:val="17"/>
                <w:szCs w:val="17"/>
                <w:color w:val="auto"/>
              </w:rPr>
            </w:pPr>
          </w:p>
        </w:tc>
        <w:tc>
          <w:tcPr>
            <w:tcW w:w="1020" w:type="dxa"/>
            <w:vAlign w:val="bottom"/>
            <w:shd w:val="clear" w:color="auto" w:fill="EBFBFF"/>
          </w:tcPr>
          <w:p>
            <w:pPr>
              <w:spacing w:after="0"/>
              <w:rPr>
                <w:sz w:val="17"/>
                <w:szCs w:val="17"/>
                <w:color w:val="auto"/>
              </w:rPr>
            </w:pPr>
          </w:p>
        </w:tc>
        <w:tc>
          <w:tcPr>
            <w:tcW w:w="200" w:type="dxa"/>
            <w:vAlign w:val="bottom"/>
            <w:shd w:val="clear" w:color="auto" w:fill="EBFBFF"/>
          </w:tcPr>
          <w:p>
            <w:pPr>
              <w:spacing w:after="0"/>
              <w:rPr>
                <w:sz w:val="17"/>
                <w:szCs w:val="17"/>
                <w:color w:val="auto"/>
              </w:rPr>
            </w:pPr>
          </w:p>
        </w:tc>
        <w:tc>
          <w:tcPr>
            <w:tcW w:w="1020" w:type="dxa"/>
            <w:vAlign w:val="bottom"/>
            <w:shd w:val="clear" w:color="auto" w:fill="EBFBFF"/>
          </w:tcPr>
          <w:p>
            <w:pPr>
              <w:spacing w:after="0"/>
              <w:rPr>
                <w:sz w:val="17"/>
                <w:szCs w:val="17"/>
                <w:color w:val="auto"/>
              </w:rPr>
            </w:pPr>
          </w:p>
        </w:tc>
        <w:tc>
          <w:tcPr>
            <w:tcW w:w="102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81"/>
        </w:trPr>
        <w:tc>
          <w:tcPr>
            <w:tcW w:w="42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share</w:t>
            </w:r>
          </w:p>
        </w:tc>
        <w:tc>
          <w:tcPr>
            <w:tcW w:w="200" w:type="dxa"/>
            <w:vAlign w:val="bottom"/>
            <w:tcBorders>
              <w:bottom w:val="single" w:sz="8" w:color="EBFBFF"/>
            </w:tcBorders>
            <w:shd w:val="clear" w:color="auto" w:fill="EBFBFF"/>
          </w:tcPr>
          <w:p>
            <w:pPr>
              <w:spacing w:after="0"/>
              <w:rPr>
                <w:sz w:val="15"/>
                <w:szCs w:val="15"/>
                <w:color w:val="auto"/>
              </w:rPr>
            </w:pPr>
          </w:p>
        </w:tc>
        <w:tc>
          <w:tcPr>
            <w:tcW w:w="102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51,692,152</w:t>
            </w:r>
          </w:p>
        </w:tc>
        <w:tc>
          <w:tcPr>
            <w:tcW w:w="200" w:type="dxa"/>
            <w:vAlign w:val="bottom"/>
            <w:tcBorders>
              <w:bottom w:val="single" w:sz="8" w:color="EBFBFF"/>
            </w:tcBorders>
            <w:shd w:val="clear" w:color="auto" w:fill="EBFBFF"/>
          </w:tcPr>
          <w:p>
            <w:pPr>
              <w:spacing w:after="0"/>
              <w:rPr>
                <w:sz w:val="15"/>
                <w:szCs w:val="15"/>
                <w:color w:val="auto"/>
              </w:rPr>
            </w:pPr>
          </w:p>
        </w:tc>
        <w:tc>
          <w:tcPr>
            <w:tcW w:w="10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48,274,072</w:t>
            </w: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7.1 %</w:t>
            </w:r>
          </w:p>
        </w:tc>
        <w:tc>
          <w:tcPr>
            <w:tcW w:w="100" w:type="dxa"/>
            <w:vAlign w:val="bottom"/>
            <w:tcBorders>
              <w:bottom w:val="single" w:sz="8" w:color="EBFBFF"/>
            </w:tcBorders>
            <w:shd w:val="clear" w:color="auto" w:fill="EBFBFF"/>
          </w:tcPr>
          <w:p>
            <w:pPr>
              <w:spacing w:after="0"/>
              <w:rPr>
                <w:sz w:val="15"/>
                <w:szCs w:val="15"/>
                <w:color w:val="auto"/>
              </w:rPr>
            </w:pPr>
          </w:p>
        </w:tc>
        <w:tc>
          <w:tcPr>
            <w:tcW w:w="200" w:type="dxa"/>
            <w:vAlign w:val="bottom"/>
            <w:tcBorders>
              <w:bottom w:val="single" w:sz="8" w:color="EBFBFF"/>
            </w:tcBorders>
            <w:shd w:val="clear" w:color="auto" w:fill="EBFBFF"/>
          </w:tcPr>
          <w:p>
            <w:pPr>
              <w:spacing w:after="0"/>
              <w:rPr>
                <w:sz w:val="15"/>
                <w:szCs w:val="15"/>
                <w:color w:val="auto"/>
              </w:rPr>
            </w:pPr>
          </w:p>
        </w:tc>
        <w:tc>
          <w:tcPr>
            <w:tcW w:w="102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51,519,340</w:t>
            </w:r>
          </w:p>
        </w:tc>
        <w:tc>
          <w:tcPr>
            <w:tcW w:w="200" w:type="dxa"/>
            <w:vAlign w:val="bottom"/>
            <w:tcBorders>
              <w:bottom w:val="single" w:sz="8" w:color="EBFBFF"/>
            </w:tcBorders>
            <w:shd w:val="clear" w:color="auto" w:fill="EBFBFF"/>
          </w:tcPr>
          <w:p>
            <w:pPr>
              <w:spacing w:after="0"/>
              <w:rPr>
                <w:sz w:val="15"/>
                <w:szCs w:val="15"/>
                <w:color w:val="auto"/>
              </w:rPr>
            </w:pPr>
          </w:p>
        </w:tc>
        <w:tc>
          <w:tcPr>
            <w:tcW w:w="102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48,259,956</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6.8 %</w:t>
            </w:r>
          </w:p>
        </w:tc>
        <w:tc>
          <w:tcPr>
            <w:tcW w:w="20" w:type="dxa"/>
            <w:vAlign w:val="bottom"/>
          </w:tcPr>
          <w:p>
            <w:pPr>
              <w:spacing w:after="0"/>
              <w:rPr>
                <w:sz w:val="15"/>
                <w:szCs w:val="15"/>
                <w:color w:val="auto"/>
              </w:rPr>
            </w:pPr>
          </w:p>
        </w:tc>
      </w:tr>
      <w:tr>
        <w:trPr>
          <w:trHeight w:val="204"/>
        </w:trPr>
        <w:tc>
          <w:tcPr>
            <w:tcW w:w="4220" w:type="dxa"/>
            <w:vAlign w:val="bottom"/>
          </w:tcPr>
          <w:p>
            <w:pPr>
              <w:ind w:left="140"/>
              <w:spacing w:after="0"/>
              <w:rPr>
                <w:sz w:val="20"/>
                <w:szCs w:val="20"/>
                <w:color w:val="auto"/>
              </w:rPr>
            </w:pPr>
            <w:r>
              <w:rPr>
                <w:rFonts w:ascii="Arial" w:cs="Arial" w:eastAsia="Arial" w:hAnsi="Arial"/>
                <w:sz w:val="14"/>
                <w:szCs w:val="14"/>
                <w:b w:val="1"/>
                <w:bCs w:val="1"/>
                <w:color w:val="51555C"/>
              </w:rPr>
              <w:t>GAAP diluted (loss) earnings per share</w:t>
            </w:r>
          </w:p>
        </w:tc>
        <w:tc>
          <w:tcPr>
            <w:tcW w:w="200" w:type="dxa"/>
            <w:vAlign w:val="bottom"/>
          </w:tcPr>
          <w:p>
            <w:pPr>
              <w:jc w:val="right"/>
              <w:ind w:right="28"/>
              <w:spacing w:after="0"/>
              <w:rPr>
                <w:sz w:val="20"/>
                <w:szCs w:val="20"/>
                <w:color w:val="auto"/>
              </w:rPr>
            </w:pPr>
            <w:r>
              <w:rPr>
                <w:rFonts w:ascii="Arial" w:cs="Arial" w:eastAsia="Arial" w:hAnsi="Arial"/>
                <w:sz w:val="14"/>
                <w:szCs w:val="14"/>
                <w:color w:val="51555C"/>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51555C"/>
              </w:rPr>
              <w:t>(0.20)</w:t>
            </w:r>
          </w:p>
        </w:tc>
        <w:tc>
          <w:tcPr>
            <w:tcW w:w="200" w:type="dxa"/>
            <w:vAlign w:val="bottom"/>
          </w:tcPr>
          <w:p>
            <w:pPr>
              <w:jc w:val="right"/>
              <w:ind w:right="28"/>
              <w:spacing w:after="0"/>
              <w:rPr>
                <w:sz w:val="20"/>
                <w:szCs w:val="20"/>
                <w:color w:val="auto"/>
              </w:rPr>
            </w:pPr>
            <w:r>
              <w:rPr>
                <w:rFonts w:ascii="Arial" w:cs="Arial" w:eastAsia="Arial" w:hAnsi="Arial"/>
                <w:sz w:val="14"/>
                <w:szCs w:val="14"/>
                <w:color w:val="51555C"/>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51555C"/>
              </w:rPr>
              <w:t>0.13</w:t>
            </w:r>
          </w:p>
        </w:tc>
        <w:tc>
          <w:tcPr>
            <w:tcW w:w="1040" w:type="dxa"/>
            <w:vAlign w:val="bottom"/>
          </w:tcPr>
          <w:p>
            <w:pPr>
              <w:jc w:val="right"/>
              <w:spacing w:after="0"/>
              <w:rPr>
                <w:sz w:val="20"/>
                <w:szCs w:val="20"/>
                <w:color w:val="auto"/>
              </w:rPr>
            </w:pPr>
            <w:r>
              <w:rPr>
                <w:rFonts w:ascii="Arial" w:cs="Arial" w:eastAsia="Arial" w:hAnsi="Arial"/>
                <w:sz w:val="14"/>
                <w:szCs w:val="14"/>
                <w:color w:val="51555C"/>
              </w:rPr>
              <w:t>(253.8)%</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51555C"/>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51555C"/>
              </w:rPr>
              <w:t>(0.47)</w:t>
            </w:r>
          </w:p>
        </w:tc>
        <w:tc>
          <w:tcPr>
            <w:tcW w:w="200" w:type="dxa"/>
            <w:vAlign w:val="bottom"/>
          </w:tcPr>
          <w:p>
            <w:pPr>
              <w:jc w:val="right"/>
              <w:ind w:right="28"/>
              <w:spacing w:after="0"/>
              <w:rPr>
                <w:sz w:val="20"/>
                <w:szCs w:val="20"/>
                <w:color w:val="auto"/>
              </w:rPr>
            </w:pPr>
            <w:r>
              <w:rPr>
                <w:rFonts w:ascii="Arial" w:cs="Arial" w:eastAsia="Arial" w:hAnsi="Arial"/>
                <w:sz w:val="14"/>
                <w:szCs w:val="14"/>
                <w:color w:val="51555C"/>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51555C"/>
              </w:rPr>
              <w:t>0.26</w:t>
            </w:r>
          </w:p>
        </w:tc>
        <w:tc>
          <w:tcPr>
            <w:tcW w:w="1020" w:type="dxa"/>
            <w:vAlign w:val="bottom"/>
          </w:tcPr>
          <w:p>
            <w:pPr>
              <w:jc w:val="right"/>
              <w:spacing w:after="0"/>
              <w:rPr>
                <w:sz w:val="20"/>
                <w:szCs w:val="20"/>
                <w:color w:val="auto"/>
              </w:rPr>
            </w:pPr>
            <w:r>
              <w:rPr>
                <w:rFonts w:ascii="Arial" w:cs="Arial" w:eastAsia="Arial" w:hAnsi="Arial"/>
                <w:sz w:val="14"/>
                <w:szCs w:val="14"/>
                <w:color w:val="51555C"/>
              </w:rPr>
              <w:t>(280.8)%</w:t>
            </w:r>
          </w:p>
        </w:tc>
        <w:tc>
          <w:tcPr>
            <w:tcW w:w="20" w:type="dxa"/>
            <w:vAlign w:val="bottom"/>
          </w:tcPr>
          <w:p>
            <w:pPr>
              <w:spacing w:after="0"/>
              <w:rPr>
                <w:sz w:val="17"/>
                <w:szCs w:val="17"/>
                <w:color w:val="auto"/>
              </w:rPr>
            </w:pPr>
          </w:p>
        </w:tc>
      </w:tr>
      <w:tr>
        <w:trPr>
          <w:trHeight w:val="25"/>
        </w:trPr>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42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2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spacing w:after="0"/>
              <w:rPr>
                <w:sz w:val="18"/>
                <w:szCs w:val="18"/>
                <w:color w:val="auto"/>
              </w:rPr>
            </w:pPr>
          </w:p>
        </w:tc>
        <w:tc>
          <w:tcPr>
            <w:tcW w:w="200" w:type="dxa"/>
            <w:vAlign w:val="bottom"/>
            <w:tcBorders>
              <w:bottom w:val="single" w:sz="8" w:color="EBFBFF"/>
            </w:tcBorders>
            <w:shd w:val="clear" w:color="auto" w:fill="EBFBFF"/>
          </w:tcPr>
          <w:p>
            <w:pPr>
              <w:spacing w:after="0"/>
              <w:rPr>
                <w:sz w:val="18"/>
                <w:szCs w:val="18"/>
                <w:color w:val="auto"/>
              </w:rPr>
            </w:pPr>
          </w:p>
        </w:tc>
        <w:tc>
          <w:tcPr>
            <w:tcW w:w="100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spacing w:after="0"/>
              <w:rPr>
                <w:sz w:val="18"/>
                <w:szCs w:val="18"/>
                <w:color w:val="auto"/>
              </w:rPr>
            </w:pPr>
          </w:p>
        </w:tc>
        <w:tc>
          <w:tcPr>
            <w:tcW w:w="100" w:type="dxa"/>
            <w:vAlign w:val="bottom"/>
            <w:tcBorders>
              <w:bottom w:val="single" w:sz="8" w:color="EBFBFF"/>
            </w:tcBorders>
            <w:shd w:val="clear" w:color="auto" w:fill="EBFBFF"/>
          </w:tcPr>
          <w:p>
            <w:pPr>
              <w:spacing w:after="0"/>
              <w:rPr>
                <w:sz w:val="18"/>
                <w:szCs w:val="18"/>
                <w:color w:val="auto"/>
              </w:rPr>
            </w:pPr>
          </w:p>
        </w:tc>
        <w:tc>
          <w:tcPr>
            <w:tcW w:w="2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spacing w:after="0"/>
              <w:rPr>
                <w:sz w:val="18"/>
                <w:szCs w:val="18"/>
                <w:color w:val="auto"/>
              </w:rPr>
            </w:pPr>
          </w:p>
        </w:tc>
        <w:tc>
          <w:tcPr>
            <w:tcW w:w="20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spacing w:after="0"/>
              <w:rPr>
                <w:sz w:val="18"/>
                <w:szCs w:val="18"/>
                <w:color w:val="auto"/>
              </w:rPr>
            </w:pPr>
          </w:p>
        </w:tc>
        <w:tc>
          <w:tcPr>
            <w:tcW w:w="1020" w:type="dxa"/>
            <w:vAlign w:val="bottom"/>
            <w:tcBorders>
              <w:bottom w:val="single" w:sz="8" w:color="EBFBFF"/>
            </w:tcBorders>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4220" w:type="dxa"/>
            <w:vAlign w:val="bottom"/>
          </w:tcPr>
          <w:p>
            <w:pPr>
              <w:ind w:left="140"/>
              <w:spacing w:after="0"/>
              <w:rPr>
                <w:sz w:val="20"/>
                <w:szCs w:val="20"/>
                <w:color w:val="auto"/>
              </w:rPr>
            </w:pPr>
            <w:r>
              <w:rPr>
                <w:rFonts w:ascii="Arial" w:cs="Arial" w:eastAsia="Arial" w:hAnsi="Arial"/>
                <w:sz w:val="14"/>
                <w:szCs w:val="14"/>
                <w:color w:val="51555C"/>
              </w:rPr>
              <w:t>Add: GAAP income tax (benefit) provision</w:t>
            </w:r>
          </w:p>
        </w:tc>
        <w:tc>
          <w:tcPr>
            <w:tcW w:w="20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51555C"/>
              </w:rPr>
              <w:t>(1.6)</w:t>
            </w:r>
          </w:p>
        </w:tc>
        <w:tc>
          <w:tcPr>
            <w:tcW w:w="2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51555C"/>
              </w:rPr>
              <w:t>2.5</w:t>
            </w:r>
          </w:p>
        </w:tc>
        <w:tc>
          <w:tcPr>
            <w:tcW w:w="1040" w:type="dxa"/>
            <w:vAlign w:val="bottom"/>
          </w:tcPr>
          <w:p>
            <w:pPr>
              <w:jc w:val="right"/>
              <w:spacing w:after="0"/>
              <w:rPr>
                <w:sz w:val="20"/>
                <w:szCs w:val="20"/>
                <w:color w:val="auto"/>
              </w:rPr>
            </w:pPr>
            <w:r>
              <w:rPr>
                <w:rFonts w:ascii="Arial" w:cs="Arial" w:eastAsia="Arial" w:hAnsi="Arial"/>
                <w:sz w:val="14"/>
                <w:szCs w:val="14"/>
                <w:color w:val="51555C"/>
              </w:rPr>
              <w:t>(162.6)%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51555C"/>
              </w:rPr>
              <w:t>(6.0)</w:t>
            </w:r>
          </w:p>
        </w:tc>
        <w:tc>
          <w:tcPr>
            <w:tcW w:w="200" w:type="dxa"/>
            <w:vAlign w:val="bottom"/>
          </w:tcPr>
          <w:p>
            <w:pPr>
              <w:spacing w:after="0"/>
              <w:rPr>
                <w:sz w:val="17"/>
                <w:szCs w:val="17"/>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51555C"/>
              </w:rPr>
              <w:t>4.9</w:t>
            </w:r>
          </w:p>
        </w:tc>
        <w:tc>
          <w:tcPr>
            <w:tcW w:w="1020" w:type="dxa"/>
            <w:vAlign w:val="bottom"/>
          </w:tcPr>
          <w:p>
            <w:pPr>
              <w:jc w:val="right"/>
              <w:spacing w:after="0"/>
              <w:rPr>
                <w:sz w:val="20"/>
                <w:szCs w:val="20"/>
                <w:color w:val="auto"/>
              </w:rPr>
            </w:pPr>
            <w:r>
              <w:rPr>
                <w:rFonts w:ascii="Arial" w:cs="Arial" w:eastAsia="Arial" w:hAnsi="Arial"/>
                <w:sz w:val="14"/>
                <w:szCs w:val="14"/>
                <w:color w:val="51555C"/>
              </w:rPr>
              <w:t>(221.2)%</w:t>
            </w:r>
          </w:p>
        </w:tc>
        <w:tc>
          <w:tcPr>
            <w:tcW w:w="20" w:type="dxa"/>
            <w:vAlign w:val="bottom"/>
          </w:tcPr>
          <w:p>
            <w:pPr>
              <w:spacing w:after="0"/>
              <w:rPr>
                <w:sz w:val="17"/>
                <w:szCs w:val="17"/>
                <w:color w:val="auto"/>
              </w:rPr>
            </w:pPr>
          </w:p>
        </w:tc>
      </w:tr>
      <w:tr>
        <w:trPr>
          <w:trHeight w:val="25"/>
        </w:trPr>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4"/>
        </w:trPr>
        <w:tc>
          <w:tcPr>
            <w:tcW w:w="422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Total non-GAAP adjustments affecting income from</w:t>
            </w:r>
          </w:p>
        </w:tc>
        <w:tc>
          <w:tcPr>
            <w:tcW w:w="200" w:type="dxa"/>
            <w:vAlign w:val="bottom"/>
            <w:shd w:val="clear" w:color="auto" w:fill="EBFBFF"/>
          </w:tcPr>
          <w:p>
            <w:pPr>
              <w:spacing w:after="0"/>
              <w:rPr>
                <w:sz w:val="17"/>
                <w:szCs w:val="17"/>
                <w:color w:val="auto"/>
              </w:rPr>
            </w:pPr>
          </w:p>
        </w:tc>
        <w:tc>
          <w:tcPr>
            <w:tcW w:w="1020" w:type="dxa"/>
            <w:vAlign w:val="bottom"/>
            <w:shd w:val="clear" w:color="auto" w:fill="EBFBFF"/>
          </w:tcPr>
          <w:p>
            <w:pPr>
              <w:spacing w:after="0"/>
              <w:rPr>
                <w:sz w:val="17"/>
                <w:szCs w:val="17"/>
                <w:color w:val="auto"/>
              </w:rPr>
            </w:pPr>
          </w:p>
        </w:tc>
        <w:tc>
          <w:tcPr>
            <w:tcW w:w="200" w:type="dxa"/>
            <w:vAlign w:val="bottom"/>
            <w:shd w:val="clear" w:color="auto" w:fill="EBFBFF"/>
          </w:tcPr>
          <w:p>
            <w:pPr>
              <w:spacing w:after="0"/>
              <w:rPr>
                <w:sz w:val="17"/>
                <w:szCs w:val="17"/>
                <w:color w:val="auto"/>
              </w:rPr>
            </w:pPr>
          </w:p>
        </w:tc>
        <w:tc>
          <w:tcPr>
            <w:tcW w:w="1000" w:type="dxa"/>
            <w:vAlign w:val="bottom"/>
            <w:shd w:val="clear" w:color="auto" w:fill="EBFBFF"/>
          </w:tcPr>
          <w:p>
            <w:pPr>
              <w:spacing w:after="0"/>
              <w:rPr>
                <w:sz w:val="17"/>
                <w:szCs w:val="17"/>
                <w:color w:val="auto"/>
              </w:rPr>
            </w:pPr>
          </w:p>
        </w:tc>
        <w:tc>
          <w:tcPr>
            <w:tcW w:w="1040" w:type="dxa"/>
            <w:vAlign w:val="bottom"/>
            <w:shd w:val="clear" w:color="auto" w:fill="EBFBFF"/>
          </w:tcPr>
          <w:p>
            <w:pPr>
              <w:spacing w:after="0"/>
              <w:rPr>
                <w:sz w:val="17"/>
                <w:szCs w:val="17"/>
                <w:color w:val="auto"/>
              </w:rPr>
            </w:pPr>
          </w:p>
        </w:tc>
        <w:tc>
          <w:tcPr>
            <w:tcW w:w="100" w:type="dxa"/>
            <w:vAlign w:val="bottom"/>
            <w:shd w:val="clear" w:color="auto" w:fill="EBFBFF"/>
          </w:tcPr>
          <w:p>
            <w:pPr>
              <w:spacing w:after="0"/>
              <w:rPr>
                <w:sz w:val="17"/>
                <w:szCs w:val="17"/>
                <w:color w:val="auto"/>
              </w:rPr>
            </w:pPr>
          </w:p>
        </w:tc>
        <w:tc>
          <w:tcPr>
            <w:tcW w:w="200" w:type="dxa"/>
            <w:vAlign w:val="bottom"/>
            <w:shd w:val="clear" w:color="auto" w:fill="EBFBFF"/>
          </w:tcPr>
          <w:p>
            <w:pPr>
              <w:spacing w:after="0"/>
              <w:rPr>
                <w:sz w:val="17"/>
                <w:szCs w:val="17"/>
                <w:color w:val="auto"/>
              </w:rPr>
            </w:pPr>
          </w:p>
        </w:tc>
        <w:tc>
          <w:tcPr>
            <w:tcW w:w="1020" w:type="dxa"/>
            <w:vAlign w:val="bottom"/>
            <w:shd w:val="clear" w:color="auto" w:fill="EBFBFF"/>
          </w:tcPr>
          <w:p>
            <w:pPr>
              <w:spacing w:after="0"/>
              <w:rPr>
                <w:sz w:val="17"/>
                <w:szCs w:val="17"/>
                <w:color w:val="auto"/>
              </w:rPr>
            </w:pPr>
          </w:p>
        </w:tc>
        <w:tc>
          <w:tcPr>
            <w:tcW w:w="200" w:type="dxa"/>
            <w:vAlign w:val="bottom"/>
            <w:shd w:val="clear" w:color="auto" w:fill="EBFBFF"/>
          </w:tcPr>
          <w:p>
            <w:pPr>
              <w:spacing w:after="0"/>
              <w:rPr>
                <w:sz w:val="17"/>
                <w:szCs w:val="17"/>
                <w:color w:val="auto"/>
              </w:rPr>
            </w:pPr>
          </w:p>
        </w:tc>
        <w:tc>
          <w:tcPr>
            <w:tcW w:w="1020" w:type="dxa"/>
            <w:vAlign w:val="bottom"/>
            <w:shd w:val="clear" w:color="auto" w:fill="EBFBFF"/>
          </w:tcPr>
          <w:p>
            <w:pPr>
              <w:spacing w:after="0"/>
              <w:rPr>
                <w:sz w:val="17"/>
                <w:szCs w:val="17"/>
                <w:color w:val="auto"/>
              </w:rPr>
            </w:pPr>
          </w:p>
        </w:tc>
        <w:tc>
          <w:tcPr>
            <w:tcW w:w="102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42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operations</w:t>
            </w:r>
          </w:p>
        </w:tc>
        <w:tc>
          <w:tcPr>
            <w:tcW w:w="200" w:type="dxa"/>
            <w:vAlign w:val="bottom"/>
            <w:tcBorders>
              <w:bottom w:val="single" w:sz="8" w:color="EBFBFF"/>
            </w:tcBorders>
            <w:shd w:val="clear" w:color="auto" w:fill="EBFBFF"/>
          </w:tcPr>
          <w:p>
            <w:pPr>
              <w:spacing w:after="0"/>
              <w:rPr>
                <w:sz w:val="17"/>
                <w:szCs w:val="17"/>
                <w:color w:val="auto"/>
              </w:rPr>
            </w:pPr>
          </w:p>
        </w:tc>
        <w:tc>
          <w:tcPr>
            <w:tcW w:w="102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56.9</w:t>
            </w:r>
          </w:p>
        </w:tc>
        <w:tc>
          <w:tcPr>
            <w:tcW w:w="200" w:type="dxa"/>
            <w:vAlign w:val="bottom"/>
            <w:tcBorders>
              <w:bottom w:val="single" w:sz="8" w:color="EBFBFF"/>
            </w:tcBorders>
            <w:shd w:val="clear" w:color="auto" w:fill="EBFBFF"/>
          </w:tcPr>
          <w:p>
            <w:pPr>
              <w:spacing w:after="0"/>
              <w:rPr>
                <w:sz w:val="17"/>
                <w:szCs w:val="17"/>
                <w:color w:val="auto"/>
              </w:rPr>
            </w:pPr>
          </w:p>
        </w:tc>
        <w:tc>
          <w:tcPr>
            <w:tcW w:w="10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38.6</w:t>
            </w: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47.2 %</w:t>
            </w:r>
          </w:p>
        </w:tc>
        <w:tc>
          <w:tcPr>
            <w:tcW w:w="100" w:type="dxa"/>
            <w:vAlign w:val="bottom"/>
            <w:tcBorders>
              <w:bottom w:val="single" w:sz="8" w:color="EBFBFF"/>
            </w:tcBorders>
            <w:shd w:val="clear" w:color="auto" w:fill="EBFBFF"/>
          </w:tcPr>
          <w:p>
            <w:pPr>
              <w:spacing w:after="0"/>
              <w:rPr>
                <w:sz w:val="17"/>
                <w:szCs w:val="17"/>
                <w:color w:val="auto"/>
              </w:rPr>
            </w:pPr>
          </w:p>
        </w:tc>
        <w:tc>
          <w:tcPr>
            <w:tcW w:w="200" w:type="dxa"/>
            <w:vAlign w:val="bottom"/>
            <w:tcBorders>
              <w:bottom w:val="single" w:sz="8" w:color="EBFBFF"/>
            </w:tcBorders>
            <w:shd w:val="clear" w:color="auto" w:fill="EBFBFF"/>
          </w:tcPr>
          <w:p>
            <w:pPr>
              <w:spacing w:after="0"/>
              <w:rPr>
                <w:sz w:val="17"/>
                <w:szCs w:val="17"/>
                <w:color w:val="auto"/>
              </w:rPr>
            </w:pPr>
          </w:p>
        </w:tc>
        <w:tc>
          <w:tcPr>
            <w:tcW w:w="102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160.7</w:t>
            </w:r>
          </w:p>
        </w:tc>
        <w:tc>
          <w:tcPr>
            <w:tcW w:w="200" w:type="dxa"/>
            <w:vAlign w:val="bottom"/>
            <w:tcBorders>
              <w:bottom w:val="single" w:sz="8" w:color="EBFBFF"/>
            </w:tcBorders>
            <w:shd w:val="clear" w:color="auto" w:fill="EBFBFF"/>
          </w:tcPr>
          <w:p>
            <w:pPr>
              <w:spacing w:after="0"/>
              <w:rPr>
                <w:sz w:val="17"/>
                <w:szCs w:val="17"/>
                <w:color w:val="auto"/>
              </w:rPr>
            </w:pPr>
          </w:p>
        </w:tc>
        <w:tc>
          <w:tcPr>
            <w:tcW w:w="102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120.3</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33.6 %</w:t>
            </w:r>
          </w:p>
        </w:tc>
        <w:tc>
          <w:tcPr>
            <w:tcW w:w="20" w:type="dxa"/>
            <w:vAlign w:val="bottom"/>
          </w:tcPr>
          <w:p>
            <w:pPr>
              <w:spacing w:after="0"/>
              <w:rPr>
                <w:sz w:val="17"/>
                <w:szCs w:val="17"/>
                <w:color w:val="auto"/>
              </w:rPr>
            </w:pPr>
          </w:p>
        </w:tc>
      </w:tr>
      <w:tr>
        <w:trPr>
          <w:trHeight w:val="198"/>
        </w:trPr>
        <w:tc>
          <w:tcPr>
            <w:tcW w:w="4220" w:type="dxa"/>
            <w:vAlign w:val="bottom"/>
          </w:tcPr>
          <w:p>
            <w:pPr>
              <w:ind w:left="20"/>
              <w:spacing w:after="0"/>
              <w:rPr>
                <w:sz w:val="20"/>
                <w:szCs w:val="20"/>
                <w:color w:val="auto"/>
              </w:rPr>
            </w:pPr>
            <w:r>
              <w:rPr>
                <w:rFonts w:ascii="Arial" w:cs="Arial" w:eastAsia="Arial" w:hAnsi="Arial"/>
                <w:sz w:val="14"/>
                <w:szCs w:val="14"/>
                <w:b w:val="1"/>
                <w:bCs w:val="1"/>
                <w:color w:val="51555C"/>
              </w:rPr>
              <w:t>Non-GAAP income before provision for income taxes</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51555C"/>
              </w:rPr>
              <w:t>45.0</w:t>
            </w: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51555C"/>
              </w:rPr>
              <w:t>47.3</w:t>
            </w:r>
          </w:p>
        </w:tc>
        <w:tc>
          <w:tcPr>
            <w:tcW w:w="1040" w:type="dxa"/>
            <w:vAlign w:val="bottom"/>
          </w:tcPr>
          <w:p>
            <w:pPr>
              <w:jc w:val="right"/>
              <w:spacing w:after="0"/>
              <w:rPr>
                <w:sz w:val="20"/>
                <w:szCs w:val="20"/>
                <w:color w:val="auto"/>
              </w:rPr>
            </w:pPr>
            <w:r>
              <w:rPr>
                <w:rFonts w:ascii="Arial" w:cs="Arial" w:eastAsia="Arial" w:hAnsi="Arial"/>
                <w:sz w:val="14"/>
                <w:szCs w:val="14"/>
                <w:color w:val="51555C"/>
              </w:rPr>
              <w:t>(5.0)%</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51555C"/>
              </w:rPr>
              <w:t>130.5</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51555C"/>
              </w:rPr>
              <w:t>138.0</w:t>
            </w:r>
          </w:p>
        </w:tc>
        <w:tc>
          <w:tcPr>
            <w:tcW w:w="1020" w:type="dxa"/>
            <w:vAlign w:val="bottom"/>
          </w:tcPr>
          <w:p>
            <w:pPr>
              <w:jc w:val="right"/>
              <w:spacing w:after="0"/>
              <w:rPr>
                <w:sz w:val="20"/>
                <w:szCs w:val="20"/>
                <w:color w:val="auto"/>
              </w:rPr>
            </w:pPr>
            <w:r>
              <w:rPr>
                <w:rFonts w:ascii="Arial" w:cs="Arial" w:eastAsia="Arial" w:hAnsi="Arial"/>
                <w:sz w:val="14"/>
                <w:szCs w:val="14"/>
                <w:color w:val="51555C"/>
              </w:rPr>
              <w:t>(5.4)%</w:t>
            </w:r>
          </w:p>
        </w:tc>
        <w:tc>
          <w:tcPr>
            <w:tcW w:w="20" w:type="dxa"/>
            <w:vAlign w:val="bottom"/>
          </w:tcPr>
          <w:p>
            <w:pPr>
              <w:spacing w:after="0"/>
              <w:rPr>
                <w:sz w:val="17"/>
                <w:szCs w:val="17"/>
                <w:color w:val="auto"/>
              </w:rPr>
            </w:pPr>
          </w:p>
        </w:tc>
      </w:tr>
      <w:tr>
        <w:trPr>
          <w:trHeight w:val="25"/>
        </w:trPr>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22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Assumed non-GAAP income tax provision</w:t>
            </w:r>
            <w:r>
              <w:rPr>
                <w:rFonts w:ascii="Arial" w:cs="Arial" w:eastAsia="Arial" w:hAnsi="Arial"/>
                <w:sz w:val="18"/>
                <w:szCs w:val="18"/>
                <w:color w:val="51555C"/>
                <w:vertAlign w:val="superscript"/>
              </w:rPr>
              <w:t>(4)</w:t>
            </w:r>
          </w:p>
        </w:tc>
        <w:tc>
          <w:tcPr>
            <w:tcW w:w="200" w:type="dxa"/>
            <w:vAlign w:val="bottom"/>
            <w:tcBorders>
              <w:bottom w:val="single" w:sz="8" w:color="auto"/>
            </w:tcBorders>
            <w:shd w:val="clear" w:color="auto" w:fill="EBFBFF"/>
          </w:tcPr>
          <w:p>
            <w:pPr>
              <w:spacing w:after="0"/>
              <w:rPr>
                <w:sz w:val="19"/>
                <w:szCs w:val="19"/>
                <w:color w:val="auto"/>
              </w:rPr>
            </w:pPr>
          </w:p>
        </w:tc>
        <w:tc>
          <w:tcPr>
            <w:tcW w:w="1020" w:type="dxa"/>
            <w:vAlign w:val="bottom"/>
            <w:tcBorders>
              <w:bottom w:val="single" w:sz="8" w:color="auto"/>
            </w:tcBorders>
            <w:shd w:val="clear" w:color="auto" w:fill="EBFBFF"/>
          </w:tcPr>
          <w:p>
            <w:pPr>
              <w:jc w:val="right"/>
              <w:ind w:right="128"/>
              <w:spacing w:after="0"/>
              <w:rPr>
                <w:sz w:val="20"/>
                <w:szCs w:val="20"/>
                <w:color w:val="auto"/>
              </w:rPr>
            </w:pPr>
            <w:r>
              <w:rPr>
                <w:rFonts w:ascii="Arial" w:cs="Arial" w:eastAsia="Arial" w:hAnsi="Arial"/>
                <w:sz w:val="14"/>
                <w:szCs w:val="14"/>
                <w:color w:val="51555C"/>
              </w:rPr>
              <w:t>9.0</w:t>
            </w:r>
          </w:p>
        </w:tc>
        <w:tc>
          <w:tcPr>
            <w:tcW w:w="200" w:type="dxa"/>
            <w:vAlign w:val="bottom"/>
            <w:tcBorders>
              <w:bottom w:val="single" w:sz="8" w:color="auto"/>
            </w:tcBorders>
            <w:shd w:val="clear" w:color="auto" w:fill="EBFBFF"/>
          </w:tcPr>
          <w:p>
            <w:pPr>
              <w:spacing w:after="0"/>
              <w:rPr>
                <w:sz w:val="19"/>
                <w:szCs w:val="19"/>
                <w:color w:val="auto"/>
              </w:rPr>
            </w:pPr>
          </w:p>
        </w:tc>
        <w:tc>
          <w:tcPr>
            <w:tcW w:w="1000" w:type="dxa"/>
            <w:vAlign w:val="bottom"/>
            <w:tcBorders>
              <w:bottom w:val="single" w:sz="8" w:color="auto"/>
            </w:tcBorders>
            <w:shd w:val="clear" w:color="auto" w:fill="EBFBFF"/>
          </w:tcPr>
          <w:p>
            <w:pPr>
              <w:jc w:val="right"/>
              <w:ind w:right="108"/>
              <w:spacing w:after="0"/>
              <w:rPr>
                <w:sz w:val="20"/>
                <w:szCs w:val="20"/>
                <w:color w:val="auto"/>
              </w:rPr>
            </w:pPr>
            <w:r>
              <w:rPr>
                <w:rFonts w:ascii="Arial" w:cs="Arial" w:eastAsia="Arial" w:hAnsi="Arial"/>
                <w:sz w:val="14"/>
                <w:szCs w:val="14"/>
                <w:color w:val="51555C"/>
              </w:rPr>
              <w:t>9.5</w:t>
            </w:r>
          </w:p>
        </w:tc>
        <w:tc>
          <w:tcPr>
            <w:tcW w:w="104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(5.0)%</w:t>
            </w:r>
          </w:p>
        </w:tc>
        <w:tc>
          <w:tcPr>
            <w:tcW w:w="100" w:type="dxa"/>
            <w:vAlign w:val="bottom"/>
            <w:shd w:val="clear" w:color="auto" w:fill="EBFBFF"/>
          </w:tcPr>
          <w:p>
            <w:pPr>
              <w:spacing w:after="0"/>
              <w:rPr>
                <w:sz w:val="19"/>
                <w:szCs w:val="19"/>
                <w:color w:val="auto"/>
              </w:rPr>
            </w:pPr>
          </w:p>
        </w:tc>
        <w:tc>
          <w:tcPr>
            <w:tcW w:w="200" w:type="dxa"/>
            <w:vAlign w:val="bottom"/>
            <w:tcBorders>
              <w:bottom w:val="single" w:sz="8" w:color="auto"/>
            </w:tcBorders>
            <w:shd w:val="clear" w:color="auto" w:fill="EBFBFF"/>
          </w:tcPr>
          <w:p>
            <w:pPr>
              <w:spacing w:after="0"/>
              <w:rPr>
                <w:sz w:val="19"/>
                <w:szCs w:val="19"/>
                <w:color w:val="auto"/>
              </w:rPr>
            </w:pPr>
          </w:p>
        </w:tc>
        <w:tc>
          <w:tcPr>
            <w:tcW w:w="1020" w:type="dxa"/>
            <w:vAlign w:val="bottom"/>
            <w:tcBorders>
              <w:bottom w:val="single" w:sz="8" w:color="auto"/>
            </w:tcBorders>
            <w:shd w:val="clear" w:color="auto" w:fill="EBFBFF"/>
          </w:tcPr>
          <w:p>
            <w:pPr>
              <w:jc w:val="right"/>
              <w:ind w:right="108"/>
              <w:spacing w:after="0"/>
              <w:rPr>
                <w:sz w:val="20"/>
                <w:szCs w:val="20"/>
                <w:color w:val="auto"/>
              </w:rPr>
            </w:pPr>
            <w:r>
              <w:rPr>
                <w:rFonts w:ascii="Arial" w:cs="Arial" w:eastAsia="Arial" w:hAnsi="Arial"/>
                <w:sz w:val="14"/>
                <w:szCs w:val="14"/>
                <w:color w:val="51555C"/>
              </w:rPr>
              <w:t>26.1</w:t>
            </w:r>
          </w:p>
        </w:tc>
        <w:tc>
          <w:tcPr>
            <w:tcW w:w="200" w:type="dxa"/>
            <w:vAlign w:val="bottom"/>
            <w:tcBorders>
              <w:bottom w:val="single" w:sz="8" w:color="auto"/>
            </w:tcBorders>
            <w:shd w:val="clear" w:color="auto" w:fill="EBFBFF"/>
          </w:tcPr>
          <w:p>
            <w:pPr>
              <w:spacing w:after="0"/>
              <w:rPr>
                <w:sz w:val="19"/>
                <w:szCs w:val="19"/>
                <w:color w:val="auto"/>
              </w:rPr>
            </w:pPr>
          </w:p>
        </w:tc>
        <w:tc>
          <w:tcPr>
            <w:tcW w:w="1020" w:type="dxa"/>
            <w:vAlign w:val="bottom"/>
            <w:tcBorders>
              <w:bottom w:val="single" w:sz="8" w:color="auto"/>
            </w:tcBorders>
            <w:shd w:val="clear" w:color="auto" w:fill="EBFBFF"/>
          </w:tcPr>
          <w:p>
            <w:pPr>
              <w:jc w:val="right"/>
              <w:ind w:right="128"/>
              <w:spacing w:after="0"/>
              <w:rPr>
                <w:sz w:val="20"/>
                <w:szCs w:val="20"/>
                <w:color w:val="auto"/>
              </w:rPr>
            </w:pPr>
            <w:r>
              <w:rPr>
                <w:rFonts w:ascii="Arial" w:cs="Arial" w:eastAsia="Arial" w:hAnsi="Arial"/>
                <w:sz w:val="14"/>
                <w:szCs w:val="14"/>
                <w:color w:val="51555C"/>
              </w:rPr>
              <w:t>27.6</w:t>
            </w:r>
          </w:p>
        </w:tc>
        <w:tc>
          <w:tcPr>
            <w:tcW w:w="102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(5.4)%</w:t>
            </w:r>
          </w:p>
        </w:tc>
        <w:tc>
          <w:tcPr>
            <w:tcW w:w="20" w:type="dxa"/>
            <w:vAlign w:val="bottom"/>
          </w:tcPr>
          <w:p>
            <w:pPr>
              <w:spacing w:after="0"/>
              <w:rPr>
                <w:sz w:val="19"/>
                <w:szCs w:val="19"/>
                <w:color w:val="auto"/>
              </w:rPr>
            </w:pPr>
          </w:p>
        </w:tc>
      </w:tr>
      <w:tr>
        <w:trPr>
          <w:trHeight w:val="257"/>
        </w:trPr>
        <w:tc>
          <w:tcPr>
            <w:tcW w:w="4220" w:type="dxa"/>
            <w:vAlign w:val="bottom"/>
          </w:tcPr>
          <w:p>
            <w:pPr>
              <w:ind w:left="20"/>
              <w:spacing w:after="0"/>
              <w:rPr>
                <w:sz w:val="20"/>
                <w:szCs w:val="20"/>
                <w:color w:val="auto"/>
              </w:rPr>
            </w:pPr>
            <w:r>
              <w:rPr>
                <w:rFonts w:ascii="Arial" w:cs="Arial" w:eastAsia="Arial" w:hAnsi="Arial"/>
                <w:sz w:val="14"/>
                <w:szCs w:val="14"/>
                <w:b w:val="1"/>
                <w:bCs w:val="1"/>
                <w:color w:val="51555C"/>
              </w:rPr>
              <w:t>Non-GAAP net income</w:t>
            </w:r>
            <w:r>
              <w:rPr>
                <w:rFonts w:ascii="Arial" w:cs="Arial" w:eastAsia="Arial" w:hAnsi="Arial"/>
                <w:sz w:val="18"/>
                <w:szCs w:val="18"/>
                <w:b w:val="1"/>
                <w:bCs w:val="1"/>
                <w:color w:val="51555C"/>
                <w:vertAlign w:val="superscript"/>
              </w:rPr>
              <w:t>(1)</w:t>
            </w:r>
          </w:p>
        </w:tc>
        <w:tc>
          <w:tcPr>
            <w:tcW w:w="200" w:type="dxa"/>
            <w:vAlign w:val="bottom"/>
          </w:tcPr>
          <w:p>
            <w:pPr>
              <w:jc w:val="right"/>
              <w:ind w:right="28"/>
              <w:spacing w:after="0"/>
              <w:rPr>
                <w:sz w:val="20"/>
                <w:szCs w:val="20"/>
                <w:color w:val="auto"/>
              </w:rPr>
            </w:pPr>
            <w:r>
              <w:rPr>
                <w:rFonts w:ascii="Arial" w:cs="Arial" w:eastAsia="Arial" w:hAnsi="Arial"/>
                <w:sz w:val="14"/>
                <w:szCs w:val="14"/>
                <w:color w:val="51555C"/>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51555C"/>
              </w:rPr>
              <w:t>36.0</w:t>
            </w:r>
          </w:p>
        </w:tc>
        <w:tc>
          <w:tcPr>
            <w:tcW w:w="200" w:type="dxa"/>
            <w:vAlign w:val="bottom"/>
          </w:tcPr>
          <w:p>
            <w:pPr>
              <w:jc w:val="right"/>
              <w:ind w:right="28"/>
              <w:spacing w:after="0"/>
              <w:rPr>
                <w:sz w:val="20"/>
                <w:szCs w:val="20"/>
                <w:color w:val="auto"/>
              </w:rPr>
            </w:pPr>
            <w:r>
              <w:rPr>
                <w:rFonts w:ascii="Arial" w:cs="Arial" w:eastAsia="Arial" w:hAnsi="Arial"/>
                <w:sz w:val="14"/>
                <w:szCs w:val="14"/>
                <w:color w:val="51555C"/>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51555C"/>
              </w:rPr>
              <w:t>37.9</w:t>
            </w:r>
          </w:p>
        </w:tc>
        <w:tc>
          <w:tcPr>
            <w:tcW w:w="1040" w:type="dxa"/>
            <w:vAlign w:val="bottom"/>
          </w:tcPr>
          <w:p>
            <w:pPr>
              <w:jc w:val="right"/>
              <w:spacing w:after="0"/>
              <w:rPr>
                <w:sz w:val="20"/>
                <w:szCs w:val="20"/>
                <w:color w:val="auto"/>
              </w:rPr>
            </w:pPr>
            <w:r>
              <w:rPr>
                <w:rFonts w:ascii="Arial" w:cs="Arial" w:eastAsia="Arial" w:hAnsi="Arial"/>
                <w:sz w:val="14"/>
                <w:szCs w:val="14"/>
                <w:color w:val="51555C"/>
              </w:rPr>
              <w:t>(5.0)%</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51555C"/>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51555C"/>
              </w:rPr>
              <w:t>104.4</w:t>
            </w:r>
          </w:p>
        </w:tc>
        <w:tc>
          <w:tcPr>
            <w:tcW w:w="200" w:type="dxa"/>
            <w:vAlign w:val="bottom"/>
          </w:tcPr>
          <w:p>
            <w:pPr>
              <w:jc w:val="right"/>
              <w:ind w:right="28"/>
              <w:spacing w:after="0"/>
              <w:rPr>
                <w:sz w:val="20"/>
                <w:szCs w:val="20"/>
                <w:color w:val="auto"/>
              </w:rPr>
            </w:pPr>
            <w:r>
              <w:rPr>
                <w:rFonts w:ascii="Arial" w:cs="Arial" w:eastAsia="Arial" w:hAnsi="Arial"/>
                <w:sz w:val="14"/>
                <w:szCs w:val="14"/>
                <w:color w:val="51555C"/>
              </w:rPr>
              <w:t>$</w:t>
            </w:r>
          </w:p>
        </w:tc>
        <w:tc>
          <w:tcPr>
            <w:tcW w:w="1020" w:type="dxa"/>
            <w:vAlign w:val="bottom"/>
          </w:tcPr>
          <w:p>
            <w:pPr>
              <w:jc w:val="right"/>
              <w:ind w:right="128"/>
              <w:spacing w:after="0"/>
              <w:rPr>
                <w:sz w:val="20"/>
                <w:szCs w:val="20"/>
                <w:color w:val="auto"/>
              </w:rPr>
            </w:pPr>
            <w:r>
              <w:rPr>
                <w:rFonts w:ascii="Arial" w:cs="Arial" w:eastAsia="Arial" w:hAnsi="Arial"/>
                <w:sz w:val="14"/>
                <w:szCs w:val="14"/>
                <w:color w:val="51555C"/>
              </w:rPr>
              <w:t>110.4</w:t>
            </w:r>
          </w:p>
        </w:tc>
        <w:tc>
          <w:tcPr>
            <w:tcW w:w="1020" w:type="dxa"/>
            <w:vAlign w:val="bottom"/>
          </w:tcPr>
          <w:p>
            <w:pPr>
              <w:jc w:val="right"/>
              <w:spacing w:after="0"/>
              <w:rPr>
                <w:sz w:val="20"/>
                <w:szCs w:val="20"/>
                <w:color w:val="auto"/>
              </w:rPr>
            </w:pPr>
            <w:r>
              <w:rPr>
                <w:rFonts w:ascii="Arial" w:cs="Arial" w:eastAsia="Arial" w:hAnsi="Arial"/>
                <w:sz w:val="14"/>
                <w:szCs w:val="14"/>
                <w:color w:val="51555C"/>
              </w:rPr>
              <w:t>(5.4)%</w:t>
            </w:r>
          </w:p>
        </w:tc>
        <w:tc>
          <w:tcPr>
            <w:tcW w:w="20" w:type="dxa"/>
            <w:vAlign w:val="bottom"/>
          </w:tcPr>
          <w:p>
            <w:pPr>
              <w:spacing w:after="0"/>
              <w:rPr>
                <w:sz w:val="22"/>
                <w:szCs w:val="22"/>
                <w:color w:val="auto"/>
              </w:rPr>
            </w:pPr>
          </w:p>
        </w:tc>
      </w:tr>
      <w:tr>
        <w:trPr>
          <w:trHeight w:val="204"/>
        </w:trPr>
        <w:tc>
          <w:tcPr>
            <w:tcW w:w="4220" w:type="dxa"/>
            <w:vAlign w:val="bottom"/>
            <w:tcBorders>
              <w:top w:val="single" w:sz="8" w:color="EBFBFF"/>
            </w:tcBorders>
          </w:tcPr>
          <w:p>
            <w:pPr>
              <w:ind w:left="20"/>
              <w:spacing w:after="0"/>
              <w:rPr>
                <w:sz w:val="20"/>
                <w:szCs w:val="20"/>
                <w:color w:val="auto"/>
              </w:rPr>
            </w:pPr>
            <w:r>
              <w:rPr>
                <w:rFonts w:ascii="Arial" w:cs="Arial" w:eastAsia="Arial" w:hAnsi="Arial"/>
                <w:sz w:val="14"/>
                <w:szCs w:val="14"/>
                <w:color w:val="51555C"/>
              </w:rPr>
              <w:t>Shares used in computing non-GAAP diluted earnings per share</w:t>
            </w:r>
          </w:p>
        </w:tc>
        <w:tc>
          <w:tcPr>
            <w:tcW w:w="200" w:type="dxa"/>
            <w:vAlign w:val="bottom"/>
            <w:tcBorders>
              <w:top w:val="single" w:sz="8" w:color="51555C"/>
            </w:tcBorders>
          </w:tcPr>
          <w:p>
            <w:pPr>
              <w:spacing w:after="0"/>
              <w:rPr>
                <w:sz w:val="17"/>
                <w:szCs w:val="17"/>
                <w:color w:val="auto"/>
              </w:rPr>
            </w:pPr>
          </w:p>
        </w:tc>
        <w:tc>
          <w:tcPr>
            <w:tcW w:w="1020" w:type="dxa"/>
            <w:vAlign w:val="bottom"/>
            <w:tcBorders>
              <w:top w:val="single" w:sz="8" w:color="51555C"/>
            </w:tcBorders>
          </w:tcPr>
          <w:p>
            <w:pPr>
              <w:jc w:val="right"/>
              <w:ind w:right="128"/>
              <w:spacing w:after="0"/>
              <w:rPr>
                <w:sz w:val="20"/>
                <w:szCs w:val="20"/>
                <w:color w:val="auto"/>
              </w:rPr>
            </w:pPr>
            <w:r>
              <w:rPr>
                <w:rFonts w:ascii="Arial" w:cs="Arial" w:eastAsia="Arial" w:hAnsi="Arial"/>
                <w:sz w:val="14"/>
                <w:szCs w:val="14"/>
                <w:color w:val="51555C"/>
              </w:rPr>
              <w:t>52,362,781</w:t>
            </w:r>
          </w:p>
        </w:tc>
        <w:tc>
          <w:tcPr>
            <w:tcW w:w="200" w:type="dxa"/>
            <w:vAlign w:val="bottom"/>
            <w:tcBorders>
              <w:top w:val="single" w:sz="8" w:color="51555C"/>
            </w:tcBorders>
          </w:tcPr>
          <w:p>
            <w:pPr>
              <w:spacing w:after="0"/>
              <w:rPr>
                <w:sz w:val="17"/>
                <w:szCs w:val="17"/>
                <w:color w:val="auto"/>
              </w:rPr>
            </w:pPr>
          </w:p>
        </w:tc>
        <w:tc>
          <w:tcPr>
            <w:tcW w:w="1000" w:type="dxa"/>
            <w:vAlign w:val="bottom"/>
            <w:tcBorders>
              <w:top w:val="single" w:sz="8" w:color="51555C"/>
            </w:tcBorders>
          </w:tcPr>
          <w:p>
            <w:pPr>
              <w:jc w:val="right"/>
              <w:ind w:right="108"/>
              <w:spacing w:after="0"/>
              <w:rPr>
                <w:sz w:val="20"/>
                <w:szCs w:val="20"/>
                <w:color w:val="auto"/>
              </w:rPr>
            </w:pPr>
            <w:r>
              <w:rPr>
                <w:rFonts w:ascii="Arial" w:cs="Arial" w:eastAsia="Arial" w:hAnsi="Arial"/>
                <w:sz w:val="14"/>
                <w:szCs w:val="14"/>
                <w:color w:val="51555C"/>
              </w:rPr>
              <w:t>48,274,072</w:t>
            </w:r>
          </w:p>
        </w:tc>
        <w:tc>
          <w:tcPr>
            <w:tcW w:w="1040" w:type="dxa"/>
            <w:vAlign w:val="bottom"/>
            <w:tcBorders>
              <w:top w:val="single" w:sz="8" w:color="EBFBFF"/>
            </w:tcBorders>
          </w:tcPr>
          <w:p>
            <w:pPr>
              <w:jc w:val="right"/>
              <w:spacing w:after="0"/>
              <w:rPr>
                <w:sz w:val="20"/>
                <w:szCs w:val="20"/>
                <w:color w:val="auto"/>
              </w:rPr>
            </w:pPr>
            <w:r>
              <w:rPr>
                <w:rFonts w:ascii="Arial" w:cs="Arial" w:eastAsia="Arial" w:hAnsi="Arial"/>
                <w:sz w:val="14"/>
                <w:szCs w:val="14"/>
                <w:color w:val="51555C"/>
              </w:rPr>
              <w:t>8.5 %</w:t>
            </w:r>
          </w:p>
        </w:tc>
        <w:tc>
          <w:tcPr>
            <w:tcW w:w="100" w:type="dxa"/>
            <w:vAlign w:val="bottom"/>
            <w:tcBorders>
              <w:top w:val="single" w:sz="8" w:color="EBFBFF"/>
            </w:tcBorders>
          </w:tcPr>
          <w:p>
            <w:pPr>
              <w:spacing w:after="0"/>
              <w:rPr>
                <w:sz w:val="17"/>
                <w:szCs w:val="17"/>
                <w:color w:val="auto"/>
              </w:rPr>
            </w:pPr>
          </w:p>
        </w:tc>
        <w:tc>
          <w:tcPr>
            <w:tcW w:w="200" w:type="dxa"/>
            <w:vAlign w:val="bottom"/>
            <w:tcBorders>
              <w:top w:val="single" w:sz="8" w:color="51555C"/>
            </w:tcBorders>
          </w:tcPr>
          <w:p>
            <w:pPr>
              <w:spacing w:after="0"/>
              <w:rPr>
                <w:sz w:val="17"/>
                <w:szCs w:val="17"/>
                <w:color w:val="auto"/>
              </w:rPr>
            </w:pPr>
          </w:p>
        </w:tc>
        <w:tc>
          <w:tcPr>
            <w:tcW w:w="1020" w:type="dxa"/>
            <w:vAlign w:val="bottom"/>
            <w:tcBorders>
              <w:top w:val="single" w:sz="8" w:color="51555C"/>
            </w:tcBorders>
          </w:tcPr>
          <w:p>
            <w:pPr>
              <w:jc w:val="right"/>
              <w:ind w:right="108"/>
              <w:spacing w:after="0"/>
              <w:rPr>
                <w:sz w:val="20"/>
                <w:szCs w:val="20"/>
                <w:color w:val="auto"/>
              </w:rPr>
            </w:pPr>
            <w:r>
              <w:rPr>
                <w:rFonts w:ascii="Arial" w:cs="Arial" w:eastAsia="Arial" w:hAnsi="Arial"/>
                <w:sz w:val="14"/>
                <w:szCs w:val="14"/>
                <w:color w:val="51555C"/>
              </w:rPr>
              <w:t>51,985,207</w:t>
            </w:r>
          </w:p>
        </w:tc>
        <w:tc>
          <w:tcPr>
            <w:tcW w:w="200" w:type="dxa"/>
            <w:vAlign w:val="bottom"/>
            <w:tcBorders>
              <w:top w:val="single" w:sz="8" w:color="51555C"/>
            </w:tcBorders>
          </w:tcPr>
          <w:p>
            <w:pPr>
              <w:spacing w:after="0"/>
              <w:rPr>
                <w:sz w:val="17"/>
                <w:szCs w:val="17"/>
                <w:color w:val="auto"/>
              </w:rPr>
            </w:pPr>
          </w:p>
        </w:tc>
        <w:tc>
          <w:tcPr>
            <w:tcW w:w="1020" w:type="dxa"/>
            <w:vAlign w:val="bottom"/>
            <w:tcBorders>
              <w:top w:val="single" w:sz="8" w:color="51555C"/>
            </w:tcBorders>
          </w:tcPr>
          <w:p>
            <w:pPr>
              <w:jc w:val="right"/>
              <w:ind w:right="128"/>
              <w:spacing w:after="0"/>
              <w:rPr>
                <w:sz w:val="20"/>
                <w:szCs w:val="20"/>
                <w:color w:val="auto"/>
              </w:rPr>
            </w:pPr>
            <w:r>
              <w:rPr>
                <w:rFonts w:ascii="Arial" w:cs="Arial" w:eastAsia="Arial" w:hAnsi="Arial"/>
                <w:sz w:val="14"/>
                <w:szCs w:val="14"/>
                <w:color w:val="51555C"/>
              </w:rPr>
              <w:t>48,259,956</w:t>
            </w:r>
          </w:p>
        </w:tc>
        <w:tc>
          <w:tcPr>
            <w:tcW w:w="1020" w:type="dxa"/>
            <w:vAlign w:val="bottom"/>
            <w:tcBorders>
              <w:top w:val="single" w:sz="8" w:color="EBFBFF"/>
            </w:tcBorders>
          </w:tcPr>
          <w:p>
            <w:pPr>
              <w:jc w:val="right"/>
              <w:spacing w:after="0"/>
              <w:rPr>
                <w:sz w:val="20"/>
                <w:szCs w:val="20"/>
                <w:color w:val="auto"/>
              </w:rPr>
            </w:pPr>
            <w:r>
              <w:rPr>
                <w:rFonts w:ascii="Arial" w:cs="Arial" w:eastAsia="Arial" w:hAnsi="Arial"/>
                <w:sz w:val="14"/>
                <w:szCs w:val="14"/>
                <w:color w:val="51555C"/>
              </w:rPr>
              <w:t>7.7 %</w:t>
            </w:r>
          </w:p>
        </w:tc>
        <w:tc>
          <w:tcPr>
            <w:tcW w:w="20" w:type="dxa"/>
            <w:vAlign w:val="bottom"/>
          </w:tcPr>
          <w:p>
            <w:pPr>
              <w:spacing w:after="0"/>
              <w:rPr>
                <w:sz w:val="17"/>
                <w:szCs w:val="17"/>
                <w:color w:val="auto"/>
              </w:rPr>
            </w:pPr>
          </w:p>
        </w:tc>
      </w:tr>
      <w:tr>
        <w:trPr>
          <w:trHeight w:val="25"/>
        </w:trPr>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42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b w:val="1"/>
                <w:bCs w:val="1"/>
                <w:color w:val="51555C"/>
              </w:rPr>
              <w:t>Non-GAAP diluted earnings per share</w:t>
            </w:r>
          </w:p>
        </w:tc>
        <w:tc>
          <w:tcPr>
            <w:tcW w:w="200" w:type="dxa"/>
            <w:vAlign w:val="bottom"/>
            <w:tcBorders>
              <w:bottom w:val="single" w:sz="8" w:color="EBFBFF"/>
            </w:tcBorders>
            <w:shd w:val="clear" w:color="auto" w:fill="EBFBFF"/>
          </w:tcPr>
          <w:p>
            <w:pPr>
              <w:jc w:val="right"/>
              <w:ind w:right="28"/>
              <w:spacing w:after="0"/>
              <w:rPr>
                <w:sz w:val="20"/>
                <w:szCs w:val="20"/>
                <w:color w:val="auto"/>
              </w:rPr>
            </w:pPr>
            <w:r>
              <w:rPr>
                <w:rFonts w:ascii="Arial" w:cs="Arial" w:eastAsia="Arial" w:hAnsi="Arial"/>
                <w:sz w:val="14"/>
                <w:szCs w:val="14"/>
                <w:color w:val="51555C"/>
              </w:rPr>
              <w:t>$</w:t>
            </w:r>
          </w:p>
        </w:tc>
        <w:tc>
          <w:tcPr>
            <w:tcW w:w="102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0.69</w:t>
            </w:r>
          </w:p>
        </w:tc>
        <w:tc>
          <w:tcPr>
            <w:tcW w:w="200" w:type="dxa"/>
            <w:vAlign w:val="bottom"/>
            <w:tcBorders>
              <w:bottom w:val="single" w:sz="8" w:color="EBFBFF"/>
            </w:tcBorders>
            <w:shd w:val="clear" w:color="auto" w:fill="EBFBFF"/>
          </w:tcPr>
          <w:p>
            <w:pPr>
              <w:jc w:val="right"/>
              <w:ind w:right="28"/>
              <w:spacing w:after="0"/>
              <w:rPr>
                <w:sz w:val="20"/>
                <w:szCs w:val="20"/>
                <w:color w:val="auto"/>
              </w:rPr>
            </w:pPr>
            <w:r>
              <w:rPr>
                <w:rFonts w:ascii="Arial" w:cs="Arial" w:eastAsia="Arial" w:hAnsi="Arial"/>
                <w:sz w:val="14"/>
                <w:szCs w:val="14"/>
                <w:color w:val="51555C"/>
              </w:rPr>
              <w:t>$</w:t>
            </w:r>
          </w:p>
        </w:tc>
        <w:tc>
          <w:tcPr>
            <w:tcW w:w="10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0.78</w:t>
            </w: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(11.5)%</w:t>
            </w:r>
          </w:p>
        </w:tc>
        <w:tc>
          <w:tcPr>
            <w:tcW w:w="300" w:type="dxa"/>
            <w:vAlign w:val="bottom"/>
            <w:tcBorders>
              <w:bottom w:val="single" w:sz="8" w:color="EBFBFF"/>
            </w:tcBorders>
            <w:gridSpan w:val="2"/>
            <w:shd w:val="clear" w:color="auto" w:fill="EBFBFF"/>
          </w:tcPr>
          <w:p>
            <w:pPr>
              <w:jc w:val="right"/>
              <w:ind w:right="100"/>
              <w:spacing w:after="0"/>
              <w:rPr>
                <w:sz w:val="20"/>
                <w:szCs w:val="20"/>
                <w:color w:val="auto"/>
              </w:rPr>
            </w:pPr>
            <w:r>
              <w:rPr>
                <w:rFonts w:ascii="Arial" w:cs="Arial" w:eastAsia="Arial" w:hAnsi="Arial"/>
                <w:sz w:val="14"/>
                <w:szCs w:val="14"/>
                <w:color w:val="51555C"/>
              </w:rPr>
              <w:t>$</w:t>
            </w:r>
          </w:p>
        </w:tc>
        <w:tc>
          <w:tcPr>
            <w:tcW w:w="102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2.01</w:t>
            </w:r>
          </w:p>
        </w:tc>
        <w:tc>
          <w:tcPr>
            <w:tcW w:w="200" w:type="dxa"/>
            <w:vAlign w:val="bottom"/>
            <w:tcBorders>
              <w:bottom w:val="single" w:sz="8" w:color="EBFBFF"/>
            </w:tcBorders>
            <w:shd w:val="clear" w:color="auto" w:fill="EBFBFF"/>
          </w:tcPr>
          <w:p>
            <w:pPr>
              <w:jc w:val="right"/>
              <w:ind w:right="28"/>
              <w:spacing w:after="0"/>
              <w:rPr>
                <w:sz w:val="20"/>
                <w:szCs w:val="20"/>
                <w:color w:val="auto"/>
              </w:rPr>
            </w:pPr>
            <w:r>
              <w:rPr>
                <w:rFonts w:ascii="Arial" w:cs="Arial" w:eastAsia="Arial" w:hAnsi="Arial"/>
                <w:sz w:val="14"/>
                <w:szCs w:val="14"/>
                <w:color w:val="51555C"/>
              </w:rPr>
              <w:t>$</w:t>
            </w:r>
          </w:p>
        </w:tc>
        <w:tc>
          <w:tcPr>
            <w:tcW w:w="102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2.29</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(12.2)%</w:t>
            </w:r>
          </w:p>
        </w:tc>
        <w:tc>
          <w:tcPr>
            <w:tcW w:w="20" w:type="dxa"/>
            <w:vAlign w:val="bottom"/>
          </w:tcPr>
          <w:p>
            <w:pPr>
              <w:spacing w:after="0"/>
              <w:rPr>
                <w:sz w:val="18"/>
                <w:szCs w:val="18"/>
                <w:color w:val="auto"/>
              </w:rPr>
            </w:pPr>
          </w:p>
        </w:tc>
      </w:tr>
      <w:tr>
        <w:trPr>
          <w:trHeight w:val="20"/>
        </w:trPr>
        <w:tc>
          <w:tcPr>
            <w:tcW w:w="4220" w:type="dxa"/>
            <w:vAlign w:val="bottom"/>
            <w:shd w:val="clear" w:color="auto" w:fill="0CD973"/>
          </w:tcPr>
          <w:p>
            <w:pPr>
              <w:spacing w:after="0" w:line="20" w:lineRule="exact"/>
              <w:rPr>
                <w:sz w:val="1"/>
                <w:szCs w:val="1"/>
                <w:color w:val="auto"/>
              </w:rPr>
            </w:pPr>
          </w:p>
        </w:tc>
        <w:tc>
          <w:tcPr>
            <w:tcW w:w="20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20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104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20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20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-5691505</wp:posOffset>
            </wp:positionV>
            <wp:extent cx="44659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non-GAAP gross profit, subtotal, non-GAAP income from operations or non-GAAP net income due to rounding.</w:t>
      </w:r>
    </w:p>
    <w:p>
      <w:pPr>
        <w:spacing w:after="0" w:line="1" w:lineRule="exact"/>
        <w:rPr>
          <w:rFonts w:ascii="Arial" w:cs="Arial" w:eastAsia="Arial" w:hAnsi="Arial"/>
          <w:sz w:val="14"/>
          <w:szCs w:val="14"/>
          <w:color w:val="51555C"/>
        </w:rPr>
      </w:pPr>
    </w:p>
    <w:p>
      <w:pPr>
        <w:ind w:left="340" w:hanging="332"/>
        <w:spacing w:after="0"/>
        <w:tabs>
          <w:tab w:leader="none" w:pos="340" w:val="left"/>
        </w:tabs>
        <w:numPr>
          <w:ilvl w:val="0"/>
          <w:numId w:val="32"/>
        </w:numPr>
        <w:rPr>
          <w:rFonts w:ascii="Arial" w:cs="Arial" w:eastAsia="Arial" w:hAnsi="Arial"/>
          <w:sz w:val="14"/>
          <w:szCs w:val="14"/>
          <w:color w:val="51555C"/>
        </w:rPr>
      </w:pPr>
      <w:r>
        <w:rPr>
          <w:rFonts w:ascii="Arial" w:cs="Arial" w:eastAsia="Arial" w:hAnsi="Arial"/>
          <w:sz w:val="14"/>
          <w:szCs w:val="14"/>
          <w:color w:val="51555C"/>
        </w:rPr>
        <w:t>Includes a $2.0 million noncash impairment of intangible assets held for sale during the three and nine months ended September 30, 2022.</w:t>
      </w:r>
    </w:p>
    <w:p>
      <w:pPr>
        <w:spacing w:after="0" w:line="14" w:lineRule="exact"/>
        <w:rPr>
          <w:rFonts w:ascii="Arial" w:cs="Arial" w:eastAsia="Arial" w:hAnsi="Arial"/>
          <w:sz w:val="14"/>
          <w:szCs w:val="14"/>
          <w:color w:val="51555C"/>
        </w:rPr>
      </w:pPr>
    </w:p>
    <w:p>
      <w:pPr>
        <w:jc w:val="both"/>
        <w:ind w:left="340" w:right="20" w:hanging="332"/>
        <w:spacing w:after="0" w:line="259" w:lineRule="auto"/>
        <w:tabs>
          <w:tab w:leader="none" w:pos="354" w:val="left"/>
        </w:tabs>
        <w:numPr>
          <w:ilvl w:val="0"/>
          <w:numId w:val="32"/>
        </w:numPr>
        <w:rPr>
          <w:rFonts w:ascii="Arial" w:cs="Arial" w:eastAsia="Arial" w:hAnsi="Arial"/>
          <w:sz w:val="14"/>
          <w:szCs w:val="14"/>
          <w:color w:val="51555C"/>
        </w:rPr>
      </w:pPr>
      <w:r>
        <w:rPr>
          <w:rFonts w:ascii="Arial" w:cs="Arial" w:eastAsia="Arial" w:hAnsi="Arial"/>
          <w:sz w:val="14"/>
          <w:szCs w:val="14"/>
          <w:color w:val="51555C"/>
        </w:rPr>
        <w:t>Includes Security Incident-related costs incurred during the three and nine months ended September 30, 2022 of $13.7 million and $31.1 million, respectively, net of insurance recoveries during the same periods of $— million and $1.9 million, respectively, and during the three and nine months ended September 30, 2021 of $11.4 million and $35.9 million, respectively, net of insurance recoveries during the same periods of $10.6 million and $34.6 million, respectively. Recorded expenses consisted primarily of payments to third-party service providers and consultants, including legal fees, as well as settlements of customer claims and accruals for certain loss contingencies. Not included in this adjustment were costs associated with enhancements to our cybersecurity program. For full year 2022, we currently expect net pre-tax expense of approximately $30 million to $35 million for ongoing legal fees related to the Security Incident. In line with our policy, legal fees are expensed as incurred. For full year 2022, we currently expect net cash outlays of approximately $15 million to $25 million for ongoing legal fees related to the Security Incident. There are some Security Incident-related matters for which we have not recorded a liability for a loss contingency as of September 30, 2022 because we are unable at this time to reasonably estimate the possible loss or range of loss.</w:t>
      </w:r>
    </w:p>
    <w:p>
      <w:pPr>
        <w:spacing w:after="0" w:line="162" w:lineRule="exact"/>
        <w:rPr>
          <w:rFonts w:ascii="Arial" w:cs="Arial" w:eastAsia="Arial" w:hAnsi="Arial"/>
          <w:sz w:val="14"/>
          <w:szCs w:val="14"/>
          <w:color w:val="51555C"/>
        </w:rPr>
      </w:pPr>
    </w:p>
    <w:p>
      <w:pPr>
        <w:ind w:left="340" w:hanging="332"/>
        <w:spacing w:after="0"/>
        <w:tabs>
          <w:tab w:leader="none" w:pos="340" w:val="left"/>
        </w:tabs>
        <w:numPr>
          <w:ilvl w:val="0"/>
          <w:numId w:val="32"/>
        </w:numPr>
        <w:rPr>
          <w:rFonts w:ascii="Arial" w:cs="Arial" w:eastAsia="Arial" w:hAnsi="Arial"/>
          <w:sz w:val="14"/>
          <w:szCs w:val="14"/>
          <w:color w:val="51555C"/>
        </w:rPr>
      </w:pPr>
      <w:r>
        <w:rPr>
          <w:rFonts w:ascii="Arial" w:cs="Arial" w:eastAsia="Arial" w:hAnsi="Arial"/>
          <w:sz w:val="14"/>
          <w:szCs w:val="14"/>
          <w:color w:val="51555C"/>
        </w:rPr>
        <w:t>We apply a non-GAAP effective tax rate of 20.0% when calculating non-GAAP net income and non-GAAP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237490</wp:posOffset>
            </wp:positionV>
            <wp:extent cx="659765"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39</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Non-GAAP organic revenue growth</w:t>
      </w:r>
    </w:p>
    <w:p>
      <w:pPr>
        <w:spacing w:after="0" w:line="189"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51555C"/>
        </w:rPr>
        <w:t>In addition, we use non-GAAP organic revenue growth, non-GAAP organic revenue growth on a constant currency basis and non-GAAP organic recurring revenue growth, in analyzing our operating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In addition,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time in both the prior and current periods. We believe this presentation provides a more comparable representation of our current business’ organic revenue growth and revenue run-rate.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shd w:val="clear" w:color="auto" w:fill="004054"/>
          </w:tcPr>
          <w:p>
            <w:pPr>
              <w:spacing w:after="0"/>
              <w:rPr>
                <w:sz w:val="17"/>
                <w:szCs w:val="17"/>
                <w:color w:val="auto"/>
              </w:rPr>
            </w:pPr>
          </w:p>
        </w:tc>
        <w:tc>
          <w:tcPr>
            <w:tcW w:w="440" w:type="dxa"/>
            <w:vAlign w:val="bottom"/>
            <w:shd w:val="clear" w:color="auto" w:fill="004054"/>
          </w:tcPr>
          <w:p>
            <w:pPr>
              <w:spacing w:after="0"/>
              <w:rPr>
                <w:sz w:val="17"/>
                <w:szCs w:val="17"/>
                <w:color w:val="auto"/>
              </w:rPr>
            </w:pPr>
          </w:p>
        </w:tc>
        <w:tc>
          <w:tcPr>
            <w:tcW w:w="214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tcPr>
          <w:p>
            <w:pPr>
              <w:spacing w:after="0"/>
              <w:rPr>
                <w:sz w:val="17"/>
                <w:szCs w:val="17"/>
                <w:color w:val="auto"/>
              </w:rPr>
            </w:pPr>
          </w:p>
        </w:tc>
        <w:tc>
          <w:tcPr>
            <w:tcW w:w="460" w:type="dxa"/>
            <w:vAlign w:val="bottom"/>
            <w:shd w:val="clear" w:color="auto" w:fill="004054"/>
          </w:tcPr>
          <w:p>
            <w:pPr>
              <w:spacing w:after="0"/>
              <w:rPr>
                <w:sz w:val="17"/>
                <w:szCs w:val="17"/>
                <w:color w:val="auto"/>
              </w:rPr>
            </w:pPr>
          </w:p>
        </w:tc>
        <w:tc>
          <w:tcPr>
            <w:tcW w:w="212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7"/>
                <w:szCs w:val="17"/>
                <w:color w:val="auto"/>
              </w:rPr>
            </w:pPr>
          </w:p>
        </w:tc>
      </w:tr>
      <w:tr>
        <w:trPr>
          <w:trHeight w:val="190"/>
        </w:trPr>
        <w:tc>
          <w:tcPr>
            <w:tcW w:w="5980" w:type="dxa"/>
            <w:vAlign w:val="bottom"/>
            <w:shd w:val="clear" w:color="auto" w:fill="004054"/>
          </w:tcPr>
          <w:p>
            <w:pPr>
              <w:spacing w:after="0"/>
              <w:rPr>
                <w:sz w:val="16"/>
                <w:szCs w:val="16"/>
                <w:color w:val="auto"/>
              </w:rPr>
            </w:pPr>
          </w:p>
        </w:tc>
        <w:tc>
          <w:tcPr>
            <w:tcW w:w="440" w:type="dxa"/>
            <w:vAlign w:val="bottom"/>
            <w:shd w:val="clear" w:color="auto" w:fill="004054"/>
          </w:tcPr>
          <w:p>
            <w:pPr>
              <w:spacing w:after="0"/>
              <w:rPr>
                <w:sz w:val="16"/>
                <w:szCs w:val="16"/>
                <w:color w:val="auto"/>
              </w:rPr>
            </w:pPr>
          </w:p>
        </w:tc>
        <w:tc>
          <w:tcPr>
            <w:tcW w:w="900" w:type="dxa"/>
            <w:vAlign w:val="bottom"/>
            <w:shd w:val="clear" w:color="auto" w:fill="004054"/>
          </w:tcPr>
          <w:p>
            <w:pPr>
              <w:spacing w:after="0"/>
              <w:rPr>
                <w:sz w:val="16"/>
                <w:szCs w:val="16"/>
                <w:color w:val="auto"/>
              </w:rPr>
            </w:pPr>
          </w:p>
        </w:tc>
        <w:tc>
          <w:tcPr>
            <w:tcW w:w="160" w:type="dxa"/>
            <w:vAlign w:val="bottom"/>
            <w:shd w:val="clear" w:color="auto" w:fill="004054"/>
          </w:tcPr>
          <w:p>
            <w:pPr>
              <w:spacing w:after="0"/>
              <w:rPr>
                <w:sz w:val="16"/>
                <w:szCs w:val="16"/>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100" w:type="dxa"/>
            <w:vAlign w:val="bottom"/>
          </w:tcPr>
          <w:p>
            <w:pPr>
              <w:spacing w:after="0"/>
              <w:rPr>
                <w:sz w:val="16"/>
                <w:szCs w:val="16"/>
                <w:color w:val="auto"/>
              </w:rPr>
            </w:pPr>
          </w:p>
        </w:tc>
        <w:tc>
          <w:tcPr>
            <w:tcW w:w="460" w:type="dxa"/>
            <w:vAlign w:val="bottom"/>
            <w:shd w:val="clear" w:color="auto" w:fill="004054"/>
          </w:tcPr>
          <w:p>
            <w:pPr>
              <w:spacing w:after="0"/>
              <w:rPr>
                <w:sz w:val="16"/>
                <w:szCs w:val="16"/>
                <w:color w:val="auto"/>
              </w:rPr>
            </w:pPr>
          </w:p>
        </w:tc>
        <w:tc>
          <w:tcPr>
            <w:tcW w:w="900" w:type="dxa"/>
            <w:vAlign w:val="bottom"/>
            <w:shd w:val="clear" w:color="auto" w:fill="004054"/>
          </w:tcPr>
          <w:p>
            <w:pPr>
              <w:spacing w:after="0"/>
              <w:rPr>
                <w:sz w:val="16"/>
                <w:szCs w:val="16"/>
                <w:color w:val="auto"/>
              </w:rPr>
            </w:pPr>
          </w:p>
        </w:tc>
        <w:tc>
          <w:tcPr>
            <w:tcW w:w="160" w:type="dxa"/>
            <w:vAlign w:val="bottom"/>
            <w:shd w:val="clear" w:color="auto" w:fill="004054"/>
          </w:tcPr>
          <w:p>
            <w:pPr>
              <w:spacing w:after="0"/>
              <w:rPr>
                <w:sz w:val="16"/>
                <w:szCs w:val="16"/>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6"/>
                <w:szCs w:val="16"/>
                <w:color w:val="auto"/>
              </w:rPr>
            </w:pPr>
          </w:p>
        </w:tc>
      </w:tr>
      <w:tr>
        <w:trPr>
          <w:trHeight w:val="364"/>
        </w:trPr>
        <w:tc>
          <w:tcPr>
            <w:tcW w:w="598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40" w:type="dxa"/>
            <w:vAlign w:val="bottom"/>
            <w:shd w:val="clear" w:color="auto" w:fill="004054"/>
          </w:tcPr>
          <w:p>
            <w:pPr>
              <w:spacing w:after="0"/>
              <w:rPr>
                <w:sz w:val="24"/>
                <w:szCs w:val="24"/>
                <w:color w:val="auto"/>
              </w:rPr>
            </w:pPr>
          </w:p>
        </w:tc>
        <w:tc>
          <w:tcPr>
            <w:tcW w:w="9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60" w:type="dxa"/>
            <w:vAlign w:val="bottom"/>
            <w:shd w:val="clear" w:color="auto" w:fill="004054"/>
          </w:tcPr>
          <w:p>
            <w:pPr>
              <w:spacing w:after="0"/>
              <w:rPr>
                <w:sz w:val="24"/>
                <w:szCs w:val="24"/>
                <w:color w:val="auto"/>
              </w:rPr>
            </w:pPr>
          </w:p>
        </w:tc>
        <w:tc>
          <w:tcPr>
            <w:tcW w:w="1080" w:type="dxa"/>
            <w:vAlign w:val="bottom"/>
            <w:shd w:val="clear" w:color="auto" w:fill="004054"/>
          </w:tcPr>
          <w:p>
            <w:pPr>
              <w:jc w:val="center"/>
              <w:ind w:left="648"/>
              <w:spacing w:after="0"/>
              <w:rPr>
                <w:sz w:val="20"/>
                <w:szCs w:val="20"/>
                <w:color w:val="auto"/>
              </w:rPr>
            </w:pPr>
            <w:r>
              <w:rPr>
                <w:rFonts w:ascii="Arial" w:cs="Arial" w:eastAsia="Arial" w:hAnsi="Arial"/>
                <w:sz w:val="14"/>
                <w:szCs w:val="14"/>
                <w:b w:val="1"/>
                <w:bCs w:val="1"/>
                <w:color w:val="FFFFFF"/>
              </w:rPr>
              <w:t>2021</w:t>
            </w:r>
          </w:p>
        </w:tc>
        <w:tc>
          <w:tcPr>
            <w:tcW w:w="100" w:type="dxa"/>
            <w:vAlign w:val="bottom"/>
          </w:tcPr>
          <w:p>
            <w:pPr>
              <w:spacing w:after="0"/>
              <w:rPr>
                <w:sz w:val="24"/>
                <w:szCs w:val="24"/>
                <w:color w:val="auto"/>
              </w:rPr>
            </w:pPr>
          </w:p>
        </w:tc>
        <w:tc>
          <w:tcPr>
            <w:tcW w:w="460" w:type="dxa"/>
            <w:vAlign w:val="bottom"/>
            <w:shd w:val="clear" w:color="auto" w:fill="004054"/>
          </w:tcPr>
          <w:p>
            <w:pPr>
              <w:spacing w:after="0"/>
              <w:rPr>
                <w:sz w:val="24"/>
                <w:szCs w:val="24"/>
                <w:color w:val="auto"/>
              </w:rPr>
            </w:pPr>
          </w:p>
        </w:tc>
        <w:tc>
          <w:tcPr>
            <w:tcW w:w="9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60" w:type="dxa"/>
            <w:vAlign w:val="bottom"/>
            <w:shd w:val="clear" w:color="auto" w:fill="004054"/>
          </w:tcPr>
          <w:p>
            <w:pPr>
              <w:spacing w:after="0"/>
              <w:rPr>
                <w:sz w:val="24"/>
                <w:szCs w:val="24"/>
                <w:color w:val="auto"/>
              </w:rPr>
            </w:pPr>
          </w:p>
        </w:tc>
        <w:tc>
          <w:tcPr>
            <w:tcW w:w="1060" w:type="dxa"/>
            <w:vAlign w:val="bottom"/>
            <w:shd w:val="clear" w:color="auto" w:fill="004054"/>
          </w:tcPr>
          <w:p>
            <w:pPr>
              <w:jc w:val="center"/>
              <w:ind w:left="628"/>
              <w:spacing w:after="0"/>
              <w:rPr>
                <w:sz w:val="20"/>
                <w:szCs w:val="20"/>
                <w:color w:val="auto"/>
              </w:rPr>
            </w:pPr>
            <w:r>
              <w:rPr>
                <w:rFonts w:ascii="Arial" w:cs="Arial" w:eastAsia="Arial" w:hAnsi="Arial"/>
                <w:sz w:val="14"/>
                <w:szCs w:val="14"/>
                <w:b w:val="1"/>
                <w:bCs w:val="1"/>
                <w:color w:val="FFFFFF"/>
              </w:rPr>
              <w:t>2021</w:t>
            </w:r>
          </w:p>
        </w:tc>
        <w:tc>
          <w:tcPr>
            <w:tcW w:w="20" w:type="dxa"/>
            <w:vAlign w:val="bottom"/>
            <w:shd w:val="clear" w:color="auto" w:fill="004054"/>
          </w:tcPr>
          <w:p>
            <w:pPr>
              <w:spacing w:after="0"/>
              <w:rPr>
                <w:sz w:val="24"/>
                <w:szCs w:val="24"/>
                <w:color w:val="auto"/>
              </w:rPr>
            </w:pPr>
          </w:p>
        </w:tc>
      </w:tr>
      <w:tr>
        <w:trPr>
          <w:trHeight w:val="26"/>
        </w:trPr>
        <w:tc>
          <w:tcPr>
            <w:tcW w:w="5980" w:type="dxa"/>
            <w:vAlign w:val="bottom"/>
            <w:tcBorders>
              <w:bottom w:val="single" w:sz="8" w:color="004054"/>
            </w:tcBorders>
            <w:shd w:val="clear" w:color="auto" w:fill="004054"/>
          </w:tcPr>
          <w:p>
            <w:pPr>
              <w:spacing w:after="0"/>
              <w:rPr>
                <w:sz w:val="2"/>
                <w:szCs w:val="2"/>
                <w:color w:val="auto"/>
              </w:rPr>
            </w:pPr>
          </w:p>
        </w:tc>
        <w:tc>
          <w:tcPr>
            <w:tcW w:w="440" w:type="dxa"/>
            <w:vAlign w:val="bottom"/>
            <w:tcBorders>
              <w:bottom w:val="single" w:sz="8" w:color="004054"/>
            </w:tcBorders>
            <w:shd w:val="clear" w:color="auto" w:fill="004054"/>
          </w:tcPr>
          <w:p>
            <w:pPr>
              <w:spacing w:after="0"/>
              <w:rPr>
                <w:sz w:val="2"/>
                <w:szCs w:val="2"/>
                <w:color w:val="auto"/>
              </w:rPr>
            </w:pPr>
          </w:p>
        </w:tc>
        <w:tc>
          <w:tcPr>
            <w:tcW w:w="900" w:type="dxa"/>
            <w:vAlign w:val="bottom"/>
            <w:tcBorders>
              <w:bottom w:val="single" w:sz="8" w:color="004054"/>
            </w:tcBorders>
            <w:shd w:val="clear" w:color="auto" w:fill="004054"/>
          </w:tcPr>
          <w:p>
            <w:pPr>
              <w:spacing w:after="0"/>
              <w:rPr>
                <w:sz w:val="2"/>
                <w:szCs w:val="2"/>
                <w:color w:val="auto"/>
              </w:rPr>
            </w:pPr>
          </w:p>
        </w:tc>
        <w:tc>
          <w:tcPr>
            <w:tcW w:w="160" w:type="dxa"/>
            <w:vAlign w:val="bottom"/>
            <w:tcBorders>
              <w:bottom w:val="single" w:sz="8" w:color="004054"/>
            </w:tcBorders>
            <w:shd w:val="clear" w:color="auto" w:fill="004054"/>
          </w:tcPr>
          <w:p>
            <w:pPr>
              <w:spacing w:after="0"/>
              <w:rPr>
                <w:sz w:val="2"/>
                <w:szCs w:val="2"/>
                <w:color w:val="auto"/>
              </w:rPr>
            </w:pPr>
          </w:p>
        </w:tc>
        <w:tc>
          <w:tcPr>
            <w:tcW w:w="1080" w:type="dxa"/>
            <w:vAlign w:val="bottom"/>
            <w:tcBorders>
              <w:bottom w:val="single" w:sz="8" w:color="004054"/>
            </w:tcBorders>
            <w:shd w:val="clear" w:color="auto" w:fill="004054"/>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460" w:type="dxa"/>
            <w:vAlign w:val="bottom"/>
            <w:tcBorders>
              <w:bottom w:val="single" w:sz="8" w:color="004054"/>
            </w:tcBorders>
            <w:shd w:val="clear" w:color="auto" w:fill="004054"/>
          </w:tcPr>
          <w:p>
            <w:pPr>
              <w:spacing w:after="0"/>
              <w:rPr>
                <w:sz w:val="2"/>
                <w:szCs w:val="2"/>
                <w:color w:val="auto"/>
              </w:rPr>
            </w:pPr>
          </w:p>
        </w:tc>
        <w:tc>
          <w:tcPr>
            <w:tcW w:w="900" w:type="dxa"/>
            <w:vAlign w:val="bottom"/>
            <w:tcBorders>
              <w:bottom w:val="single" w:sz="8" w:color="004054"/>
            </w:tcBorders>
            <w:shd w:val="clear" w:color="auto" w:fill="004054"/>
          </w:tcPr>
          <w:p>
            <w:pPr>
              <w:spacing w:after="0"/>
              <w:rPr>
                <w:sz w:val="2"/>
                <w:szCs w:val="2"/>
                <w:color w:val="auto"/>
              </w:rPr>
            </w:pPr>
          </w:p>
        </w:tc>
        <w:tc>
          <w:tcPr>
            <w:tcW w:w="160" w:type="dxa"/>
            <w:vAlign w:val="bottom"/>
            <w:tcBorders>
              <w:bottom w:val="single" w:sz="8" w:color="004054"/>
            </w:tcBorders>
            <w:shd w:val="clear" w:color="auto" w:fill="004054"/>
          </w:tcPr>
          <w:p>
            <w:pPr>
              <w:spacing w:after="0"/>
              <w:rPr>
                <w:sz w:val="2"/>
                <w:szCs w:val="2"/>
                <w:color w:val="auto"/>
              </w:rPr>
            </w:pPr>
          </w:p>
        </w:tc>
        <w:tc>
          <w:tcPr>
            <w:tcW w:w="1060" w:type="dxa"/>
            <w:vAlign w:val="bottom"/>
            <w:tcBorders>
              <w:bottom w:val="single" w:sz="8" w:color="004054"/>
            </w:tcBorders>
            <w:shd w:val="clear" w:color="auto" w:fill="004054"/>
          </w:tcPr>
          <w:p>
            <w:pPr>
              <w:spacing w:after="0"/>
              <w:rPr>
                <w:sz w:val="2"/>
                <w:szCs w:val="2"/>
                <w:color w:val="auto"/>
              </w:rPr>
            </w:pPr>
          </w:p>
        </w:tc>
        <w:tc>
          <w:tcPr>
            <w:tcW w:w="20" w:type="dxa"/>
            <w:vAlign w:val="bottom"/>
            <w:tcBorders>
              <w:bottom w:val="single" w:sz="8" w:color="004054"/>
            </w:tcBorders>
            <w:shd w:val="clear" w:color="auto" w:fill="004054"/>
          </w:tcPr>
          <w:p>
            <w:pPr>
              <w:spacing w:after="0"/>
              <w:rPr>
                <w:sz w:val="2"/>
                <w:szCs w:val="2"/>
                <w:color w:val="auto"/>
              </w:rPr>
            </w:pPr>
          </w:p>
        </w:tc>
      </w:tr>
      <w:tr>
        <w:trPr>
          <w:trHeight w:val="203"/>
        </w:trPr>
        <w:tc>
          <w:tcPr>
            <w:tcW w:w="59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GAAP revenue</w:t>
            </w:r>
          </w:p>
        </w:tc>
        <w:tc>
          <w:tcPr>
            <w:tcW w:w="440" w:type="dxa"/>
            <w:vAlign w:val="bottom"/>
            <w:tcBorders>
              <w:bottom w:val="single" w:sz="8" w:color="EBFBFF"/>
            </w:tcBorders>
            <w:shd w:val="clear" w:color="auto" w:fill="EBFBFF"/>
          </w:tcPr>
          <w:p>
            <w:pPr>
              <w:jc w:val="right"/>
              <w:ind w:right="268"/>
              <w:spacing w:after="0"/>
              <w:rPr>
                <w:sz w:val="20"/>
                <w:szCs w:val="20"/>
                <w:color w:val="auto"/>
              </w:rPr>
            </w:pPr>
            <w:r>
              <w:rPr>
                <w:rFonts w:ascii="Arial" w:cs="Arial" w:eastAsia="Arial" w:hAnsi="Arial"/>
                <w:sz w:val="14"/>
                <w:szCs w:val="14"/>
                <w:color w:val="51555C"/>
              </w:rPr>
              <w:t>$</w:t>
            </w:r>
          </w:p>
        </w:tc>
        <w:tc>
          <w:tcPr>
            <w:tcW w:w="9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261.3</w:t>
            </w:r>
          </w:p>
        </w:tc>
        <w:tc>
          <w:tcPr>
            <w:tcW w:w="1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w:t>
            </w:r>
          </w:p>
        </w:tc>
        <w:tc>
          <w:tcPr>
            <w:tcW w:w="108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231.2</w:t>
            </w:r>
          </w:p>
        </w:tc>
        <w:tc>
          <w:tcPr>
            <w:tcW w:w="560" w:type="dxa"/>
            <w:vAlign w:val="bottom"/>
            <w:tcBorders>
              <w:bottom w:val="single" w:sz="8" w:color="EBFBFF"/>
            </w:tcBorders>
            <w:gridSpan w:val="2"/>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783.3</w:t>
            </w:r>
          </w:p>
        </w:tc>
        <w:tc>
          <w:tcPr>
            <w:tcW w:w="16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w w:val="76"/>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679.8</w:t>
            </w:r>
          </w:p>
        </w:tc>
        <w:tc>
          <w:tcPr>
            <w:tcW w:w="20" w:type="dxa"/>
            <w:vAlign w:val="bottom"/>
          </w:tcPr>
          <w:p>
            <w:pPr>
              <w:spacing w:after="0"/>
              <w:rPr>
                <w:sz w:val="17"/>
                <w:szCs w:val="17"/>
                <w:color w:val="auto"/>
              </w:rPr>
            </w:pPr>
          </w:p>
        </w:tc>
      </w:tr>
      <w:tr>
        <w:trPr>
          <w:trHeight w:val="204"/>
        </w:trPr>
        <w:tc>
          <w:tcPr>
            <w:tcW w:w="5980" w:type="dxa"/>
            <w:vAlign w:val="bottom"/>
          </w:tcPr>
          <w:p>
            <w:pPr>
              <w:ind w:left="20"/>
              <w:spacing w:after="0"/>
              <w:rPr>
                <w:sz w:val="20"/>
                <w:szCs w:val="20"/>
                <w:color w:val="auto"/>
              </w:rPr>
            </w:pPr>
            <w:r>
              <w:rPr>
                <w:rFonts w:ascii="Arial" w:cs="Arial" w:eastAsia="Arial" w:hAnsi="Arial"/>
                <w:sz w:val="14"/>
                <w:szCs w:val="14"/>
                <w:b w:val="1"/>
                <w:bCs w:val="1"/>
                <w:color w:val="51555C"/>
              </w:rPr>
              <w:t>GAAP revenue growth</w:t>
            </w:r>
          </w:p>
        </w:tc>
        <w:tc>
          <w:tcPr>
            <w:tcW w:w="4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51555C"/>
              </w:rPr>
              <w:t>13.0 %</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51555C"/>
              </w:rPr>
              <w:t>15.2 %</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
        </w:trPr>
        <w:tc>
          <w:tcPr>
            <w:tcW w:w="5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598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Non-GAAP acquisition-related revenue</w:t>
            </w:r>
            <w:r>
              <w:rPr>
                <w:rFonts w:ascii="Arial" w:cs="Arial" w:eastAsia="Arial" w:hAnsi="Arial"/>
                <w:sz w:val="18"/>
                <w:szCs w:val="18"/>
                <w:color w:val="51555C"/>
                <w:vertAlign w:val="superscript"/>
              </w:rPr>
              <w:t>(1)</w:t>
            </w:r>
          </w:p>
        </w:tc>
        <w:tc>
          <w:tcPr>
            <w:tcW w:w="440" w:type="dxa"/>
            <w:vAlign w:val="bottom"/>
            <w:shd w:val="clear" w:color="auto" w:fill="EBFBFF"/>
          </w:tcPr>
          <w:p>
            <w:pPr>
              <w:spacing w:after="0"/>
              <w:rPr>
                <w:sz w:val="19"/>
                <w:szCs w:val="19"/>
                <w:color w:val="auto"/>
              </w:rPr>
            </w:pPr>
          </w:p>
        </w:tc>
        <w:tc>
          <w:tcPr>
            <w:tcW w:w="9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160" w:type="dxa"/>
            <w:vAlign w:val="bottom"/>
            <w:shd w:val="clear" w:color="auto" w:fill="EBFBFF"/>
          </w:tcPr>
          <w:p>
            <w:pPr>
              <w:spacing w:after="0"/>
              <w:rPr>
                <w:sz w:val="19"/>
                <w:szCs w:val="19"/>
                <w:color w:val="auto"/>
              </w:rPr>
            </w:pPr>
          </w:p>
        </w:tc>
        <w:tc>
          <w:tcPr>
            <w:tcW w:w="108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26.0</w:t>
            </w:r>
          </w:p>
        </w:tc>
        <w:tc>
          <w:tcPr>
            <w:tcW w:w="100" w:type="dxa"/>
            <w:vAlign w:val="bottom"/>
            <w:shd w:val="clear" w:color="auto" w:fill="EBFBFF"/>
          </w:tcPr>
          <w:p>
            <w:pPr>
              <w:spacing w:after="0"/>
              <w:rPr>
                <w:sz w:val="19"/>
                <w:szCs w:val="19"/>
                <w:color w:val="auto"/>
              </w:rPr>
            </w:pPr>
          </w:p>
        </w:tc>
        <w:tc>
          <w:tcPr>
            <w:tcW w:w="460" w:type="dxa"/>
            <w:vAlign w:val="bottom"/>
            <w:shd w:val="clear" w:color="auto" w:fill="EBFBFF"/>
          </w:tcPr>
          <w:p>
            <w:pPr>
              <w:spacing w:after="0"/>
              <w:rPr>
                <w:sz w:val="19"/>
                <w:szCs w:val="19"/>
                <w:color w:val="auto"/>
              </w:rPr>
            </w:pPr>
          </w:p>
        </w:tc>
        <w:tc>
          <w:tcPr>
            <w:tcW w:w="9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60" w:type="dxa"/>
            <w:vAlign w:val="bottom"/>
            <w:shd w:val="clear" w:color="auto" w:fill="EBFBFF"/>
          </w:tcPr>
          <w:p>
            <w:pPr>
              <w:spacing w:after="0"/>
              <w:rPr>
                <w:sz w:val="19"/>
                <w:szCs w:val="19"/>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77.1</w:t>
            </w:r>
          </w:p>
        </w:tc>
        <w:tc>
          <w:tcPr>
            <w:tcW w:w="20" w:type="dxa"/>
            <w:vAlign w:val="bottom"/>
          </w:tcPr>
          <w:p>
            <w:pPr>
              <w:spacing w:after="0"/>
              <w:rPr>
                <w:sz w:val="19"/>
                <w:szCs w:val="19"/>
                <w:color w:val="auto"/>
              </w:rPr>
            </w:pPr>
          </w:p>
        </w:tc>
      </w:tr>
      <w:tr>
        <w:trPr>
          <w:trHeight w:val="230"/>
        </w:trPr>
        <w:tc>
          <w:tcPr>
            <w:tcW w:w="5980" w:type="dxa"/>
            <w:vAlign w:val="bottom"/>
            <w:tcBorders>
              <w:bottom w:val="single" w:sz="8" w:color="EBFBFF"/>
            </w:tcBorders>
          </w:tcPr>
          <w:p>
            <w:pPr>
              <w:ind w:left="140"/>
              <w:spacing w:after="0"/>
              <w:rPr>
                <w:sz w:val="20"/>
                <w:szCs w:val="20"/>
                <w:color w:val="auto"/>
              </w:rPr>
            </w:pPr>
            <w:r>
              <w:rPr>
                <w:rFonts w:ascii="Arial" w:cs="Arial" w:eastAsia="Arial" w:hAnsi="Arial"/>
                <w:sz w:val="14"/>
                <w:szCs w:val="14"/>
                <w:color w:val="51555C"/>
              </w:rPr>
              <w:t>Less: Non-GAAP revenue from divested businesses</w:t>
            </w:r>
            <w:r>
              <w:rPr>
                <w:rFonts w:ascii="Arial" w:cs="Arial" w:eastAsia="Arial" w:hAnsi="Arial"/>
                <w:sz w:val="18"/>
                <w:szCs w:val="18"/>
                <w:color w:val="51555C"/>
                <w:vertAlign w:val="superscript"/>
              </w:rPr>
              <w:t>(2)</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51555C"/>
              </w:rPr>
              <w: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48"/>
              <w:spacing w:after="0"/>
              <w:rPr>
                <w:sz w:val="20"/>
                <w:szCs w:val="20"/>
                <w:color w:val="auto"/>
              </w:rPr>
            </w:pPr>
            <w:r>
              <w:rPr>
                <w:rFonts w:ascii="Arial" w:cs="Arial" w:eastAsia="Arial" w:hAnsi="Arial"/>
                <w:sz w:val="14"/>
                <w:szCs w:val="14"/>
                <w:color w:val="51555C"/>
                <w:w w:val="97"/>
              </w:rPr>
              <w:t>(0.4)</w:t>
            </w:r>
          </w:p>
        </w:tc>
        <w:tc>
          <w:tcPr>
            <w:tcW w:w="100" w:type="dxa"/>
            <w:vAlign w:val="bottom"/>
            <w:tcBorders>
              <w:bottom w:val="single" w:sz="8" w:color="EBFB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51555C"/>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648"/>
              <w:spacing w:after="0"/>
              <w:rPr>
                <w:sz w:val="20"/>
                <w:szCs w:val="20"/>
                <w:color w:val="auto"/>
              </w:rPr>
            </w:pPr>
            <w:r>
              <w:rPr>
                <w:rFonts w:ascii="Arial" w:cs="Arial" w:eastAsia="Arial" w:hAnsi="Arial"/>
                <w:sz w:val="14"/>
                <w:szCs w:val="14"/>
                <w:color w:val="51555C"/>
              </w:rPr>
              <w:t>(0.4)</w:t>
            </w:r>
          </w:p>
        </w:tc>
        <w:tc>
          <w:tcPr>
            <w:tcW w:w="20" w:type="dxa"/>
            <w:vAlign w:val="bottom"/>
          </w:tcPr>
          <w:p>
            <w:pPr>
              <w:spacing w:after="0"/>
              <w:rPr>
                <w:sz w:val="19"/>
                <w:szCs w:val="19"/>
                <w:color w:val="auto"/>
              </w:rPr>
            </w:pPr>
          </w:p>
        </w:tc>
      </w:tr>
      <w:tr>
        <w:trPr>
          <w:trHeight w:val="223"/>
        </w:trPr>
        <w:tc>
          <w:tcPr>
            <w:tcW w:w="5980" w:type="dxa"/>
            <w:vAlign w:val="bottom"/>
            <w:tcBorders>
              <w:bottom w:val="single" w:sz="8" w:color="EBFBFF"/>
            </w:tcBorders>
            <w:shd w:val="clear" w:color="auto" w:fill="EBFBFF"/>
          </w:tcPr>
          <w:p>
            <w:pPr>
              <w:ind w:left="360"/>
              <w:spacing w:after="0"/>
              <w:rPr>
                <w:sz w:val="20"/>
                <w:szCs w:val="20"/>
                <w:color w:val="auto"/>
              </w:rPr>
            </w:pPr>
            <w:r>
              <w:rPr>
                <w:rFonts w:ascii="Arial" w:cs="Arial" w:eastAsia="Arial" w:hAnsi="Arial"/>
                <w:sz w:val="14"/>
                <w:szCs w:val="14"/>
                <w:color w:val="51555C"/>
              </w:rPr>
              <w:t>Total Non-GAAP adjustments</w:t>
            </w:r>
          </w:p>
        </w:tc>
        <w:tc>
          <w:tcPr>
            <w:tcW w:w="440" w:type="dxa"/>
            <w:vAlign w:val="bottom"/>
            <w:tcBorders>
              <w:bottom w:val="single" w:sz="8" w:color="EBFBFF"/>
            </w:tcBorders>
            <w:shd w:val="clear" w:color="auto" w:fill="EBFBFF"/>
          </w:tcPr>
          <w:p>
            <w:pPr>
              <w:spacing w:after="0"/>
              <w:rPr>
                <w:sz w:val="19"/>
                <w:szCs w:val="19"/>
                <w:color w:val="auto"/>
              </w:rPr>
            </w:pPr>
          </w:p>
        </w:tc>
        <w:tc>
          <w:tcPr>
            <w:tcW w:w="90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108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25.6</w:t>
            </w:r>
          </w:p>
        </w:tc>
        <w:tc>
          <w:tcPr>
            <w:tcW w:w="100" w:type="dxa"/>
            <w:vAlign w:val="bottom"/>
            <w:tcBorders>
              <w:bottom w:val="single" w:sz="8" w:color="EBFBFF"/>
            </w:tcBorders>
            <w:shd w:val="clear" w:color="auto" w:fill="EBFBFF"/>
          </w:tcPr>
          <w:p>
            <w:pPr>
              <w:spacing w:after="0"/>
              <w:rPr>
                <w:sz w:val="19"/>
                <w:szCs w:val="19"/>
                <w:color w:val="auto"/>
              </w:rPr>
            </w:pPr>
          </w:p>
        </w:tc>
        <w:tc>
          <w:tcPr>
            <w:tcW w:w="460" w:type="dxa"/>
            <w:vAlign w:val="bottom"/>
            <w:tcBorders>
              <w:bottom w:val="single" w:sz="8" w:color="EBFBFF"/>
            </w:tcBorders>
            <w:shd w:val="clear" w:color="auto" w:fill="EBFBFF"/>
          </w:tcPr>
          <w:p>
            <w:pPr>
              <w:spacing w:after="0"/>
              <w:rPr>
                <w:sz w:val="19"/>
                <w:szCs w:val="19"/>
                <w:color w:val="auto"/>
              </w:rPr>
            </w:pPr>
          </w:p>
        </w:tc>
        <w:tc>
          <w:tcPr>
            <w:tcW w:w="90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60" w:type="dxa"/>
            <w:vAlign w:val="bottom"/>
            <w:tcBorders>
              <w:bottom w:val="single" w:sz="8" w:color="EBFBFF"/>
            </w:tcBorders>
            <w:shd w:val="clear" w:color="auto" w:fill="EBFBFF"/>
          </w:tcPr>
          <w:p>
            <w:pPr>
              <w:spacing w:after="0"/>
              <w:rPr>
                <w:sz w:val="19"/>
                <w:szCs w:val="19"/>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76.7</w:t>
            </w:r>
          </w:p>
        </w:tc>
        <w:tc>
          <w:tcPr>
            <w:tcW w:w="20" w:type="dxa"/>
            <w:vAlign w:val="bottom"/>
          </w:tcPr>
          <w:p>
            <w:pPr>
              <w:spacing w:after="0"/>
              <w:rPr>
                <w:sz w:val="19"/>
                <w:szCs w:val="19"/>
                <w:color w:val="auto"/>
              </w:rPr>
            </w:pPr>
          </w:p>
        </w:tc>
      </w:tr>
      <w:tr>
        <w:trPr>
          <w:trHeight w:val="223"/>
        </w:trPr>
        <w:tc>
          <w:tcPr>
            <w:tcW w:w="5980" w:type="dxa"/>
            <w:vAlign w:val="bottom"/>
            <w:tcBorders>
              <w:bottom w:val="single" w:sz="8" w:color="EBFBFF"/>
            </w:tcBorders>
          </w:tcPr>
          <w:p>
            <w:pPr>
              <w:ind w:left="20"/>
              <w:spacing w:after="0"/>
              <w:rPr>
                <w:sz w:val="20"/>
                <w:szCs w:val="20"/>
                <w:color w:val="auto"/>
              </w:rPr>
            </w:pPr>
            <w:r>
              <w:rPr>
                <w:rFonts w:ascii="Arial" w:cs="Arial" w:eastAsia="Arial" w:hAnsi="Arial"/>
                <w:sz w:val="14"/>
                <w:szCs w:val="14"/>
                <w:color w:val="51555C"/>
              </w:rPr>
              <w:t>Non-GAAP organic revenue</w:t>
            </w:r>
            <w:r>
              <w:rPr>
                <w:rFonts w:ascii="Arial" w:cs="Arial" w:eastAsia="Arial" w:hAnsi="Arial"/>
                <w:sz w:val="18"/>
                <w:szCs w:val="18"/>
                <w:color w:val="51555C"/>
                <w:vertAlign w:val="superscript"/>
              </w:rPr>
              <w:t>(3)</w:t>
            </w:r>
          </w:p>
        </w:tc>
        <w:tc>
          <w:tcPr>
            <w:tcW w:w="440" w:type="dxa"/>
            <w:vAlign w:val="bottom"/>
            <w:tcBorders>
              <w:top w:val="single" w:sz="8" w:color="auto"/>
              <w:bottom w:val="single" w:sz="8" w:color="51555C"/>
            </w:tcBorders>
          </w:tcPr>
          <w:p>
            <w:pPr>
              <w:jc w:val="right"/>
              <w:ind w:right="268"/>
              <w:spacing w:after="0"/>
              <w:rPr>
                <w:sz w:val="20"/>
                <w:szCs w:val="20"/>
                <w:color w:val="auto"/>
              </w:rPr>
            </w:pPr>
            <w:r>
              <w:rPr>
                <w:rFonts w:ascii="Arial" w:cs="Arial" w:eastAsia="Arial" w:hAnsi="Arial"/>
                <w:sz w:val="14"/>
                <w:szCs w:val="14"/>
                <w:color w:val="51555C"/>
              </w:rPr>
              <w:t>$</w:t>
            </w:r>
          </w:p>
        </w:tc>
        <w:tc>
          <w:tcPr>
            <w:tcW w:w="900" w:type="dxa"/>
            <w:vAlign w:val="bottom"/>
            <w:tcBorders>
              <w:top w:val="single" w:sz="8" w:color="auto"/>
              <w:bottom w:val="single" w:sz="8" w:color="51555C"/>
            </w:tcBorders>
          </w:tcPr>
          <w:p>
            <w:pPr>
              <w:jc w:val="right"/>
              <w:ind w:right="108"/>
              <w:spacing w:after="0"/>
              <w:rPr>
                <w:sz w:val="20"/>
                <w:szCs w:val="20"/>
                <w:color w:val="auto"/>
              </w:rPr>
            </w:pPr>
            <w:r>
              <w:rPr>
                <w:rFonts w:ascii="Arial" w:cs="Arial" w:eastAsia="Arial" w:hAnsi="Arial"/>
                <w:sz w:val="14"/>
                <w:szCs w:val="14"/>
                <w:color w:val="51555C"/>
              </w:rPr>
              <w:t>261.3</w:t>
            </w:r>
          </w:p>
        </w:tc>
        <w:tc>
          <w:tcPr>
            <w:tcW w:w="160" w:type="dxa"/>
            <w:vAlign w:val="bottom"/>
            <w:tcBorders>
              <w:top w:val="single" w:sz="8" w:color="auto"/>
              <w:bottom w:val="single" w:sz="8" w:color="51555C"/>
            </w:tcBorders>
          </w:tcPr>
          <w:p>
            <w:pPr>
              <w:jc w:val="right"/>
              <w:spacing w:after="0"/>
              <w:rPr>
                <w:sz w:val="20"/>
                <w:szCs w:val="20"/>
                <w:color w:val="auto"/>
              </w:rPr>
            </w:pPr>
            <w:r>
              <w:rPr>
                <w:rFonts w:ascii="Arial" w:cs="Arial" w:eastAsia="Arial" w:hAnsi="Arial"/>
                <w:sz w:val="14"/>
                <w:szCs w:val="14"/>
                <w:color w:val="51555C"/>
              </w:rPr>
              <w:t>$</w:t>
            </w:r>
          </w:p>
        </w:tc>
        <w:tc>
          <w:tcPr>
            <w:tcW w:w="1080" w:type="dxa"/>
            <w:vAlign w:val="bottom"/>
            <w:tcBorders>
              <w:top w:val="single" w:sz="8" w:color="auto"/>
              <w:bottom w:val="single" w:sz="8" w:color="51555C"/>
            </w:tcBorders>
          </w:tcPr>
          <w:p>
            <w:pPr>
              <w:jc w:val="right"/>
              <w:ind w:right="8"/>
              <w:spacing w:after="0"/>
              <w:rPr>
                <w:sz w:val="20"/>
                <w:szCs w:val="20"/>
                <w:color w:val="auto"/>
              </w:rPr>
            </w:pPr>
            <w:r>
              <w:rPr>
                <w:rFonts w:ascii="Arial" w:cs="Arial" w:eastAsia="Arial" w:hAnsi="Arial"/>
                <w:sz w:val="14"/>
                <w:szCs w:val="14"/>
                <w:color w:val="51555C"/>
              </w:rPr>
              <w:t>256.9</w:t>
            </w:r>
          </w:p>
        </w:tc>
        <w:tc>
          <w:tcPr>
            <w:tcW w:w="100" w:type="dxa"/>
            <w:vAlign w:val="bottom"/>
            <w:tcBorders>
              <w:bottom w:val="single" w:sz="8" w:color="EBFBFF"/>
            </w:tcBorders>
          </w:tcPr>
          <w:p>
            <w:pPr>
              <w:spacing w:after="0"/>
              <w:rPr>
                <w:sz w:val="19"/>
                <w:szCs w:val="19"/>
                <w:color w:val="auto"/>
              </w:rPr>
            </w:pPr>
          </w:p>
        </w:tc>
        <w:tc>
          <w:tcPr>
            <w:tcW w:w="460" w:type="dxa"/>
            <w:vAlign w:val="bottom"/>
            <w:tcBorders>
              <w:top w:val="single" w:sz="8" w:color="auto"/>
              <w:bottom w:val="single" w:sz="8" w:color="51555C"/>
            </w:tcBorders>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tcBorders>
              <w:top w:val="single" w:sz="8" w:color="auto"/>
              <w:bottom w:val="single" w:sz="8" w:color="51555C"/>
            </w:tcBorders>
          </w:tcPr>
          <w:p>
            <w:pPr>
              <w:jc w:val="right"/>
              <w:ind w:right="128"/>
              <w:spacing w:after="0"/>
              <w:rPr>
                <w:sz w:val="20"/>
                <w:szCs w:val="20"/>
                <w:color w:val="auto"/>
              </w:rPr>
            </w:pPr>
            <w:r>
              <w:rPr>
                <w:rFonts w:ascii="Arial" w:cs="Arial" w:eastAsia="Arial" w:hAnsi="Arial"/>
                <w:sz w:val="14"/>
                <w:szCs w:val="14"/>
                <w:color w:val="51555C"/>
              </w:rPr>
              <w:t>783.3</w:t>
            </w:r>
          </w:p>
        </w:tc>
        <w:tc>
          <w:tcPr>
            <w:tcW w:w="160" w:type="dxa"/>
            <w:vAlign w:val="bottom"/>
            <w:tcBorders>
              <w:top w:val="single" w:sz="8" w:color="auto"/>
              <w:bottom w:val="single" w:sz="8" w:color="51555C"/>
            </w:tcBorders>
          </w:tcPr>
          <w:p>
            <w:pPr>
              <w:jc w:val="right"/>
              <w:ind w:right="8"/>
              <w:spacing w:after="0"/>
              <w:rPr>
                <w:sz w:val="20"/>
                <w:szCs w:val="20"/>
                <w:color w:val="auto"/>
              </w:rPr>
            </w:pPr>
            <w:r>
              <w:rPr>
                <w:rFonts w:ascii="Arial" w:cs="Arial" w:eastAsia="Arial" w:hAnsi="Arial"/>
                <w:sz w:val="14"/>
                <w:szCs w:val="14"/>
                <w:color w:val="51555C"/>
                <w:w w:val="76"/>
              </w:rPr>
              <w:t>$</w:t>
            </w:r>
          </w:p>
        </w:tc>
        <w:tc>
          <w:tcPr>
            <w:tcW w:w="1060" w:type="dxa"/>
            <w:vAlign w:val="bottom"/>
            <w:tcBorders>
              <w:top w:val="single" w:sz="8" w:color="auto"/>
              <w:bottom w:val="single" w:sz="8" w:color="51555C"/>
            </w:tcBorders>
          </w:tcPr>
          <w:p>
            <w:pPr>
              <w:jc w:val="right"/>
              <w:spacing w:after="0"/>
              <w:rPr>
                <w:sz w:val="20"/>
                <w:szCs w:val="20"/>
                <w:color w:val="auto"/>
              </w:rPr>
            </w:pPr>
            <w:r>
              <w:rPr>
                <w:rFonts w:ascii="Arial" w:cs="Arial" w:eastAsia="Arial" w:hAnsi="Arial"/>
                <w:sz w:val="14"/>
                <w:szCs w:val="14"/>
                <w:color w:val="51555C"/>
              </w:rPr>
              <w:t>756.6</w:t>
            </w:r>
          </w:p>
        </w:tc>
        <w:tc>
          <w:tcPr>
            <w:tcW w:w="20" w:type="dxa"/>
            <w:vAlign w:val="bottom"/>
          </w:tcPr>
          <w:p>
            <w:pPr>
              <w:spacing w:after="0"/>
              <w:rPr>
                <w:sz w:val="19"/>
                <w:szCs w:val="19"/>
                <w:color w:val="auto"/>
              </w:rPr>
            </w:pPr>
          </w:p>
        </w:tc>
      </w:tr>
      <w:tr>
        <w:trPr>
          <w:trHeight w:val="203"/>
        </w:trPr>
        <w:tc>
          <w:tcPr>
            <w:tcW w:w="59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Non-GAAP organic revenue growth</w:t>
            </w:r>
          </w:p>
        </w:tc>
        <w:tc>
          <w:tcPr>
            <w:tcW w:w="440" w:type="dxa"/>
            <w:vAlign w:val="bottom"/>
            <w:tcBorders>
              <w:bottom w:val="single" w:sz="8" w:color="EBFBFF"/>
            </w:tcBorders>
            <w:shd w:val="clear" w:color="auto" w:fill="EBFBFF"/>
          </w:tcPr>
          <w:p>
            <w:pPr>
              <w:spacing w:after="0"/>
              <w:rPr>
                <w:sz w:val="17"/>
                <w:szCs w:val="17"/>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1.7 %</w:t>
            </w:r>
          </w:p>
        </w:tc>
        <w:tc>
          <w:tcPr>
            <w:tcW w:w="160" w:type="dxa"/>
            <w:vAlign w:val="bottom"/>
            <w:tcBorders>
              <w:bottom w:val="single" w:sz="8" w:color="EBFBFF"/>
            </w:tcBorders>
            <w:shd w:val="clear" w:color="auto" w:fill="EBFBFF"/>
          </w:tcPr>
          <w:p>
            <w:pPr>
              <w:spacing w:after="0"/>
              <w:rPr>
                <w:sz w:val="17"/>
                <w:szCs w:val="17"/>
                <w:color w:val="auto"/>
              </w:rPr>
            </w:pPr>
          </w:p>
        </w:tc>
        <w:tc>
          <w:tcPr>
            <w:tcW w:w="1080" w:type="dxa"/>
            <w:vAlign w:val="bottom"/>
            <w:tcBorders>
              <w:bottom w:val="single" w:sz="8" w:color="EBFBFF"/>
            </w:tcBorders>
            <w:shd w:val="clear" w:color="auto" w:fill="EBFBFF"/>
          </w:tcPr>
          <w:p>
            <w:pPr>
              <w:spacing w:after="0"/>
              <w:rPr>
                <w:sz w:val="17"/>
                <w:szCs w:val="17"/>
                <w:color w:val="auto"/>
              </w:rPr>
            </w:pPr>
          </w:p>
        </w:tc>
        <w:tc>
          <w:tcPr>
            <w:tcW w:w="100" w:type="dxa"/>
            <w:vAlign w:val="bottom"/>
            <w:tcBorders>
              <w:bottom w:val="single" w:sz="8" w:color="EBFBFF"/>
            </w:tcBorders>
            <w:shd w:val="clear" w:color="auto" w:fill="EBFBFF"/>
          </w:tcPr>
          <w:p>
            <w:pPr>
              <w:spacing w:after="0"/>
              <w:rPr>
                <w:sz w:val="17"/>
                <w:szCs w:val="17"/>
                <w:color w:val="auto"/>
              </w:rPr>
            </w:pPr>
          </w:p>
        </w:tc>
        <w:tc>
          <w:tcPr>
            <w:tcW w:w="460" w:type="dxa"/>
            <w:vAlign w:val="bottom"/>
            <w:tcBorders>
              <w:bottom w:val="single" w:sz="8" w:color="EBFBFF"/>
            </w:tcBorders>
            <w:shd w:val="clear" w:color="auto" w:fill="EBFBFF"/>
          </w:tcPr>
          <w:p>
            <w:pPr>
              <w:spacing w:after="0"/>
              <w:rPr>
                <w:sz w:val="17"/>
                <w:szCs w:val="17"/>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3.5 %</w:t>
            </w:r>
          </w:p>
        </w:tc>
        <w:tc>
          <w:tcPr>
            <w:tcW w:w="160" w:type="dxa"/>
            <w:vAlign w:val="bottom"/>
            <w:tcBorders>
              <w:bottom w:val="single" w:sz="8" w:color="EBFBFF"/>
            </w:tcBorders>
            <w:shd w:val="clear" w:color="auto" w:fill="EBFBFF"/>
          </w:tcPr>
          <w:p>
            <w:pPr>
              <w:spacing w:after="0"/>
              <w:rPr>
                <w:sz w:val="17"/>
                <w:szCs w:val="17"/>
                <w:color w:val="auto"/>
              </w:rPr>
            </w:pPr>
          </w:p>
        </w:tc>
        <w:tc>
          <w:tcPr>
            <w:tcW w:w="106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5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30"/>
        </w:trPr>
        <w:tc>
          <w:tcPr>
            <w:tcW w:w="598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organic revenue</w:t>
            </w:r>
            <w:r>
              <w:rPr>
                <w:rFonts w:ascii="Arial" w:cs="Arial" w:eastAsia="Arial" w:hAnsi="Arial"/>
                <w:sz w:val="18"/>
                <w:szCs w:val="18"/>
                <w:color w:val="51555C"/>
                <w:vertAlign w:val="superscript"/>
              </w:rPr>
              <w:t>(3)</w:t>
            </w:r>
          </w:p>
        </w:tc>
        <w:tc>
          <w:tcPr>
            <w:tcW w:w="440" w:type="dxa"/>
            <w:vAlign w:val="bottom"/>
            <w:shd w:val="clear" w:color="auto" w:fill="EBFBFF"/>
          </w:tcPr>
          <w:p>
            <w:pPr>
              <w:jc w:val="right"/>
              <w:ind w:right="268"/>
              <w:spacing w:after="0"/>
              <w:rPr>
                <w:sz w:val="20"/>
                <w:szCs w:val="20"/>
                <w:color w:val="auto"/>
              </w:rPr>
            </w:pPr>
            <w:r>
              <w:rPr>
                <w:rFonts w:ascii="Arial" w:cs="Arial" w:eastAsia="Arial" w:hAnsi="Arial"/>
                <w:sz w:val="14"/>
                <w:szCs w:val="14"/>
                <w:color w:val="51555C"/>
              </w:rPr>
              <w:t>$</w:t>
            </w:r>
          </w:p>
        </w:tc>
        <w:tc>
          <w:tcPr>
            <w:tcW w:w="9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261.3</w:t>
            </w:r>
          </w:p>
        </w:tc>
        <w:tc>
          <w:tcPr>
            <w:tcW w:w="1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256.9</w:t>
            </w:r>
          </w:p>
        </w:tc>
        <w:tc>
          <w:tcPr>
            <w:tcW w:w="560" w:type="dxa"/>
            <w:vAlign w:val="bottom"/>
            <w:gridSpan w:val="2"/>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783.3</w:t>
            </w:r>
          </w:p>
        </w:tc>
        <w:tc>
          <w:tcPr>
            <w:tcW w:w="16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w w:val="76"/>
              </w:rPr>
              <w:t>$</w:t>
            </w:r>
          </w:p>
        </w:tc>
        <w:tc>
          <w:tcPr>
            <w:tcW w:w="10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756.6</w:t>
            </w:r>
          </w:p>
        </w:tc>
        <w:tc>
          <w:tcPr>
            <w:tcW w:w="20" w:type="dxa"/>
            <w:vAlign w:val="bottom"/>
          </w:tcPr>
          <w:p>
            <w:pPr>
              <w:spacing w:after="0"/>
              <w:rPr>
                <w:sz w:val="19"/>
                <w:szCs w:val="19"/>
                <w:color w:val="auto"/>
              </w:rPr>
            </w:pPr>
          </w:p>
        </w:tc>
      </w:tr>
      <w:tr>
        <w:trPr>
          <w:trHeight w:val="230"/>
        </w:trPr>
        <w:tc>
          <w:tcPr>
            <w:tcW w:w="5980" w:type="dxa"/>
            <w:vAlign w:val="bottom"/>
            <w:tcBorders>
              <w:bottom w:val="single" w:sz="8" w:color="EBFBFF"/>
            </w:tcBorders>
          </w:tcPr>
          <w:p>
            <w:pPr>
              <w:ind w:left="20"/>
              <w:spacing w:after="0"/>
              <w:rPr>
                <w:sz w:val="20"/>
                <w:szCs w:val="20"/>
                <w:color w:val="auto"/>
              </w:rPr>
            </w:pPr>
            <w:r>
              <w:rPr>
                <w:rFonts w:ascii="Arial" w:cs="Arial" w:eastAsia="Arial" w:hAnsi="Arial"/>
                <w:sz w:val="14"/>
                <w:szCs w:val="14"/>
                <w:color w:val="51555C"/>
              </w:rPr>
              <w:t>Foreign currency impact on Non-GAAP organic revenue</w:t>
            </w:r>
            <w:r>
              <w:rPr>
                <w:rFonts w:ascii="Arial" w:cs="Arial" w:eastAsia="Arial" w:hAnsi="Arial"/>
                <w:sz w:val="18"/>
                <w:szCs w:val="18"/>
                <w:color w:val="51555C"/>
                <w:vertAlign w:val="superscript"/>
              </w:rPr>
              <w:t>(4)</w:t>
            </w:r>
          </w:p>
        </w:tc>
        <w:tc>
          <w:tcPr>
            <w:tcW w:w="440" w:type="dxa"/>
            <w:vAlign w:val="bottom"/>
            <w:tcBorders>
              <w:bottom w:val="single" w:sz="8" w:color="51555C"/>
            </w:tcBorders>
          </w:tcPr>
          <w:p>
            <w:pPr>
              <w:spacing w:after="0"/>
              <w:rPr>
                <w:sz w:val="19"/>
                <w:szCs w:val="19"/>
                <w:color w:val="auto"/>
              </w:rPr>
            </w:pPr>
          </w:p>
        </w:tc>
        <w:tc>
          <w:tcPr>
            <w:tcW w:w="90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4.9</w:t>
            </w:r>
          </w:p>
        </w:tc>
        <w:tc>
          <w:tcPr>
            <w:tcW w:w="160" w:type="dxa"/>
            <w:vAlign w:val="bottom"/>
            <w:tcBorders>
              <w:bottom w:val="single" w:sz="8" w:color="51555C"/>
            </w:tcBorders>
          </w:tcPr>
          <w:p>
            <w:pPr>
              <w:spacing w:after="0"/>
              <w:rPr>
                <w:sz w:val="19"/>
                <w:szCs w:val="19"/>
                <w:color w:val="auto"/>
              </w:rPr>
            </w:pPr>
          </w:p>
        </w:tc>
        <w:tc>
          <w:tcPr>
            <w:tcW w:w="1080" w:type="dxa"/>
            <w:vAlign w:val="bottom"/>
            <w:tcBorders>
              <w:bottom w:val="single" w:sz="8" w:color="51555C"/>
            </w:tcBorders>
          </w:tcPr>
          <w:p>
            <w:pPr>
              <w:jc w:val="right"/>
              <w:ind w:right="8"/>
              <w:spacing w:after="0"/>
              <w:rPr>
                <w:sz w:val="20"/>
                <w:szCs w:val="20"/>
                <w:color w:val="auto"/>
              </w:rPr>
            </w:pPr>
            <w:r>
              <w:rPr>
                <w:rFonts w:ascii="Arial" w:cs="Arial" w:eastAsia="Arial" w:hAnsi="Arial"/>
                <w:sz w:val="14"/>
                <w:szCs w:val="14"/>
                <w:color w:val="51555C"/>
              </w:rPr>
              <w:t>—</w:t>
            </w:r>
          </w:p>
        </w:tc>
        <w:tc>
          <w:tcPr>
            <w:tcW w:w="100" w:type="dxa"/>
            <w:vAlign w:val="bottom"/>
            <w:tcBorders>
              <w:bottom w:val="single" w:sz="8" w:color="EBFBFF"/>
            </w:tcBorders>
          </w:tcPr>
          <w:p>
            <w:pPr>
              <w:spacing w:after="0"/>
              <w:rPr>
                <w:sz w:val="19"/>
                <w:szCs w:val="19"/>
                <w:color w:val="auto"/>
              </w:rPr>
            </w:pPr>
          </w:p>
        </w:tc>
        <w:tc>
          <w:tcPr>
            <w:tcW w:w="460" w:type="dxa"/>
            <w:vAlign w:val="bottom"/>
            <w:tcBorders>
              <w:bottom w:val="single" w:sz="8" w:color="51555C"/>
            </w:tcBorders>
          </w:tcPr>
          <w:p>
            <w:pPr>
              <w:spacing w:after="0"/>
              <w:rPr>
                <w:sz w:val="19"/>
                <w:szCs w:val="19"/>
                <w:color w:val="auto"/>
              </w:rPr>
            </w:pPr>
          </w:p>
        </w:tc>
        <w:tc>
          <w:tcPr>
            <w:tcW w:w="90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8.7</w:t>
            </w:r>
          </w:p>
        </w:tc>
        <w:tc>
          <w:tcPr>
            <w:tcW w:w="160" w:type="dxa"/>
            <w:vAlign w:val="bottom"/>
            <w:tcBorders>
              <w:bottom w:val="single" w:sz="8" w:color="51555C"/>
            </w:tcBorders>
          </w:tcPr>
          <w:p>
            <w:pPr>
              <w:spacing w:after="0"/>
              <w:rPr>
                <w:sz w:val="19"/>
                <w:szCs w:val="19"/>
                <w:color w:val="auto"/>
              </w:rPr>
            </w:pP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w:t>
            </w:r>
          </w:p>
        </w:tc>
        <w:tc>
          <w:tcPr>
            <w:tcW w:w="20" w:type="dxa"/>
            <w:vAlign w:val="bottom"/>
          </w:tcPr>
          <w:p>
            <w:pPr>
              <w:spacing w:after="0"/>
              <w:rPr>
                <w:sz w:val="19"/>
                <w:szCs w:val="19"/>
                <w:color w:val="auto"/>
              </w:rPr>
            </w:pPr>
          </w:p>
        </w:tc>
      </w:tr>
      <w:tr>
        <w:trPr>
          <w:trHeight w:val="223"/>
        </w:trPr>
        <w:tc>
          <w:tcPr>
            <w:tcW w:w="598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organic revenue on constant currency basis</w:t>
            </w:r>
            <w:r>
              <w:rPr>
                <w:rFonts w:ascii="Arial" w:cs="Arial" w:eastAsia="Arial" w:hAnsi="Arial"/>
                <w:sz w:val="18"/>
                <w:szCs w:val="18"/>
                <w:color w:val="51555C"/>
                <w:vertAlign w:val="superscript"/>
              </w:rPr>
              <w:t>(4)</w:t>
            </w:r>
          </w:p>
        </w:tc>
        <w:tc>
          <w:tcPr>
            <w:tcW w:w="440" w:type="dxa"/>
            <w:vAlign w:val="bottom"/>
            <w:shd w:val="clear" w:color="auto" w:fill="EBFBFF"/>
          </w:tcPr>
          <w:p>
            <w:pPr>
              <w:jc w:val="right"/>
              <w:ind w:right="268"/>
              <w:spacing w:after="0"/>
              <w:rPr>
                <w:sz w:val="20"/>
                <w:szCs w:val="20"/>
                <w:color w:val="auto"/>
              </w:rPr>
            </w:pPr>
            <w:r>
              <w:rPr>
                <w:rFonts w:ascii="Arial" w:cs="Arial" w:eastAsia="Arial" w:hAnsi="Arial"/>
                <w:sz w:val="14"/>
                <w:szCs w:val="14"/>
                <w:color w:val="51555C"/>
              </w:rPr>
              <w:t>$</w:t>
            </w:r>
          </w:p>
        </w:tc>
        <w:tc>
          <w:tcPr>
            <w:tcW w:w="9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266.2</w:t>
            </w:r>
          </w:p>
        </w:tc>
        <w:tc>
          <w:tcPr>
            <w:tcW w:w="1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256.9</w:t>
            </w:r>
          </w:p>
        </w:tc>
        <w:tc>
          <w:tcPr>
            <w:tcW w:w="560" w:type="dxa"/>
            <w:vAlign w:val="bottom"/>
            <w:gridSpan w:val="2"/>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792.1</w:t>
            </w:r>
          </w:p>
        </w:tc>
        <w:tc>
          <w:tcPr>
            <w:tcW w:w="16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w w:val="76"/>
              </w:rPr>
              <w:t>$</w:t>
            </w:r>
          </w:p>
        </w:tc>
        <w:tc>
          <w:tcPr>
            <w:tcW w:w="10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756.6</w:t>
            </w:r>
          </w:p>
        </w:tc>
        <w:tc>
          <w:tcPr>
            <w:tcW w:w="20" w:type="dxa"/>
            <w:vAlign w:val="bottom"/>
          </w:tcPr>
          <w:p>
            <w:pPr>
              <w:spacing w:after="0"/>
              <w:rPr>
                <w:sz w:val="19"/>
                <w:szCs w:val="19"/>
                <w:color w:val="auto"/>
              </w:rPr>
            </w:pPr>
          </w:p>
        </w:tc>
      </w:tr>
      <w:tr>
        <w:trPr>
          <w:trHeight w:val="198"/>
        </w:trPr>
        <w:tc>
          <w:tcPr>
            <w:tcW w:w="5980" w:type="dxa"/>
            <w:vAlign w:val="bottom"/>
          </w:tcPr>
          <w:p>
            <w:pPr>
              <w:ind w:left="20"/>
              <w:spacing w:after="0"/>
              <w:rPr>
                <w:sz w:val="20"/>
                <w:szCs w:val="20"/>
                <w:color w:val="auto"/>
              </w:rPr>
            </w:pPr>
            <w:r>
              <w:rPr>
                <w:rFonts w:ascii="Arial" w:cs="Arial" w:eastAsia="Arial" w:hAnsi="Arial"/>
                <w:sz w:val="14"/>
                <w:szCs w:val="14"/>
                <w:b w:val="1"/>
                <w:bCs w:val="1"/>
                <w:color w:val="51555C"/>
              </w:rPr>
              <w:t>Non-GAAP organic revenue growth on constant currency basis</w:t>
            </w:r>
          </w:p>
        </w:tc>
        <w:tc>
          <w:tcPr>
            <w:tcW w:w="440" w:type="dxa"/>
            <w:vAlign w:val="bottom"/>
            <w:tcBorders>
              <w:top w:val="single" w:sz="8" w:color="51555C"/>
            </w:tcBorders>
          </w:tcPr>
          <w:p>
            <w:pPr>
              <w:spacing w:after="0"/>
              <w:rPr>
                <w:sz w:val="17"/>
                <w:szCs w:val="17"/>
                <w:color w:val="auto"/>
              </w:rPr>
            </w:pPr>
          </w:p>
        </w:tc>
        <w:tc>
          <w:tcPr>
            <w:tcW w:w="900" w:type="dxa"/>
            <w:vAlign w:val="bottom"/>
            <w:tcBorders>
              <w:top w:val="single" w:sz="8" w:color="51555C"/>
            </w:tcBorders>
          </w:tcPr>
          <w:p>
            <w:pPr>
              <w:jc w:val="right"/>
              <w:spacing w:after="0"/>
              <w:rPr>
                <w:sz w:val="20"/>
                <w:szCs w:val="20"/>
                <w:color w:val="auto"/>
              </w:rPr>
            </w:pPr>
            <w:r>
              <w:rPr>
                <w:rFonts w:ascii="Arial" w:cs="Arial" w:eastAsia="Arial" w:hAnsi="Arial"/>
                <w:sz w:val="14"/>
                <w:szCs w:val="14"/>
                <w:b w:val="1"/>
                <w:bCs w:val="1"/>
                <w:color w:val="51555C"/>
              </w:rPr>
              <w:t>3.6 %</w:t>
            </w:r>
          </w:p>
        </w:tc>
        <w:tc>
          <w:tcPr>
            <w:tcW w:w="160" w:type="dxa"/>
            <w:vAlign w:val="bottom"/>
            <w:tcBorders>
              <w:top w:val="single" w:sz="8" w:color="51555C"/>
            </w:tcBorders>
          </w:tcPr>
          <w:p>
            <w:pPr>
              <w:spacing w:after="0"/>
              <w:rPr>
                <w:sz w:val="17"/>
                <w:szCs w:val="17"/>
                <w:color w:val="auto"/>
              </w:rPr>
            </w:pPr>
          </w:p>
        </w:tc>
        <w:tc>
          <w:tcPr>
            <w:tcW w:w="1080" w:type="dxa"/>
            <w:vAlign w:val="bottom"/>
            <w:tcBorders>
              <w:top w:val="single" w:sz="8" w:color="51555C"/>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51555C"/>
            </w:tcBorders>
          </w:tcPr>
          <w:p>
            <w:pPr>
              <w:spacing w:after="0"/>
              <w:rPr>
                <w:sz w:val="17"/>
                <w:szCs w:val="17"/>
                <w:color w:val="auto"/>
              </w:rPr>
            </w:pPr>
          </w:p>
        </w:tc>
        <w:tc>
          <w:tcPr>
            <w:tcW w:w="900" w:type="dxa"/>
            <w:vAlign w:val="bottom"/>
            <w:tcBorders>
              <w:top w:val="single" w:sz="8" w:color="51555C"/>
            </w:tcBorders>
          </w:tcPr>
          <w:p>
            <w:pPr>
              <w:jc w:val="right"/>
              <w:spacing w:after="0"/>
              <w:rPr>
                <w:sz w:val="20"/>
                <w:szCs w:val="20"/>
                <w:color w:val="auto"/>
              </w:rPr>
            </w:pPr>
            <w:r>
              <w:rPr>
                <w:rFonts w:ascii="Arial" w:cs="Arial" w:eastAsia="Arial" w:hAnsi="Arial"/>
                <w:sz w:val="14"/>
                <w:szCs w:val="14"/>
                <w:b w:val="1"/>
                <w:bCs w:val="1"/>
                <w:color w:val="51555C"/>
              </w:rPr>
              <w:t>4.7 %</w:t>
            </w:r>
          </w:p>
        </w:tc>
        <w:tc>
          <w:tcPr>
            <w:tcW w:w="160" w:type="dxa"/>
            <w:vAlign w:val="bottom"/>
            <w:tcBorders>
              <w:top w:val="single" w:sz="8" w:color="51555C"/>
            </w:tcBorders>
          </w:tcPr>
          <w:p>
            <w:pPr>
              <w:spacing w:after="0"/>
              <w:rPr>
                <w:sz w:val="17"/>
                <w:szCs w:val="17"/>
                <w:color w:val="auto"/>
              </w:rPr>
            </w:pPr>
          </w:p>
        </w:tc>
        <w:tc>
          <w:tcPr>
            <w:tcW w:w="1060" w:type="dxa"/>
            <w:vAlign w:val="bottom"/>
            <w:tcBorders>
              <w:top w:val="single" w:sz="8" w:color="51555C"/>
            </w:tcBorders>
          </w:tcPr>
          <w:p>
            <w:pPr>
              <w:spacing w:after="0"/>
              <w:rPr>
                <w:sz w:val="17"/>
                <w:szCs w:val="17"/>
                <w:color w:val="auto"/>
              </w:rPr>
            </w:pPr>
          </w:p>
        </w:tc>
        <w:tc>
          <w:tcPr>
            <w:tcW w:w="20" w:type="dxa"/>
            <w:vAlign w:val="bottom"/>
          </w:tcPr>
          <w:p>
            <w:pPr>
              <w:spacing w:after="0"/>
              <w:rPr>
                <w:sz w:val="17"/>
                <w:szCs w:val="17"/>
                <w:color w:val="auto"/>
              </w:rPr>
            </w:pPr>
          </w:p>
        </w:tc>
      </w:tr>
      <w:tr>
        <w:trPr>
          <w:trHeight w:val="25"/>
        </w:trPr>
        <w:tc>
          <w:tcPr>
            <w:tcW w:w="5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5980" w:type="dxa"/>
            <w:vAlign w:val="bottom"/>
            <w:shd w:val="clear" w:color="auto" w:fill="EBFBFF"/>
          </w:tcPr>
          <w:p>
            <w:pPr>
              <w:spacing w:after="0"/>
              <w:rPr>
                <w:sz w:val="12"/>
                <w:szCs w:val="12"/>
                <w:color w:val="auto"/>
              </w:rPr>
            </w:pPr>
          </w:p>
        </w:tc>
        <w:tc>
          <w:tcPr>
            <w:tcW w:w="440" w:type="dxa"/>
            <w:vAlign w:val="bottom"/>
            <w:shd w:val="clear" w:color="auto" w:fill="EBFBFF"/>
          </w:tcPr>
          <w:p>
            <w:pPr>
              <w:spacing w:after="0"/>
              <w:rPr>
                <w:sz w:val="12"/>
                <w:szCs w:val="12"/>
                <w:color w:val="auto"/>
              </w:rPr>
            </w:pPr>
          </w:p>
        </w:tc>
        <w:tc>
          <w:tcPr>
            <w:tcW w:w="900" w:type="dxa"/>
            <w:vAlign w:val="bottom"/>
            <w:shd w:val="clear" w:color="auto" w:fill="EBFBFF"/>
          </w:tcPr>
          <w:p>
            <w:pPr>
              <w:spacing w:after="0"/>
              <w:rPr>
                <w:sz w:val="12"/>
                <w:szCs w:val="12"/>
                <w:color w:val="auto"/>
              </w:rPr>
            </w:pPr>
          </w:p>
        </w:tc>
        <w:tc>
          <w:tcPr>
            <w:tcW w:w="160" w:type="dxa"/>
            <w:vAlign w:val="bottom"/>
            <w:shd w:val="clear" w:color="auto" w:fill="EBFBFF"/>
          </w:tcPr>
          <w:p>
            <w:pPr>
              <w:spacing w:after="0"/>
              <w:rPr>
                <w:sz w:val="12"/>
                <w:szCs w:val="12"/>
                <w:color w:val="auto"/>
              </w:rPr>
            </w:pPr>
          </w:p>
        </w:tc>
        <w:tc>
          <w:tcPr>
            <w:tcW w:w="1080" w:type="dxa"/>
            <w:vAlign w:val="bottom"/>
            <w:shd w:val="clear" w:color="auto" w:fill="EBFBFF"/>
          </w:tcPr>
          <w:p>
            <w:pPr>
              <w:spacing w:after="0"/>
              <w:rPr>
                <w:sz w:val="12"/>
                <w:szCs w:val="12"/>
                <w:color w:val="auto"/>
              </w:rPr>
            </w:pPr>
          </w:p>
        </w:tc>
        <w:tc>
          <w:tcPr>
            <w:tcW w:w="100" w:type="dxa"/>
            <w:vAlign w:val="bottom"/>
            <w:shd w:val="clear" w:color="auto" w:fill="EBFBFF"/>
          </w:tcPr>
          <w:p>
            <w:pPr>
              <w:spacing w:after="0"/>
              <w:rPr>
                <w:sz w:val="12"/>
                <w:szCs w:val="12"/>
                <w:color w:val="auto"/>
              </w:rPr>
            </w:pPr>
          </w:p>
        </w:tc>
        <w:tc>
          <w:tcPr>
            <w:tcW w:w="460" w:type="dxa"/>
            <w:vAlign w:val="bottom"/>
            <w:shd w:val="clear" w:color="auto" w:fill="EBFBFF"/>
          </w:tcPr>
          <w:p>
            <w:pPr>
              <w:spacing w:after="0"/>
              <w:rPr>
                <w:sz w:val="12"/>
                <w:szCs w:val="12"/>
                <w:color w:val="auto"/>
              </w:rPr>
            </w:pPr>
          </w:p>
        </w:tc>
        <w:tc>
          <w:tcPr>
            <w:tcW w:w="900" w:type="dxa"/>
            <w:vAlign w:val="bottom"/>
            <w:shd w:val="clear" w:color="auto" w:fill="EBFBFF"/>
          </w:tcPr>
          <w:p>
            <w:pPr>
              <w:spacing w:after="0"/>
              <w:rPr>
                <w:sz w:val="12"/>
                <w:szCs w:val="12"/>
                <w:color w:val="auto"/>
              </w:rPr>
            </w:pPr>
          </w:p>
        </w:tc>
        <w:tc>
          <w:tcPr>
            <w:tcW w:w="160" w:type="dxa"/>
            <w:vAlign w:val="bottom"/>
            <w:shd w:val="clear" w:color="auto" w:fill="EBFBFF"/>
          </w:tcPr>
          <w:p>
            <w:pPr>
              <w:spacing w:after="0"/>
              <w:rPr>
                <w:sz w:val="12"/>
                <w:szCs w:val="12"/>
                <w:color w:val="auto"/>
              </w:rPr>
            </w:pPr>
          </w:p>
        </w:tc>
        <w:tc>
          <w:tcPr>
            <w:tcW w:w="1060" w:type="dxa"/>
            <w:vAlign w:val="bottom"/>
            <w:shd w:val="clear" w:color="auto" w:fill="EBFBFF"/>
          </w:tcPr>
          <w:p>
            <w:pPr>
              <w:spacing w:after="0"/>
              <w:rPr>
                <w:sz w:val="12"/>
                <w:szCs w:val="12"/>
                <w:color w:val="auto"/>
              </w:rPr>
            </w:pPr>
          </w:p>
        </w:tc>
        <w:tc>
          <w:tcPr>
            <w:tcW w:w="20" w:type="dxa"/>
            <w:vAlign w:val="bottom"/>
          </w:tcPr>
          <w:p>
            <w:pPr>
              <w:spacing w:after="0"/>
              <w:rPr>
                <w:sz w:val="12"/>
                <w:szCs w:val="12"/>
                <w:color w:val="auto"/>
              </w:rPr>
            </w:pPr>
          </w:p>
        </w:tc>
      </w:tr>
      <w:tr>
        <w:trPr>
          <w:trHeight w:val="204"/>
        </w:trPr>
        <w:tc>
          <w:tcPr>
            <w:tcW w:w="5980" w:type="dxa"/>
            <w:vAlign w:val="bottom"/>
          </w:tcPr>
          <w:p>
            <w:pPr>
              <w:ind w:left="20"/>
              <w:spacing w:after="0"/>
              <w:rPr>
                <w:sz w:val="20"/>
                <w:szCs w:val="20"/>
                <w:color w:val="auto"/>
              </w:rPr>
            </w:pPr>
            <w:r>
              <w:rPr>
                <w:rFonts w:ascii="Arial" w:cs="Arial" w:eastAsia="Arial" w:hAnsi="Arial"/>
                <w:sz w:val="14"/>
                <w:szCs w:val="14"/>
                <w:color w:val="51555C"/>
              </w:rPr>
              <w:t>GAAP recurring revenue</w:t>
            </w:r>
          </w:p>
        </w:tc>
        <w:tc>
          <w:tcPr>
            <w:tcW w:w="440" w:type="dxa"/>
            <w:vAlign w:val="bottom"/>
          </w:tcPr>
          <w:p>
            <w:pPr>
              <w:jc w:val="right"/>
              <w:ind w:right="268"/>
              <w:spacing w:after="0"/>
              <w:rPr>
                <w:sz w:val="20"/>
                <w:szCs w:val="20"/>
                <w:color w:val="auto"/>
              </w:rPr>
            </w:pPr>
            <w:r>
              <w:rPr>
                <w:rFonts w:ascii="Arial" w:cs="Arial" w:eastAsia="Arial" w:hAnsi="Arial"/>
                <w:sz w:val="14"/>
                <w:szCs w:val="14"/>
                <w:color w:val="51555C"/>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51555C"/>
              </w:rPr>
              <w:t>249.4</w:t>
            </w:r>
          </w:p>
        </w:tc>
        <w:tc>
          <w:tcPr>
            <w:tcW w:w="160" w:type="dxa"/>
            <w:vAlign w:val="bottom"/>
          </w:tcPr>
          <w:p>
            <w:pPr>
              <w:jc w:val="right"/>
              <w:spacing w:after="0"/>
              <w:rPr>
                <w:sz w:val="20"/>
                <w:szCs w:val="20"/>
                <w:color w:val="auto"/>
              </w:rPr>
            </w:pPr>
            <w:r>
              <w:rPr>
                <w:rFonts w:ascii="Arial" w:cs="Arial" w:eastAsia="Arial" w:hAnsi="Arial"/>
                <w:sz w:val="14"/>
                <w:szCs w:val="14"/>
                <w:color w:val="51555C"/>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51555C"/>
              </w:rPr>
              <w:t>218.5</w:t>
            </w:r>
          </w:p>
        </w:tc>
        <w:tc>
          <w:tcPr>
            <w:tcW w:w="560" w:type="dxa"/>
            <w:vAlign w:val="bottom"/>
            <w:gridSpan w:val="2"/>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51555C"/>
              </w:rPr>
              <w:t>746.6</w:t>
            </w:r>
          </w:p>
        </w:tc>
        <w:tc>
          <w:tcPr>
            <w:tcW w:w="160" w:type="dxa"/>
            <w:vAlign w:val="bottom"/>
          </w:tcPr>
          <w:p>
            <w:pPr>
              <w:jc w:val="right"/>
              <w:ind w:right="8"/>
              <w:spacing w:after="0"/>
              <w:rPr>
                <w:sz w:val="20"/>
                <w:szCs w:val="20"/>
                <w:color w:val="auto"/>
              </w:rPr>
            </w:pPr>
            <w:r>
              <w:rPr>
                <w:rFonts w:ascii="Arial" w:cs="Arial" w:eastAsia="Arial" w:hAnsi="Arial"/>
                <w:sz w:val="14"/>
                <w:szCs w:val="14"/>
                <w:color w:val="51555C"/>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51555C"/>
              </w:rPr>
              <w:t>642.3</w:t>
            </w:r>
          </w:p>
        </w:tc>
        <w:tc>
          <w:tcPr>
            <w:tcW w:w="20" w:type="dxa"/>
            <w:vAlign w:val="bottom"/>
          </w:tcPr>
          <w:p>
            <w:pPr>
              <w:spacing w:after="0"/>
              <w:rPr>
                <w:sz w:val="17"/>
                <w:szCs w:val="17"/>
                <w:color w:val="auto"/>
              </w:rPr>
            </w:pPr>
          </w:p>
        </w:tc>
      </w:tr>
      <w:tr>
        <w:trPr>
          <w:trHeight w:val="25"/>
        </w:trPr>
        <w:tc>
          <w:tcPr>
            <w:tcW w:w="5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59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GAAP recurring revenue growth</w:t>
            </w:r>
          </w:p>
        </w:tc>
        <w:tc>
          <w:tcPr>
            <w:tcW w:w="440" w:type="dxa"/>
            <w:vAlign w:val="bottom"/>
            <w:tcBorders>
              <w:bottom w:val="single" w:sz="8" w:color="EBFBFF"/>
            </w:tcBorders>
            <w:shd w:val="clear" w:color="auto" w:fill="EBFBFF"/>
          </w:tcPr>
          <w:p>
            <w:pPr>
              <w:spacing w:after="0"/>
              <w:rPr>
                <w:sz w:val="18"/>
                <w:szCs w:val="18"/>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14.1 %</w:t>
            </w:r>
          </w:p>
        </w:tc>
        <w:tc>
          <w:tcPr>
            <w:tcW w:w="16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spacing w:after="0"/>
              <w:rPr>
                <w:sz w:val="18"/>
                <w:szCs w:val="18"/>
                <w:color w:val="auto"/>
              </w:rPr>
            </w:pPr>
          </w:p>
        </w:tc>
        <w:tc>
          <w:tcPr>
            <w:tcW w:w="100" w:type="dxa"/>
            <w:vAlign w:val="bottom"/>
            <w:tcBorders>
              <w:bottom w:val="single" w:sz="8" w:color="EBFBFF"/>
            </w:tcBorders>
            <w:shd w:val="clear" w:color="auto" w:fill="EBFBFF"/>
          </w:tcPr>
          <w:p>
            <w:pPr>
              <w:spacing w:after="0"/>
              <w:rPr>
                <w:sz w:val="18"/>
                <w:szCs w:val="18"/>
                <w:color w:val="auto"/>
              </w:rPr>
            </w:pPr>
          </w:p>
        </w:tc>
        <w:tc>
          <w:tcPr>
            <w:tcW w:w="460" w:type="dxa"/>
            <w:vAlign w:val="bottom"/>
            <w:tcBorders>
              <w:bottom w:val="single" w:sz="8" w:color="EBFBFF"/>
            </w:tcBorders>
            <w:shd w:val="clear" w:color="auto" w:fill="EBFBFF"/>
          </w:tcPr>
          <w:p>
            <w:pPr>
              <w:spacing w:after="0"/>
              <w:rPr>
                <w:sz w:val="18"/>
                <w:szCs w:val="18"/>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16.2 %</w:t>
            </w:r>
          </w:p>
        </w:tc>
        <w:tc>
          <w:tcPr>
            <w:tcW w:w="160" w:type="dxa"/>
            <w:vAlign w:val="bottom"/>
            <w:tcBorders>
              <w:bottom w:val="single" w:sz="8" w:color="EBFBFF"/>
            </w:tcBorders>
            <w:shd w:val="clear" w:color="auto" w:fill="EBFBFF"/>
          </w:tcPr>
          <w:p>
            <w:pPr>
              <w:spacing w:after="0"/>
              <w:rPr>
                <w:sz w:val="18"/>
                <w:szCs w:val="18"/>
                <w:color w:val="auto"/>
              </w:rPr>
            </w:pPr>
          </w:p>
        </w:tc>
        <w:tc>
          <w:tcPr>
            <w:tcW w:w="1060" w:type="dxa"/>
            <w:vAlign w:val="bottom"/>
            <w:tcBorders>
              <w:bottom w:val="single" w:sz="8" w:color="EBFBFF"/>
            </w:tcBorders>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4"/>
                <w:szCs w:val="14"/>
                <w:color w:val="51555C"/>
              </w:rPr>
              <w:t>Add: Non-GAAP acquisition-related revenue</w:t>
            </w:r>
            <w:r>
              <w:rPr>
                <w:rFonts w:ascii="Arial" w:cs="Arial" w:eastAsia="Arial" w:hAnsi="Arial"/>
                <w:sz w:val="18"/>
                <w:szCs w:val="18"/>
                <w:color w:val="51555C"/>
                <w:vertAlign w:val="superscript"/>
              </w:rPr>
              <w:t>(1)</w:t>
            </w:r>
          </w:p>
        </w:tc>
        <w:tc>
          <w:tcPr>
            <w:tcW w:w="440" w:type="dxa"/>
            <w:vAlign w:val="bottom"/>
          </w:tcPr>
          <w:p>
            <w:pPr>
              <w:spacing w:after="0"/>
              <w:rPr>
                <w:sz w:val="19"/>
                <w:szCs w:val="19"/>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160" w:type="dxa"/>
            <w:vAlign w:val="bottom"/>
          </w:tcPr>
          <w:p>
            <w:pPr>
              <w:spacing w:after="0"/>
              <w:rPr>
                <w:sz w:val="19"/>
                <w:szCs w:val="19"/>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51555C"/>
              </w:rPr>
              <w:t>22.8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51555C"/>
              </w:rPr>
              <w:t>68.8</w:t>
            </w:r>
          </w:p>
        </w:tc>
        <w:tc>
          <w:tcPr>
            <w:tcW w:w="20" w:type="dxa"/>
            <w:vAlign w:val="bottom"/>
          </w:tcPr>
          <w:p>
            <w:pPr>
              <w:spacing w:after="0"/>
              <w:rPr>
                <w:sz w:val="19"/>
                <w:szCs w:val="19"/>
                <w:color w:val="auto"/>
              </w:rPr>
            </w:pPr>
          </w:p>
        </w:tc>
      </w:tr>
      <w:tr>
        <w:trPr>
          <w:trHeight w:val="229"/>
        </w:trPr>
        <w:tc>
          <w:tcPr>
            <w:tcW w:w="598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Less: Non-GAAP recurring revenue from divested businesses</w:t>
            </w:r>
            <w:r>
              <w:rPr>
                <w:rFonts w:ascii="Arial" w:cs="Arial" w:eastAsia="Arial" w:hAnsi="Arial"/>
                <w:sz w:val="18"/>
                <w:szCs w:val="18"/>
                <w:color w:val="51555C"/>
                <w:vertAlign w:val="superscript"/>
              </w:rPr>
              <w:t>(2)</w:t>
            </w:r>
          </w:p>
        </w:tc>
        <w:tc>
          <w:tcPr>
            <w:tcW w:w="440" w:type="dxa"/>
            <w:vAlign w:val="bottom"/>
            <w:tcBorders>
              <w:bottom w:val="single" w:sz="8" w:color="auto"/>
            </w:tcBorders>
            <w:shd w:val="clear" w:color="auto" w:fill="EBFBFF"/>
          </w:tcPr>
          <w:p>
            <w:pPr>
              <w:spacing w:after="0"/>
              <w:rPr>
                <w:sz w:val="19"/>
                <w:szCs w:val="19"/>
                <w:color w:val="auto"/>
              </w:rPr>
            </w:pPr>
          </w:p>
        </w:tc>
        <w:tc>
          <w:tcPr>
            <w:tcW w:w="900" w:type="dxa"/>
            <w:vAlign w:val="bottom"/>
            <w:tcBorders>
              <w:bottom w:val="single" w:sz="8" w:color="auto"/>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160" w:type="dxa"/>
            <w:vAlign w:val="bottom"/>
            <w:tcBorders>
              <w:bottom w:val="single" w:sz="8" w:color="auto"/>
            </w:tcBorders>
            <w:shd w:val="clear" w:color="auto" w:fill="EBFBFF"/>
          </w:tcPr>
          <w:p>
            <w:pPr>
              <w:spacing w:after="0"/>
              <w:rPr>
                <w:sz w:val="19"/>
                <w:szCs w:val="19"/>
                <w:color w:val="auto"/>
              </w:rPr>
            </w:pPr>
          </w:p>
        </w:tc>
        <w:tc>
          <w:tcPr>
            <w:tcW w:w="1080" w:type="dxa"/>
            <w:vAlign w:val="bottom"/>
            <w:tcBorders>
              <w:bottom w:val="single" w:sz="8" w:color="auto"/>
            </w:tcBorders>
            <w:shd w:val="clear" w:color="auto" w:fill="EBFBFF"/>
          </w:tcPr>
          <w:p>
            <w:pPr>
              <w:jc w:val="center"/>
              <w:ind w:left="648"/>
              <w:spacing w:after="0"/>
              <w:rPr>
                <w:sz w:val="20"/>
                <w:szCs w:val="20"/>
                <w:color w:val="auto"/>
              </w:rPr>
            </w:pPr>
            <w:r>
              <w:rPr>
                <w:rFonts w:ascii="Arial" w:cs="Arial" w:eastAsia="Arial" w:hAnsi="Arial"/>
                <w:sz w:val="14"/>
                <w:szCs w:val="14"/>
                <w:color w:val="51555C"/>
                <w:w w:val="97"/>
              </w:rPr>
              <w:t>(0.3)</w:t>
            </w:r>
          </w:p>
        </w:tc>
        <w:tc>
          <w:tcPr>
            <w:tcW w:w="100" w:type="dxa"/>
            <w:vAlign w:val="bottom"/>
            <w:shd w:val="clear" w:color="auto" w:fill="EBFBFF"/>
          </w:tcPr>
          <w:p>
            <w:pPr>
              <w:spacing w:after="0"/>
              <w:rPr>
                <w:sz w:val="19"/>
                <w:szCs w:val="19"/>
                <w:color w:val="auto"/>
              </w:rPr>
            </w:pPr>
          </w:p>
        </w:tc>
        <w:tc>
          <w:tcPr>
            <w:tcW w:w="460" w:type="dxa"/>
            <w:vAlign w:val="bottom"/>
            <w:tcBorders>
              <w:bottom w:val="single" w:sz="8" w:color="auto"/>
            </w:tcBorders>
            <w:shd w:val="clear" w:color="auto" w:fill="EBFBFF"/>
          </w:tcPr>
          <w:p>
            <w:pPr>
              <w:spacing w:after="0"/>
              <w:rPr>
                <w:sz w:val="19"/>
                <w:szCs w:val="19"/>
                <w:color w:val="auto"/>
              </w:rPr>
            </w:pPr>
          </w:p>
        </w:tc>
        <w:tc>
          <w:tcPr>
            <w:tcW w:w="900" w:type="dxa"/>
            <w:vAlign w:val="bottom"/>
            <w:tcBorders>
              <w:bottom w:val="single" w:sz="8" w:color="auto"/>
            </w:tcBorders>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60" w:type="dxa"/>
            <w:vAlign w:val="bottom"/>
            <w:tcBorders>
              <w:bottom w:val="single" w:sz="8" w:color="auto"/>
            </w:tcBorders>
            <w:shd w:val="clear" w:color="auto" w:fill="EBFBFF"/>
          </w:tcPr>
          <w:p>
            <w:pPr>
              <w:spacing w:after="0"/>
              <w:rPr>
                <w:sz w:val="19"/>
                <w:szCs w:val="19"/>
                <w:color w:val="auto"/>
              </w:rPr>
            </w:pPr>
          </w:p>
        </w:tc>
        <w:tc>
          <w:tcPr>
            <w:tcW w:w="1060" w:type="dxa"/>
            <w:vAlign w:val="bottom"/>
            <w:tcBorders>
              <w:bottom w:val="single" w:sz="8" w:color="auto"/>
            </w:tcBorders>
            <w:shd w:val="clear" w:color="auto" w:fill="EBFBFF"/>
          </w:tcPr>
          <w:p>
            <w:pPr>
              <w:jc w:val="center"/>
              <w:ind w:left="648"/>
              <w:spacing w:after="0"/>
              <w:rPr>
                <w:sz w:val="20"/>
                <w:szCs w:val="20"/>
                <w:color w:val="auto"/>
              </w:rPr>
            </w:pPr>
            <w:r>
              <w:rPr>
                <w:rFonts w:ascii="Arial" w:cs="Arial" w:eastAsia="Arial" w:hAnsi="Arial"/>
                <w:sz w:val="14"/>
                <w:szCs w:val="14"/>
                <w:color w:val="51555C"/>
              </w:rPr>
              <w:t>(0.3)</w:t>
            </w:r>
          </w:p>
        </w:tc>
        <w:tc>
          <w:tcPr>
            <w:tcW w:w="20" w:type="dxa"/>
            <w:vAlign w:val="bottom"/>
          </w:tcPr>
          <w:p>
            <w:pPr>
              <w:spacing w:after="0"/>
              <w:rPr>
                <w:sz w:val="19"/>
                <w:szCs w:val="19"/>
                <w:color w:val="auto"/>
              </w:rPr>
            </w:pPr>
          </w:p>
        </w:tc>
      </w:tr>
      <w:tr>
        <w:trPr>
          <w:trHeight w:val="198"/>
        </w:trPr>
        <w:tc>
          <w:tcPr>
            <w:tcW w:w="5980" w:type="dxa"/>
            <w:vAlign w:val="bottom"/>
          </w:tcPr>
          <w:p>
            <w:pPr>
              <w:ind w:left="360"/>
              <w:spacing w:after="0"/>
              <w:rPr>
                <w:sz w:val="20"/>
                <w:szCs w:val="20"/>
                <w:color w:val="auto"/>
              </w:rPr>
            </w:pPr>
            <w:r>
              <w:rPr>
                <w:rFonts w:ascii="Arial" w:cs="Arial" w:eastAsia="Arial" w:hAnsi="Arial"/>
                <w:sz w:val="14"/>
                <w:szCs w:val="14"/>
                <w:color w:val="51555C"/>
              </w:rPr>
              <w:t>Total Non-GAAP adjustments</w:t>
            </w:r>
          </w:p>
        </w:tc>
        <w:tc>
          <w:tcPr>
            <w:tcW w:w="44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16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51555C"/>
              </w:rPr>
              <w:t>22.5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51555C"/>
              </w:rPr>
              <w:t>68.4</w:t>
            </w:r>
          </w:p>
        </w:tc>
        <w:tc>
          <w:tcPr>
            <w:tcW w:w="20" w:type="dxa"/>
            <w:vAlign w:val="bottom"/>
          </w:tcPr>
          <w:p>
            <w:pPr>
              <w:spacing w:after="0"/>
              <w:rPr>
                <w:sz w:val="17"/>
                <w:szCs w:val="17"/>
                <w:color w:val="auto"/>
              </w:rPr>
            </w:pPr>
          </w:p>
        </w:tc>
      </w:tr>
      <w:tr>
        <w:trPr>
          <w:trHeight w:val="25"/>
        </w:trPr>
        <w:tc>
          <w:tcPr>
            <w:tcW w:w="5980" w:type="dxa"/>
            <w:vAlign w:val="bottom"/>
            <w:tcBorders>
              <w:bottom w:val="single" w:sz="8" w:color="EBFB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98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organic recurring revenue</w:t>
            </w:r>
            <w:r>
              <w:rPr>
                <w:rFonts w:ascii="Arial" w:cs="Arial" w:eastAsia="Arial" w:hAnsi="Arial"/>
                <w:sz w:val="18"/>
                <w:szCs w:val="18"/>
                <w:color w:val="51555C"/>
                <w:vertAlign w:val="superscript"/>
              </w:rPr>
              <w:t>(3)</w:t>
            </w:r>
          </w:p>
        </w:tc>
        <w:tc>
          <w:tcPr>
            <w:tcW w:w="440" w:type="dxa"/>
            <w:vAlign w:val="bottom"/>
            <w:shd w:val="clear" w:color="auto" w:fill="EBFBFF"/>
          </w:tcPr>
          <w:p>
            <w:pPr>
              <w:jc w:val="right"/>
              <w:ind w:right="268"/>
              <w:spacing w:after="0"/>
              <w:rPr>
                <w:sz w:val="20"/>
                <w:szCs w:val="20"/>
                <w:color w:val="auto"/>
              </w:rPr>
            </w:pPr>
            <w:r>
              <w:rPr>
                <w:rFonts w:ascii="Arial" w:cs="Arial" w:eastAsia="Arial" w:hAnsi="Arial"/>
                <w:sz w:val="14"/>
                <w:szCs w:val="14"/>
                <w:color w:val="51555C"/>
              </w:rPr>
              <w:t>$</w:t>
            </w:r>
          </w:p>
        </w:tc>
        <w:tc>
          <w:tcPr>
            <w:tcW w:w="90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249.4</w:t>
            </w:r>
          </w:p>
        </w:tc>
        <w:tc>
          <w:tcPr>
            <w:tcW w:w="1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241.0</w:t>
            </w:r>
          </w:p>
        </w:tc>
        <w:tc>
          <w:tcPr>
            <w:tcW w:w="560" w:type="dxa"/>
            <w:vAlign w:val="bottom"/>
            <w:gridSpan w:val="2"/>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746.6</w:t>
            </w:r>
          </w:p>
        </w:tc>
        <w:tc>
          <w:tcPr>
            <w:tcW w:w="16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w w:val="76"/>
              </w:rPr>
              <w:t>$</w:t>
            </w:r>
          </w:p>
        </w:tc>
        <w:tc>
          <w:tcPr>
            <w:tcW w:w="106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710.7</w:t>
            </w:r>
          </w:p>
        </w:tc>
        <w:tc>
          <w:tcPr>
            <w:tcW w:w="20" w:type="dxa"/>
            <w:vAlign w:val="bottom"/>
          </w:tcPr>
          <w:p>
            <w:pPr>
              <w:spacing w:after="0"/>
              <w:rPr>
                <w:sz w:val="19"/>
                <w:szCs w:val="19"/>
                <w:color w:val="auto"/>
              </w:rPr>
            </w:pPr>
          </w:p>
        </w:tc>
      </w:tr>
      <w:tr>
        <w:trPr>
          <w:trHeight w:val="198"/>
        </w:trPr>
        <w:tc>
          <w:tcPr>
            <w:tcW w:w="5980" w:type="dxa"/>
            <w:vAlign w:val="bottom"/>
          </w:tcPr>
          <w:p>
            <w:pPr>
              <w:ind w:left="20"/>
              <w:spacing w:after="0"/>
              <w:rPr>
                <w:sz w:val="20"/>
                <w:szCs w:val="20"/>
                <w:color w:val="auto"/>
              </w:rPr>
            </w:pPr>
            <w:r>
              <w:rPr>
                <w:rFonts w:ascii="Arial" w:cs="Arial" w:eastAsia="Arial" w:hAnsi="Arial"/>
                <w:sz w:val="14"/>
                <w:szCs w:val="14"/>
                <w:b w:val="1"/>
                <w:bCs w:val="1"/>
                <w:color w:val="51555C"/>
              </w:rPr>
              <w:t>Non-GAAP organic recurring revenue growth</w:t>
            </w:r>
          </w:p>
        </w:tc>
        <w:tc>
          <w:tcPr>
            <w:tcW w:w="440" w:type="dxa"/>
            <w:vAlign w:val="bottom"/>
            <w:tcBorders>
              <w:top w:val="single" w:sz="8" w:color="51555C"/>
            </w:tcBorders>
          </w:tcPr>
          <w:p>
            <w:pPr>
              <w:spacing w:after="0"/>
              <w:rPr>
                <w:sz w:val="17"/>
                <w:szCs w:val="17"/>
                <w:color w:val="auto"/>
              </w:rPr>
            </w:pPr>
          </w:p>
        </w:tc>
        <w:tc>
          <w:tcPr>
            <w:tcW w:w="900" w:type="dxa"/>
            <w:vAlign w:val="bottom"/>
            <w:tcBorders>
              <w:top w:val="single" w:sz="8" w:color="51555C"/>
            </w:tcBorders>
          </w:tcPr>
          <w:p>
            <w:pPr>
              <w:jc w:val="right"/>
              <w:spacing w:after="0"/>
              <w:rPr>
                <w:sz w:val="20"/>
                <w:szCs w:val="20"/>
                <w:color w:val="auto"/>
              </w:rPr>
            </w:pPr>
            <w:r>
              <w:rPr>
                <w:rFonts w:ascii="Arial" w:cs="Arial" w:eastAsia="Arial" w:hAnsi="Arial"/>
                <w:sz w:val="14"/>
                <w:szCs w:val="14"/>
                <w:b w:val="1"/>
                <w:bCs w:val="1"/>
                <w:color w:val="51555C"/>
              </w:rPr>
              <w:t>3.5 %</w:t>
            </w:r>
          </w:p>
        </w:tc>
        <w:tc>
          <w:tcPr>
            <w:tcW w:w="160" w:type="dxa"/>
            <w:vAlign w:val="bottom"/>
            <w:tcBorders>
              <w:top w:val="single" w:sz="8" w:color="51555C"/>
            </w:tcBorders>
          </w:tcPr>
          <w:p>
            <w:pPr>
              <w:spacing w:after="0"/>
              <w:rPr>
                <w:sz w:val="17"/>
                <w:szCs w:val="17"/>
                <w:color w:val="auto"/>
              </w:rPr>
            </w:pPr>
          </w:p>
        </w:tc>
        <w:tc>
          <w:tcPr>
            <w:tcW w:w="1080" w:type="dxa"/>
            <w:vAlign w:val="bottom"/>
            <w:tcBorders>
              <w:top w:val="single" w:sz="8" w:color="51555C"/>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51555C"/>
            </w:tcBorders>
          </w:tcPr>
          <w:p>
            <w:pPr>
              <w:spacing w:after="0"/>
              <w:rPr>
                <w:sz w:val="17"/>
                <w:szCs w:val="17"/>
                <w:color w:val="auto"/>
              </w:rPr>
            </w:pPr>
          </w:p>
        </w:tc>
        <w:tc>
          <w:tcPr>
            <w:tcW w:w="900" w:type="dxa"/>
            <w:vAlign w:val="bottom"/>
            <w:tcBorders>
              <w:top w:val="single" w:sz="8" w:color="51555C"/>
            </w:tcBorders>
          </w:tcPr>
          <w:p>
            <w:pPr>
              <w:jc w:val="right"/>
              <w:spacing w:after="0"/>
              <w:rPr>
                <w:sz w:val="20"/>
                <w:szCs w:val="20"/>
                <w:color w:val="auto"/>
              </w:rPr>
            </w:pPr>
            <w:r>
              <w:rPr>
                <w:rFonts w:ascii="Arial" w:cs="Arial" w:eastAsia="Arial" w:hAnsi="Arial"/>
                <w:sz w:val="14"/>
                <w:szCs w:val="14"/>
                <w:b w:val="1"/>
                <w:bCs w:val="1"/>
                <w:color w:val="51555C"/>
              </w:rPr>
              <w:t>5.0 %</w:t>
            </w:r>
          </w:p>
        </w:tc>
        <w:tc>
          <w:tcPr>
            <w:tcW w:w="160" w:type="dxa"/>
            <w:vAlign w:val="bottom"/>
            <w:tcBorders>
              <w:top w:val="single" w:sz="8" w:color="51555C"/>
            </w:tcBorders>
          </w:tcPr>
          <w:p>
            <w:pPr>
              <w:spacing w:after="0"/>
              <w:rPr>
                <w:sz w:val="17"/>
                <w:szCs w:val="17"/>
                <w:color w:val="auto"/>
              </w:rPr>
            </w:pPr>
          </w:p>
        </w:tc>
        <w:tc>
          <w:tcPr>
            <w:tcW w:w="1060" w:type="dxa"/>
            <w:vAlign w:val="bottom"/>
            <w:tcBorders>
              <w:top w:val="single" w:sz="8" w:color="51555C"/>
            </w:tcBorders>
          </w:tcPr>
          <w:p>
            <w:pPr>
              <w:spacing w:after="0"/>
              <w:rPr>
                <w:sz w:val="17"/>
                <w:szCs w:val="17"/>
                <w:color w:val="auto"/>
              </w:rPr>
            </w:pPr>
          </w:p>
        </w:tc>
        <w:tc>
          <w:tcPr>
            <w:tcW w:w="20" w:type="dxa"/>
            <w:vAlign w:val="bottom"/>
          </w:tcPr>
          <w:p>
            <w:pPr>
              <w:spacing w:after="0"/>
              <w:rPr>
                <w:sz w:val="17"/>
                <w:szCs w:val="17"/>
                <w:color w:val="auto"/>
              </w:rPr>
            </w:pPr>
          </w:p>
        </w:tc>
      </w:tr>
      <w:tr>
        <w:trPr>
          <w:trHeight w:val="25"/>
        </w:trPr>
        <w:tc>
          <w:tcPr>
            <w:tcW w:w="5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5980" w:type="dxa"/>
            <w:vAlign w:val="bottom"/>
            <w:shd w:val="clear" w:color="auto" w:fill="EBFBFF"/>
          </w:tcPr>
          <w:p>
            <w:pPr>
              <w:spacing w:after="0"/>
              <w:rPr>
                <w:sz w:val="12"/>
                <w:szCs w:val="12"/>
                <w:color w:val="auto"/>
              </w:rPr>
            </w:pPr>
          </w:p>
        </w:tc>
        <w:tc>
          <w:tcPr>
            <w:tcW w:w="440" w:type="dxa"/>
            <w:vAlign w:val="bottom"/>
            <w:shd w:val="clear" w:color="auto" w:fill="EBFBFF"/>
          </w:tcPr>
          <w:p>
            <w:pPr>
              <w:spacing w:after="0"/>
              <w:rPr>
                <w:sz w:val="12"/>
                <w:szCs w:val="12"/>
                <w:color w:val="auto"/>
              </w:rPr>
            </w:pPr>
          </w:p>
        </w:tc>
        <w:tc>
          <w:tcPr>
            <w:tcW w:w="900" w:type="dxa"/>
            <w:vAlign w:val="bottom"/>
            <w:shd w:val="clear" w:color="auto" w:fill="EBFBFF"/>
          </w:tcPr>
          <w:p>
            <w:pPr>
              <w:spacing w:after="0"/>
              <w:rPr>
                <w:sz w:val="12"/>
                <w:szCs w:val="12"/>
                <w:color w:val="auto"/>
              </w:rPr>
            </w:pPr>
          </w:p>
        </w:tc>
        <w:tc>
          <w:tcPr>
            <w:tcW w:w="160" w:type="dxa"/>
            <w:vAlign w:val="bottom"/>
            <w:shd w:val="clear" w:color="auto" w:fill="EBFBFF"/>
          </w:tcPr>
          <w:p>
            <w:pPr>
              <w:spacing w:after="0"/>
              <w:rPr>
                <w:sz w:val="12"/>
                <w:szCs w:val="12"/>
                <w:color w:val="auto"/>
              </w:rPr>
            </w:pPr>
          </w:p>
        </w:tc>
        <w:tc>
          <w:tcPr>
            <w:tcW w:w="1080" w:type="dxa"/>
            <w:vAlign w:val="bottom"/>
            <w:shd w:val="clear" w:color="auto" w:fill="EBFBFF"/>
          </w:tcPr>
          <w:p>
            <w:pPr>
              <w:spacing w:after="0"/>
              <w:rPr>
                <w:sz w:val="12"/>
                <w:szCs w:val="12"/>
                <w:color w:val="auto"/>
              </w:rPr>
            </w:pPr>
          </w:p>
        </w:tc>
        <w:tc>
          <w:tcPr>
            <w:tcW w:w="100" w:type="dxa"/>
            <w:vAlign w:val="bottom"/>
            <w:shd w:val="clear" w:color="auto" w:fill="EBFBFF"/>
          </w:tcPr>
          <w:p>
            <w:pPr>
              <w:spacing w:after="0"/>
              <w:rPr>
                <w:sz w:val="12"/>
                <w:szCs w:val="12"/>
                <w:color w:val="auto"/>
              </w:rPr>
            </w:pPr>
          </w:p>
        </w:tc>
        <w:tc>
          <w:tcPr>
            <w:tcW w:w="460" w:type="dxa"/>
            <w:vAlign w:val="bottom"/>
            <w:shd w:val="clear" w:color="auto" w:fill="EBFBFF"/>
          </w:tcPr>
          <w:p>
            <w:pPr>
              <w:spacing w:after="0"/>
              <w:rPr>
                <w:sz w:val="12"/>
                <w:szCs w:val="12"/>
                <w:color w:val="auto"/>
              </w:rPr>
            </w:pPr>
          </w:p>
        </w:tc>
        <w:tc>
          <w:tcPr>
            <w:tcW w:w="900" w:type="dxa"/>
            <w:vAlign w:val="bottom"/>
            <w:shd w:val="clear" w:color="auto" w:fill="EBFBFF"/>
          </w:tcPr>
          <w:p>
            <w:pPr>
              <w:spacing w:after="0"/>
              <w:rPr>
                <w:sz w:val="12"/>
                <w:szCs w:val="12"/>
                <w:color w:val="auto"/>
              </w:rPr>
            </w:pPr>
          </w:p>
        </w:tc>
        <w:tc>
          <w:tcPr>
            <w:tcW w:w="160" w:type="dxa"/>
            <w:vAlign w:val="bottom"/>
            <w:shd w:val="clear" w:color="auto" w:fill="EBFBFF"/>
          </w:tcPr>
          <w:p>
            <w:pPr>
              <w:spacing w:after="0"/>
              <w:rPr>
                <w:sz w:val="12"/>
                <w:szCs w:val="12"/>
                <w:color w:val="auto"/>
              </w:rPr>
            </w:pPr>
          </w:p>
        </w:tc>
        <w:tc>
          <w:tcPr>
            <w:tcW w:w="1060" w:type="dxa"/>
            <w:vAlign w:val="bottom"/>
            <w:shd w:val="clear" w:color="auto" w:fill="EBFBFF"/>
          </w:tcPr>
          <w:p>
            <w:pPr>
              <w:spacing w:after="0"/>
              <w:rPr>
                <w:sz w:val="12"/>
                <w:szCs w:val="12"/>
                <w:color w:val="auto"/>
              </w:rPr>
            </w:pPr>
          </w:p>
        </w:tc>
        <w:tc>
          <w:tcPr>
            <w:tcW w:w="20" w:type="dxa"/>
            <w:vAlign w:val="bottom"/>
          </w:tcPr>
          <w:p>
            <w:pPr>
              <w:spacing w:after="0"/>
              <w:rPr>
                <w:sz w:val="12"/>
                <w:szCs w:val="12"/>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4"/>
                <w:szCs w:val="14"/>
                <w:color w:val="51555C"/>
              </w:rPr>
              <w:t>Non-GAAP organic recurring revenue</w:t>
            </w:r>
            <w:r>
              <w:rPr>
                <w:rFonts w:ascii="Arial" w:cs="Arial" w:eastAsia="Arial" w:hAnsi="Arial"/>
                <w:sz w:val="18"/>
                <w:szCs w:val="18"/>
                <w:color w:val="51555C"/>
                <w:vertAlign w:val="superscript"/>
              </w:rPr>
              <w:t>(3)</w:t>
            </w:r>
          </w:p>
        </w:tc>
        <w:tc>
          <w:tcPr>
            <w:tcW w:w="440" w:type="dxa"/>
            <w:vAlign w:val="bottom"/>
          </w:tcPr>
          <w:p>
            <w:pPr>
              <w:jc w:val="right"/>
              <w:ind w:right="268"/>
              <w:spacing w:after="0"/>
              <w:rPr>
                <w:sz w:val="20"/>
                <w:szCs w:val="20"/>
                <w:color w:val="auto"/>
              </w:rPr>
            </w:pPr>
            <w:r>
              <w:rPr>
                <w:rFonts w:ascii="Arial" w:cs="Arial" w:eastAsia="Arial" w:hAnsi="Arial"/>
                <w:sz w:val="14"/>
                <w:szCs w:val="14"/>
                <w:color w:val="51555C"/>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51555C"/>
              </w:rPr>
              <w:t>249.4</w:t>
            </w:r>
          </w:p>
        </w:tc>
        <w:tc>
          <w:tcPr>
            <w:tcW w:w="160" w:type="dxa"/>
            <w:vAlign w:val="bottom"/>
          </w:tcPr>
          <w:p>
            <w:pPr>
              <w:jc w:val="right"/>
              <w:spacing w:after="0"/>
              <w:rPr>
                <w:sz w:val="20"/>
                <w:szCs w:val="20"/>
                <w:color w:val="auto"/>
              </w:rPr>
            </w:pPr>
            <w:r>
              <w:rPr>
                <w:rFonts w:ascii="Arial" w:cs="Arial" w:eastAsia="Arial" w:hAnsi="Arial"/>
                <w:sz w:val="14"/>
                <w:szCs w:val="14"/>
                <w:color w:val="51555C"/>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51555C"/>
              </w:rPr>
              <w:t>241.0</w:t>
            </w:r>
          </w:p>
        </w:tc>
        <w:tc>
          <w:tcPr>
            <w:tcW w:w="560" w:type="dxa"/>
            <w:vAlign w:val="bottom"/>
            <w:gridSpan w:val="2"/>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51555C"/>
              </w:rPr>
              <w:t>746.6</w:t>
            </w:r>
          </w:p>
        </w:tc>
        <w:tc>
          <w:tcPr>
            <w:tcW w:w="160" w:type="dxa"/>
            <w:vAlign w:val="bottom"/>
          </w:tcPr>
          <w:p>
            <w:pPr>
              <w:jc w:val="right"/>
              <w:ind w:right="8"/>
              <w:spacing w:after="0"/>
              <w:rPr>
                <w:sz w:val="20"/>
                <w:szCs w:val="20"/>
                <w:color w:val="auto"/>
              </w:rPr>
            </w:pPr>
            <w:r>
              <w:rPr>
                <w:rFonts w:ascii="Arial" w:cs="Arial" w:eastAsia="Arial" w:hAnsi="Arial"/>
                <w:sz w:val="14"/>
                <w:szCs w:val="14"/>
                <w:color w:val="51555C"/>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51555C"/>
              </w:rPr>
              <w:t>710.7</w:t>
            </w:r>
          </w:p>
        </w:tc>
        <w:tc>
          <w:tcPr>
            <w:tcW w:w="20" w:type="dxa"/>
            <w:vAlign w:val="bottom"/>
          </w:tcPr>
          <w:p>
            <w:pPr>
              <w:spacing w:after="0"/>
              <w:rPr>
                <w:sz w:val="19"/>
                <w:szCs w:val="19"/>
                <w:color w:val="auto"/>
              </w:rPr>
            </w:pPr>
          </w:p>
        </w:tc>
      </w:tr>
      <w:tr>
        <w:trPr>
          <w:trHeight w:val="230"/>
        </w:trPr>
        <w:tc>
          <w:tcPr>
            <w:tcW w:w="598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Foreign currency impact on non-GAAP organic recurring revenue</w:t>
            </w:r>
            <w:r>
              <w:rPr>
                <w:rFonts w:ascii="Arial" w:cs="Arial" w:eastAsia="Arial" w:hAnsi="Arial"/>
                <w:sz w:val="18"/>
                <w:szCs w:val="18"/>
                <w:color w:val="51555C"/>
                <w:vertAlign w:val="superscript"/>
              </w:rPr>
              <w:t>(4)</w:t>
            </w:r>
          </w:p>
        </w:tc>
        <w:tc>
          <w:tcPr>
            <w:tcW w:w="440" w:type="dxa"/>
            <w:vAlign w:val="bottom"/>
            <w:tcBorders>
              <w:bottom w:val="single" w:sz="8" w:color="51555C"/>
            </w:tcBorders>
            <w:shd w:val="clear" w:color="auto" w:fill="EBFBFF"/>
          </w:tcPr>
          <w:p>
            <w:pPr>
              <w:spacing w:after="0"/>
              <w:rPr>
                <w:sz w:val="19"/>
                <w:szCs w:val="19"/>
                <w:color w:val="auto"/>
              </w:rPr>
            </w:pPr>
          </w:p>
        </w:tc>
        <w:tc>
          <w:tcPr>
            <w:tcW w:w="90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4.4</w:t>
            </w:r>
          </w:p>
        </w:tc>
        <w:tc>
          <w:tcPr>
            <w:tcW w:w="160" w:type="dxa"/>
            <w:vAlign w:val="bottom"/>
            <w:tcBorders>
              <w:bottom w:val="single" w:sz="8" w:color="51555C"/>
            </w:tcBorders>
            <w:shd w:val="clear" w:color="auto" w:fill="EBFBFF"/>
          </w:tcPr>
          <w:p>
            <w:pPr>
              <w:spacing w:after="0"/>
              <w:rPr>
                <w:sz w:val="19"/>
                <w:szCs w:val="19"/>
                <w:color w:val="auto"/>
              </w:rPr>
            </w:pPr>
          </w:p>
        </w:tc>
        <w:tc>
          <w:tcPr>
            <w:tcW w:w="1080" w:type="dxa"/>
            <w:vAlign w:val="bottom"/>
            <w:tcBorders>
              <w:bottom w:val="single" w:sz="8" w:color="51555C"/>
            </w:tcBorders>
            <w:shd w:val="clear" w:color="auto" w:fill="EBFBFF"/>
          </w:tcPr>
          <w:p>
            <w:pPr>
              <w:jc w:val="right"/>
              <w:ind w:right="8"/>
              <w:spacing w:after="0"/>
              <w:rPr>
                <w:sz w:val="20"/>
                <w:szCs w:val="20"/>
                <w:color w:val="auto"/>
              </w:rPr>
            </w:pPr>
            <w:r>
              <w:rPr>
                <w:rFonts w:ascii="Arial" w:cs="Arial" w:eastAsia="Arial" w:hAnsi="Arial"/>
                <w:sz w:val="14"/>
                <w:szCs w:val="14"/>
                <w:color w:val="51555C"/>
              </w:rPr>
              <w:t>—</w:t>
            </w:r>
          </w:p>
        </w:tc>
        <w:tc>
          <w:tcPr>
            <w:tcW w:w="100" w:type="dxa"/>
            <w:vAlign w:val="bottom"/>
            <w:shd w:val="clear" w:color="auto" w:fill="EBFBFF"/>
          </w:tcPr>
          <w:p>
            <w:pPr>
              <w:spacing w:after="0"/>
              <w:rPr>
                <w:sz w:val="19"/>
                <w:szCs w:val="19"/>
                <w:color w:val="auto"/>
              </w:rPr>
            </w:pPr>
          </w:p>
        </w:tc>
        <w:tc>
          <w:tcPr>
            <w:tcW w:w="460" w:type="dxa"/>
            <w:vAlign w:val="bottom"/>
            <w:tcBorders>
              <w:bottom w:val="single" w:sz="8" w:color="51555C"/>
            </w:tcBorders>
            <w:shd w:val="clear" w:color="auto" w:fill="EBFBFF"/>
          </w:tcPr>
          <w:p>
            <w:pPr>
              <w:spacing w:after="0"/>
              <w:rPr>
                <w:sz w:val="19"/>
                <w:szCs w:val="19"/>
                <w:color w:val="auto"/>
              </w:rPr>
            </w:pPr>
          </w:p>
        </w:tc>
        <w:tc>
          <w:tcPr>
            <w:tcW w:w="90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7.8</w:t>
            </w:r>
          </w:p>
        </w:tc>
        <w:tc>
          <w:tcPr>
            <w:tcW w:w="160" w:type="dxa"/>
            <w:vAlign w:val="bottom"/>
            <w:tcBorders>
              <w:bottom w:val="single" w:sz="8" w:color="51555C"/>
            </w:tcBorders>
            <w:shd w:val="clear" w:color="auto" w:fill="EBFBFF"/>
          </w:tcPr>
          <w:p>
            <w:pPr>
              <w:spacing w:after="0"/>
              <w:rPr>
                <w:sz w:val="19"/>
                <w:szCs w:val="19"/>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w:t>
            </w:r>
          </w:p>
        </w:tc>
        <w:tc>
          <w:tcPr>
            <w:tcW w:w="20" w:type="dxa"/>
            <w:vAlign w:val="bottom"/>
          </w:tcPr>
          <w:p>
            <w:pPr>
              <w:spacing w:after="0"/>
              <w:rPr>
                <w:sz w:val="19"/>
                <w:szCs w:val="19"/>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4"/>
                <w:szCs w:val="14"/>
                <w:color w:val="51555C"/>
              </w:rPr>
              <w:t>Non-GAAP organic recurring revenue on constant currency basis</w:t>
            </w:r>
            <w:r>
              <w:rPr>
                <w:rFonts w:ascii="Arial" w:cs="Arial" w:eastAsia="Arial" w:hAnsi="Arial"/>
                <w:sz w:val="18"/>
                <w:szCs w:val="18"/>
                <w:color w:val="51555C"/>
                <w:vertAlign w:val="superscript"/>
              </w:rPr>
              <w:t>(4)</w:t>
            </w:r>
          </w:p>
        </w:tc>
        <w:tc>
          <w:tcPr>
            <w:tcW w:w="440" w:type="dxa"/>
            <w:vAlign w:val="bottom"/>
          </w:tcPr>
          <w:p>
            <w:pPr>
              <w:jc w:val="right"/>
              <w:ind w:right="268"/>
              <w:spacing w:after="0"/>
              <w:rPr>
                <w:sz w:val="20"/>
                <w:szCs w:val="20"/>
                <w:color w:val="auto"/>
              </w:rPr>
            </w:pPr>
            <w:r>
              <w:rPr>
                <w:rFonts w:ascii="Arial" w:cs="Arial" w:eastAsia="Arial" w:hAnsi="Arial"/>
                <w:sz w:val="14"/>
                <w:szCs w:val="14"/>
                <w:color w:val="51555C"/>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51555C"/>
              </w:rPr>
              <w:t>253.8</w:t>
            </w:r>
          </w:p>
        </w:tc>
        <w:tc>
          <w:tcPr>
            <w:tcW w:w="160" w:type="dxa"/>
            <w:vAlign w:val="bottom"/>
          </w:tcPr>
          <w:p>
            <w:pPr>
              <w:jc w:val="right"/>
              <w:spacing w:after="0"/>
              <w:rPr>
                <w:sz w:val="20"/>
                <w:szCs w:val="20"/>
                <w:color w:val="auto"/>
              </w:rPr>
            </w:pPr>
            <w:r>
              <w:rPr>
                <w:rFonts w:ascii="Arial" w:cs="Arial" w:eastAsia="Arial" w:hAnsi="Arial"/>
                <w:sz w:val="14"/>
                <w:szCs w:val="14"/>
                <w:color w:val="51555C"/>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51555C"/>
              </w:rPr>
              <w:t>241.0</w:t>
            </w:r>
          </w:p>
        </w:tc>
        <w:tc>
          <w:tcPr>
            <w:tcW w:w="560" w:type="dxa"/>
            <w:vAlign w:val="bottom"/>
            <w:gridSpan w:val="2"/>
          </w:tcPr>
          <w:p>
            <w:pPr>
              <w:jc w:val="right"/>
              <w:ind w:right="288"/>
              <w:spacing w:after="0"/>
              <w:rPr>
                <w:sz w:val="20"/>
                <w:szCs w:val="20"/>
                <w:color w:val="auto"/>
              </w:rPr>
            </w:pPr>
            <w:r>
              <w:rPr>
                <w:rFonts w:ascii="Arial" w:cs="Arial" w:eastAsia="Arial" w:hAnsi="Arial"/>
                <w:sz w:val="14"/>
                <w:szCs w:val="14"/>
                <w:color w:val="51555C"/>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51555C"/>
              </w:rPr>
              <w:t>754.4</w:t>
            </w:r>
          </w:p>
        </w:tc>
        <w:tc>
          <w:tcPr>
            <w:tcW w:w="160" w:type="dxa"/>
            <w:vAlign w:val="bottom"/>
          </w:tcPr>
          <w:p>
            <w:pPr>
              <w:jc w:val="right"/>
              <w:ind w:right="8"/>
              <w:spacing w:after="0"/>
              <w:rPr>
                <w:sz w:val="20"/>
                <w:szCs w:val="20"/>
                <w:color w:val="auto"/>
              </w:rPr>
            </w:pPr>
            <w:r>
              <w:rPr>
                <w:rFonts w:ascii="Arial" w:cs="Arial" w:eastAsia="Arial" w:hAnsi="Arial"/>
                <w:sz w:val="14"/>
                <w:szCs w:val="14"/>
                <w:color w:val="51555C"/>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51555C"/>
              </w:rPr>
              <w:t>710.7</w:t>
            </w:r>
          </w:p>
        </w:tc>
        <w:tc>
          <w:tcPr>
            <w:tcW w:w="20" w:type="dxa"/>
            <w:vAlign w:val="bottom"/>
          </w:tcPr>
          <w:p>
            <w:pPr>
              <w:spacing w:after="0"/>
              <w:rPr>
                <w:sz w:val="19"/>
                <w:szCs w:val="19"/>
                <w:color w:val="auto"/>
              </w:rPr>
            </w:pPr>
          </w:p>
        </w:tc>
      </w:tr>
      <w:tr>
        <w:trPr>
          <w:trHeight w:val="203"/>
        </w:trPr>
        <w:tc>
          <w:tcPr>
            <w:tcW w:w="5980" w:type="dxa"/>
            <w:vAlign w:val="bottom"/>
            <w:tcBorders>
              <w:top w:val="single" w:sz="8" w:color="EBFBFF"/>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Non-GAAP organic recurring revenue growth on constant currency basis</w:t>
            </w:r>
          </w:p>
        </w:tc>
        <w:tc>
          <w:tcPr>
            <w:tcW w:w="440" w:type="dxa"/>
            <w:vAlign w:val="bottom"/>
            <w:tcBorders>
              <w:top w:val="single" w:sz="8" w:color="51555C"/>
              <w:bottom w:val="single" w:sz="8" w:color="EBFBFF"/>
            </w:tcBorders>
            <w:shd w:val="clear" w:color="auto" w:fill="EBFBFF"/>
          </w:tcPr>
          <w:p>
            <w:pPr>
              <w:spacing w:after="0"/>
              <w:rPr>
                <w:sz w:val="17"/>
                <w:szCs w:val="17"/>
                <w:color w:val="auto"/>
              </w:rPr>
            </w:pPr>
          </w:p>
        </w:tc>
        <w:tc>
          <w:tcPr>
            <w:tcW w:w="90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5.3 %</w:t>
            </w:r>
          </w:p>
        </w:tc>
        <w:tc>
          <w:tcPr>
            <w:tcW w:w="160" w:type="dxa"/>
            <w:vAlign w:val="bottom"/>
            <w:tcBorders>
              <w:top w:val="single" w:sz="8" w:color="51555C"/>
              <w:bottom w:val="single" w:sz="8" w:color="EBFBFF"/>
            </w:tcBorders>
            <w:shd w:val="clear" w:color="auto" w:fill="EBFBFF"/>
          </w:tcPr>
          <w:p>
            <w:pPr>
              <w:spacing w:after="0"/>
              <w:rPr>
                <w:sz w:val="17"/>
                <w:szCs w:val="17"/>
                <w:color w:val="auto"/>
              </w:rPr>
            </w:pPr>
          </w:p>
        </w:tc>
        <w:tc>
          <w:tcPr>
            <w:tcW w:w="1080" w:type="dxa"/>
            <w:vAlign w:val="bottom"/>
            <w:tcBorders>
              <w:top w:val="single" w:sz="8" w:color="51555C"/>
              <w:bottom w:val="single" w:sz="8" w:color="EBFBFF"/>
            </w:tcBorders>
            <w:shd w:val="clear" w:color="auto" w:fill="EBFBFF"/>
          </w:tcPr>
          <w:p>
            <w:pPr>
              <w:spacing w:after="0"/>
              <w:rPr>
                <w:sz w:val="17"/>
                <w:szCs w:val="17"/>
                <w:color w:val="auto"/>
              </w:rPr>
            </w:pPr>
          </w:p>
        </w:tc>
        <w:tc>
          <w:tcPr>
            <w:tcW w:w="100" w:type="dxa"/>
            <w:vAlign w:val="bottom"/>
            <w:tcBorders>
              <w:top w:val="single" w:sz="8" w:color="EBFBFF"/>
              <w:bottom w:val="single" w:sz="8" w:color="EBFBFF"/>
            </w:tcBorders>
            <w:shd w:val="clear" w:color="auto" w:fill="EBFBFF"/>
          </w:tcPr>
          <w:p>
            <w:pPr>
              <w:spacing w:after="0"/>
              <w:rPr>
                <w:sz w:val="17"/>
                <w:szCs w:val="17"/>
                <w:color w:val="auto"/>
              </w:rPr>
            </w:pPr>
          </w:p>
        </w:tc>
        <w:tc>
          <w:tcPr>
            <w:tcW w:w="460" w:type="dxa"/>
            <w:vAlign w:val="bottom"/>
            <w:tcBorders>
              <w:top w:val="single" w:sz="8" w:color="51555C"/>
              <w:bottom w:val="single" w:sz="8" w:color="EBFBFF"/>
            </w:tcBorders>
            <w:shd w:val="clear" w:color="auto" w:fill="EBFBFF"/>
          </w:tcPr>
          <w:p>
            <w:pPr>
              <w:spacing w:after="0"/>
              <w:rPr>
                <w:sz w:val="17"/>
                <w:szCs w:val="17"/>
                <w:color w:val="auto"/>
              </w:rPr>
            </w:pPr>
          </w:p>
        </w:tc>
        <w:tc>
          <w:tcPr>
            <w:tcW w:w="90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6.1 %</w:t>
            </w:r>
          </w:p>
        </w:tc>
        <w:tc>
          <w:tcPr>
            <w:tcW w:w="160" w:type="dxa"/>
            <w:vAlign w:val="bottom"/>
            <w:tcBorders>
              <w:top w:val="single" w:sz="8" w:color="51555C"/>
              <w:bottom w:val="single" w:sz="8" w:color="EBFBFF"/>
            </w:tcBorders>
            <w:shd w:val="clear" w:color="auto" w:fill="EBFBFF"/>
          </w:tcPr>
          <w:p>
            <w:pPr>
              <w:spacing w:after="0"/>
              <w:rPr>
                <w:sz w:val="17"/>
                <w:szCs w:val="17"/>
                <w:color w:val="auto"/>
              </w:rPr>
            </w:pPr>
          </w:p>
        </w:tc>
        <w:tc>
          <w:tcPr>
            <w:tcW w:w="1060" w:type="dxa"/>
            <w:vAlign w:val="bottom"/>
            <w:tcBorders>
              <w:top w:val="single" w:sz="8" w:color="51555C"/>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980" w:type="dxa"/>
            <w:vAlign w:val="bottom"/>
            <w:shd w:val="clear" w:color="auto" w:fill="0CD973"/>
          </w:tcPr>
          <w:p>
            <w:pPr>
              <w:spacing w:after="0" w:line="20" w:lineRule="exact"/>
              <w:rPr>
                <w:sz w:val="1"/>
                <w:szCs w:val="1"/>
                <w:color w:val="auto"/>
              </w:rPr>
            </w:pPr>
          </w:p>
        </w:tc>
        <w:tc>
          <w:tcPr>
            <w:tcW w:w="440" w:type="dxa"/>
            <w:vAlign w:val="bottom"/>
            <w:shd w:val="clear" w:color="auto" w:fill="0CD973"/>
          </w:tcPr>
          <w:p>
            <w:pPr>
              <w:spacing w:after="0" w:line="20" w:lineRule="exact"/>
              <w:rPr>
                <w:sz w:val="1"/>
                <w:szCs w:val="1"/>
                <w:color w:val="auto"/>
              </w:rPr>
            </w:pPr>
          </w:p>
        </w:tc>
        <w:tc>
          <w:tcPr>
            <w:tcW w:w="900" w:type="dxa"/>
            <w:vAlign w:val="bottom"/>
            <w:shd w:val="clear" w:color="auto" w:fill="0CD973"/>
          </w:tcPr>
          <w:p>
            <w:pPr>
              <w:spacing w:after="0" w:line="20" w:lineRule="exact"/>
              <w:rPr>
                <w:sz w:val="1"/>
                <w:szCs w:val="1"/>
                <w:color w:val="auto"/>
              </w:rPr>
            </w:pPr>
          </w:p>
        </w:tc>
        <w:tc>
          <w:tcPr>
            <w:tcW w:w="160" w:type="dxa"/>
            <w:vAlign w:val="bottom"/>
            <w:shd w:val="clear" w:color="auto" w:fill="0CD973"/>
          </w:tcPr>
          <w:p>
            <w:pPr>
              <w:spacing w:after="0" w:line="20" w:lineRule="exact"/>
              <w:rPr>
                <w:sz w:val="1"/>
                <w:szCs w:val="1"/>
                <w:color w:val="auto"/>
              </w:rPr>
            </w:pPr>
          </w:p>
        </w:tc>
        <w:tc>
          <w:tcPr>
            <w:tcW w:w="108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900" w:type="dxa"/>
            <w:vAlign w:val="bottom"/>
            <w:shd w:val="clear" w:color="auto" w:fill="0CD973"/>
          </w:tcPr>
          <w:p>
            <w:pPr>
              <w:spacing w:after="0" w:line="20" w:lineRule="exact"/>
              <w:rPr>
                <w:sz w:val="1"/>
                <w:szCs w:val="1"/>
                <w:color w:val="auto"/>
              </w:rPr>
            </w:pPr>
          </w:p>
        </w:tc>
        <w:tc>
          <w:tcPr>
            <w:tcW w:w="160" w:type="dxa"/>
            <w:vAlign w:val="bottom"/>
            <w:shd w:val="clear" w:color="auto" w:fill="0CD973"/>
          </w:tcPr>
          <w:p>
            <w:pPr>
              <w:spacing w:after="0" w:line="20" w:lineRule="exact"/>
              <w:rPr>
                <w:sz w:val="1"/>
                <w:szCs w:val="1"/>
                <w:color w:val="auto"/>
              </w:rPr>
            </w:pPr>
          </w:p>
        </w:tc>
        <w:tc>
          <w:tcPr>
            <w:tcW w:w="106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-3822700</wp:posOffset>
            </wp:positionV>
            <wp:extent cx="335153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9" w:lineRule="exact"/>
        <w:rPr>
          <w:sz w:val="20"/>
          <w:szCs w:val="20"/>
          <w:color w:val="auto"/>
        </w:rPr>
      </w:pPr>
    </w:p>
    <w:p>
      <w:pPr>
        <w:jc w:val="both"/>
        <w:ind w:left="340" w:right="20" w:hanging="332"/>
        <w:spacing w:after="0" w:line="254" w:lineRule="auto"/>
        <w:tabs>
          <w:tab w:leader="none" w:pos="354" w:val="left"/>
        </w:tabs>
        <w:numPr>
          <w:ilvl w:val="0"/>
          <w:numId w:val="33"/>
        </w:numPr>
        <w:rPr>
          <w:rFonts w:ascii="Arial" w:cs="Arial" w:eastAsia="Arial" w:hAnsi="Arial"/>
          <w:sz w:val="14"/>
          <w:szCs w:val="14"/>
          <w:color w:val="51555C"/>
        </w:rPr>
      </w:pPr>
      <w:r>
        <w:rPr>
          <w:rFonts w:ascii="Arial" w:cs="Arial" w:eastAsia="Arial" w:hAnsi="Arial"/>
          <w:sz w:val="14"/>
          <w:szCs w:val="14"/>
          <w:color w:val="51555C"/>
        </w:rPr>
        <w:t>Non-GAAP acquisition-related revenue excludes incremental acquisition-related revenue calculated in accordance with GAAP that is attributable to companies acquired in the current fiscal year. For companies acquired in the immediately preceding fiscal year, non-GAAP acquisition-related revenue reflects presentation of full-year incremental non-GAAP revenue derived from such companies, as if they were combined throughout the prior period.</w:t>
      </w:r>
    </w:p>
    <w:p>
      <w:pPr>
        <w:spacing w:after="0" w:line="1" w:lineRule="exact"/>
        <w:rPr>
          <w:rFonts w:ascii="Arial" w:cs="Arial" w:eastAsia="Arial" w:hAnsi="Arial"/>
          <w:sz w:val="14"/>
          <w:szCs w:val="14"/>
          <w:color w:val="51555C"/>
        </w:rPr>
      </w:pPr>
    </w:p>
    <w:p>
      <w:pPr>
        <w:ind w:left="340" w:right="40" w:hanging="332"/>
        <w:spacing w:after="0" w:line="261" w:lineRule="auto"/>
        <w:tabs>
          <w:tab w:leader="none" w:pos="354" w:val="left"/>
        </w:tabs>
        <w:numPr>
          <w:ilvl w:val="0"/>
          <w:numId w:val="33"/>
        </w:numPr>
        <w:rPr>
          <w:rFonts w:ascii="Arial" w:cs="Arial" w:eastAsia="Arial" w:hAnsi="Arial"/>
          <w:sz w:val="14"/>
          <w:szCs w:val="14"/>
          <w:color w:val="51555C"/>
        </w:rPr>
      </w:pPr>
      <w:r>
        <w:rPr>
          <w:rFonts w:ascii="Arial" w:cs="Arial" w:eastAsia="Arial" w:hAnsi="Arial"/>
          <w:sz w:val="14"/>
          <w:szCs w:val="14"/>
          <w:color w:val="51555C"/>
        </w:rPr>
        <w:t>Non-GAAP revenue from divested businesses excludes revenue associated with divested businesses. The exclusion of the prior period revenue is to present the results of the divested business with the results of the combined company for the same period of time in both the prior and current periods.</w:t>
      </w:r>
    </w:p>
    <w:p>
      <w:pPr>
        <w:jc w:val="both"/>
        <w:ind w:left="340" w:right="20" w:hanging="332"/>
        <w:spacing w:after="0" w:line="254" w:lineRule="auto"/>
        <w:tabs>
          <w:tab w:leader="none" w:pos="354" w:val="left"/>
        </w:tabs>
        <w:numPr>
          <w:ilvl w:val="0"/>
          <w:numId w:val="33"/>
        </w:numPr>
        <w:rPr>
          <w:rFonts w:ascii="Arial" w:cs="Arial" w:eastAsia="Arial" w:hAnsi="Arial"/>
          <w:sz w:val="14"/>
          <w:szCs w:val="14"/>
          <w:color w:val="51555C"/>
        </w:rPr>
      </w:pPr>
      <w:r>
        <w:rPr>
          <w:rFonts w:ascii="Arial" w:cs="Arial" w:eastAsia="Arial" w:hAnsi="Arial"/>
          <w:sz w:val="14"/>
          <w:szCs w:val="14"/>
          <w:color w:val="51555C"/>
        </w:rPr>
        <w:t>Non-GAAP organic revenue and non-GAAP organic recurring revenue for the prior year periods presented herein may not agree to non-GAAP organic revenue and non-GAAP organic recurring revenue presented in the respective prior period quarterly financial information solely due to the manner in which non-GAAP organic revenue growth and non-GAAP organic recurring revenue growth are calculated.</w:t>
      </w:r>
    </w:p>
    <w:p>
      <w:pPr>
        <w:spacing w:after="0" w:line="1" w:lineRule="exact"/>
        <w:rPr>
          <w:rFonts w:ascii="Arial" w:cs="Arial" w:eastAsia="Arial" w:hAnsi="Arial"/>
          <w:sz w:val="14"/>
          <w:szCs w:val="14"/>
          <w:color w:val="51555C"/>
        </w:rPr>
      </w:pPr>
    </w:p>
    <w:p>
      <w:pPr>
        <w:jc w:val="both"/>
        <w:ind w:left="340" w:right="20" w:hanging="332"/>
        <w:spacing w:after="0" w:line="270" w:lineRule="auto"/>
        <w:tabs>
          <w:tab w:leader="none" w:pos="354" w:val="left"/>
        </w:tabs>
        <w:numPr>
          <w:ilvl w:val="0"/>
          <w:numId w:val="33"/>
        </w:numPr>
        <w:rPr>
          <w:rFonts w:ascii="Arial" w:cs="Arial" w:eastAsia="Arial" w:hAnsi="Arial"/>
          <w:sz w:val="14"/>
          <w:szCs w:val="14"/>
          <w:color w:val="51555C"/>
        </w:rPr>
      </w:pPr>
      <w:r>
        <w:rPr>
          <w:rFonts w:ascii="Arial" w:cs="Arial" w:eastAsia="Arial" w:hAnsi="Arial"/>
          <w:sz w:val="14"/>
          <w:szCs w:val="14"/>
          <w:color w:val="51555C"/>
        </w:rPr>
        <w:t>To determine non-GAAP organic revenue growth and non-GAAP organic recurring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300"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40</w:t>
      </w:r>
      <w:r>
        <w:rPr>
          <w:sz w:val="20"/>
          <w:szCs w:val="20"/>
          <w:color w:val="auto"/>
        </w:rPr>
        <w:tab/>
      </w:r>
      <w:r>
        <w:rPr>
          <w:sz w:val="1"/>
          <w:szCs w:val="1"/>
          <w:color w:val="auto"/>
        </w:rPr>
        <w:drawing>
          <wp:inline distT="0" distB="0" distL="0" distR="0">
            <wp:extent cx="651510" cy="17145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Rule of 40</w:t>
      </w:r>
    </w:p>
    <w:p>
      <w:pPr>
        <w:spacing w:after="0" w:line="189"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We previously defined Rule of 40 as non-GAAP organic revenue growth plus non-GAAP adjusted EBITDA margin. Non-GAAP adjusted EBITDA is defined as GAAP net income plus interest, net; income tax provision (benefit); depreciation; amortization of intangible assets from business combinations; amortization of software and content development costs; stock-based compensation; employee severance; acquisition and disposition-related costs; restructuring and other real estate activities; Security Incident-related costs, net of insurance; and impairment of capitalized software development costs. Beginning in the fiscal quarter ended June 30, 2022, we now also include in non-GAAP adjusted EBITDA impairment of capitalized software development costs because we believe it is not directly related to our operating performance in any particular period.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shd w:val="clear" w:color="auto" w:fill="004054"/>
          </w:tcPr>
          <w:p>
            <w:pPr>
              <w:spacing w:after="0"/>
              <w:rPr>
                <w:sz w:val="17"/>
                <w:szCs w:val="17"/>
                <w:color w:val="auto"/>
              </w:rPr>
            </w:pPr>
          </w:p>
        </w:tc>
        <w:tc>
          <w:tcPr>
            <w:tcW w:w="400" w:type="dxa"/>
            <w:vAlign w:val="bottom"/>
            <w:shd w:val="clear" w:color="auto" w:fill="004054"/>
          </w:tcPr>
          <w:p>
            <w:pPr>
              <w:spacing w:after="0"/>
              <w:rPr>
                <w:sz w:val="17"/>
                <w:szCs w:val="17"/>
                <w:color w:val="auto"/>
              </w:rPr>
            </w:pPr>
          </w:p>
        </w:tc>
        <w:tc>
          <w:tcPr>
            <w:tcW w:w="840" w:type="dxa"/>
            <w:vAlign w:val="bottom"/>
            <w:shd w:val="clear" w:color="auto" w:fill="004054"/>
          </w:tcPr>
          <w:p>
            <w:pPr>
              <w:spacing w:after="0"/>
              <w:rPr>
                <w:sz w:val="17"/>
                <w:szCs w:val="17"/>
                <w:color w:val="auto"/>
              </w:rPr>
            </w:pPr>
          </w:p>
        </w:tc>
        <w:tc>
          <w:tcPr>
            <w:tcW w:w="440" w:type="dxa"/>
            <w:vAlign w:val="bottom"/>
            <w:shd w:val="clear" w:color="auto" w:fill="004054"/>
          </w:tcPr>
          <w:p>
            <w:pPr>
              <w:spacing w:after="0"/>
              <w:rPr>
                <w:sz w:val="17"/>
                <w:szCs w:val="17"/>
                <w:color w:val="auto"/>
              </w:rPr>
            </w:pPr>
          </w:p>
        </w:tc>
        <w:tc>
          <w:tcPr>
            <w:tcW w:w="1800" w:type="dxa"/>
            <w:vAlign w:val="bottom"/>
            <w:tcBorders>
              <w:right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0" w:type="dxa"/>
            <w:vAlign w:val="bottom"/>
          </w:tcPr>
          <w:p>
            <w:pPr>
              <w:spacing w:after="0"/>
              <w:rPr>
                <w:sz w:val="17"/>
                <w:szCs w:val="17"/>
                <w:color w:val="auto"/>
              </w:rPr>
            </w:pPr>
          </w:p>
        </w:tc>
        <w:tc>
          <w:tcPr>
            <w:tcW w:w="400" w:type="dxa"/>
            <w:vAlign w:val="bottom"/>
            <w:shd w:val="clear" w:color="auto" w:fill="004054"/>
          </w:tcPr>
          <w:p>
            <w:pPr>
              <w:spacing w:after="0"/>
              <w:rPr>
                <w:sz w:val="17"/>
                <w:szCs w:val="17"/>
                <w:color w:val="auto"/>
              </w:rPr>
            </w:pPr>
          </w:p>
        </w:tc>
        <w:tc>
          <w:tcPr>
            <w:tcW w:w="860" w:type="dxa"/>
            <w:vAlign w:val="bottom"/>
            <w:shd w:val="clear" w:color="auto" w:fill="004054"/>
          </w:tcPr>
          <w:p>
            <w:pPr>
              <w:spacing w:after="0"/>
              <w:rPr>
                <w:sz w:val="17"/>
                <w:szCs w:val="17"/>
                <w:color w:val="auto"/>
              </w:rPr>
            </w:pPr>
          </w:p>
        </w:tc>
        <w:tc>
          <w:tcPr>
            <w:tcW w:w="420" w:type="dxa"/>
            <w:vAlign w:val="bottom"/>
            <w:shd w:val="clear" w:color="auto" w:fill="004054"/>
          </w:tcPr>
          <w:p>
            <w:pPr>
              <w:spacing w:after="0"/>
              <w:rPr>
                <w:sz w:val="17"/>
                <w:szCs w:val="17"/>
                <w:color w:val="auto"/>
              </w:rPr>
            </w:pPr>
          </w:p>
        </w:tc>
        <w:tc>
          <w:tcPr>
            <w:tcW w:w="184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7"/>
                <w:szCs w:val="17"/>
                <w:color w:val="auto"/>
              </w:rPr>
            </w:pPr>
          </w:p>
        </w:tc>
      </w:tr>
      <w:tr>
        <w:trPr>
          <w:trHeight w:val="190"/>
        </w:trPr>
        <w:tc>
          <w:tcPr>
            <w:tcW w:w="4160" w:type="dxa"/>
            <w:vAlign w:val="bottom"/>
            <w:shd w:val="clear" w:color="auto" w:fill="004054"/>
          </w:tcPr>
          <w:p>
            <w:pPr>
              <w:spacing w:after="0"/>
              <w:rPr>
                <w:sz w:val="16"/>
                <w:szCs w:val="16"/>
                <w:color w:val="auto"/>
              </w:rPr>
            </w:pPr>
          </w:p>
        </w:tc>
        <w:tc>
          <w:tcPr>
            <w:tcW w:w="400" w:type="dxa"/>
            <w:vAlign w:val="bottom"/>
            <w:shd w:val="clear" w:color="auto" w:fill="004054"/>
          </w:tcPr>
          <w:p>
            <w:pPr>
              <w:spacing w:after="0"/>
              <w:rPr>
                <w:sz w:val="16"/>
                <w:szCs w:val="16"/>
                <w:color w:val="auto"/>
              </w:rPr>
            </w:pPr>
          </w:p>
        </w:tc>
        <w:tc>
          <w:tcPr>
            <w:tcW w:w="840" w:type="dxa"/>
            <w:vAlign w:val="bottom"/>
            <w:shd w:val="clear" w:color="auto" w:fill="004054"/>
          </w:tcPr>
          <w:p>
            <w:pPr>
              <w:spacing w:after="0"/>
              <w:rPr>
                <w:sz w:val="16"/>
                <w:szCs w:val="16"/>
                <w:color w:val="auto"/>
              </w:rPr>
            </w:pPr>
          </w:p>
        </w:tc>
        <w:tc>
          <w:tcPr>
            <w:tcW w:w="440" w:type="dxa"/>
            <w:vAlign w:val="bottom"/>
            <w:shd w:val="clear" w:color="auto" w:fill="004054"/>
          </w:tcPr>
          <w:p>
            <w:pPr>
              <w:spacing w:after="0"/>
              <w:rPr>
                <w:sz w:val="16"/>
                <w:szCs w:val="16"/>
                <w:color w:val="auto"/>
              </w:rPr>
            </w:pPr>
          </w:p>
        </w:tc>
        <w:tc>
          <w:tcPr>
            <w:tcW w:w="680" w:type="dxa"/>
            <w:vAlign w:val="bottom"/>
            <w:shd w:val="clear" w:color="auto" w:fill="004054"/>
          </w:tcPr>
          <w:p>
            <w:pPr>
              <w:spacing w:after="0"/>
              <w:rPr>
                <w:sz w:val="16"/>
                <w:szCs w:val="16"/>
                <w:color w:val="auto"/>
              </w:rPr>
            </w:pPr>
          </w:p>
        </w:tc>
        <w:tc>
          <w:tcPr>
            <w:tcW w:w="112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80" w:type="dxa"/>
            <w:vAlign w:val="bottom"/>
          </w:tcPr>
          <w:p>
            <w:pPr>
              <w:spacing w:after="0"/>
              <w:rPr>
                <w:sz w:val="16"/>
                <w:szCs w:val="16"/>
                <w:color w:val="auto"/>
              </w:rPr>
            </w:pPr>
          </w:p>
        </w:tc>
        <w:tc>
          <w:tcPr>
            <w:tcW w:w="400" w:type="dxa"/>
            <w:vAlign w:val="bottom"/>
            <w:shd w:val="clear" w:color="auto" w:fill="004054"/>
          </w:tcPr>
          <w:p>
            <w:pPr>
              <w:spacing w:after="0"/>
              <w:rPr>
                <w:sz w:val="16"/>
                <w:szCs w:val="16"/>
                <w:color w:val="auto"/>
              </w:rPr>
            </w:pPr>
          </w:p>
        </w:tc>
        <w:tc>
          <w:tcPr>
            <w:tcW w:w="860" w:type="dxa"/>
            <w:vAlign w:val="bottom"/>
            <w:shd w:val="clear" w:color="auto" w:fill="004054"/>
          </w:tcPr>
          <w:p>
            <w:pPr>
              <w:spacing w:after="0"/>
              <w:rPr>
                <w:sz w:val="16"/>
                <w:szCs w:val="16"/>
                <w:color w:val="auto"/>
              </w:rPr>
            </w:pPr>
          </w:p>
        </w:tc>
        <w:tc>
          <w:tcPr>
            <w:tcW w:w="420" w:type="dxa"/>
            <w:vAlign w:val="bottom"/>
            <w:shd w:val="clear" w:color="auto" w:fill="004054"/>
          </w:tcPr>
          <w:p>
            <w:pPr>
              <w:spacing w:after="0"/>
              <w:rPr>
                <w:sz w:val="16"/>
                <w:szCs w:val="16"/>
                <w:color w:val="auto"/>
              </w:rPr>
            </w:pPr>
          </w:p>
        </w:tc>
        <w:tc>
          <w:tcPr>
            <w:tcW w:w="740" w:type="dxa"/>
            <w:vAlign w:val="bottom"/>
            <w:shd w:val="clear" w:color="auto" w:fill="004054"/>
          </w:tcPr>
          <w:p>
            <w:pPr>
              <w:spacing w:after="0"/>
              <w:rPr>
                <w:sz w:val="16"/>
                <w:szCs w:val="16"/>
                <w:color w:val="auto"/>
              </w:rPr>
            </w:pPr>
          </w:p>
        </w:tc>
        <w:tc>
          <w:tcPr>
            <w:tcW w:w="11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6"/>
                <w:szCs w:val="16"/>
                <w:color w:val="auto"/>
              </w:rPr>
            </w:pPr>
          </w:p>
        </w:tc>
      </w:tr>
      <w:tr>
        <w:trPr>
          <w:trHeight w:val="243"/>
        </w:trPr>
        <w:tc>
          <w:tcPr>
            <w:tcW w:w="416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00" w:type="dxa"/>
            <w:vAlign w:val="bottom"/>
            <w:shd w:val="clear" w:color="auto" w:fill="004054"/>
          </w:tcPr>
          <w:p>
            <w:pPr>
              <w:spacing w:after="0"/>
              <w:rPr>
                <w:sz w:val="21"/>
                <w:szCs w:val="21"/>
                <w:color w:val="auto"/>
              </w:rPr>
            </w:pPr>
          </w:p>
        </w:tc>
        <w:tc>
          <w:tcPr>
            <w:tcW w:w="8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440" w:type="dxa"/>
            <w:vAlign w:val="bottom"/>
            <w:shd w:val="clear" w:color="auto" w:fill="004054"/>
          </w:tcPr>
          <w:p>
            <w:pPr>
              <w:spacing w:after="0"/>
              <w:rPr>
                <w:sz w:val="21"/>
                <w:szCs w:val="21"/>
                <w:color w:val="auto"/>
              </w:rPr>
            </w:pPr>
          </w:p>
        </w:tc>
        <w:tc>
          <w:tcPr>
            <w:tcW w:w="680" w:type="dxa"/>
            <w:vAlign w:val="bottom"/>
            <w:shd w:val="clear" w:color="auto" w:fill="004054"/>
          </w:tcPr>
          <w:p>
            <w:pPr>
              <w:jc w:val="center"/>
              <w:ind w:left="248"/>
              <w:spacing w:after="0"/>
              <w:rPr>
                <w:sz w:val="20"/>
                <w:szCs w:val="20"/>
                <w:color w:val="auto"/>
              </w:rPr>
            </w:pPr>
            <w:r>
              <w:rPr>
                <w:rFonts w:ascii="Arial" w:cs="Arial" w:eastAsia="Arial" w:hAnsi="Arial"/>
                <w:sz w:val="14"/>
                <w:szCs w:val="14"/>
                <w:b w:val="1"/>
                <w:bCs w:val="1"/>
                <w:color w:val="FFFFFF"/>
              </w:rPr>
              <w:t>2021</w:t>
            </w:r>
          </w:p>
        </w:tc>
        <w:tc>
          <w:tcPr>
            <w:tcW w:w="112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80" w:type="dxa"/>
            <w:vAlign w:val="bottom"/>
          </w:tcPr>
          <w:p>
            <w:pPr>
              <w:spacing w:after="0"/>
              <w:rPr>
                <w:sz w:val="21"/>
                <w:szCs w:val="21"/>
                <w:color w:val="auto"/>
              </w:rPr>
            </w:pPr>
          </w:p>
        </w:tc>
        <w:tc>
          <w:tcPr>
            <w:tcW w:w="400" w:type="dxa"/>
            <w:vAlign w:val="bottom"/>
            <w:shd w:val="clear" w:color="auto" w:fill="004054"/>
          </w:tcPr>
          <w:p>
            <w:pPr>
              <w:spacing w:after="0"/>
              <w:rPr>
                <w:sz w:val="21"/>
                <w:szCs w:val="21"/>
                <w:color w:val="auto"/>
              </w:rPr>
            </w:pPr>
          </w:p>
        </w:tc>
        <w:tc>
          <w:tcPr>
            <w:tcW w:w="8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420" w:type="dxa"/>
            <w:vAlign w:val="bottom"/>
            <w:shd w:val="clear" w:color="auto" w:fill="004054"/>
          </w:tcPr>
          <w:p>
            <w:pPr>
              <w:spacing w:after="0"/>
              <w:rPr>
                <w:sz w:val="21"/>
                <w:szCs w:val="21"/>
                <w:color w:val="auto"/>
              </w:rPr>
            </w:pPr>
          </w:p>
        </w:tc>
        <w:tc>
          <w:tcPr>
            <w:tcW w:w="740" w:type="dxa"/>
            <w:vAlign w:val="bottom"/>
            <w:shd w:val="clear" w:color="auto" w:fill="004054"/>
          </w:tcPr>
          <w:p>
            <w:pPr>
              <w:jc w:val="center"/>
              <w:ind w:left="308"/>
              <w:spacing w:after="0"/>
              <w:rPr>
                <w:sz w:val="20"/>
                <w:szCs w:val="20"/>
                <w:color w:val="auto"/>
              </w:rPr>
            </w:pPr>
            <w:r>
              <w:rPr>
                <w:rFonts w:ascii="Arial" w:cs="Arial" w:eastAsia="Arial" w:hAnsi="Arial"/>
                <w:sz w:val="14"/>
                <w:szCs w:val="14"/>
                <w:b w:val="1"/>
                <w:bCs w:val="1"/>
                <w:color w:val="FFFFFF"/>
              </w:rPr>
              <w:t>2021</w:t>
            </w:r>
          </w:p>
        </w:tc>
        <w:tc>
          <w:tcPr>
            <w:tcW w:w="11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shd w:val="clear" w:color="auto" w:fill="004054"/>
          </w:tcPr>
          <w:p>
            <w:pPr>
              <w:spacing w:after="0"/>
              <w:rPr>
                <w:sz w:val="21"/>
                <w:szCs w:val="21"/>
                <w:color w:val="auto"/>
              </w:rPr>
            </w:pPr>
          </w:p>
        </w:tc>
      </w:tr>
      <w:tr>
        <w:trPr>
          <w:trHeight w:val="26"/>
        </w:trPr>
        <w:tc>
          <w:tcPr>
            <w:tcW w:w="4160" w:type="dxa"/>
            <w:vAlign w:val="bottom"/>
            <w:tcBorders>
              <w:bottom w:val="single" w:sz="8" w:color="004054"/>
            </w:tcBorders>
            <w:shd w:val="clear" w:color="auto" w:fill="004054"/>
          </w:tcPr>
          <w:p>
            <w:pPr>
              <w:spacing w:after="0"/>
              <w:rPr>
                <w:sz w:val="2"/>
                <w:szCs w:val="2"/>
                <w:color w:val="auto"/>
              </w:rPr>
            </w:pPr>
          </w:p>
        </w:tc>
        <w:tc>
          <w:tcPr>
            <w:tcW w:w="400" w:type="dxa"/>
            <w:vAlign w:val="bottom"/>
            <w:tcBorders>
              <w:bottom w:val="single" w:sz="8" w:color="004054"/>
            </w:tcBorders>
            <w:shd w:val="clear" w:color="auto" w:fill="004054"/>
          </w:tcPr>
          <w:p>
            <w:pPr>
              <w:spacing w:after="0"/>
              <w:rPr>
                <w:sz w:val="2"/>
                <w:szCs w:val="2"/>
                <w:color w:val="auto"/>
              </w:rPr>
            </w:pPr>
          </w:p>
        </w:tc>
        <w:tc>
          <w:tcPr>
            <w:tcW w:w="840" w:type="dxa"/>
            <w:vAlign w:val="bottom"/>
            <w:tcBorders>
              <w:bottom w:val="single" w:sz="8" w:color="004054"/>
            </w:tcBorders>
            <w:shd w:val="clear" w:color="auto" w:fill="004054"/>
          </w:tcPr>
          <w:p>
            <w:pPr>
              <w:spacing w:after="0"/>
              <w:rPr>
                <w:sz w:val="2"/>
                <w:szCs w:val="2"/>
                <w:color w:val="auto"/>
              </w:rPr>
            </w:pPr>
          </w:p>
        </w:tc>
        <w:tc>
          <w:tcPr>
            <w:tcW w:w="440" w:type="dxa"/>
            <w:vAlign w:val="bottom"/>
            <w:tcBorders>
              <w:bottom w:val="single" w:sz="8" w:color="004054"/>
            </w:tcBorders>
            <w:shd w:val="clear" w:color="auto" w:fill="004054"/>
          </w:tcPr>
          <w:p>
            <w:pPr>
              <w:spacing w:after="0"/>
              <w:rPr>
                <w:sz w:val="2"/>
                <w:szCs w:val="2"/>
                <w:color w:val="auto"/>
              </w:rPr>
            </w:pPr>
          </w:p>
        </w:tc>
        <w:tc>
          <w:tcPr>
            <w:tcW w:w="680" w:type="dxa"/>
            <w:vAlign w:val="bottom"/>
            <w:tcBorders>
              <w:bottom w:val="single" w:sz="8" w:color="004054"/>
            </w:tcBorders>
            <w:shd w:val="clear" w:color="auto" w:fill="004054"/>
          </w:tcPr>
          <w:p>
            <w:pPr>
              <w:spacing w:after="0"/>
              <w:rPr>
                <w:sz w:val="2"/>
                <w:szCs w:val="2"/>
                <w:color w:val="auto"/>
              </w:rPr>
            </w:pPr>
          </w:p>
        </w:tc>
        <w:tc>
          <w:tcPr>
            <w:tcW w:w="1120" w:type="dxa"/>
            <w:vAlign w:val="bottom"/>
            <w:tcBorders>
              <w:bottom w:val="single" w:sz="8" w:color="004054"/>
              <w:right w:val="single" w:sz="8" w:color="004054"/>
            </w:tcBorders>
            <w:shd w:val="clear" w:color="auto" w:fill="004054"/>
          </w:tcPr>
          <w:p>
            <w:pPr>
              <w:spacing w:after="0"/>
              <w:rPr>
                <w:sz w:val="2"/>
                <w:szCs w:val="2"/>
                <w:color w:val="auto"/>
              </w:rPr>
            </w:pPr>
          </w:p>
        </w:tc>
        <w:tc>
          <w:tcPr>
            <w:tcW w:w="80" w:type="dxa"/>
            <w:vAlign w:val="bottom"/>
            <w:tcBorders>
              <w:bottom w:val="single" w:sz="8" w:color="EBFBFF"/>
            </w:tcBorders>
          </w:tcPr>
          <w:p>
            <w:pPr>
              <w:spacing w:after="0"/>
              <w:rPr>
                <w:sz w:val="2"/>
                <w:szCs w:val="2"/>
                <w:color w:val="auto"/>
              </w:rPr>
            </w:pPr>
          </w:p>
        </w:tc>
        <w:tc>
          <w:tcPr>
            <w:tcW w:w="400" w:type="dxa"/>
            <w:vAlign w:val="bottom"/>
            <w:tcBorders>
              <w:bottom w:val="single" w:sz="8" w:color="004054"/>
            </w:tcBorders>
            <w:shd w:val="clear" w:color="auto" w:fill="004054"/>
          </w:tcPr>
          <w:p>
            <w:pPr>
              <w:spacing w:after="0"/>
              <w:rPr>
                <w:sz w:val="2"/>
                <w:szCs w:val="2"/>
                <w:color w:val="auto"/>
              </w:rPr>
            </w:pPr>
          </w:p>
        </w:tc>
        <w:tc>
          <w:tcPr>
            <w:tcW w:w="860" w:type="dxa"/>
            <w:vAlign w:val="bottom"/>
            <w:tcBorders>
              <w:bottom w:val="single" w:sz="8" w:color="004054"/>
            </w:tcBorders>
            <w:shd w:val="clear" w:color="auto" w:fill="004054"/>
          </w:tcPr>
          <w:p>
            <w:pPr>
              <w:spacing w:after="0"/>
              <w:rPr>
                <w:sz w:val="2"/>
                <w:szCs w:val="2"/>
                <w:color w:val="auto"/>
              </w:rPr>
            </w:pPr>
          </w:p>
        </w:tc>
        <w:tc>
          <w:tcPr>
            <w:tcW w:w="420" w:type="dxa"/>
            <w:vAlign w:val="bottom"/>
            <w:tcBorders>
              <w:bottom w:val="single" w:sz="8" w:color="004054"/>
            </w:tcBorders>
            <w:shd w:val="clear" w:color="auto" w:fill="004054"/>
          </w:tcPr>
          <w:p>
            <w:pPr>
              <w:spacing w:after="0"/>
              <w:rPr>
                <w:sz w:val="2"/>
                <w:szCs w:val="2"/>
                <w:color w:val="auto"/>
              </w:rPr>
            </w:pPr>
          </w:p>
        </w:tc>
        <w:tc>
          <w:tcPr>
            <w:tcW w:w="740" w:type="dxa"/>
            <w:vAlign w:val="bottom"/>
            <w:tcBorders>
              <w:bottom w:val="single" w:sz="8" w:color="004054"/>
            </w:tcBorders>
            <w:shd w:val="clear" w:color="auto" w:fill="004054"/>
          </w:tcPr>
          <w:p>
            <w:pPr>
              <w:spacing w:after="0"/>
              <w:rPr>
                <w:sz w:val="2"/>
                <w:szCs w:val="2"/>
                <w:color w:val="auto"/>
              </w:rPr>
            </w:pPr>
          </w:p>
        </w:tc>
        <w:tc>
          <w:tcPr>
            <w:tcW w:w="1100" w:type="dxa"/>
            <w:vAlign w:val="bottom"/>
            <w:tcBorders>
              <w:bottom w:val="single" w:sz="8" w:color="004054"/>
            </w:tcBorders>
            <w:shd w:val="clear" w:color="auto" w:fill="004054"/>
          </w:tcPr>
          <w:p>
            <w:pPr>
              <w:spacing w:after="0"/>
              <w:rPr>
                <w:sz w:val="2"/>
                <w:szCs w:val="2"/>
                <w:color w:val="auto"/>
              </w:rPr>
            </w:pPr>
          </w:p>
        </w:tc>
        <w:tc>
          <w:tcPr>
            <w:tcW w:w="20" w:type="dxa"/>
            <w:vAlign w:val="bottom"/>
            <w:tcBorders>
              <w:bottom w:val="single" w:sz="8" w:color="004054"/>
            </w:tcBorders>
            <w:shd w:val="clear" w:color="auto" w:fill="004054"/>
          </w:tcPr>
          <w:p>
            <w:pPr>
              <w:spacing w:after="0"/>
              <w:rPr>
                <w:sz w:val="2"/>
                <w:szCs w:val="2"/>
                <w:color w:val="auto"/>
              </w:rPr>
            </w:pPr>
          </w:p>
        </w:tc>
      </w:tr>
      <w:tr>
        <w:trPr>
          <w:trHeight w:val="203"/>
        </w:trPr>
        <w:tc>
          <w:tcPr>
            <w:tcW w:w="41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GAAP net (loss) income</w:t>
            </w:r>
          </w:p>
        </w:tc>
        <w:tc>
          <w:tcPr>
            <w:tcW w:w="400" w:type="dxa"/>
            <w:vAlign w:val="bottom"/>
            <w:tcBorders>
              <w:bottom w:val="single" w:sz="8" w:color="EBFBFF"/>
            </w:tcBorders>
            <w:shd w:val="clear" w:color="auto" w:fill="EBFBFF"/>
          </w:tcPr>
          <w:p>
            <w:pPr>
              <w:jc w:val="right"/>
              <w:ind w:right="228"/>
              <w:spacing w:after="0"/>
              <w:rPr>
                <w:sz w:val="20"/>
                <w:szCs w:val="20"/>
                <w:color w:val="auto"/>
              </w:rPr>
            </w:pPr>
            <w:r>
              <w:rPr>
                <w:rFonts w:ascii="Arial" w:cs="Arial" w:eastAsia="Arial" w:hAnsi="Arial"/>
                <w:sz w:val="14"/>
                <w:szCs w:val="14"/>
                <w:color w:val="51555C"/>
              </w:rPr>
              <w:t>$</w:t>
            </w:r>
          </w:p>
        </w:tc>
        <w:tc>
          <w:tcPr>
            <w:tcW w:w="84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(10.3)</w:t>
            </w:r>
          </w:p>
        </w:tc>
        <w:tc>
          <w:tcPr>
            <w:tcW w:w="440" w:type="dxa"/>
            <w:vAlign w:val="bottom"/>
            <w:tcBorders>
              <w:bottom w:val="single" w:sz="8" w:color="EBFBFF"/>
            </w:tcBorders>
            <w:shd w:val="clear" w:color="auto" w:fill="EBFBFF"/>
          </w:tcPr>
          <w:p>
            <w:pPr>
              <w:jc w:val="right"/>
              <w:ind w:right="268"/>
              <w:spacing w:after="0"/>
              <w:rPr>
                <w:sz w:val="20"/>
                <w:szCs w:val="20"/>
                <w:color w:val="auto"/>
              </w:rPr>
            </w:pPr>
            <w:r>
              <w:rPr>
                <w:rFonts w:ascii="Arial" w:cs="Arial" w:eastAsia="Arial" w:hAnsi="Arial"/>
                <w:sz w:val="14"/>
                <w:szCs w:val="14"/>
                <w:color w:val="51555C"/>
              </w:rPr>
              <w:t>$</w:t>
            </w:r>
          </w:p>
        </w:tc>
        <w:tc>
          <w:tcPr>
            <w:tcW w:w="68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6.2</w:t>
            </w:r>
          </w:p>
        </w:tc>
        <w:tc>
          <w:tcPr>
            <w:tcW w:w="112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(266.8)%</w:t>
            </w:r>
          </w:p>
        </w:tc>
        <w:tc>
          <w:tcPr>
            <w:tcW w:w="480" w:type="dxa"/>
            <w:vAlign w:val="bottom"/>
            <w:tcBorders>
              <w:bottom w:val="single" w:sz="8" w:color="EBFBFF"/>
            </w:tcBorders>
            <w:gridSpan w:val="2"/>
            <w:shd w:val="clear" w:color="auto" w:fill="EBFBFF"/>
          </w:tcPr>
          <w:p>
            <w:pPr>
              <w:jc w:val="right"/>
              <w:ind w:right="300"/>
              <w:spacing w:after="0"/>
              <w:rPr>
                <w:sz w:val="20"/>
                <w:szCs w:val="20"/>
                <w:color w:val="auto"/>
              </w:rPr>
            </w:pPr>
            <w:r>
              <w:rPr>
                <w:rFonts w:ascii="Arial" w:cs="Arial" w:eastAsia="Arial" w:hAnsi="Arial"/>
                <w:sz w:val="14"/>
                <w:szCs w:val="14"/>
                <w:color w:val="51555C"/>
              </w:rPr>
              <w:t>$</w:t>
            </w:r>
          </w:p>
        </w:tc>
        <w:tc>
          <w:tcPr>
            <w:tcW w:w="86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(24.1)</w:t>
            </w:r>
          </w:p>
        </w:tc>
        <w:tc>
          <w:tcPr>
            <w:tcW w:w="420" w:type="dxa"/>
            <w:vAlign w:val="bottom"/>
            <w:tcBorders>
              <w:bottom w:val="single" w:sz="8" w:color="EBFBFF"/>
            </w:tcBorders>
            <w:shd w:val="clear" w:color="auto" w:fill="EBFBFF"/>
          </w:tcPr>
          <w:p>
            <w:pPr>
              <w:jc w:val="right"/>
              <w:ind w:right="248"/>
              <w:spacing w:after="0"/>
              <w:rPr>
                <w:sz w:val="20"/>
                <w:szCs w:val="20"/>
                <w:color w:val="auto"/>
              </w:rPr>
            </w:pPr>
            <w:r>
              <w:rPr>
                <w:rFonts w:ascii="Arial" w:cs="Arial" w:eastAsia="Arial" w:hAnsi="Arial"/>
                <w:sz w:val="14"/>
                <w:szCs w:val="14"/>
                <w:color w:val="51555C"/>
              </w:rPr>
              <w:t>$</w:t>
            </w:r>
          </w:p>
        </w:tc>
        <w:tc>
          <w:tcPr>
            <w:tcW w:w="74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12.8</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(289.3)%</w:t>
            </w:r>
          </w:p>
        </w:tc>
        <w:tc>
          <w:tcPr>
            <w:tcW w:w="20" w:type="dxa"/>
            <w:vAlign w:val="bottom"/>
          </w:tcPr>
          <w:p>
            <w:pPr>
              <w:spacing w:after="0"/>
              <w:rPr>
                <w:sz w:val="17"/>
                <w:szCs w:val="17"/>
                <w:color w:val="auto"/>
              </w:rPr>
            </w:pPr>
          </w:p>
        </w:tc>
      </w:tr>
      <w:tr>
        <w:trPr>
          <w:trHeight w:val="204"/>
        </w:trPr>
        <w:tc>
          <w:tcPr>
            <w:tcW w:w="4160" w:type="dxa"/>
            <w:vAlign w:val="bottom"/>
          </w:tcPr>
          <w:p>
            <w:pPr>
              <w:ind w:left="20"/>
              <w:spacing w:after="0"/>
              <w:rPr>
                <w:sz w:val="20"/>
                <w:szCs w:val="20"/>
                <w:color w:val="auto"/>
              </w:rPr>
            </w:pPr>
            <w:r>
              <w:rPr>
                <w:rFonts w:ascii="Arial" w:cs="Arial" w:eastAsia="Arial" w:hAnsi="Arial"/>
                <w:sz w:val="14"/>
                <w:szCs w:val="14"/>
                <w:color w:val="51555C"/>
              </w:rPr>
              <w:t>Non-GAAP adjustments:</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
        </w:trPr>
        <w:tc>
          <w:tcPr>
            <w:tcW w:w="4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416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Interest, net</w:t>
            </w:r>
          </w:p>
        </w:tc>
        <w:tc>
          <w:tcPr>
            <w:tcW w:w="400" w:type="dxa"/>
            <w:vAlign w:val="bottom"/>
            <w:tcBorders>
              <w:bottom w:val="single" w:sz="8" w:color="EBFBFF"/>
            </w:tcBorders>
            <w:shd w:val="clear" w:color="auto" w:fill="EBFBFF"/>
          </w:tcPr>
          <w:p>
            <w:pPr>
              <w:spacing w:after="0"/>
              <w:rPr>
                <w:sz w:val="18"/>
                <w:szCs w:val="18"/>
                <w:color w:val="auto"/>
              </w:rPr>
            </w:pPr>
          </w:p>
        </w:tc>
        <w:tc>
          <w:tcPr>
            <w:tcW w:w="84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8.7</w:t>
            </w:r>
          </w:p>
        </w:tc>
        <w:tc>
          <w:tcPr>
            <w:tcW w:w="440" w:type="dxa"/>
            <w:vAlign w:val="bottom"/>
            <w:tcBorders>
              <w:bottom w:val="single" w:sz="8" w:color="EBFBFF"/>
            </w:tcBorders>
            <w:shd w:val="clear" w:color="auto" w:fill="EBFBFF"/>
          </w:tcPr>
          <w:p>
            <w:pPr>
              <w:spacing w:after="0"/>
              <w:rPr>
                <w:sz w:val="18"/>
                <w:szCs w:val="18"/>
                <w:color w:val="auto"/>
              </w:rPr>
            </w:pPr>
          </w:p>
        </w:tc>
        <w:tc>
          <w:tcPr>
            <w:tcW w:w="68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3.9</w:t>
            </w:r>
          </w:p>
        </w:tc>
        <w:tc>
          <w:tcPr>
            <w:tcW w:w="112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121.0 %</w:t>
            </w:r>
          </w:p>
        </w:tc>
        <w:tc>
          <w:tcPr>
            <w:tcW w:w="80" w:type="dxa"/>
            <w:vAlign w:val="bottom"/>
            <w:tcBorders>
              <w:bottom w:val="single" w:sz="8" w:color="EBFBFF"/>
            </w:tcBorders>
            <w:shd w:val="clear" w:color="auto" w:fill="EBFBFF"/>
          </w:tcPr>
          <w:p>
            <w:pPr>
              <w:spacing w:after="0"/>
              <w:rPr>
                <w:sz w:val="18"/>
                <w:szCs w:val="18"/>
                <w:color w:val="auto"/>
              </w:rPr>
            </w:pPr>
          </w:p>
        </w:tc>
        <w:tc>
          <w:tcPr>
            <w:tcW w:w="400" w:type="dxa"/>
            <w:vAlign w:val="bottom"/>
            <w:tcBorders>
              <w:bottom w:val="single" w:sz="8" w:color="EBFBFF"/>
            </w:tcBorders>
            <w:shd w:val="clear" w:color="auto" w:fill="EBFBFF"/>
          </w:tcPr>
          <w:p>
            <w:pPr>
              <w:spacing w:after="0"/>
              <w:rPr>
                <w:sz w:val="18"/>
                <w:szCs w:val="18"/>
                <w:color w:val="auto"/>
              </w:rPr>
            </w:pPr>
          </w:p>
        </w:tc>
        <w:tc>
          <w:tcPr>
            <w:tcW w:w="86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25.0</w:t>
            </w:r>
          </w:p>
        </w:tc>
        <w:tc>
          <w:tcPr>
            <w:tcW w:w="420" w:type="dxa"/>
            <w:vAlign w:val="bottom"/>
            <w:tcBorders>
              <w:bottom w:val="single" w:sz="8" w:color="EBFBFF"/>
            </w:tcBorders>
            <w:shd w:val="clear" w:color="auto" w:fill="EBFBFF"/>
          </w:tcPr>
          <w:p>
            <w:pPr>
              <w:spacing w:after="0"/>
              <w:rPr>
                <w:sz w:val="18"/>
                <w:szCs w:val="18"/>
                <w:color w:val="auto"/>
              </w:rPr>
            </w:pPr>
          </w:p>
        </w:tc>
        <w:tc>
          <w:tcPr>
            <w:tcW w:w="74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13.9</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80.4 %</w:t>
            </w:r>
          </w:p>
        </w:tc>
        <w:tc>
          <w:tcPr>
            <w:tcW w:w="20" w:type="dxa"/>
            <w:vAlign w:val="bottom"/>
          </w:tcPr>
          <w:p>
            <w:pPr>
              <w:spacing w:after="0"/>
              <w:rPr>
                <w:sz w:val="18"/>
                <w:szCs w:val="18"/>
                <w:color w:val="auto"/>
              </w:rPr>
            </w:pPr>
          </w:p>
        </w:tc>
      </w:tr>
      <w:tr>
        <w:trPr>
          <w:trHeight w:val="204"/>
        </w:trPr>
        <w:tc>
          <w:tcPr>
            <w:tcW w:w="4160" w:type="dxa"/>
            <w:vAlign w:val="bottom"/>
          </w:tcPr>
          <w:p>
            <w:pPr>
              <w:ind w:left="140"/>
              <w:spacing w:after="0"/>
              <w:rPr>
                <w:sz w:val="20"/>
                <w:szCs w:val="20"/>
                <w:color w:val="auto"/>
              </w:rPr>
            </w:pPr>
            <w:r>
              <w:rPr>
                <w:rFonts w:ascii="Arial" w:cs="Arial" w:eastAsia="Arial" w:hAnsi="Arial"/>
                <w:sz w:val="14"/>
                <w:szCs w:val="14"/>
                <w:color w:val="51555C"/>
              </w:rPr>
              <w:t>Add: GAAP income tax (benefit) provision</w:t>
            </w:r>
          </w:p>
        </w:tc>
        <w:tc>
          <w:tcPr>
            <w:tcW w:w="400" w:type="dxa"/>
            <w:vAlign w:val="bottom"/>
          </w:tcPr>
          <w:p>
            <w:pPr>
              <w:spacing w:after="0"/>
              <w:rPr>
                <w:sz w:val="17"/>
                <w:szCs w:val="17"/>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51555C"/>
              </w:rPr>
              <w:t>(1.6)</w:t>
            </w:r>
          </w:p>
        </w:tc>
        <w:tc>
          <w:tcPr>
            <w:tcW w:w="44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51555C"/>
              </w:rPr>
              <w:t>2.5</w:t>
            </w:r>
          </w:p>
        </w:tc>
        <w:tc>
          <w:tcPr>
            <w:tcW w:w="1120" w:type="dxa"/>
            <w:vAlign w:val="bottom"/>
          </w:tcPr>
          <w:p>
            <w:pPr>
              <w:jc w:val="right"/>
              <w:spacing w:after="0"/>
              <w:rPr>
                <w:sz w:val="20"/>
                <w:szCs w:val="20"/>
                <w:color w:val="auto"/>
              </w:rPr>
            </w:pPr>
            <w:r>
              <w:rPr>
                <w:rFonts w:ascii="Arial" w:cs="Arial" w:eastAsia="Arial" w:hAnsi="Arial"/>
                <w:sz w:val="14"/>
                <w:szCs w:val="14"/>
                <w:color w:val="51555C"/>
              </w:rPr>
              <w:t>(162.6)%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51555C"/>
              </w:rPr>
              <w:t>(6.0)</w:t>
            </w:r>
          </w:p>
        </w:tc>
        <w:tc>
          <w:tcPr>
            <w:tcW w:w="4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51555C"/>
              </w:rPr>
              <w:t>4.9</w:t>
            </w:r>
          </w:p>
        </w:tc>
        <w:tc>
          <w:tcPr>
            <w:tcW w:w="1100" w:type="dxa"/>
            <w:vAlign w:val="bottom"/>
          </w:tcPr>
          <w:p>
            <w:pPr>
              <w:jc w:val="right"/>
              <w:spacing w:after="0"/>
              <w:rPr>
                <w:sz w:val="20"/>
                <w:szCs w:val="20"/>
                <w:color w:val="auto"/>
              </w:rPr>
            </w:pPr>
            <w:r>
              <w:rPr>
                <w:rFonts w:ascii="Arial" w:cs="Arial" w:eastAsia="Arial" w:hAnsi="Arial"/>
                <w:sz w:val="14"/>
                <w:szCs w:val="14"/>
                <w:color w:val="51555C"/>
              </w:rPr>
              <w:t>(221.2)%</w:t>
            </w:r>
          </w:p>
        </w:tc>
        <w:tc>
          <w:tcPr>
            <w:tcW w:w="20" w:type="dxa"/>
            <w:vAlign w:val="bottom"/>
          </w:tcPr>
          <w:p>
            <w:pPr>
              <w:spacing w:after="0"/>
              <w:rPr>
                <w:sz w:val="17"/>
                <w:szCs w:val="17"/>
                <w:color w:val="auto"/>
              </w:rPr>
            </w:pPr>
          </w:p>
        </w:tc>
      </w:tr>
      <w:tr>
        <w:trPr>
          <w:trHeight w:val="26"/>
        </w:trPr>
        <w:tc>
          <w:tcPr>
            <w:tcW w:w="4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416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Depreciation</w:t>
            </w:r>
          </w:p>
        </w:tc>
        <w:tc>
          <w:tcPr>
            <w:tcW w:w="400" w:type="dxa"/>
            <w:vAlign w:val="bottom"/>
            <w:tcBorders>
              <w:bottom w:val="single" w:sz="8" w:color="EBFBFF"/>
            </w:tcBorders>
            <w:shd w:val="clear" w:color="auto" w:fill="EBFBFF"/>
          </w:tcPr>
          <w:p>
            <w:pPr>
              <w:spacing w:after="0"/>
              <w:rPr>
                <w:sz w:val="18"/>
                <w:szCs w:val="18"/>
                <w:color w:val="auto"/>
              </w:rPr>
            </w:pPr>
          </w:p>
        </w:tc>
        <w:tc>
          <w:tcPr>
            <w:tcW w:w="84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3.5</w:t>
            </w:r>
          </w:p>
        </w:tc>
        <w:tc>
          <w:tcPr>
            <w:tcW w:w="440" w:type="dxa"/>
            <w:vAlign w:val="bottom"/>
            <w:tcBorders>
              <w:bottom w:val="single" w:sz="8" w:color="EBFBFF"/>
            </w:tcBorders>
            <w:shd w:val="clear" w:color="auto" w:fill="EBFBFF"/>
          </w:tcPr>
          <w:p>
            <w:pPr>
              <w:spacing w:after="0"/>
              <w:rPr>
                <w:sz w:val="18"/>
                <w:szCs w:val="18"/>
                <w:color w:val="auto"/>
              </w:rPr>
            </w:pPr>
          </w:p>
        </w:tc>
        <w:tc>
          <w:tcPr>
            <w:tcW w:w="68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3.1</w:t>
            </w:r>
          </w:p>
        </w:tc>
        <w:tc>
          <w:tcPr>
            <w:tcW w:w="112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12.2 %</w:t>
            </w:r>
          </w:p>
        </w:tc>
        <w:tc>
          <w:tcPr>
            <w:tcW w:w="80" w:type="dxa"/>
            <w:vAlign w:val="bottom"/>
            <w:tcBorders>
              <w:bottom w:val="single" w:sz="8" w:color="EBFBFF"/>
            </w:tcBorders>
            <w:shd w:val="clear" w:color="auto" w:fill="EBFBFF"/>
          </w:tcPr>
          <w:p>
            <w:pPr>
              <w:spacing w:after="0"/>
              <w:rPr>
                <w:sz w:val="18"/>
                <w:szCs w:val="18"/>
                <w:color w:val="auto"/>
              </w:rPr>
            </w:pPr>
          </w:p>
        </w:tc>
        <w:tc>
          <w:tcPr>
            <w:tcW w:w="400" w:type="dxa"/>
            <w:vAlign w:val="bottom"/>
            <w:tcBorders>
              <w:bottom w:val="single" w:sz="8" w:color="EBFBFF"/>
            </w:tcBorders>
            <w:shd w:val="clear" w:color="auto" w:fill="EBFBFF"/>
          </w:tcPr>
          <w:p>
            <w:pPr>
              <w:spacing w:after="0"/>
              <w:rPr>
                <w:sz w:val="18"/>
                <w:szCs w:val="18"/>
                <w:color w:val="auto"/>
              </w:rPr>
            </w:pPr>
          </w:p>
        </w:tc>
        <w:tc>
          <w:tcPr>
            <w:tcW w:w="86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10.6</w:t>
            </w:r>
          </w:p>
        </w:tc>
        <w:tc>
          <w:tcPr>
            <w:tcW w:w="420" w:type="dxa"/>
            <w:vAlign w:val="bottom"/>
            <w:tcBorders>
              <w:bottom w:val="single" w:sz="8" w:color="EBFBFF"/>
            </w:tcBorders>
            <w:shd w:val="clear" w:color="auto" w:fill="EBFBFF"/>
          </w:tcPr>
          <w:p>
            <w:pPr>
              <w:spacing w:after="0"/>
              <w:rPr>
                <w:sz w:val="18"/>
                <w:szCs w:val="18"/>
                <w:color w:val="auto"/>
              </w:rPr>
            </w:pPr>
          </w:p>
        </w:tc>
        <w:tc>
          <w:tcPr>
            <w:tcW w:w="74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9.5</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12.2 %</w:t>
            </w:r>
          </w:p>
        </w:tc>
        <w:tc>
          <w:tcPr>
            <w:tcW w:w="20" w:type="dxa"/>
            <w:vAlign w:val="bottom"/>
          </w:tcPr>
          <w:p>
            <w:pPr>
              <w:spacing w:after="0"/>
              <w:rPr>
                <w:sz w:val="18"/>
                <w:szCs w:val="18"/>
                <w:color w:val="auto"/>
              </w:rPr>
            </w:pPr>
          </w:p>
        </w:tc>
      </w:tr>
      <w:tr>
        <w:trPr>
          <w:trHeight w:val="204"/>
        </w:trPr>
        <w:tc>
          <w:tcPr>
            <w:tcW w:w="4160" w:type="dxa"/>
            <w:vAlign w:val="bottom"/>
          </w:tcPr>
          <w:p>
            <w:pPr>
              <w:ind w:left="140"/>
              <w:spacing w:after="0"/>
              <w:rPr>
                <w:sz w:val="20"/>
                <w:szCs w:val="20"/>
                <w:color w:val="auto"/>
              </w:rPr>
            </w:pPr>
            <w:r>
              <w:rPr>
                <w:rFonts w:ascii="Arial" w:cs="Arial" w:eastAsia="Arial" w:hAnsi="Arial"/>
                <w:sz w:val="14"/>
                <w:szCs w:val="14"/>
                <w:color w:val="51555C"/>
              </w:rPr>
              <w:t>Add: Amortization of intangibles from business combinations</w:t>
            </w:r>
          </w:p>
        </w:tc>
        <w:tc>
          <w:tcPr>
            <w:tcW w:w="40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51555C"/>
              </w:rPr>
              <w:t>12.6</w:t>
            </w:r>
          </w:p>
        </w:tc>
        <w:tc>
          <w:tcPr>
            <w:tcW w:w="44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51555C"/>
              </w:rPr>
              <w:t>9.2</w:t>
            </w:r>
          </w:p>
        </w:tc>
        <w:tc>
          <w:tcPr>
            <w:tcW w:w="1120" w:type="dxa"/>
            <w:vAlign w:val="bottom"/>
          </w:tcPr>
          <w:p>
            <w:pPr>
              <w:jc w:val="right"/>
              <w:spacing w:after="0"/>
              <w:rPr>
                <w:sz w:val="20"/>
                <w:szCs w:val="20"/>
                <w:color w:val="auto"/>
              </w:rPr>
            </w:pPr>
            <w:r>
              <w:rPr>
                <w:rFonts w:ascii="Arial" w:cs="Arial" w:eastAsia="Arial" w:hAnsi="Arial"/>
                <w:sz w:val="14"/>
                <w:szCs w:val="14"/>
                <w:color w:val="51555C"/>
              </w:rPr>
              <w:t>37.2 %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51555C"/>
              </w:rPr>
              <w:t>39.1</w:t>
            </w:r>
          </w:p>
        </w:tc>
        <w:tc>
          <w:tcPr>
            <w:tcW w:w="4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51555C"/>
              </w:rPr>
              <w:t>28.3</w:t>
            </w:r>
          </w:p>
        </w:tc>
        <w:tc>
          <w:tcPr>
            <w:tcW w:w="1100" w:type="dxa"/>
            <w:vAlign w:val="bottom"/>
          </w:tcPr>
          <w:p>
            <w:pPr>
              <w:jc w:val="right"/>
              <w:spacing w:after="0"/>
              <w:rPr>
                <w:sz w:val="20"/>
                <w:szCs w:val="20"/>
                <w:color w:val="auto"/>
              </w:rPr>
            </w:pPr>
            <w:r>
              <w:rPr>
                <w:rFonts w:ascii="Arial" w:cs="Arial" w:eastAsia="Arial" w:hAnsi="Arial"/>
                <w:sz w:val="14"/>
                <w:szCs w:val="14"/>
                <w:color w:val="51555C"/>
              </w:rPr>
              <w:t>38.2 %</w:t>
            </w:r>
          </w:p>
        </w:tc>
        <w:tc>
          <w:tcPr>
            <w:tcW w:w="20" w:type="dxa"/>
            <w:vAlign w:val="bottom"/>
          </w:tcPr>
          <w:p>
            <w:pPr>
              <w:spacing w:after="0"/>
              <w:rPr>
                <w:sz w:val="17"/>
                <w:szCs w:val="17"/>
                <w:color w:val="auto"/>
              </w:rPr>
            </w:pPr>
          </w:p>
        </w:tc>
      </w:tr>
      <w:tr>
        <w:trPr>
          <w:trHeight w:val="26"/>
        </w:trPr>
        <w:tc>
          <w:tcPr>
            <w:tcW w:w="4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9"/>
        </w:trPr>
        <w:tc>
          <w:tcPr>
            <w:tcW w:w="416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Amortization of software and content development</w:t>
            </w:r>
          </w:p>
        </w:tc>
        <w:tc>
          <w:tcPr>
            <w:tcW w:w="400" w:type="dxa"/>
            <w:vAlign w:val="bottom"/>
            <w:shd w:val="clear" w:color="auto" w:fill="EBFBFF"/>
          </w:tcPr>
          <w:p>
            <w:pPr>
              <w:spacing w:after="0"/>
              <w:rPr>
                <w:sz w:val="17"/>
                <w:szCs w:val="17"/>
                <w:color w:val="auto"/>
              </w:rPr>
            </w:pPr>
          </w:p>
        </w:tc>
        <w:tc>
          <w:tcPr>
            <w:tcW w:w="840" w:type="dxa"/>
            <w:vAlign w:val="bottom"/>
            <w:shd w:val="clear" w:color="auto" w:fill="EBFBFF"/>
          </w:tcPr>
          <w:p>
            <w:pPr>
              <w:spacing w:after="0"/>
              <w:rPr>
                <w:sz w:val="17"/>
                <w:szCs w:val="17"/>
                <w:color w:val="auto"/>
              </w:rPr>
            </w:pPr>
          </w:p>
        </w:tc>
        <w:tc>
          <w:tcPr>
            <w:tcW w:w="44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1120" w:type="dxa"/>
            <w:vAlign w:val="bottom"/>
            <w:tcBorders>
              <w:right w:val="single" w:sz="8" w:color="EBFBFF"/>
            </w:tcBorders>
            <w:shd w:val="clear" w:color="auto" w:fill="EBFBFF"/>
          </w:tcPr>
          <w:p>
            <w:pPr>
              <w:spacing w:after="0"/>
              <w:rPr>
                <w:sz w:val="17"/>
                <w:szCs w:val="17"/>
                <w:color w:val="auto"/>
              </w:rPr>
            </w:pPr>
          </w:p>
        </w:tc>
        <w:tc>
          <w:tcPr>
            <w:tcW w:w="80" w:type="dxa"/>
            <w:vAlign w:val="bottom"/>
            <w:shd w:val="clear" w:color="auto" w:fill="EBFBFF"/>
          </w:tcPr>
          <w:p>
            <w:pPr>
              <w:spacing w:after="0"/>
              <w:rPr>
                <w:sz w:val="17"/>
                <w:szCs w:val="17"/>
                <w:color w:val="auto"/>
              </w:rPr>
            </w:pPr>
          </w:p>
        </w:tc>
        <w:tc>
          <w:tcPr>
            <w:tcW w:w="400" w:type="dxa"/>
            <w:vAlign w:val="bottom"/>
            <w:shd w:val="clear" w:color="auto" w:fill="EBFBFF"/>
          </w:tcPr>
          <w:p>
            <w:pPr>
              <w:spacing w:after="0"/>
              <w:rPr>
                <w:sz w:val="17"/>
                <w:szCs w:val="17"/>
                <w:color w:val="auto"/>
              </w:rPr>
            </w:pPr>
          </w:p>
        </w:tc>
        <w:tc>
          <w:tcPr>
            <w:tcW w:w="860" w:type="dxa"/>
            <w:vAlign w:val="bottom"/>
            <w:shd w:val="clear" w:color="auto" w:fill="EBFBFF"/>
          </w:tcPr>
          <w:p>
            <w:pPr>
              <w:spacing w:after="0"/>
              <w:rPr>
                <w:sz w:val="17"/>
                <w:szCs w:val="17"/>
                <w:color w:val="auto"/>
              </w:rPr>
            </w:pPr>
          </w:p>
        </w:tc>
        <w:tc>
          <w:tcPr>
            <w:tcW w:w="420" w:type="dxa"/>
            <w:vAlign w:val="bottom"/>
            <w:shd w:val="clear" w:color="auto" w:fill="EBFBFF"/>
          </w:tcPr>
          <w:p>
            <w:pPr>
              <w:spacing w:after="0"/>
              <w:rPr>
                <w:sz w:val="17"/>
                <w:szCs w:val="17"/>
                <w:color w:val="auto"/>
              </w:rPr>
            </w:pPr>
          </w:p>
        </w:tc>
        <w:tc>
          <w:tcPr>
            <w:tcW w:w="740" w:type="dxa"/>
            <w:vAlign w:val="bottom"/>
            <w:shd w:val="clear" w:color="auto" w:fill="EBFBFF"/>
          </w:tcPr>
          <w:p>
            <w:pPr>
              <w:spacing w:after="0"/>
              <w:rPr>
                <w:sz w:val="17"/>
                <w:szCs w:val="17"/>
                <w:color w:val="auto"/>
              </w:rPr>
            </w:pPr>
          </w:p>
        </w:tc>
        <w:tc>
          <w:tcPr>
            <w:tcW w:w="11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416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costs</w:t>
            </w:r>
            <w:r>
              <w:rPr>
                <w:rFonts w:ascii="Arial" w:cs="Arial" w:eastAsia="Arial" w:hAnsi="Arial"/>
                <w:sz w:val="18"/>
                <w:szCs w:val="18"/>
                <w:color w:val="51555C"/>
                <w:vertAlign w:val="superscript"/>
              </w:rPr>
              <w:t>(1)</w:t>
            </w:r>
          </w:p>
        </w:tc>
        <w:tc>
          <w:tcPr>
            <w:tcW w:w="400" w:type="dxa"/>
            <w:vAlign w:val="bottom"/>
            <w:tcBorders>
              <w:bottom w:val="single" w:sz="8" w:color="51555C"/>
            </w:tcBorders>
            <w:shd w:val="clear" w:color="auto" w:fill="EBFBFF"/>
          </w:tcPr>
          <w:p>
            <w:pPr>
              <w:spacing w:after="0"/>
              <w:rPr>
                <w:sz w:val="17"/>
                <w:szCs w:val="17"/>
                <w:color w:val="auto"/>
              </w:rPr>
            </w:pPr>
          </w:p>
        </w:tc>
        <w:tc>
          <w:tcPr>
            <w:tcW w:w="84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9.8</w:t>
            </w:r>
          </w:p>
        </w:tc>
        <w:tc>
          <w:tcPr>
            <w:tcW w:w="440" w:type="dxa"/>
            <w:vAlign w:val="bottom"/>
            <w:tcBorders>
              <w:bottom w:val="single" w:sz="8" w:color="51555C"/>
            </w:tcBorders>
            <w:shd w:val="clear" w:color="auto" w:fill="EBFBFF"/>
          </w:tcPr>
          <w:p>
            <w:pPr>
              <w:spacing w:after="0"/>
              <w:rPr>
                <w:sz w:val="17"/>
                <w:szCs w:val="17"/>
                <w:color w:val="auto"/>
              </w:rPr>
            </w:pPr>
          </w:p>
        </w:tc>
        <w:tc>
          <w:tcPr>
            <w:tcW w:w="680" w:type="dxa"/>
            <w:vAlign w:val="bottom"/>
            <w:tcBorders>
              <w:bottom w:val="single" w:sz="8" w:color="51555C"/>
            </w:tcBorders>
            <w:shd w:val="clear" w:color="auto" w:fill="EBFBFF"/>
          </w:tcPr>
          <w:p>
            <w:pPr>
              <w:jc w:val="right"/>
              <w:ind w:right="8"/>
              <w:spacing w:after="0"/>
              <w:rPr>
                <w:sz w:val="20"/>
                <w:szCs w:val="20"/>
                <w:color w:val="auto"/>
              </w:rPr>
            </w:pPr>
            <w:r>
              <w:rPr>
                <w:rFonts w:ascii="Arial" w:cs="Arial" w:eastAsia="Arial" w:hAnsi="Arial"/>
                <w:sz w:val="14"/>
                <w:szCs w:val="14"/>
                <w:color w:val="51555C"/>
              </w:rPr>
              <w:t>8.0</w:t>
            </w:r>
          </w:p>
        </w:tc>
        <w:tc>
          <w:tcPr>
            <w:tcW w:w="112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22.7 %</w:t>
            </w:r>
          </w:p>
        </w:tc>
        <w:tc>
          <w:tcPr>
            <w:tcW w:w="80" w:type="dxa"/>
            <w:vAlign w:val="bottom"/>
            <w:shd w:val="clear" w:color="auto" w:fill="EBFBFF"/>
          </w:tcPr>
          <w:p>
            <w:pPr>
              <w:spacing w:after="0"/>
              <w:rPr>
                <w:sz w:val="17"/>
                <w:szCs w:val="17"/>
                <w:color w:val="auto"/>
              </w:rPr>
            </w:pPr>
          </w:p>
        </w:tc>
        <w:tc>
          <w:tcPr>
            <w:tcW w:w="400" w:type="dxa"/>
            <w:vAlign w:val="bottom"/>
            <w:tcBorders>
              <w:bottom w:val="single" w:sz="8" w:color="51555C"/>
            </w:tcBorders>
            <w:shd w:val="clear" w:color="auto" w:fill="EBFBFF"/>
          </w:tcPr>
          <w:p>
            <w:pPr>
              <w:spacing w:after="0"/>
              <w:rPr>
                <w:sz w:val="17"/>
                <w:szCs w:val="17"/>
                <w:color w:val="auto"/>
              </w:rPr>
            </w:pPr>
          </w:p>
        </w:tc>
        <w:tc>
          <w:tcPr>
            <w:tcW w:w="86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28.5</w:t>
            </w:r>
          </w:p>
        </w:tc>
        <w:tc>
          <w:tcPr>
            <w:tcW w:w="420" w:type="dxa"/>
            <w:vAlign w:val="bottom"/>
            <w:tcBorders>
              <w:bottom w:val="single" w:sz="8" w:color="51555C"/>
            </w:tcBorders>
            <w:shd w:val="clear" w:color="auto" w:fill="EBFBFF"/>
          </w:tcPr>
          <w:p>
            <w:pPr>
              <w:spacing w:after="0"/>
              <w:rPr>
                <w:sz w:val="17"/>
                <w:szCs w:val="17"/>
                <w:color w:val="auto"/>
              </w:rPr>
            </w:pPr>
          </w:p>
        </w:tc>
        <w:tc>
          <w:tcPr>
            <w:tcW w:w="740" w:type="dxa"/>
            <w:vAlign w:val="bottom"/>
            <w:tcBorders>
              <w:bottom w:val="single" w:sz="8" w:color="51555C"/>
            </w:tcBorders>
            <w:shd w:val="clear" w:color="auto" w:fill="EBFBFF"/>
          </w:tcPr>
          <w:p>
            <w:pPr>
              <w:jc w:val="right"/>
              <w:ind w:right="8"/>
              <w:spacing w:after="0"/>
              <w:rPr>
                <w:sz w:val="20"/>
                <w:szCs w:val="20"/>
                <w:color w:val="auto"/>
              </w:rPr>
            </w:pPr>
            <w:r>
              <w:rPr>
                <w:rFonts w:ascii="Arial" w:cs="Arial" w:eastAsia="Arial" w:hAnsi="Arial"/>
                <w:sz w:val="14"/>
                <w:szCs w:val="14"/>
                <w:color w:val="51555C"/>
              </w:rPr>
              <w:t>24.1</w:t>
            </w:r>
          </w:p>
        </w:tc>
        <w:tc>
          <w:tcPr>
            <w:tcW w:w="110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18.5 %</w:t>
            </w:r>
          </w:p>
        </w:tc>
        <w:tc>
          <w:tcPr>
            <w:tcW w:w="20" w:type="dxa"/>
            <w:vAlign w:val="bottom"/>
          </w:tcPr>
          <w:p>
            <w:pPr>
              <w:spacing w:after="0"/>
              <w:rPr>
                <w:sz w:val="17"/>
                <w:szCs w:val="17"/>
                <w:color w:val="auto"/>
              </w:rPr>
            </w:pPr>
          </w:p>
        </w:tc>
      </w:tr>
      <w:tr>
        <w:trPr>
          <w:trHeight w:val="223"/>
        </w:trPr>
        <w:tc>
          <w:tcPr>
            <w:tcW w:w="4160" w:type="dxa"/>
            <w:vAlign w:val="bottom"/>
            <w:tcBorders>
              <w:bottom w:val="single" w:sz="8" w:color="EBFBFF"/>
            </w:tcBorders>
          </w:tcPr>
          <w:p>
            <w:pPr>
              <w:ind w:left="240"/>
              <w:spacing w:after="0"/>
              <w:rPr>
                <w:sz w:val="20"/>
                <w:szCs w:val="20"/>
                <w:color w:val="auto"/>
              </w:rPr>
            </w:pPr>
            <w:r>
              <w:rPr>
                <w:rFonts w:ascii="Arial" w:cs="Arial" w:eastAsia="Arial" w:hAnsi="Arial"/>
                <w:sz w:val="14"/>
                <w:szCs w:val="14"/>
                <w:color w:val="51555C"/>
              </w:rPr>
              <w:t>Subtotal</w:t>
            </w:r>
            <w:r>
              <w:rPr>
                <w:rFonts w:ascii="Arial" w:cs="Arial" w:eastAsia="Arial" w:hAnsi="Arial"/>
                <w:sz w:val="18"/>
                <w:szCs w:val="18"/>
                <w:color w:val="51555C"/>
                <w:vertAlign w:val="superscript"/>
              </w:rPr>
              <w:t>(2)</w:t>
            </w:r>
          </w:p>
        </w:tc>
        <w:tc>
          <w:tcPr>
            <w:tcW w:w="400" w:type="dxa"/>
            <w:vAlign w:val="bottom"/>
            <w:tcBorders>
              <w:bottom w:val="single" w:sz="8" w:color="51555C"/>
            </w:tcBorders>
          </w:tcPr>
          <w:p>
            <w:pPr>
              <w:spacing w:after="0"/>
              <w:rPr>
                <w:sz w:val="19"/>
                <w:szCs w:val="19"/>
                <w:color w:val="auto"/>
              </w:rPr>
            </w:pPr>
          </w:p>
        </w:tc>
        <w:tc>
          <w:tcPr>
            <w:tcW w:w="84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33.0</w:t>
            </w:r>
          </w:p>
        </w:tc>
        <w:tc>
          <w:tcPr>
            <w:tcW w:w="440" w:type="dxa"/>
            <w:vAlign w:val="bottom"/>
            <w:tcBorders>
              <w:bottom w:val="single" w:sz="8" w:color="51555C"/>
            </w:tcBorders>
          </w:tcPr>
          <w:p>
            <w:pPr>
              <w:spacing w:after="0"/>
              <w:rPr>
                <w:sz w:val="19"/>
                <w:szCs w:val="19"/>
                <w:color w:val="auto"/>
              </w:rPr>
            </w:pPr>
          </w:p>
        </w:tc>
        <w:tc>
          <w:tcPr>
            <w:tcW w:w="680" w:type="dxa"/>
            <w:vAlign w:val="bottom"/>
            <w:tcBorders>
              <w:bottom w:val="single" w:sz="8" w:color="51555C"/>
            </w:tcBorders>
          </w:tcPr>
          <w:p>
            <w:pPr>
              <w:jc w:val="right"/>
              <w:ind w:right="8"/>
              <w:spacing w:after="0"/>
              <w:rPr>
                <w:sz w:val="20"/>
                <w:szCs w:val="20"/>
                <w:color w:val="auto"/>
              </w:rPr>
            </w:pPr>
            <w:r>
              <w:rPr>
                <w:rFonts w:ascii="Arial" w:cs="Arial" w:eastAsia="Arial" w:hAnsi="Arial"/>
                <w:sz w:val="14"/>
                <w:szCs w:val="14"/>
                <w:color w:val="51555C"/>
              </w:rPr>
              <w:t>26.7</w:t>
            </w:r>
          </w:p>
        </w:tc>
        <w:tc>
          <w:tcPr>
            <w:tcW w:w="1120" w:type="dxa"/>
            <w:vAlign w:val="bottom"/>
            <w:tcBorders>
              <w:bottom w:val="single" w:sz="8" w:color="EBFBFF"/>
            </w:tcBorders>
          </w:tcPr>
          <w:p>
            <w:pPr>
              <w:jc w:val="right"/>
              <w:spacing w:after="0"/>
              <w:rPr>
                <w:sz w:val="20"/>
                <w:szCs w:val="20"/>
                <w:color w:val="auto"/>
              </w:rPr>
            </w:pPr>
            <w:r>
              <w:rPr>
                <w:rFonts w:ascii="Arial" w:cs="Arial" w:eastAsia="Arial" w:hAnsi="Arial"/>
                <w:sz w:val="14"/>
                <w:szCs w:val="14"/>
                <w:color w:val="51555C"/>
              </w:rPr>
              <w:t>23.4 %</w:t>
            </w:r>
          </w:p>
        </w:tc>
        <w:tc>
          <w:tcPr>
            <w:tcW w:w="80" w:type="dxa"/>
            <w:vAlign w:val="bottom"/>
            <w:tcBorders>
              <w:bottom w:val="single" w:sz="8" w:color="EBFBFF"/>
            </w:tcBorders>
          </w:tcPr>
          <w:p>
            <w:pPr>
              <w:spacing w:after="0"/>
              <w:rPr>
                <w:sz w:val="19"/>
                <w:szCs w:val="19"/>
                <w:color w:val="auto"/>
              </w:rPr>
            </w:pPr>
          </w:p>
        </w:tc>
        <w:tc>
          <w:tcPr>
            <w:tcW w:w="400" w:type="dxa"/>
            <w:vAlign w:val="bottom"/>
            <w:tcBorders>
              <w:bottom w:val="single" w:sz="8" w:color="51555C"/>
            </w:tcBorders>
          </w:tcPr>
          <w:p>
            <w:pPr>
              <w:spacing w:after="0"/>
              <w:rPr>
                <w:sz w:val="19"/>
                <w:szCs w:val="19"/>
                <w:color w:val="auto"/>
              </w:rPr>
            </w:pPr>
          </w:p>
        </w:tc>
        <w:tc>
          <w:tcPr>
            <w:tcW w:w="86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97.3</w:t>
            </w:r>
          </w:p>
        </w:tc>
        <w:tc>
          <w:tcPr>
            <w:tcW w:w="420" w:type="dxa"/>
            <w:vAlign w:val="bottom"/>
            <w:tcBorders>
              <w:bottom w:val="single" w:sz="8" w:color="51555C"/>
            </w:tcBorders>
          </w:tcPr>
          <w:p>
            <w:pPr>
              <w:spacing w:after="0"/>
              <w:rPr>
                <w:sz w:val="19"/>
                <w:szCs w:val="19"/>
                <w:color w:val="auto"/>
              </w:rPr>
            </w:pPr>
          </w:p>
        </w:tc>
        <w:tc>
          <w:tcPr>
            <w:tcW w:w="740" w:type="dxa"/>
            <w:vAlign w:val="bottom"/>
            <w:tcBorders>
              <w:bottom w:val="single" w:sz="8" w:color="51555C"/>
            </w:tcBorders>
          </w:tcPr>
          <w:p>
            <w:pPr>
              <w:jc w:val="right"/>
              <w:ind w:right="8"/>
              <w:spacing w:after="0"/>
              <w:rPr>
                <w:sz w:val="20"/>
                <w:szCs w:val="20"/>
                <w:color w:val="auto"/>
              </w:rPr>
            </w:pPr>
            <w:r>
              <w:rPr>
                <w:rFonts w:ascii="Arial" w:cs="Arial" w:eastAsia="Arial" w:hAnsi="Arial"/>
                <w:sz w:val="14"/>
                <w:szCs w:val="14"/>
                <w:color w:val="51555C"/>
              </w:rPr>
              <w:t>80.6</w:t>
            </w:r>
          </w:p>
        </w:tc>
        <w:tc>
          <w:tcPr>
            <w:tcW w:w="1100" w:type="dxa"/>
            <w:vAlign w:val="bottom"/>
            <w:tcBorders>
              <w:bottom w:val="single" w:sz="8" w:color="EBFBFF"/>
            </w:tcBorders>
          </w:tcPr>
          <w:p>
            <w:pPr>
              <w:jc w:val="right"/>
              <w:spacing w:after="0"/>
              <w:rPr>
                <w:sz w:val="20"/>
                <w:szCs w:val="20"/>
                <w:color w:val="auto"/>
              </w:rPr>
            </w:pPr>
            <w:r>
              <w:rPr>
                <w:rFonts w:ascii="Arial" w:cs="Arial" w:eastAsia="Arial" w:hAnsi="Arial"/>
                <w:sz w:val="14"/>
                <w:szCs w:val="14"/>
                <w:color w:val="51555C"/>
              </w:rPr>
              <w:t>20.6 %</w:t>
            </w:r>
          </w:p>
        </w:tc>
        <w:tc>
          <w:tcPr>
            <w:tcW w:w="20" w:type="dxa"/>
            <w:vAlign w:val="bottom"/>
          </w:tcPr>
          <w:p>
            <w:pPr>
              <w:spacing w:after="0"/>
              <w:rPr>
                <w:sz w:val="19"/>
                <w:szCs w:val="19"/>
                <w:color w:val="auto"/>
              </w:rPr>
            </w:pPr>
          </w:p>
        </w:tc>
      </w:tr>
      <w:tr>
        <w:trPr>
          <w:trHeight w:val="223"/>
        </w:trPr>
        <w:tc>
          <w:tcPr>
            <w:tcW w:w="41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EBITDA</w:t>
            </w:r>
            <w:r>
              <w:rPr>
                <w:rFonts w:ascii="Arial" w:cs="Arial" w:eastAsia="Arial" w:hAnsi="Arial"/>
                <w:sz w:val="18"/>
                <w:szCs w:val="18"/>
                <w:color w:val="51555C"/>
                <w:vertAlign w:val="superscript"/>
              </w:rPr>
              <w:t>(2)</w:t>
            </w:r>
          </w:p>
        </w:tc>
        <w:tc>
          <w:tcPr>
            <w:tcW w:w="400" w:type="dxa"/>
            <w:vAlign w:val="bottom"/>
            <w:shd w:val="clear" w:color="auto" w:fill="EBFBFF"/>
          </w:tcPr>
          <w:p>
            <w:pPr>
              <w:jc w:val="right"/>
              <w:ind w:right="228"/>
              <w:spacing w:after="0"/>
              <w:rPr>
                <w:sz w:val="20"/>
                <w:szCs w:val="20"/>
                <w:color w:val="auto"/>
              </w:rPr>
            </w:pPr>
            <w:r>
              <w:rPr>
                <w:rFonts w:ascii="Arial" w:cs="Arial" w:eastAsia="Arial" w:hAnsi="Arial"/>
                <w:sz w:val="14"/>
                <w:szCs w:val="14"/>
                <w:color w:val="51555C"/>
              </w:rPr>
              <w:t>$</w:t>
            </w:r>
          </w:p>
        </w:tc>
        <w:tc>
          <w:tcPr>
            <w:tcW w:w="84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22.6</w:t>
            </w:r>
          </w:p>
        </w:tc>
        <w:tc>
          <w:tcPr>
            <w:tcW w:w="440" w:type="dxa"/>
            <w:vAlign w:val="bottom"/>
            <w:shd w:val="clear" w:color="auto" w:fill="EBFBFF"/>
          </w:tcPr>
          <w:p>
            <w:pPr>
              <w:jc w:val="right"/>
              <w:ind w:right="268"/>
              <w:spacing w:after="0"/>
              <w:rPr>
                <w:sz w:val="20"/>
                <w:szCs w:val="20"/>
                <w:color w:val="auto"/>
              </w:rPr>
            </w:pPr>
            <w:r>
              <w:rPr>
                <w:rFonts w:ascii="Arial" w:cs="Arial" w:eastAsia="Arial" w:hAnsi="Arial"/>
                <w:sz w:val="14"/>
                <w:szCs w:val="14"/>
                <w:color w:val="51555C"/>
              </w:rPr>
              <w:t>$</w:t>
            </w:r>
          </w:p>
        </w:tc>
        <w:tc>
          <w:tcPr>
            <w:tcW w:w="68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32.9</w:t>
            </w:r>
          </w:p>
        </w:tc>
        <w:tc>
          <w:tcPr>
            <w:tcW w:w="112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(31.2)%</w:t>
            </w:r>
          </w:p>
        </w:tc>
        <w:tc>
          <w:tcPr>
            <w:tcW w:w="480" w:type="dxa"/>
            <w:vAlign w:val="bottom"/>
            <w:gridSpan w:val="2"/>
            <w:shd w:val="clear" w:color="auto" w:fill="EBFBFF"/>
          </w:tcPr>
          <w:p>
            <w:pPr>
              <w:jc w:val="right"/>
              <w:ind w:right="300"/>
              <w:spacing w:after="0"/>
              <w:rPr>
                <w:sz w:val="20"/>
                <w:szCs w:val="20"/>
                <w:color w:val="auto"/>
              </w:rPr>
            </w:pPr>
            <w:r>
              <w:rPr>
                <w:rFonts w:ascii="Arial" w:cs="Arial" w:eastAsia="Arial" w:hAnsi="Arial"/>
                <w:sz w:val="14"/>
                <w:szCs w:val="14"/>
                <w:color w:val="51555C"/>
              </w:rPr>
              <w:t>$</w:t>
            </w:r>
          </w:p>
        </w:tc>
        <w:tc>
          <w:tcPr>
            <w:tcW w:w="86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73.1</w:t>
            </w:r>
          </w:p>
        </w:tc>
        <w:tc>
          <w:tcPr>
            <w:tcW w:w="420" w:type="dxa"/>
            <w:vAlign w:val="bottom"/>
            <w:shd w:val="clear" w:color="auto" w:fill="EBFBFF"/>
          </w:tcPr>
          <w:p>
            <w:pPr>
              <w:jc w:val="right"/>
              <w:ind w:right="248"/>
              <w:spacing w:after="0"/>
              <w:rPr>
                <w:sz w:val="20"/>
                <w:szCs w:val="20"/>
                <w:color w:val="auto"/>
              </w:rPr>
            </w:pPr>
            <w:r>
              <w:rPr>
                <w:rFonts w:ascii="Arial" w:cs="Arial" w:eastAsia="Arial" w:hAnsi="Arial"/>
                <w:sz w:val="14"/>
                <w:szCs w:val="14"/>
                <w:color w:val="51555C"/>
              </w:rPr>
              <w:t>$</w:t>
            </w:r>
          </w:p>
        </w:tc>
        <w:tc>
          <w:tcPr>
            <w:tcW w:w="74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93.4</w:t>
            </w:r>
          </w:p>
        </w:tc>
        <w:tc>
          <w:tcPr>
            <w:tcW w:w="110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(21.7)%</w:t>
            </w:r>
          </w:p>
        </w:tc>
        <w:tc>
          <w:tcPr>
            <w:tcW w:w="20" w:type="dxa"/>
            <w:vAlign w:val="bottom"/>
          </w:tcPr>
          <w:p>
            <w:pPr>
              <w:spacing w:after="0"/>
              <w:rPr>
                <w:sz w:val="19"/>
                <w:szCs w:val="19"/>
                <w:color w:val="auto"/>
              </w:rPr>
            </w:pPr>
          </w:p>
        </w:tc>
      </w:tr>
      <w:tr>
        <w:trPr>
          <w:trHeight w:val="198"/>
        </w:trPr>
        <w:tc>
          <w:tcPr>
            <w:tcW w:w="4160" w:type="dxa"/>
            <w:vAlign w:val="bottom"/>
          </w:tcPr>
          <w:p>
            <w:pPr>
              <w:ind w:left="140"/>
              <w:spacing w:after="0"/>
              <w:rPr>
                <w:sz w:val="20"/>
                <w:szCs w:val="20"/>
                <w:color w:val="auto"/>
              </w:rPr>
            </w:pPr>
            <w:r>
              <w:rPr>
                <w:rFonts w:ascii="Arial" w:cs="Arial" w:eastAsia="Arial" w:hAnsi="Arial"/>
                <w:sz w:val="14"/>
                <w:szCs w:val="14"/>
                <w:color w:val="51555C"/>
              </w:rPr>
              <w:t>Non-GAAP EBITDA margin</w:t>
            </w:r>
          </w:p>
        </w:tc>
        <w:tc>
          <w:tcPr>
            <w:tcW w:w="400" w:type="dxa"/>
            <w:vAlign w:val="bottom"/>
            <w:tcBorders>
              <w:top w:val="single" w:sz="8" w:color="51555C"/>
            </w:tcBorders>
          </w:tcPr>
          <w:p>
            <w:pPr>
              <w:spacing w:after="0"/>
              <w:rPr>
                <w:sz w:val="17"/>
                <w:szCs w:val="17"/>
                <w:color w:val="auto"/>
              </w:rPr>
            </w:pPr>
          </w:p>
        </w:tc>
        <w:tc>
          <w:tcPr>
            <w:tcW w:w="840" w:type="dxa"/>
            <w:vAlign w:val="bottom"/>
            <w:tcBorders>
              <w:top w:val="single" w:sz="8" w:color="51555C"/>
            </w:tcBorders>
          </w:tcPr>
          <w:p>
            <w:pPr>
              <w:jc w:val="right"/>
              <w:spacing w:after="0"/>
              <w:rPr>
                <w:sz w:val="20"/>
                <w:szCs w:val="20"/>
                <w:color w:val="auto"/>
              </w:rPr>
            </w:pPr>
            <w:r>
              <w:rPr>
                <w:rFonts w:ascii="Arial" w:cs="Arial" w:eastAsia="Arial" w:hAnsi="Arial"/>
                <w:sz w:val="14"/>
                <w:szCs w:val="14"/>
                <w:color w:val="51555C"/>
              </w:rPr>
              <w:t>8.7 %</w:t>
            </w:r>
          </w:p>
        </w:tc>
        <w:tc>
          <w:tcPr>
            <w:tcW w:w="440" w:type="dxa"/>
            <w:vAlign w:val="bottom"/>
            <w:tcBorders>
              <w:top w:val="single" w:sz="8" w:color="51555C"/>
            </w:tcBorders>
          </w:tcPr>
          <w:p>
            <w:pPr>
              <w:spacing w:after="0"/>
              <w:rPr>
                <w:sz w:val="17"/>
                <w:szCs w:val="17"/>
                <w:color w:val="auto"/>
              </w:rPr>
            </w:pPr>
          </w:p>
        </w:tc>
        <w:tc>
          <w:tcPr>
            <w:tcW w:w="680" w:type="dxa"/>
            <w:vAlign w:val="bottom"/>
            <w:tcBorders>
              <w:top w:val="single" w:sz="8" w:color="51555C"/>
            </w:tcBorders>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51555C"/>
            </w:tcBorders>
          </w:tcPr>
          <w:p>
            <w:pPr>
              <w:spacing w:after="0"/>
              <w:rPr>
                <w:sz w:val="17"/>
                <w:szCs w:val="17"/>
                <w:color w:val="auto"/>
              </w:rPr>
            </w:pPr>
          </w:p>
        </w:tc>
        <w:tc>
          <w:tcPr>
            <w:tcW w:w="860" w:type="dxa"/>
            <w:vAlign w:val="bottom"/>
            <w:tcBorders>
              <w:top w:val="single" w:sz="8" w:color="51555C"/>
            </w:tcBorders>
          </w:tcPr>
          <w:p>
            <w:pPr>
              <w:jc w:val="right"/>
              <w:spacing w:after="0"/>
              <w:rPr>
                <w:sz w:val="20"/>
                <w:szCs w:val="20"/>
                <w:color w:val="auto"/>
              </w:rPr>
            </w:pPr>
            <w:r>
              <w:rPr>
                <w:rFonts w:ascii="Arial" w:cs="Arial" w:eastAsia="Arial" w:hAnsi="Arial"/>
                <w:sz w:val="14"/>
                <w:szCs w:val="14"/>
                <w:color w:val="51555C"/>
              </w:rPr>
              <w:t>9.3 %</w:t>
            </w:r>
          </w:p>
        </w:tc>
        <w:tc>
          <w:tcPr>
            <w:tcW w:w="420" w:type="dxa"/>
            <w:vAlign w:val="bottom"/>
            <w:tcBorders>
              <w:top w:val="single" w:sz="8" w:color="51555C"/>
            </w:tcBorders>
          </w:tcPr>
          <w:p>
            <w:pPr>
              <w:spacing w:after="0"/>
              <w:rPr>
                <w:sz w:val="17"/>
                <w:szCs w:val="17"/>
                <w:color w:val="auto"/>
              </w:rPr>
            </w:pPr>
          </w:p>
        </w:tc>
        <w:tc>
          <w:tcPr>
            <w:tcW w:w="740" w:type="dxa"/>
            <w:vAlign w:val="bottom"/>
            <w:tcBorders>
              <w:top w:val="single" w:sz="8" w:color="51555C"/>
            </w:tcBorders>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
        </w:trPr>
        <w:tc>
          <w:tcPr>
            <w:tcW w:w="4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4160" w:type="dxa"/>
            <w:vAlign w:val="bottom"/>
            <w:shd w:val="clear" w:color="auto" w:fill="EBFBFF"/>
          </w:tcPr>
          <w:p>
            <w:pPr>
              <w:spacing w:after="0"/>
              <w:rPr>
                <w:sz w:val="12"/>
                <w:szCs w:val="12"/>
                <w:color w:val="auto"/>
              </w:rPr>
            </w:pPr>
          </w:p>
        </w:tc>
        <w:tc>
          <w:tcPr>
            <w:tcW w:w="400" w:type="dxa"/>
            <w:vAlign w:val="bottom"/>
            <w:shd w:val="clear" w:color="auto" w:fill="EBFBFF"/>
          </w:tcPr>
          <w:p>
            <w:pPr>
              <w:spacing w:after="0"/>
              <w:rPr>
                <w:sz w:val="12"/>
                <w:szCs w:val="12"/>
                <w:color w:val="auto"/>
              </w:rPr>
            </w:pPr>
          </w:p>
        </w:tc>
        <w:tc>
          <w:tcPr>
            <w:tcW w:w="840" w:type="dxa"/>
            <w:vAlign w:val="bottom"/>
            <w:shd w:val="clear" w:color="auto" w:fill="EBFBFF"/>
          </w:tcPr>
          <w:p>
            <w:pPr>
              <w:spacing w:after="0"/>
              <w:rPr>
                <w:sz w:val="12"/>
                <w:szCs w:val="12"/>
                <w:color w:val="auto"/>
              </w:rPr>
            </w:pPr>
          </w:p>
        </w:tc>
        <w:tc>
          <w:tcPr>
            <w:tcW w:w="440" w:type="dxa"/>
            <w:vAlign w:val="bottom"/>
            <w:shd w:val="clear" w:color="auto" w:fill="EBFBFF"/>
          </w:tcPr>
          <w:p>
            <w:pPr>
              <w:spacing w:after="0"/>
              <w:rPr>
                <w:sz w:val="12"/>
                <w:szCs w:val="12"/>
                <w:color w:val="auto"/>
              </w:rPr>
            </w:pPr>
          </w:p>
        </w:tc>
        <w:tc>
          <w:tcPr>
            <w:tcW w:w="680" w:type="dxa"/>
            <w:vAlign w:val="bottom"/>
            <w:shd w:val="clear" w:color="auto" w:fill="EBFBFF"/>
          </w:tcPr>
          <w:p>
            <w:pPr>
              <w:spacing w:after="0"/>
              <w:rPr>
                <w:sz w:val="12"/>
                <w:szCs w:val="12"/>
                <w:color w:val="auto"/>
              </w:rPr>
            </w:pPr>
          </w:p>
        </w:tc>
        <w:tc>
          <w:tcPr>
            <w:tcW w:w="1120" w:type="dxa"/>
            <w:vAlign w:val="bottom"/>
            <w:tcBorders>
              <w:right w:val="single" w:sz="8" w:color="EBFBFF"/>
            </w:tcBorders>
            <w:shd w:val="clear" w:color="auto" w:fill="EBFBFF"/>
          </w:tcPr>
          <w:p>
            <w:pPr>
              <w:spacing w:after="0"/>
              <w:rPr>
                <w:sz w:val="12"/>
                <w:szCs w:val="12"/>
                <w:color w:val="auto"/>
              </w:rPr>
            </w:pPr>
          </w:p>
        </w:tc>
        <w:tc>
          <w:tcPr>
            <w:tcW w:w="80" w:type="dxa"/>
            <w:vAlign w:val="bottom"/>
            <w:shd w:val="clear" w:color="auto" w:fill="EBFBFF"/>
          </w:tcPr>
          <w:p>
            <w:pPr>
              <w:spacing w:after="0"/>
              <w:rPr>
                <w:sz w:val="12"/>
                <w:szCs w:val="12"/>
                <w:color w:val="auto"/>
              </w:rPr>
            </w:pPr>
          </w:p>
        </w:tc>
        <w:tc>
          <w:tcPr>
            <w:tcW w:w="400" w:type="dxa"/>
            <w:vAlign w:val="bottom"/>
            <w:shd w:val="clear" w:color="auto" w:fill="EBFBFF"/>
          </w:tcPr>
          <w:p>
            <w:pPr>
              <w:spacing w:after="0"/>
              <w:rPr>
                <w:sz w:val="12"/>
                <w:szCs w:val="12"/>
                <w:color w:val="auto"/>
              </w:rPr>
            </w:pPr>
          </w:p>
        </w:tc>
        <w:tc>
          <w:tcPr>
            <w:tcW w:w="860" w:type="dxa"/>
            <w:vAlign w:val="bottom"/>
            <w:shd w:val="clear" w:color="auto" w:fill="EBFBFF"/>
          </w:tcPr>
          <w:p>
            <w:pPr>
              <w:spacing w:after="0"/>
              <w:rPr>
                <w:sz w:val="12"/>
                <w:szCs w:val="12"/>
                <w:color w:val="auto"/>
              </w:rPr>
            </w:pPr>
          </w:p>
        </w:tc>
        <w:tc>
          <w:tcPr>
            <w:tcW w:w="420" w:type="dxa"/>
            <w:vAlign w:val="bottom"/>
            <w:shd w:val="clear" w:color="auto" w:fill="EBFBFF"/>
          </w:tcPr>
          <w:p>
            <w:pPr>
              <w:spacing w:after="0"/>
              <w:rPr>
                <w:sz w:val="12"/>
                <w:szCs w:val="12"/>
                <w:color w:val="auto"/>
              </w:rPr>
            </w:pPr>
          </w:p>
        </w:tc>
        <w:tc>
          <w:tcPr>
            <w:tcW w:w="740" w:type="dxa"/>
            <w:vAlign w:val="bottom"/>
            <w:shd w:val="clear" w:color="auto" w:fill="EBFBFF"/>
          </w:tcPr>
          <w:p>
            <w:pPr>
              <w:spacing w:after="0"/>
              <w:rPr>
                <w:sz w:val="12"/>
                <w:szCs w:val="12"/>
                <w:color w:val="auto"/>
              </w:rPr>
            </w:pPr>
          </w:p>
        </w:tc>
        <w:tc>
          <w:tcPr>
            <w:tcW w:w="1100" w:type="dxa"/>
            <w:vAlign w:val="bottom"/>
            <w:shd w:val="clear" w:color="auto" w:fill="EBFBFF"/>
          </w:tcPr>
          <w:p>
            <w:pPr>
              <w:spacing w:after="0"/>
              <w:rPr>
                <w:sz w:val="12"/>
                <w:szCs w:val="12"/>
                <w:color w:val="auto"/>
              </w:rPr>
            </w:pPr>
          </w:p>
        </w:tc>
        <w:tc>
          <w:tcPr>
            <w:tcW w:w="20" w:type="dxa"/>
            <w:vAlign w:val="bottom"/>
          </w:tcPr>
          <w:p>
            <w:pPr>
              <w:spacing w:after="0"/>
              <w:rPr>
                <w:sz w:val="12"/>
                <w:szCs w:val="12"/>
                <w:color w:val="auto"/>
              </w:rPr>
            </w:pPr>
          </w:p>
        </w:tc>
      </w:tr>
      <w:tr>
        <w:trPr>
          <w:trHeight w:val="204"/>
        </w:trPr>
        <w:tc>
          <w:tcPr>
            <w:tcW w:w="4160" w:type="dxa"/>
            <w:vAlign w:val="bottom"/>
          </w:tcPr>
          <w:p>
            <w:pPr>
              <w:ind w:left="20"/>
              <w:spacing w:after="0"/>
              <w:rPr>
                <w:sz w:val="20"/>
                <w:szCs w:val="20"/>
                <w:color w:val="auto"/>
              </w:rPr>
            </w:pPr>
            <w:r>
              <w:rPr>
                <w:rFonts w:ascii="Arial" w:cs="Arial" w:eastAsia="Arial" w:hAnsi="Arial"/>
                <w:sz w:val="14"/>
                <w:szCs w:val="14"/>
                <w:color w:val="51555C"/>
              </w:rPr>
              <w:t>Non-GAAP adjustments:</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
        </w:trPr>
        <w:tc>
          <w:tcPr>
            <w:tcW w:w="4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416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Stock-based compensation expense</w:t>
            </w:r>
          </w:p>
        </w:tc>
        <w:tc>
          <w:tcPr>
            <w:tcW w:w="400" w:type="dxa"/>
            <w:vAlign w:val="bottom"/>
            <w:tcBorders>
              <w:bottom w:val="single" w:sz="8" w:color="EBFBFF"/>
            </w:tcBorders>
            <w:shd w:val="clear" w:color="auto" w:fill="EBFBFF"/>
          </w:tcPr>
          <w:p>
            <w:pPr>
              <w:spacing w:after="0"/>
              <w:rPr>
                <w:sz w:val="18"/>
                <w:szCs w:val="18"/>
                <w:color w:val="auto"/>
              </w:rPr>
            </w:pPr>
          </w:p>
        </w:tc>
        <w:tc>
          <w:tcPr>
            <w:tcW w:w="84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27.9</w:t>
            </w:r>
          </w:p>
        </w:tc>
        <w:tc>
          <w:tcPr>
            <w:tcW w:w="440" w:type="dxa"/>
            <w:vAlign w:val="bottom"/>
            <w:tcBorders>
              <w:bottom w:val="single" w:sz="8" w:color="EBFBFF"/>
            </w:tcBorders>
            <w:shd w:val="clear" w:color="auto" w:fill="EBFBFF"/>
          </w:tcPr>
          <w:p>
            <w:pPr>
              <w:spacing w:after="0"/>
              <w:rPr>
                <w:sz w:val="18"/>
                <w:szCs w:val="18"/>
                <w:color w:val="auto"/>
              </w:rPr>
            </w:pPr>
          </w:p>
        </w:tc>
        <w:tc>
          <w:tcPr>
            <w:tcW w:w="68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28.9</w:t>
            </w:r>
          </w:p>
        </w:tc>
        <w:tc>
          <w:tcPr>
            <w:tcW w:w="112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(3.4)%</w:t>
            </w:r>
          </w:p>
        </w:tc>
        <w:tc>
          <w:tcPr>
            <w:tcW w:w="80" w:type="dxa"/>
            <w:vAlign w:val="bottom"/>
            <w:tcBorders>
              <w:bottom w:val="single" w:sz="8" w:color="EBFBFF"/>
            </w:tcBorders>
            <w:shd w:val="clear" w:color="auto" w:fill="EBFBFF"/>
          </w:tcPr>
          <w:p>
            <w:pPr>
              <w:spacing w:after="0"/>
              <w:rPr>
                <w:sz w:val="18"/>
                <w:szCs w:val="18"/>
                <w:color w:val="auto"/>
              </w:rPr>
            </w:pPr>
          </w:p>
        </w:tc>
        <w:tc>
          <w:tcPr>
            <w:tcW w:w="400" w:type="dxa"/>
            <w:vAlign w:val="bottom"/>
            <w:tcBorders>
              <w:bottom w:val="single" w:sz="8" w:color="EBFBFF"/>
            </w:tcBorders>
            <w:shd w:val="clear" w:color="auto" w:fill="EBFBFF"/>
          </w:tcPr>
          <w:p>
            <w:pPr>
              <w:spacing w:after="0"/>
              <w:rPr>
                <w:sz w:val="18"/>
                <w:szCs w:val="18"/>
                <w:color w:val="auto"/>
              </w:rPr>
            </w:pPr>
          </w:p>
        </w:tc>
        <w:tc>
          <w:tcPr>
            <w:tcW w:w="86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83.7</w:t>
            </w:r>
          </w:p>
        </w:tc>
        <w:tc>
          <w:tcPr>
            <w:tcW w:w="420" w:type="dxa"/>
            <w:vAlign w:val="bottom"/>
            <w:tcBorders>
              <w:bottom w:val="single" w:sz="8" w:color="EBFBFF"/>
            </w:tcBorders>
            <w:shd w:val="clear" w:color="auto" w:fill="EBFBFF"/>
          </w:tcPr>
          <w:p>
            <w:pPr>
              <w:spacing w:after="0"/>
              <w:rPr>
                <w:sz w:val="18"/>
                <w:szCs w:val="18"/>
                <w:color w:val="auto"/>
              </w:rPr>
            </w:pPr>
          </w:p>
        </w:tc>
        <w:tc>
          <w:tcPr>
            <w:tcW w:w="74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89.5</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(6.5)%</w:t>
            </w:r>
          </w:p>
        </w:tc>
        <w:tc>
          <w:tcPr>
            <w:tcW w:w="20" w:type="dxa"/>
            <w:vAlign w:val="bottom"/>
          </w:tcPr>
          <w:p>
            <w:pPr>
              <w:spacing w:after="0"/>
              <w:rPr>
                <w:sz w:val="18"/>
                <w:szCs w:val="18"/>
                <w:color w:val="auto"/>
              </w:rPr>
            </w:pPr>
          </w:p>
        </w:tc>
      </w:tr>
      <w:tr>
        <w:trPr>
          <w:trHeight w:val="204"/>
        </w:trPr>
        <w:tc>
          <w:tcPr>
            <w:tcW w:w="4160" w:type="dxa"/>
            <w:vAlign w:val="bottom"/>
          </w:tcPr>
          <w:p>
            <w:pPr>
              <w:ind w:left="140"/>
              <w:spacing w:after="0"/>
              <w:rPr>
                <w:sz w:val="20"/>
                <w:szCs w:val="20"/>
                <w:color w:val="auto"/>
              </w:rPr>
            </w:pPr>
            <w:r>
              <w:rPr>
                <w:rFonts w:ascii="Arial" w:cs="Arial" w:eastAsia="Arial" w:hAnsi="Arial"/>
                <w:sz w:val="14"/>
                <w:szCs w:val="14"/>
                <w:color w:val="51555C"/>
              </w:rPr>
              <w:t>Add: Employee severance</w:t>
            </w:r>
          </w:p>
        </w:tc>
        <w:tc>
          <w:tcPr>
            <w:tcW w:w="40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51555C"/>
              </w:rPr>
              <w:t>0.2</w:t>
            </w:r>
          </w:p>
        </w:tc>
        <w:tc>
          <w:tcPr>
            <w:tcW w:w="44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51555C"/>
              </w:rPr>
              <w:t>0.1</w:t>
            </w:r>
          </w:p>
        </w:tc>
        <w:tc>
          <w:tcPr>
            <w:tcW w:w="1120" w:type="dxa"/>
            <w:vAlign w:val="bottom"/>
          </w:tcPr>
          <w:p>
            <w:pPr>
              <w:jc w:val="right"/>
              <w:spacing w:after="0"/>
              <w:rPr>
                <w:sz w:val="20"/>
                <w:szCs w:val="20"/>
                <w:color w:val="auto"/>
              </w:rPr>
            </w:pPr>
            <w:r>
              <w:rPr>
                <w:rFonts w:ascii="Arial" w:cs="Arial" w:eastAsia="Arial" w:hAnsi="Arial"/>
                <w:sz w:val="14"/>
                <w:szCs w:val="14"/>
                <w:color w:val="51555C"/>
              </w:rPr>
              <w:t>241.2 %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51555C"/>
              </w:rPr>
              <w:t>0.7</w:t>
            </w:r>
          </w:p>
        </w:tc>
        <w:tc>
          <w:tcPr>
            <w:tcW w:w="4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51555C"/>
              </w:rPr>
              <w:t>1.5</w:t>
            </w:r>
          </w:p>
        </w:tc>
        <w:tc>
          <w:tcPr>
            <w:tcW w:w="1100" w:type="dxa"/>
            <w:vAlign w:val="bottom"/>
          </w:tcPr>
          <w:p>
            <w:pPr>
              <w:jc w:val="right"/>
              <w:spacing w:after="0"/>
              <w:rPr>
                <w:sz w:val="20"/>
                <w:szCs w:val="20"/>
                <w:color w:val="auto"/>
              </w:rPr>
            </w:pPr>
            <w:r>
              <w:rPr>
                <w:rFonts w:ascii="Arial" w:cs="Arial" w:eastAsia="Arial" w:hAnsi="Arial"/>
                <w:sz w:val="14"/>
                <w:szCs w:val="14"/>
                <w:color w:val="51555C"/>
              </w:rPr>
              <w:t>(54.0)%</w:t>
            </w:r>
          </w:p>
        </w:tc>
        <w:tc>
          <w:tcPr>
            <w:tcW w:w="20" w:type="dxa"/>
            <w:vAlign w:val="bottom"/>
          </w:tcPr>
          <w:p>
            <w:pPr>
              <w:spacing w:after="0"/>
              <w:rPr>
                <w:sz w:val="17"/>
                <w:szCs w:val="17"/>
                <w:color w:val="auto"/>
              </w:rPr>
            </w:pPr>
          </w:p>
        </w:tc>
      </w:tr>
      <w:tr>
        <w:trPr>
          <w:trHeight w:val="25"/>
        </w:trPr>
        <w:tc>
          <w:tcPr>
            <w:tcW w:w="4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16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Acquisition and disposition-related costs</w:t>
            </w:r>
            <w:r>
              <w:rPr>
                <w:rFonts w:ascii="Arial" w:cs="Arial" w:eastAsia="Arial" w:hAnsi="Arial"/>
                <w:sz w:val="18"/>
                <w:szCs w:val="18"/>
                <w:color w:val="51555C"/>
                <w:vertAlign w:val="superscript"/>
              </w:rPr>
              <w:t>(3)</w:t>
            </w:r>
          </w:p>
        </w:tc>
        <w:tc>
          <w:tcPr>
            <w:tcW w:w="400" w:type="dxa"/>
            <w:vAlign w:val="bottom"/>
            <w:shd w:val="clear" w:color="auto" w:fill="EBFBFF"/>
          </w:tcPr>
          <w:p>
            <w:pPr>
              <w:spacing w:after="0"/>
              <w:rPr>
                <w:sz w:val="19"/>
                <w:szCs w:val="19"/>
                <w:color w:val="auto"/>
              </w:rPr>
            </w:pPr>
          </w:p>
        </w:tc>
        <w:tc>
          <w:tcPr>
            <w:tcW w:w="84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2.5</w:t>
            </w:r>
          </w:p>
        </w:tc>
        <w:tc>
          <w:tcPr>
            <w:tcW w:w="440" w:type="dxa"/>
            <w:vAlign w:val="bottom"/>
            <w:shd w:val="clear" w:color="auto" w:fill="EBFBFF"/>
          </w:tcPr>
          <w:p>
            <w:pPr>
              <w:spacing w:after="0"/>
              <w:rPr>
                <w:sz w:val="19"/>
                <w:szCs w:val="19"/>
                <w:color w:val="auto"/>
              </w:rPr>
            </w:pPr>
          </w:p>
        </w:tc>
        <w:tc>
          <w:tcPr>
            <w:tcW w:w="68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0.1</w:t>
            </w:r>
          </w:p>
        </w:tc>
        <w:tc>
          <w:tcPr>
            <w:tcW w:w="112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4,812.0 %</w:t>
            </w:r>
          </w:p>
        </w:tc>
        <w:tc>
          <w:tcPr>
            <w:tcW w:w="80" w:type="dxa"/>
            <w:vAlign w:val="bottom"/>
            <w:shd w:val="clear" w:color="auto" w:fill="EBFBFF"/>
          </w:tcPr>
          <w:p>
            <w:pPr>
              <w:spacing w:after="0"/>
              <w:rPr>
                <w:sz w:val="19"/>
                <w:szCs w:val="19"/>
                <w:color w:val="auto"/>
              </w:rPr>
            </w:pPr>
          </w:p>
        </w:tc>
        <w:tc>
          <w:tcPr>
            <w:tcW w:w="400" w:type="dxa"/>
            <w:vAlign w:val="bottom"/>
            <w:shd w:val="clear" w:color="auto" w:fill="EBFBFF"/>
          </w:tcPr>
          <w:p>
            <w:pPr>
              <w:spacing w:after="0"/>
              <w:rPr>
                <w:sz w:val="19"/>
                <w:szCs w:val="19"/>
                <w:color w:val="auto"/>
              </w:rPr>
            </w:pPr>
          </w:p>
        </w:tc>
        <w:tc>
          <w:tcPr>
            <w:tcW w:w="86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5.7</w:t>
            </w:r>
          </w:p>
        </w:tc>
        <w:tc>
          <w:tcPr>
            <w:tcW w:w="420" w:type="dxa"/>
            <w:vAlign w:val="bottom"/>
            <w:shd w:val="clear" w:color="auto" w:fill="EBFBFF"/>
          </w:tcPr>
          <w:p>
            <w:pPr>
              <w:spacing w:after="0"/>
              <w:rPr>
                <w:sz w:val="19"/>
                <w:szCs w:val="19"/>
                <w:color w:val="auto"/>
              </w:rPr>
            </w:pPr>
          </w:p>
        </w:tc>
        <w:tc>
          <w:tcPr>
            <w:tcW w:w="74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0.1</w:t>
            </w:r>
          </w:p>
        </w:tc>
        <w:tc>
          <w:tcPr>
            <w:tcW w:w="110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6,943.2 %</w:t>
            </w:r>
          </w:p>
        </w:tc>
        <w:tc>
          <w:tcPr>
            <w:tcW w:w="20" w:type="dxa"/>
            <w:vAlign w:val="bottom"/>
          </w:tcPr>
          <w:p>
            <w:pPr>
              <w:spacing w:after="0"/>
              <w:rPr>
                <w:sz w:val="19"/>
                <w:szCs w:val="19"/>
                <w:color w:val="auto"/>
              </w:rPr>
            </w:pPr>
          </w:p>
        </w:tc>
      </w:tr>
      <w:tr>
        <w:trPr>
          <w:trHeight w:val="204"/>
        </w:trPr>
        <w:tc>
          <w:tcPr>
            <w:tcW w:w="4160" w:type="dxa"/>
            <w:vAlign w:val="bottom"/>
          </w:tcPr>
          <w:p>
            <w:pPr>
              <w:ind w:left="140"/>
              <w:spacing w:after="0"/>
              <w:rPr>
                <w:sz w:val="20"/>
                <w:szCs w:val="20"/>
                <w:color w:val="auto"/>
              </w:rPr>
            </w:pPr>
            <w:r>
              <w:rPr>
                <w:rFonts w:ascii="Arial" w:cs="Arial" w:eastAsia="Arial" w:hAnsi="Arial"/>
                <w:sz w:val="14"/>
                <w:szCs w:val="14"/>
                <w:color w:val="51555C"/>
              </w:rPr>
              <w:t>Add: Restructuring and other real estate activities</w:t>
            </w:r>
          </w:p>
        </w:tc>
        <w:tc>
          <w:tcPr>
            <w:tcW w:w="40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440" w:type="dxa"/>
            <w:vAlign w:val="bottom"/>
          </w:tcPr>
          <w:p>
            <w:pPr>
              <w:spacing w:after="0"/>
              <w:rPr>
                <w:sz w:val="17"/>
                <w:szCs w:val="17"/>
                <w:color w:val="auto"/>
              </w:rPr>
            </w:pPr>
          </w:p>
        </w:tc>
        <w:tc>
          <w:tcPr>
            <w:tcW w:w="680" w:type="dxa"/>
            <w:vAlign w:val="bottom"/>
          </w:tcPr>
          <w:p>
            <w:pPr>
              <w:jc w:val="center"/>
              <w:ind w:left="248"/>
              <w:spacing w:after="0"/>
              <w:rPr>
                <w:sz w:val="20"/>
                <w:szCs w:val="20"/>
                <w:color w:val="auto"/>
              </w:rPr>
            </w:pPr>
            <w:r>
              <w:rPr>
                <w:rFonts w:ascii="Arial" w:cs="Arial" w:eastAsia="Arial" w:hAnsi="Arial"/>
                <w:sz w:val="14"/>
                <w:szCs w:val="14"/>
                <w:color w:val="51555C"/>
                <w:w w:val="97"/>
              </w:rPr>
              <w:t>(0.4)</w:t>
            </w:r>
          </w:p>
        </w:tc>
        <w:tc>
          <w:tcPr>
            <w:tcW w:w="1120" w:type="dxa"/>
            <w:vAlign w:val="bottom"/>
          </w:tcPr>
          <w:p>
            <w:pPr>
              <w:jc w:val="right"/>
              <w:spacing w:after="0"/>
              <w:rPr>
                <w:sz w:val="20"/>
                <w:szCs w:val="20"/>
                <w:color w:val="auto"/>
              </w:rPr>
            </w:pPr>
            <w:r>
              <w:rPr>
                <w:rFonts w:ascii="Arial" w:cs="Arial" w:eastAsia="Arial" w:hAnsi="Arial"/>
                <w:sz w:val="14"/>
                <w:szCs w:val="14"/>
                <w:color w:val="51555C"/>
              </w:rPr>
              <w:t>(100.0)%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51555C"/>
              </w:rPr>
              <w:t>0.1</w:t>
            </w:r>
          </w:p>
        </w:tc>
        <w:tc>
          <w:tcPr>
            <w:tcW w:w="420" w:type="dxa"/>
            <w:vAlign w:val="bottom"/>
          </w:tcPr>
          <w:p>
            <w:pPr>
              <w:spacing w:after="0"/>
              <w:rPr>
                <w:sz w:val="17"/>
                <w:szCs w:val="17"/>
                <w:color w:val="auto"/>
              </w:rPr>
            </w:pPr>
          </w:p>
        </w:tc>
        <w:tc>
          <w:tcPr>
            <w:tcW w:w="740" w:type="dxa"/>
            <w:vAlign w:val="bottom"/>
          </w:tcPr>
          <w:p>
            <w:pPr>
              <w:jc w:val="center"/>
              <w:ind w:left="308"/>
              <w:spacing w:after="0"/>
              <w:rPr>
                <w:sz w:val="20"/>
                <w:szCs w:val="20"/>
                <w:color w:val="auto"/>
              </w:rPr>
            </w:pPr>
            <w:r>
              <w:rPr>
                <w:rFonts w:ascii="Arial" w:cs="Arial" w:eastAsia="Arial" w:hAnsi="Arial"/>
                <w:sz w:val="14"/>
                <w:szCs w:val="14"/>
                <w:color w:val="51555C"/>
                <w:w w:val="97"/>
              </w:rPr>
              <w:t>(0.4)</w:t>
            </w:r>
          </w:p>
        </w:tc>
        <w:tc>
          <w:tcPr>
            <w:tcW w:w="1100" w:type="dxa"/>
            <w:vAlign w:val="bottom"/>
          </w:tcPr>
          <w:p>
            <w:pPr>
              <w:jc w:val="right"/>
              <w:spacing w:after="0"/>
              <w:rPr>
                <w:sz w:val="20"/>
                <w:szCs w:val="20"/>
                <w:color w:val="auto"/>
              </w:rPr>
            </w:pPr>
            <w:r>
              <w:rPr>
                <w:rFonts w:ascii="Arial" w:cs="Arial" w:eastAsia="Arial" w:hAnsi="Arial"/>
                <w:sz w:val="14"/>
                <w:szCs w:val="14"/>
                <w:color w:val="51555C"/>
              </w:rPr>
              <w:t>(117.2)%</w:t>
            </w:r>
          </w:p>
        </w:tc>
        <w:tc>
          <w:tcPr>
            <w:tcW w:w="20" w:type="dxa"/>
            <w:vAlign w:val="bottom"/>
          </w:tcPr>
          <w:p>
            <w:pPr>
              <w:spacing w:after="0"/>
              <w:rPr>
                <w:sz w:val="17"/>
                <w:szCs w:val="17"/>
                <w:color w:val="auto"/>
              </w:rPr>
            </w:pPr>
          </w:p>
        </w:tc>
      </w:tr>
      <w:tr>
        <w:trPr>
          <w:trHeight w:val="25"/>
        </w:trPr>
        <w:tc>
          <w:tcPr>
            <w:tcW w:w="4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416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Security Incident-related costs, net of insurance</w:t>
            </w:r>
            <w:r>
              <w:rPr>
                <w:rFonts w:ascii="Arial" w:cs="Arial" w:eastAsia="Arial" w:hAnsi="Arial"/>
                <w:sz w:val="18"/>
                <w:szCs w:val="18"/>
                <w:color w:val="51555C"/>
                <w:vertAlign w:val="superscript"/>
              </w:rPr>
              <w:t>(3)</w:t>
            </w:r>
          </w:p>
        </w:tc>
        <w:tc>
          <w:tcPr>
            <w:tcW w:w="400" w:type="dxa"/>
            <w:vAlign w:val="bottom"/>
            <w:shd w:val="clear" w:color="auto" w:fill="EBFBFF"/>
          </w:tcPr>
          <w:p>
            <w:pPr>
              <w:spacing w:after="0"/>
              <w:rPr>
                <w:sz w:val="19"/>
                <w:szCs w:val="19"/>
                <w:color w:val="auto"/>
              </w:rPr>
            </w:pPr>
          </w:p>
        </w:tc>
        <w:tc>
          <w:tcPr>
            <w:tcW w:w="84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13.7</w:t>
            </w:r>
          </w:p>
        </w:tc>
        <w:tc>
          <w:tcPr>
            <w:tcW w:w="440" w:type="dxa"/>
            <w:vAlign w:val="bottom"/>
            <w:shd w:val="clear" w:color="auto" w:fill="EBFBFF"/>
          </w:tcPr>
          <w:p>
            <w:pPr>
              <w:spacing w:after="0"/>
              <w:rPr>
                <w:sz w:val="19"/>
                <w:szCs w:val="19"/>
                <w:color w:val="auto"/>
              </w:rPr>
            </w:pPr>
          </w:p>
        </w:tc>
        <w:tc>
          <w:tcPr>
            <w:tcW w:w="68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0.9</w:t>
            </w:r>
          </w:p>
        </w:tc>
        <w:tc>
          <w:tcPr>
            <w:tcW w:w="112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1,504.9 %</w:t>
            </w:r>
          </w:p>
        </w:tc>
        <w:tc>
          <w:tcPr>
            <w:tcW w:w="80" w:type="dxa"/>
            <w:vAlign w:val="bottom"/>
            <w:shd w:val="clear" w:color="auto" w:fill="EBFBFF"/>
          </w:tcPr>
          <w:p>
            <w:pPr>
              <w:spacing w:after="0"/>
              <w:rPr>
                <w:sz w:val="19"/>
                <w:szCs w:val="19"/>
                <w:color w:val="auto"/>
              </w:rPr>
            </w:pPr>
          </w:p>
        </w:tc>
        <w:tc>
          <w:tcPr>
            <w:tcW w:w="400" w:type="dxa"/>
            <w:vAlign w:val="bottom"/>
            <w:shd w:val="clear" w:color="auto" w:fill="EBFBFF"/>
          </w:tcPr>
          <w:p>
            <w:pPr>
              <w:spacing w:after="0"/>
              <w:rPr>
                <w:sz w:val="19"/>
                <w:szCs w:val="19"/>
                <w:color w:val="auto"/>
              </w:rPr>
            </w:pPr>
          </w:p>
        </w:tc>
        <w:tc>
          <w:tcPr>
            <w:tcW w:w="86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29.2</w:t>
            </w:r>
          </w:p>
        </w:tc>
        <w:tc>
          <w:tcPr>
            <w:tcW w:w="420" w:type="dxa"/>
            <w:vAlign w:val="bottom"/>
            <w:shd w:val="clear" w:color="auto" w:fill="EBFBFF"/>
          </w:tcPr>
          <w:p>
            <w:pPr>
              <w:spacing w:after="0"/>
              <w:rPr>
                <w:sz w:val="19"/>
                <w:szCs w:val="19"/>
                <w:color w:val="auto"/>
              </w:rPr>
            </w:pPr>
          </w:p>
        </w:tc>
        <w:tc>
          <w:tcPr>
            <w:tcW w:w="74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1.3</w:t>
            </w:r>
          </w:p>
        </w:tc>
        <w:tc>
          <w:tcPr>
            <w:tcW w:w="110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2,109.3 %</w:t>
            </w:r>
          </w:p>
        </w:tc>
        <w:tc>
          <w:tcPr>
            <w:tcW w:w="20" w:type="dxa"/>
            <w:vAlign w:val="bottom"/>
          </w:tcPr>
          <w:p>
            <w:pPr>
              <w:spacing w:after="0"/>
              <w:rPr>
                <w:sz w:val="19"/>
                <w:szCs w:val="19"/>
                <w:color w:val="auto"/>
              </w:rPr>
            </w:pPr>
          </w:p>
        </w:tc>
      </w:tr>
      <w:tr>
        <w:trPr>
          <w:trHeight w:val="204"/>
        </w:trPr>
        <w:tc>
          <w:tcPr>
            <w:tcW w:w="4160" w:type="dxa"/>
            <w:vAlign w:val="bottom"/>
          </w:tcPr>
          <w:p>
            <w:pPr>
              <w:ind w:left="140"/>
              <w:spacing w:after="0"/>
              <w:rPr>
                <w:sz w:val="20"/>
                <w:szCs w:val="20"/>
                <w:color w:val="auto"/>
              </w:rPr>
            </w:pPr>
            <w:r>
              <w:rPr>
                <w:rFonts w:ascii="Arial" w:cs="Arial" w:eastAsia="Arial" w:hAnsi="Arial"/>
                <w:sz w:val="14"/>
                <w:szCs w:val="14"/>
                <w:color w:val="51555C"/>
              </w:rPr>
              <w:t>Add: Impairment of capitalized software development costs</w:t>
            </w:r>
          </w:p>
        </w:tc>
        <w:tc>
          <w:tcPr>
            <w:tcW w:w="40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44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51555C"/>
              </w:rPr>
              <w:t>—</w:t>
            </w:r>
          </w:p>
        </w:tc>
        <w:tc>
          <w:tcPr>
            <w:tcW w:w="1120" w:type="dxa"/>
            <w:vAlign w:val="bottom"/>
          </w:tcPr>
          <w:p>
            <w:pPr>
              <w:jc w:val="right"/>
              <w:spacing w:after="0"/>
              <w:rPr>
                <w:sz w:val="20"/>
                <w:szCs w:val="20"/>
                <w:color w:val="auto"/>
              </w:rPr>
            </w:pPr>
            <w:r>
              <w:rPr>
                <w:rFonts w:ascii="Arial" w:cs="Arial" w:eastAsia="Arial" w:hAnsi="Arial"/>
                <w:sz w:val="14"/>
                <w:szCs w:val="14"/>
                <w:color w:val="51555C"/>
              </w:rPr>
              <w:t>—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51555C"/>
              </w:rPr>
              <w:t>2.3</w:t>
            </w:r>
          </w:p>
        </w:tc>
        <w:tc>
          <w:tcPr>
            <w:tcW w:w="4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51555C"/>
              </w:rPr>
              <w:t>—</w:t>
            </w:r>
          </w:p>
        </w:tc>
        <w:tc>
          <w:tcPr>
            <w:tcW w:w="1100" w:type="dxa"/>
            <w:vAlign w:val="bottom"/>
          </w:tcPr>
          <w:p>
            <w:pPr>
              <w:jc w:val="right"/>
              <w:spacing w:after="0"/>
              <w:rPr>
                <w:sz w:val="20"/>
                <w:szCs w:val="20"/>
                <w:color w:val="auto"/>
              </w:rPr>
            </w:pPr>
            <w:r>
              <w:rPr>
                <w:rFonts w:ascii="Arial" w:cs="Arial" w:eastAsia="Arial" w:hAnsi="Arial"/>
                <w:sz w:val="14"/>
                <w:szCs w:val="14"/>
                <w:color w:val="51555C"/>
              </w:rPr>
              <w:t>100.0 %</w:t>
            </w:r>
          </w:p>
        </w:tc>
        <w:tc>
          <w:tcPr>
            <w:tcW w:w="20" w:type="dxa"/>
            <w:vAlign w:val="bottom"/>
          </w:tcPr>
          <w:p>
            <w:pPr>
              <w:spacing w:after="0"/>
              <w:rPr>
                <w:sz w:val="17"/>
                <w:szCs w:val="17"/>
                <w:color w:val="auto"/>
              </w:rPr>
            </w:pPr>
          </w:p>
        </w:tc>
      </w:tr>
      <w:tr>
        <w:trPr>
          <w:trHeight w:val="25"/>
        </w:trPr>
        <w:tc>
          <w:tcPr>
            <w:tcW w:w="4160" w:type="dxa"/>
            <w:vAlign w:val="bottom"/>
            <w:tcBorders>
              <w:bottom w:val="single" w:sz="8" w:color="EBFBFF"/>
            </w:tcBorders>
          </w:tcPr>
          <w:p>
            <w:pPr>
              <w:spacing w:after="0"/>
              <w:rPr>
                <w:sz w:val="2"/>
                <w:szCs w:val="2"/>
                <w:color w:val="auto"/>
              </w:rPr>
            </w:pPr>
          </w:p>
        </w:tc>
        <w:tc>
          <w:tcPr>
            <w:tcW w:w="400" w:type="dxa"/>
            <w:vAlign w:val="bottom"/>
            <w:tcBorders>
              <w:bottom w:val="single" w:sz="8" w:color="51555C"/>
            </w:tcBorders>
          </w:tcPr>
          <w:p>
            <w:pPr>
              <w:spacing w:after="0"/>
              <w:rPr>
                <w:sz w:val="2"/>
                <w:szCs w:val="2"/>
                <w:color w:val="auto"/>
              </w:rPr>
            </w:pPr>
          </w:p>
        </w:tc>
        <w:tc>
          <w:tcPr>
            <w:tcW w:w="840" w:type="dxa"/>
            <w:vAlign w:val="bottom"/>
            <w:tcBorders>
              <w:bottom w:val="single" w:sz="8" w:color="51555C"/>
            </w:tcBorders>
          </w:tcPr>
          <w:p>
            <w:pPr>
              <w:spacing w:after="0"/>
              <w:rPr>
                <w:sz w:val="2"/>
                <w:szCs w:val="2"/>
                <w:color w:val="auto"/>
              </w:rPr>
            </w:pPr>
          </w:p>
        </w:tc>
        <w:tc>
          <w:tcPr>
            <w:tcW w:w="440" w:type="dxa"/>
            <w:vAlign w:val="bottom"/>
            <w:tcBorders>
              <w:bottom w:val="single" w:sz="8" w:color="51555C"/>
            </w:tcBorders>
          </w:tcPr>
          <w:p>
            <w:pPr>
              <w:spacing w:after="0"/>
              <w:rPr>
                <w:sz w:val="2"/>
                <w:szCs w:val="2"/>
                <w:color w:val="auto"/>
              </w:rPr>
            </w:pPr>
          </w:p>
        </w:tc>
        <w:tc>
          <w:tcPr>
            <w:tcW w:w="680" w:type="dxa"/>
            <w:vAlign w:val="bottom"/>
            <w:tcBorders>
              <w:bottom w:val="single" w:sz="8" w:color="51555C"/>
            </w:tcBorders>
          </w:tcPr>
          <w:p>
            <w:pPr>
              <w:spacing w:after="0"/>
              <w:rPr>
                <w:sz w:val="2"/>
                <w:szCs w:val="2"/>
                <w:color w:val="auto"/>
              </w:rPr>
            </w:pPr>
          </w:p>
        </w:tc>
        <w:tc>
          <w:tcPr>
            <w:tcW w:w="1120" w:type="dxa"/>
            <w:vAlign w:val="bottom"/>
            <w:tcBorders>
              <w:bottom w:val="single" w:sz="8" w:color="EBFBFF"/>
            </w:tcBorders>
          </w:tcPr>
          <w:p>
            <w:pPr>
              <w:spacing w:after="0"/>
              <w:rPr>
                <w:sz w:val="2"/>
                <w:szCs w:val="2"/>
                <w:color w:val="auto"/>
              </w:rPr>
            </w:pPr>
          </w:p>
        </w:tc>
        <w:tc>
          <w:tcPr>
            <w:tcW w:w="80" w:type="dxa"/>
            <w:vAlign w:val="bottom"/>
            <w:tcBorders>
              <w:bottom w:val="single" w:sz="8" w:color="EBFBFF"/>
            </w:tcBorders>
          </w:tcPr>
          <w:p>
            <w:pPr>
              <w:spacing w:after="0"/>
              <w:rPr>
                <w:sz w:val="2"/>
                <w:szCs w:val="2"/>
                <w:color w:val="auto"/>
              </w:rPr>
            </w:pPr>
          </w:p>
        </w:tc>
        <w:tc>
          <w:tcPr>
            <w:tcW w:w="400" w:type="dxa"/>
            <w:vAlign w:val="bottom"/>
            <w:tcBorders>
              <w:bottom w:val="single" w:sz="8" w:color="51555C"/>
            </w:tcBorders>
          </w:tcPr>
          <w:p>
            <w:pPr>
              <w:spacing w:after="0"/>
              <w:rPr>
                <w:sz w:val="2"/>
                <w:szCs w:val="2"/>
                <w:color w:val="auto"/>
              </w:rPr>
            </w:pPr>
          </w:p>
        </w:tc>
        <w:tc>
          <w:tcPr>
            <w:tcW w:w="860" w:type="dxa"/>
            <w:vAlign w:val="bottom"/>
            <w:tcBorders>
              <w:bottom w:val="single" w:sz="8" w:color="51555C"/>
            </w:tcBorders>
          </w:tcPr>
          <w:p>
            <w:pPr>
              <w:spacing w:after="0"/>
              <w:rPr>
                <w:sz w:val="2"/>
                <w:szCs w:val="2"/>
                <w:color w:val="auto"/>
              </w:rPr>
            </w:pPr>
          </w:p>
        </w:tc>
        <w:tc>
          <w:tcPr>
            <w:tcW w:w="420" w:type="dxa"/>
            <w:vAlign w:val="bottom"/>
            <w:tcBorders>
              <w:bottom w:val="single" w:sz="8" w:color="51555C"/>
            </w:tcBorders>
          </w:tcPr>
          <w:p>
            <w:pPr>
              <w:spacing w:after="0"/>
              <w:rPr>
                <w:sz w:val="2"/>
                <w:szCs w:val="2"/>
                <w:color w:val="auto"/>
              </w:rPr>
            </w:pPr>
          </w:p>
        </w:tc>
        <w:tc>
          <w:tcPr>
            <w:tcW w:w="740" w:type="dxa"/>
            <w:vAlign w:val="bottom"/>
            <w:tcBorders>
              <w:bottom w:val="single" w:sz="8" w:color="51555C"/>
            </w:tcBorders>
          </w:tcPr>
          <w:p>
            <w:pPr>
              <w:spacing w:after="0"/>
              <w:rPr>
                <w:sz w:val="2"/>
                <w:szCs w:val="2"/>
                <w:color w:val="auto"/>
              </w:rPr>
            </w:pPr>
          </w:p>
        </w:tc>
        <w:tc>
          <w:tcPr>
            <w:tcW w:w="1100" w:type="dxa"/>
            <w:vAlign w:val="bottom"/>
            <w:tcBorders>
              <w:bottom w:val="single" w:sz="8" w:color="EBFBFF"/>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160" w:type="dxa"/>
            <w:vAlign w:val="bottom"/>
            <w:shd w:val="clear" w:color="auto" w:fill="EBFBFF"/>
          </w:tcPr>
          <w:p>
            <w:pPr>
              <w:ind w:left="240"/>
              <w:spacing w:after="0"/>
              <w:rPr>
                <w:sz w:val="20"/>
                <w:szCs w:val="20"/>
                <w:color w:val="auto"/>
              </w:rPr>
            </w:pPr>
            <w:r>
              <w:rPr>
                <w:rFonts w:ascii="Arial" w:cs="Arial" w:eastAsia="Arial" w:hAnsi="Arial"/>
                <w:sz w:val="14"/>
                <w:szCs w:val="14"/>
                <w:color w:val="51555C"/>
              </w:rPr>
              <w:t>Subtotal</w:t>
            </w:r>
            <w:r>
              <w:rPr>
                <w:rFonts w:ascii="Arial" w:cs="Arial" w:eastAsia="Arial" w:hAnsi="Arial"/>
                <w:sz w:val="18"/>
                <w:szCs w:val="18"/>
                <w:color w:val="51555C"/>
                <w:vertAlign w:val="superscript"/>
              </w:rPr>
              <w:t>(2)</w:t>
            </w:r>
          </w:p>
        </w:tc>
        <w:tc>
          <w:tcPr>
            <w:tcW w:w="400" w:type="dxa"/>
            <w:vAlign w:val="bottom"/>
            <w:tcBorders>
              <w:bottom w:val="single" w:sz="8" w:color="51555C"/>
            </w:tcBorders>
            <w:shd w:val="clear" w:color="auto" w:fill="EBFBFF"/>
          </w:tcPr>
          <w:p>
            <w:pPr>
              <w:spacing w:after="0"/>
              <w:rPr>
                <w:sz w:val="19"/>
                <w:szCs w:val="19"/>
                <w:color w:val="auto"/>
              </w:rPr>
            </w:pPr>
          </w:p>
        </w:tc>
        <w:tc>
          <w:tcPr>
            <w:tcW w:w="84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44.3</w:t>
            </w:r>
          </w:p>
        </w:tc>
        <w:tc>
          <w:tcPr>
            <w:tcW w:w="440" w:type="dxa"/>
            <w:vAlign w:val="bottom"/>
            <w:tcBorders>
              <w:bottom w:val="single" w:sz="8" w:color="51555C"/>
            </w:tcBorders>
            <w:shd w:val="clear" w:color="auto" w:fill="EBFBFF"/>
          </w:tcPr>
          <w:p>
            <w:pPr>
              <w:spacing w:after="0"/>
              <w:rPr>
                <w:sz w:val="19"/>
                <w:szCs w:val="19"/>
                <w:color w:val="auto"/>
              </w:rPr>
            </w:pPr>
          </w:p>
        </w:tc>
        <w:tc>
          <w:tcPr>
            <w:tcW w:w="680" w:type="dxa"/>
            <w:vAlign w:val="bottom"/>
            <w:tcBorders>
              <w:bottom w:val="single" w:sz="8" w:color="51555C"/>
            </w:tcBorders>
            <w:shd w:val="clear" w:color="auto" w:fill="EBFBFF"/>
          </w:tcPr>
          <w:p>
            <w:pPr>
              <w:jc w:val="right"/>
              <w:ind w:right="8"/>
              <w:spacing w:after="0"/>
              <w:rPr>
                <w:sz w:val="20"/>
                <w:szCs w:val="20"/>
                <w:color w:val="auto"/>
              </w:rPr>
            </w:pPr>
            <w:r>
              <w:rPr>
                <w:rFonts w:ascii="Arial" w:cs="Arial" w:eastAsia="Arial" w:hAnsi="Arial"/>
                <w:sz w:val="14"/>
                <w:szCs w:val="14"/>
                <w:color w:val="51555C"/>
              </w:rPr>
              <w:t>29.5</w:t>
            </w:r>
          </w:p>
        </w:tc>
        <w:tc>
          <w:tcPr>
            <w:tcW w:w="112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50.3 %</w:t>
            </w:r>
          </w:p>
        </w:tc>
        <w:tc>
          <w:tcPr>
            <w:tcW w:w="80" w:type="dxa"/>
            <w:vAlign w:val="bottom"/>
            <w:shd w:val="clear" w:color="auto" w:fill="EBFBFF"/>
          </w:tcPr>
          <w:p>
            <w:pPr>
              <w:spacing w:after="0"/>
              <w:rPr>
                <w:sz w:val="19"/>
                <w:szCs w:val="19"/>
                <w:color w:val="auto"/>
              </w:rPr>
            </w:pPr>
          </w:p>
        </w:tc>
        <w:tc>
          <w:tcPr>
            <w:tcW w:w="400" w:type="dxa"/>
            <w:vAlign w:val="bottom"/>
            <w:tcBorders>
              <w:bottom w:val="single" w:sz="8" w:color="51555C"/>
            </w:tcBorders>
            <w:shd w:val="clear" w:color="auto" w:fill="EBFBFF"/>
          </w:tcPr>
          <w:p>
            <w:pPr>
              <w:spacing w:after="0"/>
              <w:rPr>
                <w:sz w:val="19"/>
                <w:szCs w:val="19"/>
                <w:color w:val="auto"/>
              </w:rPr>
            </w:pPr>
          </w:p>
        </w:tc>
        <w:tc>
          <w:tcPr>
            <w:tcW w:w="86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121.6</w:t>
            </w:r>
          </w:p>
        </w:tc>
        <w:tc>
          <w:tcPr>
            <w:tcW w:w="420" w:type="dxa"/>
            <w:vAlign w:val="bottom"/>
            <w:tcBorders>
              <w:bottom w:val="single" w:sz="8" w:color="51555C"/>
            </w:tcBorders>
            <w:shd w:val="clear" w:color="auto" w:fill="EBFBFF"/>
          </w:tcPr>
          <w:p>
            <w:pPr>
              <w:spacing w:after="0"/>
              <w:rPr>
                <w:sz w:val="19"/>
                <w:szCs w:val="19"/>
                <w:color w:val="auto"/>
              </w:rPr>
            </w:pPr>
          </w:p>
        </w:tc>
        <w:tc>
          <w:tcPr>
            <w:tcW w:w="740" w:type="dxa"/>
            <w:vAlign w:val="bottom"/>
            <w:tcBorders>
              <w:bottom w:val="single" w:sz="8" w:color="51555C"/>
            </w:tcBorders>
            <w:shd w:val="clear" w:color="auto" w:fill="EBFBFF"/>
          </w:tcPr>
          <w:p>
            <w:pPr>
              <w:jc w:val="right"/>
              <w:ind w:right="8"/>
              <w:spacing w:after="0"/>
              <w:rPr>
                <w:sz w:val="20"/>
                <w:szCs w:val="20"/>
                <w:color w:val="auto"/>
              </w:rPr>
            </w:pPr>
            <w:r>
              <w:rPr>
                <w:rFonts w:ascii="Arial" w:cs="Arial" w:eastAsia="Arial" w:hAnsi="Arial"/>
                <w:sz w:val="14"/>
                <w:szCs w:val="14"/>
                <w:color w:val="51555C"/>
              </w:rPr>
              <w:t>92.0</w:t>
            </w:r>
          </w:p>
        </w:tc>
        <w:tc>
          <w:tcPr>
            <w:tcW w:w="110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32.2 %</w:t>
            </w:r>
          </w:p>
        </w:tc>
        <w:tc>
          <w:tcPr>
            <w:tcW w:w="20" w:type="dxa"/>
            <w:vAlign w:val="bottom"/>
          </w:tcPr>
          <w:p>
            <w:pPr>
              <w:spacing w:after="0"/>
              <w:rPr>
                <w:sz w:val="19"/>
                <w:szCs w:val="19"/>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4"/>
                <w:szCs w:val="14"/>
                <w:color w:val="51555C"/>
              </w:rPr>
              <w:t>Non-GAAP Adjusted EBITDA</w:t>
            </w:r>
            <w:r>
              <w:rPr>
                <w:rFonts w:ascii="Arial" w:cs="Arial" w:eastAsia="Arial" w:hAnsi="Arial"/>
                <w:sz w:val="18"/>
                <w:szCs w:val="18"/>
                <w:color w:val="51555C"/>
                <w:vertAlign w:val="superscript"/>
              </w:rPr>
              <w:t>(2)</w:t>
            </w:r>
          </w:p>
        </w:tc>
        <w:tc>
          <w:tcPr>
            <w:tcW w:w="400" w:type="dxa"/>
            <w:vAlign w:val="bottom"/>
          </w:tcPr>
          <w:p>
            <w:pPr>
              <w:jc w:val="right"/>
              <w:ind w:right="228"/>
              <w:spacing w:after="0"/>
              <w:rPr>
                <w:sz w:val="20"/>
                <w:szCs w:val="20"/>
                <w:color w:val="auto"/>
              </w:rPr>
            </w:pPr>
            <w:r>
              <w:rPr>
                <w:rFonts w:ascii="Arial" w:cs="Arial" w:eastAsia="Arial" w:hAnsi="Arial"/>
                <w:sz w:val="14"/>
                <w:szCs w:val="14"/>
                <w:color w:val="51555C"/>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51555C"/>
              </w:rPr>
              <w:t>66.9</w:t>
            </w:r>
          </w:p>
        </w:tc>
        <w:tc>
          <w:tcPr>
            <w:tcW w:w="440" w:type="dxa"/>
            <w:vAlign w:val="bottom"/>
          </w:tcPr>
          <w:p>
            <w:pPr>
              <w:jc w:val="right"/>
              <w:ind w:right="268"/>
              <w:spacing w:after="0"/>
              <w:rPr>
                <w:sz w:val="20"/>
                <w:szCs w:val="20"/>
                <w:color w:val="auto"/>
              </w:rPr>
            </w:pPr>
            <w:r>
              <w:rPr>
                <w:rFonts w:ascii="Arial" w:cs="Arial" w:eastAsia="Arial" w:hAnsi="Arial"/>
                <w:sz w:val="14"/>
                <w:szCs w:val="14"/>
                <w:color w:val="51555C"/>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51555C"/>
              </w:rPr>
              <w:t>62.4</w:t>
            </w:r>
          </w:p>
        </w:tc>
        <w:tc>
          <w:tcPr>
            <w:tcW w:w="1120" w:type="dxa"/>
            <w:vAlign w:val="bottom"/>
          </w:tcPr>
          <w:p>
            <w:pPr>
              <w:jc w:val="right"/>
              <w:spacing w:after="0"/>
              <w:rPr>
                <w:sz w:val="20"/>
                <w:szCs w:val="20"/>
                <w:color w:val="auto"/>
              </w:rPr>
            </w:pPr>
            <w:r>
              <w:rPr>
                <w:rFonts w:ascii="Arial" w:cs="Arial" w:eastAsia="Arial" w:hAnsi="Arial"/>
                <w:sz w:val="14"/>
                <w:szCs w:val="14"/>
                <w:color w:val="51555C"/>
              </w:rPr>
              <w:t>7.3 %</w:t>
            </w:r>
          </w:p>
        </w:tc>
        <w:tc>
          <w:tcPr>
            <w:tcW w:w="480" w:type="dxa"/>
            <w:vAlign w:val="bottom"/>
            <w:gridSpan w:val="2"/>
          </w:tcPr>
          <w:p>
            <w:pPr>
              <w:jc w:val="right"/>
              <w:ind w:right="300"/>
              <w:spacing w:after="0"/>
              <w:rPr>
                <w:sz w:val="20"/>
                <w:szCs w:val="20"/>
                <w:color w:val="auto"/>
              </w:rPr>
            </w:pPr>
            <w:r>
              <w:rPr>
                <w:rFonts w:ascii="Arial" w:cs="Arial" w:eastAsia="Arial" w:hAnsi="Arial"/>
                <w:sz w:val="14"/>
                <w:szCs w:val="14"/>
                <w:color w:val="51555C"/>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51555C"/>
              </w:rPr>
              <w:t>194.7</w:t>
            </w:r>
          </w:p>
        </w:tc>
        <w:tc>
          <w:tcPr>
            <w:tcW w:w="420" w:type="dxa"/>
            <w:vAlign w:val="bottom"/>
          </w:tcPr>
          <w:p>
            <w:pPr>
              <w:jc w:val="right"/>
              <w:ind w:right="248"/>
              <w:spacing w:after="0"/>
              <w:rPr>
                <w:sz w:val="20"/>
                <w:szCs w:val="20"/>
                <w:color w:val="auto"/>
              </w:rPr>
            </w:pPr>
            <w:r>
              <w:rPr>
                <w:rFonts w:ascii="Arial" w:cs="Arial" w:eastAsia="Arial" w:hAnsi="Arial"/>
                <w:sz w:val="14"/>
                <w:szCs w:val="14"/>
                <w:color w:val="51555C"/>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51555C"/>
              </w:rPr>
              <w:t>185.4</w:t>
            </w:r>
          </w:p>
        </w:tc>
        <w:tc>
          <w:tcPr>
            <w:tcW w:w="1100" w:type="dxa"/>
            <w:vAlign w:val="bottom"/>
          </w:tcPr>
          <w:p>
            <w:pPr>
              <w:jc w:val="right"/>
              <w:spacing w:after="0"/>
              <w:rPr>
                <w:sz w:val="20"/>
                <w:szCs w:val="20"/>
                <w:color w:val="auto"/>
              </w:rPr>
            </w:pPr>
            <w:r>
              <w:rPr>
                <w:rFonts w:ascii="Arial" w:cs="Arial" w:eastAsia="Arial" w:hAnsi="Arial"/>
                <w:sz w:val="14"/>
                <w:szCs w:val="14"/>
                <w:color w:val="51555C"/>
              </w:rPr>
              <w:t>5.0 %</w:t>
            </w:r>
          </w:p>
        </w:tc>
        <w:tc>
          <w:tcPr>
            <w:tcW w:w="20" w:type="dxa"/>
            <w:vAlign w:val="bottom"/>
          </w:tcPr>
          <w:p>
            <w:pPr>
              <w:spacing w:after="0"/>
              <w:rPr>
                <w:sz w:val="19"/>
                <w:szCs w:val="19"/>
                <w:color w:val="auto"/>
              </w:rPr>
            </w:pPr>
          </w:p>
        </w:tc>
      </w:tr>
      <w:tr>
        <w:trPr>
          <w:trHeight w:val="203"/>
        </w:trPr>
        <w:tc>
          <w:tcPr>
            <w:tcW w:w="4160" w:type="dxa"/>
            <w:vAlign w:val="bottom"/>
            <w:tcBorders>
              <w:top w:val="single" w:sz="8" w:color="EBFBFF"/>
              <w:bottom w:val="single" w:sz="8" w:color="EBFBFF"/>
            </w:tcBorders>
            <w:shd w:val="clear" w:color="auto" w:fill="EBFBFF"/>
          </w:tcPr>
          <w:p>
            <w:pPr>
              <w:ind w:left="140"/>
              <w:spacing w:after="0"/>
              <w:rPr>
                <w:sz w:val="20"/>
                <w:szCs w:val="20"/>
                <w:color w:val="auto"/>
              </w:rPr>
            </w:pPr>
            <w:r>
              <w:rPr>
                <w:rFonts w:ascii="Arial" w:cs="Arial" w:eastAsia="Arial" w:hAnsi="Arial"/>
                <w:sz w:val="14"/>
                <w:szCs w:val="14"/>
                <w:b w:val="1"/>
                <w:bCs w:val="1"/>
                <w:color w:val="51555C"/>
              </w:rPr>
              <w:t>Non-GAAP Adjusted EBITDA margin</w:t>
            </w:r>
          </w:p>
        </w:tc>
        <w:tc>
          <w:tcPr>
            <w:tcW w:w="400" w:type="dxa"/>
            <w:vAlign w:val="bottom"/>
            <w:tcBorders>
              <w:top w:val="single" w:sz="8" w:color="51555C"/>
              <w:bottom w:val="single" w:sz="8" w:color="EBFBFF"/>
            </w:tcBorders>
            <w:shd w:val="clear" w:color="auto" w:fill="EBFBFF"/>
          </w:tcPr>
          <w:p>
            <w:pPr>
              <w:spacing w:after="0"/>
              <w:rPr>
                <w:sz w:val="17"/>
                <w:szCs w:val="17"/>
                <w:color w:val="auto"/>
              </w:rPr>
            </w:pPr>
          </w:p>
        </w:tc>
        <w:tc>
          <w:tcPr>
            <w:tcW w:w="84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25.6 %</w:t>
            </w:r>
          </w:p>
        </w:tc>
        <w:tc>
          <w:tcPr>
            <w:tcW w:w="440" w:type="dxa"/>
            <w:vAlign w:val="bottom"/>
            <w:tcBorders>
              <w:top w:val="single" w:sz="8" w:color="51555C"/>
              <w:bottom w:val="single" w:sz="8" w:color="EBFBFF"/>
            </w:tcBorders>
            <w:shd w:val="clear" w:color="auto" w:fill="EBFBFF"/>
          </w:tcPr>
          <w:p>
            <w:pPr>
              <w:spacing w:after="0"/>
              <w:rPr>
                <w:sz w:val="17"/>
                <w:szCs w:val="17"/>
                <w:color w:val="auto"/>
              </w:rPr>
            </w:pPr>
          </w:p>
        </w:tc>
        <w:tc>
          <w:tcPr>
            <w:tcW w:w="680" w:type="dxa"/>
            <w:vAlign w:val="bottom"/>
            <w:tcBorders>
              <w:top w:val="single" w:sz="8" w:color="51555C"/>
              <w:bottom w:val="single" w:sz="8" w:color="EBFBFF"/>
            </w:tcBorders>
            <w:shd w:val="clear" w:color="auto" w:fill="EBFBFF"/>
          </w:tcPr>
          <w:p>
            <w:pPr>
              <w:spacing w:after="0"/>
              <w:rPr>
                <w:sz w:val="17"/>
                <w:szCs w:val="17"/>
                <w:color w:val="auto"/>
              </w:rPr>
            </w:pPr>
          </w:p>
        </w:tc>
        <w:tc>
          <w:tcPr>
            <w:tcW w:w="1120" w:type="dxa"/>
            <w:vAlign w:val="bottom"/>
            <w:tcBorders>
              <w:top w:val="single" w:sz="8" w:color="EBFBFF"/>
              <w:bottom w:val="single" w:sz="8" w:color="EBFBFF"/>
              <w:right w:val="single" w:sz="8" w:color="EBFBFF"/>
            </w:tcBorders>
            <w:shd w:val="clear" w:color="auto" w:fill="EBFBFF"/>
          </w:tcPr>
          <w:p>
            <w:pPr>
              <w:spacing w:after="0"/>
              <w:rPr>
                <w:sz w:val="17"/>
                <w:szCs w:val="17"/>
                <w:color w:val="auto"/>
              </w:rPr>
            </w:pPr>
          </w:p>
        </w:tc>
        <w:tc>
          <w:tcPr>
            <w:tcW w:w="80" w:type="dxa"/>
            <w:vAlign w:val="bottom"/>
            <w:tcBorders>
              <w:top w:val="single" w:sz="8" w:color="EBFBFF"/>
              <w:bottom w:val="single" w:sz="8" w:color="EBFBFF"/>
            </w:tcBorders>
            <w:shd w:val="clear" w:color="auto" w:fill="EBFBFF"/>
          </w:tcPr>
          <w:p>
            <w:pPr>
              <w:spacing w:after="0"/>
              <w:rPr>
                <w:sz w:val="17"/>
                <w:szCs w:val="17"/>
                <w:color w:val="auto"/>
              </w:rPr>
            </w:pPr>
          </w:p>
        </w:tc>
        <w:tc>
          <w:tcPr>
            <w:tcW w:w="400" w:type="dxa"/>
            <w:vAlign w:val="bottom"/>
            <w:tcBorders>
              <w:top w:val="single" w:sz="8" w:color="51555C"/>
              <w:bottom w:val="single" w:sz="8" w:color="EBFBFF"/>
            </w:tcBorders>
            <w:shd w:val="clear" w:color="auto" w:fill="EBFBFF"/>
          </w:tcPr>
          <w:p>
            <w:pPr>
              <w:spacing w:after="0"/>
              <w:rPr>
                <w:sz w:val="17"/>
                <w:szCs w:val="17"/>
                <w:color w:val="auto"/>
              </w:rPr>
            </w:pPr>
          </w:p>
        </w:tc>
        <w:tc>
          <w:tcPr>
            <w:tcW w:w="86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24.9 %</w:t>
            </w:r>
          </w:p>
        </w:tc>
        <w:tc>
          <w:tcPr>
            <w:tcW w:w="420" w:type="dxa"/>
            <w:vAlign w:val="bottom"/>
            <w:tcBorders>
              <w:top w:val="single" w:sz="8" w:color="51555C"/>
              <w:bottom w:val="single" w:sz="8" w:color="EBFBFF"/>
            </w:tcBorders>
            <w:shd w:val="clear" w:color="auto" w:fill="EBFBFF"/>
          </w:tcPr>
          <w:p>
            <w:pPr>
              <w:spacing w:after="0"/>
              <w:rPr>
                <w:sz w:val="17"/>
                <w:szCs w:val="17"/>
                <w:color w:val="auto"/>
              </w:rPr>
            </w:pPr>
          </w:p>
        </w:tc>
        <w:tc>
          <w:tcPr>
            <w:tcW w:w="740" w:type="dxa"/>
            <w:vAlign w:val="bottom"/>
            <w:tcBorders>
              <w:top w:val="single" w:sz="8" w:color="51555C"/>
              <w:bottom w:val="single" w:sz="8" w:color="EBFBFF"/>
            </w:tcBorders>
            <w:shd w:val="clear" w:color="auto" w:fill="EBFBFF"/>
          </w:tcPr>
          <w:p>
            <w:pPr>
              <w:spacing w:after="0"/>
              <w:rPr>
                <w:sz w:val="17"/>
                <w:szCs w:val="17"/>
                <w:color w:val="auto"/>
              </w:rPr>
            </w:pPr>
          </w:p>
        </w:tc>
        <w:tc>
          <w:tcPr>
            <w:tcW w:w="1100" w:type="dxa"/>
            <w:vAlign w:val="bottom"/>
            <w:tcBorders>
              <w:top w:val="single" w:sz="8" w:color="EBFBFF"/>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95"/>
        </w:trPr>
        <w:tc>
          <w:tcPr>
            <w:tcW w:w="4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29"/>
        </w:trPr>
        <w:tc>
          <w:tcPr>
            <w:tcW w:w="416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Rule of 40</w:t>
            </w:r>
            <w:r>
              <w:rPr>
                <w:rFonts w:ascii="Arial" w:cs="Arial" w:eastAsia="Arial" w:hAnsi="Arial"/>
                <w:sz w:val="18"/>
                <w:szCs w:val="18"/>
                <w:b w:val="1"/>
                <w:bCs w:val="1"/>
                <w:color w:val="51555C"/>
                <w:vertAlign w:val="superscript"/>
              </w:rPr>
              <w:t>(4)</w:t>
            </w:r>
          </w:p>
        </w:tc>
        <w:tc>
          <w:tcPr>
            <w:tcW w:w="400" w:type="dxa"/>
            <w:vAlign w:val="bottom"/>
            <w:shd w:val="clear" w:color="auto" w:fill="EBFBFF"/>
          </w:tcPr>
          <w:p>
            <w:pPr>
              <w:spacing w:after="0"/>
              <w:rPr>
                <w:sz w:val="19"/>
                <w:szCs w:val="19"/>
                <w:color w:val="auto"/>
              </w:rPr>
            </w:pPr>
          </w:p>
        </w:tc>
        <w:tc>
          <w:tcPr>
            <w:tcW w:w="840" w:type="dxa"/>
            <w:vAlign w:val="bottom"/>
            <w:shd w:val="clear" w:color="auto" w:fill="EBFBFF"/>
          </w:tcPr>
          <w:p>
            <w:pPr>
              <w:jc w:val="right"/>
              <w:spacing w:after="0"/>
              <w:rPr>
                <w:sz w:val="20"/>
                <w:szCs w:val="20"/>
                <w:color w:val="auto"/>
              </w:rPr>
            </w:pPr>
            <w:r>
              <w:rPr>
                <w:rFonts w:ascii="Arial" w:cs="Arial" w:eastAsia="Arial" w:hAnsi="Arial"/>
                <w:sz w:val="14"/>
                <w:szCs w:val="14"/>
                <w:b w:val="1"/>
                <w:bCs w:val="1"/>
                <w:color w:val="51555C"/>
              </w:rPr>
              <w:t>27.3 %</w:t>
            </w:r>
          </w:p>
        </w:tc>
        <w:tc>
          <w:tcPr>
            <w:tcW w:w="440" w:type="dxa"/>
            <w:vAlign w:val="bottom"/>
            <w:shd w:val="clear" w:color="auto" w:fill="EBFBFF"/>
          </w:tcPr>
          <w:p>
            <w:pPr>
              <w:spacing w:after="0"/>
              <w:rPr>
                <w:sz w:val="19"/>
                <w:szCs w:val="19"/>
                <w:color w:val="auto"/>
              </w:rPr>
            </w:pPr>
          </w:p>
        </w:tc>
        <w:tc>
          <w:tcPr>
            <w:tcW w:w="680" w:type="dxa"/>
            <w:vAlign w:val="bottom"/>
            <w:shd w:val="clear" w:color="auto" w:fill="EBFBFF"/>
          </w:tcPr>
          <w:p>
            <w:pPr>
              <w:spacing w:after="0"/>
              <w:rPr>
                <w:sz w:val="19"/>
                <w:szCs w:val="19"/>
                <w:color w:val="auto"/>
              </w:rPr>
            </w:pPr>
          </w:p>
        </w:tc>
        <w:tc>
          <w:tcPr>
            <w:tcW w:w="1120" w:type="dxa"/>
            <w:vAlign w:val="bottom"/>
            <w:tcBorders>
              <w:right w:val="single" w:sz="8" w:color="EBFBFF"/>
            </w:tcBorders>
            <w:shd w:val="clear" w:color="auto" w:fill="EBFBFF"/>
          </w:tcPr>
          <w:p>
            <w:pPr>
              <w:spacing w:after="0"/>
              <w:rPr>
                <w:sz w:val="19"/>
                <w:szCs w:val="19"/>
                <w:color w:val="auto"/>
              </w:rPr>
            </w:pPr>
          </w:p>
        </w:tc>
        <w:tc>
          <w:tcPr>
            <w:tcW w:w="80" w:type="dxa"/>
            <w:vAlign w:val="bottom"/>
            <w:shd w:val="clear" w:color="auto" w:fill="EBFBFF"/>
          </w:tcPr>
          <w:p>
            <w:pPr>
              <w:spacing w:after="0"/>
              <w:rPr>
                <w:sz w:val="19"/>
                <w:szCs w:val="19"/>
                <w:color w:val="auto"/>
              </w:rPr>
            </w:pPr>
          </w:p>
        </w:tc>
        <w:tc>
          <w:tcPr>
            <w:tcW w:w="400" w:type="dxa"/>
            <w:vAlign w:val="bottom"/>
            <w:shd w:val="clear" w:color="auto" w:fill="EBFBFF"/>
          </w:tcPr>
          <w:p>
            <w:pPr>
              <w:spacing w:after="0"/>
              <w:rPr>
                <w:sz w:val="19"/>
                <w:szCs w:val="19"/>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4"/>
                <w:szCs w:val="14"/>
                <w:b w:val="1"/>
                <w:bCs w:val="1"/>
                <w:color w:val="51555C"/>
              </w:rPr>
              <w:t>28.4 %</w:t>
            </w:r>
          </w:p>
        </w:tc>
        <w:tc>
          <w:tcPr>
            <w:tcW w:w="420" w:type="dxa"/>
            <w:vAlign w:val="bottom"/>
            <w:shd w:val="clear" w:color="auto" w:fill="EBFBFF"/>
          </w:tcPr>
          <w:p>
            <w:pPr>
              <w:spacing w:after="0"/>
              <w:rPr>
                <w:sz w:val="19"/>
                <w:szCs w:val="19"/>
                <w:color w:val="auto"/>
              </w:rPr>
            </w:pPr>
          </w:p>
        </w:tc>
        <w:tc>
          <w:tcPr>
            <w:tcW w:w="740" w:type="dxa"/>
            <w:vAlign w:val="bottom"/>
            <w:shd w:val="clear" w:color="auto" w:fill="EBFBFF"/>
          </w:tcPr>
          <w:p>
            <w:pPr>
              <w:spacing w:after="0"/>
              <w:rPr>
                <w:sz w:val="19"/>
                <w:szCs w:val="19"/>
                <w:color w:val="auto"/>
              </w:rPr>
            </w:pPr>
          </w:p>
        </w:tc>
        <w:tc>
          <w:tcPr>
            <w:tcW w:w="1100" w:type="dxa"/>
            <w:vAlign w:val="bottom"/>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1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Non-GAAP adjusted EBITDA</w:t>
            </w:r>
          </w:p>
        </w:tc>
        <w:tc>
          <w:tcPr>
            <w:tcW w:w="400" w:type="dxa"/>
            <w:vAlign w:val="bottom"/>
            <w:tcBorders>
              <w:bottom w:val="single" w:sz="8" w:color="EBFBFF"/>
            </w:tcBorders>
            <w:shd w:val="clear" w:color="auto" w:fill="EBFBFF"/>
          </w:tcPr>
          <w:p>
            <w:pPr>
              <w:spacing w:after="0"/>
              <w:rPr>
                <w:sz w:val="18"/>
                <w:szCs w:val="18"/>
                <w:color w:val="auto"/>
              </w:rPr>
            </w:pPr>
          </w:p>
        </w:tc>
        <w:tc>
          <w:tcPr>
            <w:tcW w:w="84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66.9</w:t>
            </w:r>
          </w:p>
        </w:tc>
        <w:tc>
          <w:tcPr>
            <w:tcW w:w="440" w:type="dxa"/>
            <w:vAlign w:val="bottom"/>
            <w:tcBorders>
              <w:bottom w:val="single" w:sz="8" w:color="EBFBFF"/>
            </w:tcBorders>
            <w:shd w:val="clear" w:color="auto" w:fill="EBFBFF"/>
          </w:tcPr>
          <w:p>
            <w:pPr>
              <w:spacing w:after="0"/>
              <w:rPr>
                <w:sz w:val="18"/>
                <w:szCs w:val="18"/>
                <w:color w:val="auto"/>
              </w:rPr>
            </w:pPr>
          </w:p>
        </w:tc>
        <w:tc>
          <w:tcPr>
            <w:tcW w:w="68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62.4</w:t>
            </w:r>
          </w:p>
        </w:tc>
        <w:tc>
          <w:tcPr>
            <w:tcW w:w="112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7.3 %</w:t>
            </w:r>
          </w:p>
        </w:tc>
        <w:tc>
          <w:tcPr>
            <w:tcW w:w="80" w:type="dxa"/>
            <w:vAlign w:val="bottom"/>
            <w:tcBorders>
              <w:bottom w:val="single" w:sz="8" w:color="EBFBFF"/>
            </w:tcBorders>
            <w:shd w:val="clear" w:color="auto" w:fill="EBFBFF"/>
          </w:tcPr>
          <w:p>
            <w:pPr>
              <w:spacing w:after="0"/>
              <w:rPr>
                <w:sz w:val="18"/>
                <w:szCs w:val="18"/>
                <w:color w:val="auto"/>
              </w:rPr>
            </w:pPr>
          </w:p>
        </w:tc>
        <w:tc>
          <w:tcPr>
            <w:tcW w:w="400" w:type="dxa"/>
            <w:vAlign w:val="bottom"/>
            <w:tcBorders>
              <w:bottom w:val="single" w:sz="8" w:color="EBFBFF"/>
            </w:tcBorders>
            <w:shd w:val="clear" w:color="auto" w:fill="EBFBFF"/>
          </w:tcPr>
          <w:p>
            <w:pPr>
              <w:spacing w:after="0"/>
              <w:rPr>
                <w:sz w:val="18"/>
                <w:szCs w:val="18"/>
                <w:color w:val="auto"/>
              </w:rPr>
            </w:pPr>
          </w:p>
        </w:tc>
        <w:tc>
          <w:tcPr>
            <w:tcW w:w="86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194.7</w:t>
            </w:r>
          </w:p>
        </w:tc>
        <w:tc>
          <w:tcPr>
            <w:tcW w:w="420" w:type="dxa"/>
            <w:vAlign w:val="bottom"/>
            <w:tcBorders>
              <w:bottom w:val="single" w:sz="8" w:color="EBFBFF"/>
            </w:tcBorders>
            <w:shd w:val="clear" w:color="auto" w:fill="EBFBFF"/>
          </w:tcPr>
          <w:p>
            <w:pPr>
              <w:spacing w:after="0"/>
              <w:rPr>
                <w:sz w:val="18"/>
                <w:szCs w:val="18"/>
                <w:color w:val="auto"/>
              </w:rPr>
            </w:pPr>
          </w:p>
        </w:tc>
        <w:tc>
          <w:tcPr>
            <w:tcW w:w="74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185.4</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5.0 %</w:t>
            </w:r>
          </w:p>
        </w:tc>
        <w:tc>
          <w:tcPr>
            <w:tcW w:w="20" w:type="dxa"/>
            <w:vAlign w:val="bottom"/>
          </w:tcPr>
          <w:p>
            <w:pPr>
              <w:spacing w:after="0"/>
              <w:rPr>
                <w:sz w:val="18"/>
                <w:szCs w:val="18"/>
                <w:color w:val="auto"/>
              </w:rPr>
            </w:pPr>
          </w:p>
        </w:tc>
      </w:tr>
      <w:tr>
        <w:trPr>
          <w:trHeight w:val="230"/>
        </w:trPr>
        <w:tc>
          <w:tcPr>
            <w:tcW w:w="4160" w:type="dxa"/>
            <w:vAlign w:val="bottom"/>
            <w:tcBorders>
              <w:bottom w:val="single" w:sz="8" w:color="EBFBFF"/>
            </w:tcBorders>
          </w:tcPr>
          <w:p>
            <w:pPr>
              <w:ind w:left="140"/>
              <w:spacing w:after="0"/>
              <w:rPr>
                <w:sz w:val="20"/>
                <w:szCs w:val="20"/>
                <w:color w:val="auto"/>
              </w:rPr>
            </w:pPr>
            <w:r>
              <w:rPr>
                <w:rFonts w:ascii="Arial" w:cs="Arial" w:eastAsia="Arial" w:hAnsi="Arial"/>
                <w:sz w:val="14"/>
                <w:szCs w:val="14"/>
                <w:color w:val="51555C"/>
              </w:rPr>
              <w:t>Foreign currency impact on Non-GAAP adjusted EBITDA</w:t>
            </w:r>
            <w:r>
              <w:rPr>
                <w:rFonts w:ascii="Arial" w:cs="Arial" w:eastAsia="Arial" w:hAnsi="Arial"/>
                <w:sz w:val="18"/>
                <w:szCs w:val="18"/>
                <w:color w:val="51555C"/>
                <w:vertAlign w:val="superscript"/>
              </w:rPr>
              <w:t>(5)</w:t>
            </w:r>
          </w:p>
        </w:tc>
        <w:tc>
          <w:tcPr>
            <w:tcW w:w="400" w:type="dxa"/>
            <w:vAlign w:val="bottom"/>
            <w:tcBorders>
              <w:bottom w:val="single" w:sz="8" w:color="51555C"/>
            </w:tcBorders>
          </w:tcPr>
          <w:p>
            <w:pPr>
              <w:spacing w:after="0"/>
              <w:rPr>
                <w:sz w:val="19"/>
                <w:szCs w:val="19"/>
                <w:color w:val="auto"/>
              </w:rPr>
            </w:pPr>
          </w:p>
        </w:tc>
        <w:tc>
          <w:tcPr>
            <w:tcW w:w="84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2.8</w:t>
            </w:r>
          </w:p>
        </w:tc>
        <w:tc>
          <w:tcPr>
            <w:tcW w:w="440" w:type="dxa"/>
            <w:vAlign w:val="bottom"/>
            <w:tcBorders>
              <w:bottom w:val="single" w:sz="8" w:color="51555C"/>
            </w:tcBorders>
          </w:tcPr>
          <w:p>
            <w:pPr>
              <w:spacing w:after="0"/>
              <w:rPr>
                <w:sz w:val="19"/>
                <w:szCs w:val="19"/>
                <w:color w:val="auto"/>
              </w:rPr>
            </w:pPr>
          </w:p>
        </w:tc>
        <w:tc>
          <w:tcPr>
            <w:tcW w:w="680" w:type="dxa"/>
            <w:vAlign w:val="bottom"/>
            <w:tcBorders>
              <w:bottom w:val="single" w:sz="8" w:color="51555C"/>
            </w:tcBorders>
          </w:tcPr>
          <w:p>
            <w:pPr>
              <w:jc w:val="center"/>
              <w:ind w:left="248"/>
              <w:spacing w:after="0"/>
              <w:rPr>
                <w:sz w:val="20"/>
                <w:szCs w:val="20"/>
                <w:color w:val="auto"/>
              </w:rPr>
            </w:pPr>
            <w:r>
              <w:rPr>
                <w:rFonts w:ascii="Arial" w:cs="Arial" w:eastAsia="Arial" w:hAnsi="Arial"/>
                <w:sz w:val="14"/>
                <w:szCs w:val="14"/>
                <w:color w:val="51555C"/>
                <w:w w:val="97"/>
              </w:rPr>
              <w:t>(1.1)</w:t>
            </w:r>
          </w:p>
        </w:tc>
        <w:tc>
          <w:tcPr>
            <w:tcW w:w="1120" w:type="dxa"/>
            <w:vAlign w:val="bottom"/>
            <w:tcBorders>
              <w:bottom w:val="single" w:sz="8" w:color="EBFBFF"/>
            </w:tcBorders>
          </w:tcPr>
          <w:p>
            <w:pPr>
              <w:jc w:val="right"/>
              <w:spacing w:after="0"/>
              <w:rPr>
                <w:sz w:val="20"/>
                <w:szCs w:val="20"/>
                <w:color w:val="auto"/>
              </w:rPr>
            </w:pPr>
            <w:r>
              <w:rPr>
                <w:rFonts w:ascii="Arial" w:cs="Arial" w:eastAsia="Arial" w:hAnsi="Arial"/>
                <w:sz w:val="14"/>
                <w:szCs w:val="14"/>
                <w:color w:val="51555C"/>
              </w:rPr>
              <w:t>(357.5)%</w:t>
            </w:r>
          </w:p>
        </w:tc>
        <w:tc>
          <w:tcPr>
            <w:tcW w:w="80" w:type="dxa"/>
            <w:vAlign w:val="bottom"/>
            <w:tcBorders>
              <w:bottom w:val="single" w:sz="8" w:color="EBFBFF"/>
            </w:tcBorders>
          </w:tcPr>
          <w:p>
            <w:pPr>
              <w:spacing w:after="0"/>
              <w:rPr>
                <w:sz w:val="19"/>
                <w:szCs w:val="19"/>
                <w:color w:val="auto"/>
              </w:rPr>
            </w:pPr>
          </w:p>
        </w:tc>
        <w:tc>
          <w:tcPr>
            <w:tcW w:w="400" w:type="dxa"/>
            <w:vAlign w:val="bottom"/>
            <w:tcBorders>
              <w:bottom w:val="single" w:sz="8" w:color="51555C"/>
            </w:tcBorders>
          </w:tcPr>
          <w:p>
            <w:pPr>
              <w:spacing w:after="0"/>
              <w:rPr>
                <w:sz w:val="19"/>
                <w:szCs w:val="19"/>
                <w:color w:val="auto"/>
              </w:rPr>
            </w:pPr>
          </w:p>
        </w:tc>
        <w:tc>
          <w:tcPr>
            <w:tcW w:w="86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5.0</w:t>
            </w:r>
          </w:p>
        </w:tc>
        <w:tc>
          <w:tcPr>
            <w:tcW w:w="420" w:type="dxa"/>
            <w:vAlign w:val="bottom"/>
            <w:tcBorders>
              <w:bottom w:val="single" w:sz="8" w:color="51555C"/>
            </w:tcBorders>
          </w:tcPr>
          <w:p>
            <w:pPr>
              <w:spacing w:after="0"/>
              <w:rPr>
                <w:sz w:val="19"/>
                <w:szCs w:val="19"/>
                <w:color w:val="auto"/>
              </w:rPr>
            </w:pPr>
          </w:p>
        </w:tc>
        <w:tc>
          <w:tcPr>
            <w:tcW w:w="740" w:type="dxa"/>
            <w:vAlign w:val="bottom"/>
            <w:tcBorders>
              <w:bottom w:val="single" w:sz="8" w:color="51555C"/>
            </w:tcBorders>
          </w:tcPr>
          <w:p>
            <w:pPr>
              <w:jc w:val="center"/>
              <w:ind w:left="308"/>
              <w:spacing w:after="0"/>
              <w:rPr>
                <w:sz w:val="20"/>
                <w:szCs w:val="20"/>
                <w:color w:val="auto"/>
              </w:rPr>
            </w:pPr>
            <w:r>
              <w:rPr>
                <w:rFonts w:ascii="Arial" w:cs="Arial" w:eastAsia="Arial" w:hAnsi="Arial"/>
                <w:sz w:val="14"/>
                <w:szCs w:val="14"/>
                <w:color w:val="51555C"/>
                <w:w w:val="97"/>
              </w:rPr>
              <w:t>(3.3)</w:t>
            </w:r>
          </w:p>
        </w:tc>
        <w:tc>
          <w:tcPr>
            <w:tcW w:w="1100" w:type="dxa"/>
            <w:vAlign w:val="bottom"/>
            <w:tcBorders>
              <w:bottom w:val="single" w:sz="8" w:color="EBFBFF"/>
            </w:tcBorders>
          </w:tcPr>
          <w:p>
            <w:pPr>
              <w:jc w:val="right"/>
              <w:spacing w:after="0"/>
              <w:rPr>
                <w:sz w:val="20"/>
                <w:szCs w:val="20"/>
                <w:color w:val="auto"/>
              </w:rPr>
            </w:pPr>
            <w:r>
              <w:rPr>
                <w:rFonts w:ascii="Arial" w:cs="Arial" w:eastAsia="Arial" w:hAnsi="Arial"/>
                <w:sz w:val="14"/>
                <w:szCs w:val="14"/>
                <w:color w:val="51555C"/>
              </w:rPr>
              <w:t>(249.6)%</w:t>
            </w:r>
          </w:p>
        </w:tc>
        <w:tc>
          <w:tcPr>
            <w:tcW w:w="20" w:type="dxa"/>
            <w:vAlign w:val="bottom"/>
          </w:tcPr>
          <w:p>
            <w:pPr>
              <w:spacing w:after="0"/>
              <w:rPr>
                <w:sz w:val="19"/>
                <w:szCs w:val="19"/>
                <w:color w:val="auto"/>
              </w:rPr>
            </w:pPr>
          </w:p>
        </w:tc>
      </w:tr>
      <w:tr>
        <w:trPr>
          <w:trHeight w:val="223"/>
        </w:trPr>
        <w:tc>
          <w:tcPr>
            <w:tcW w:w="41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adjusted EBITDA on constant currency basis</w:t>
            </w:r>
            <w:r>
              <w:rPr>
                <w:rFonts w:ascii="Arial" w:cs="Arial" w:eastAsia="Arial" w:hAnsi="Arial"/>
                <w:sz w:val="18"/>
                <w:szCs w:val="18"/>
                <w:color w:val="51555C"/>
                <w:vertAlign w:val="superscript"/>
              </w:rPr>
              <w:t>(5)</w:t>
            </w:r>
          </w:p>
        </w:tc>
        <w:tc>
          <w:tcPr>
            <w:tcW w:w="400" w:type="dxa"/>
            <w:vAlign w:val="bottom"/>
            <w:shd w:val="clear" w:color="auto" w:fill="EBFBFF"/>
          </w:tcPr>
          <w:p>
            <w:pPr>
              <w:jc w:val="right"/>
              <w:ind w:right="228"/>
              <w:spacing w:after="0"/>
              <w:rPr>
                <w:sz w:val="20"/>
                <w:szCs w:val="20"/>
                <w:color w:val="auto"/>
              </w:rPr>
            </w:pPr>
            <w:r>
              <w:rPr>
                <w:rFonts w:ascii="Arial" w:cs="Arial" w:eastAsia="Arial" w:hAnsi="Arial"/>
                <w:sz w:val="14"/>
                <w:szCs w:val="14"/>
                <w:color w:val="51555C"/>
              </w:rPr>
              <w:t>$</w:t>
            </w:r>
          </w:p>
        </w:tc>
        <w:tc>
          <w:tcPr>
            <w:tcW w:w="84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69.8</w:t>
            </w:r>
          </w:p>
        </w:tc>
        <w:tc>
          <w:tcPr>
            <w:tcW w:w="440" w:type="dxa"/>
            <w:vAlign w:val="bottom"/>
            <w:shd w:val="clear" w:color="auto" w:fill="EBFBFF"/>
          </w:tcPr>
          <w:p>
            <w:pPr>
              <w:jc w:val="right"/>
              <w:ind w:right="268"/>
              <w:spacing w:after="0"/>
              <w:rPr>
                <w:sz w:val="20"/>
                <w:szCs w:val="20"/>
                <w:color w:val="auto"/>
              </w:rPr>
            </w:pPr>
            <w:r>
              <w:rPr>
                <w:rFonts w:ascii="Arial" w:cs="Arial" w:eastAsia="Arial" w:hAnsi="Arial"/>
                <w:sz w:val="14"/>
                <w:szCs w:val="14"/>
                <w:color w:val="51555C"/>
              </w:rPr>
              <w:t>$</w:t>
            </w:r>
          </w:p>
        </w:tc>
        <w:tc>
          <w:tcPr>
            <w:tcW w:w="68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61.3</w:t>
            </w:r>
          </w:p>
        </w:tc>
        <w:tc>
          <w:tcPr>
            <w:tcW w:w="1120" w:type="dxa"/>
            <w:vAlign w:val="bottom"/>
            <w:tcBorders>
              <w:right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13.8 %</w:t>
            </w:r>
          </w:p>
        </w:tc>
        <w:tc>
          <w:tcPr>
            <w:tcW w:w="480" w:type="dxa"/>
            <w:vAlign w:val="bottom"/>
            <w:gridSpan w:val="2"/>
            <w:shd w:val="clear" w:color="auto" w:fill="EBFBFF"/>
          </w:tcPr>
          <w:p>
            <w:pPr>
              <w:jc w:val="right"/>
              <w:ind w:right="300"/>
              <w:spacing w:after="0"/>
              <w:rPr>
                <w:sz w:val="20"/>
                <w:szCs w:val="20"/>
                <w:color w:val="auto"/>
              </w:rPr>
            </w:pPr>
            <w:r>
              <w:rPr>
                <w:rFonts w:ascii="Arial" w:cs="Arial" w:eastAsia="Arial" w:hAnsi="Arial"/>
                <w:sz w:val="14"/>
                <w:szCs w:val="14"/>
                <w:color w:val="51555C"/>
              </w:rPr>
              <w:t>$</w:t>
            </w:r>
          </w:p>
        </w:tc>
        <w:tc>
          <w:tcPr>
            <w:tcW w:w="86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199.7</w:t>
            </w:r>
          </w:p>
        </w:tc>
        <w:tc>
          <w:tcPr>
            <w:tcW w:w="420" w:type="dxa"/>
            <w:vAlign w:val="bottom"/>
            <w:shd w:val="clear" w:color="auto" w:fill="EBFBFF"/>
          </w:tcPr>
          <w:p>
            <w:pPr>
              <w:jc w:val="right"/>
              <w:ind w:right="248"/>
              <w:spacing w:after="0"/>
              <w:rPr>
                <w:sz w:val="20"/>
                <w:szCs w:val="20"/>
                <w:color w:val="auto"/>
              </w:rPr>
            </w:pPr>
            <w:r>
              <w:rPr>
                <w:rFonts w:ascii="Arial" w:cs="Arial" w:eastAsia="Arial" w:hAnsi="Arial"/>
                <w:sz w:val="14"/>
                <w:szCs w:val="14"/>
                <w:color w:val="51555C"/>
              </w:rPr>
              <w:t>$</w:t>
            </w:r>
          </w:p>
        </w:tc>
        <w:tc>
          <w:tcPr>
            <w:tcW w:w="740" w:type="dxa"/>
            <w:vAlign w:val="bottom"/>
            <w:shd w:val="clear" w:color="auto" w:fill="EBFBFF"/>
          </w:tcPr>
          <w:p>
            <w:pPr>
              <w:jc w:val="right"/>
              <w:ind w:right="8"/>
              <w:spacing w:after="0"/>
              <w:rPr>
                <w:sz w:val="20"/>
                <w:szCs w:val="20"/>
                <w:color w:val="auto"/>
              </w:rPr>
            </w:pPr>
            <w:r>
              <w:rPr>
                <w:rFonts w:ascii="Arial" w:cs="Arial" w:eastAsia="Arial" w:hAnsi="Arial"/>
                <w:sz w:val="14"/>
                <w:szCs w:val="14"/>
                <w:color w:val="51555C"/>
              </w:rPr>
              <w:t>182.0</w:t>
            </w:r>
          </w:p>
        </w:tc>
        <w:tc>
          <w:tcPr>
            <w:tcW w:w="110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9.7 %</w:t>
            </w:r>
          </w:p>
        </w:tc>
        <w:tc>
          <w:tcPr>
            <w:tcW w:w="20" w:type="dxa"/>
            <w:vAlign w:val="bottom"/>
          </w:tcPr>
          <w:p>
            <w:pPr>
              <w:spacing w:after="0"/>
              <w:rPr>
                <w:sz w:val="19"/>
                <w:szCs w:val="19"/>
                <w:color w:val="auto"/>
              </w:rPr>
            </w:pPr>
          </w:p>
        </w:tc>
      </w:tr>
      <w:tr>
        <w:trPr>
          <w:trHeight w:val="169"/>
        </w:trPr>
        <w:tc>
          <w:tcPr>
            <w:tcW w:w="4160" w:type="dxa"/>
            <w:vAlign w:val="bottom"/>
          </w:tcPr>
          <w:p>
            <w:pPr>
              <w:ind w:left="140"/>
              <w:spacing w:after="0"/>
              <w:rPr>
                <w:sz w:val="20"/>
                <w:szCs w:val="20"/>
                <w:color w:val="auto"/>
              </w:rPr>
            </w:pPr>
            <w:r>
              <w:rPr>
                <w:rFonts w:ascii="Arial" w:cs="Arial" w:eastAsia="Arial" w:hAnsi="Arial"/>
                <w:sz w:val="14"/>
                <w:szCs w:val="14"/>
                <w:b w:val="1"/>
                <w:bCs w:val="1"/>
                <w:color w:val="51555C"/>
              </w:rPr>
              <w:t>Non-GAAP adjusted EBITDA margin on constant currency</w:t>
            </w:r>
          </w:p>
        </w:tc>
        <w:tc>
          <w:tcPr>
            <w:tcW w:w="400" w:type="dxa"/>
            <w:vAlign w:val="bottom"/>
            <w:tcBorders>
              <w:top w:val="single" w:sz="8" w:color="51555C"/>
            </w:tcBorders>
          </w:tcPr>
          <w:p>
            <w:pPr>
              <w:spacing w:after="0"/>
              <w:rPr>
                <w:sz w:val="14"/>
                <w:szCs w:val="14"/>
                <w:color w:val="auto"/>
              </w:rPr>
            </w:pPr>
          </w:p>
        </w:tc>
        <w:tc>
          <w:tcPr>
            <w:tcW w:w="840" w:type="dxa"/>
            <w:vAlign w:val="bottom"/>
            <w:tcBorders>
              <w:top w:val="single" w:sz="8" w:color="51555C"/>
            </w:tcBorders>
          </w:tcPr>
          <w:p>
            <w:pPr>
              <w:spacing w:after="0"/>
              <w:rPr>
                <w:sz w:val="14"/>
                <w:szCs w:val="14"/>
                <w:color w:val="auto"/>
              </w:rPr>
            </w:pPr>
          </w:p>
        </w:tc>
        <w:tc>
          <w:tcPr>
            <w:tcW w:w="440" w:type="dxa"/>
            <w:vAlign w:val="bottom"/>
            <w:tcBorders>
              <w:top w:val="single" w:sz="8" w:color="51555C"/>
            </w:tcBorders>
          </w:tcPr>
          <w:p>
            <w:pPr>
              <w:spacing w:after="0"/>
              <w:rPr>
                <w:sz w:val="14"/>
                <w:szCs w:val="14"/>
                <w:color w:val="auto"/>
              </w:rPr>
            </w:pPr>
          </w:p>
        </w:tc>
        <w:tc>
          <w:tcPr>
            <w:tcW w:w="680" w:type="dxa"/>
            <w:vAlign w:val="bottom"/>
            <w:tcBorders>
              <w:top w:val="single" w:sz="8" w:color="51555C"/>
            </w:tcBorders>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top w:val="single" w:sz="8" w:color="51555C"/>
            </w:tcBorders>
          </w:tcPr>
          <w:p>
            <w:pPr>
              <w:spacing w:after="0"/>
              <w:rPr>
                <w:sz w:val="14"/>
                <w:szCs w:val="14"/>
                <w:color w:val="auto"/>
              </w:rPr>
            </w:pPr>
          </w:p>
        </w:tc>
        <w:tc>
          <w:tcPr>
            <w:tcW w:w="860" w:type="dxa"/>
            <w:vAlign w:val="bottom"/>
            <w:tcBorders>
              <w:top w:val="single" w:sz="8" w:color="51555C"/>
            </w:tcBorders>
          </w:tcPr>
          <w:p>
            <w:pPr>
              <w:spacing w:after="0"/>
              <w:rPr>
                <w:sz w:val="14"/>
                <w:szCs w:val="14"/>
                <w:color w:val="auto"/>
              </w:rPr>
            </w:pPr>
          </w:p>
        </w:tc>
        <w:tc>
          <w:tcPr>
            <w:tcW w:w="420" w:type="dxa"/>
            <w:vAlign w:val="bottom"/>
            <w:tcBorders>
              <w:top w:val="single" w:sz="8" w:color="51555C"/>
            </w:tcBorders>
          </w:tcPr>
          <w:p>
            <w:pPr>
              <w:spacing w:after="0"/>
              <w:rPr>
                <w:sz w:val="14"/>
                <w:szCs w:val="14"/>
                <w:color w:val="auto"/>
              </w:rPr>
            </w:pPr>
          </w:p>
        </w:tc>
        <w:tc>
          <w:tcPr>
            <w:tcW w:w="740" w:type="dxa"/>
            <w:vAlign w:val="bottom"/>
            <w:tcBorders>
              <w:top w:val="single" w:sz="8" w:color="51555C"/>
            </w:tcBorders>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4160" w:type="dxa"/>
            <w:vAlign w:val="bottom"/>
          </w:tcPr>
          <w:p>
            <w:pPr>
              <w:ind w:left="140"/>
              <w:spacing w:after="0"/>
              <w:rPr>
                <w:sz w:val="20"/>
                <w:szCs w:val="20"/>
                <w:color w:val="auto"/>
              </w:rPr>
            </w:pPr>
            <w:r>
              <w:rPr>
                <w:rFonts w:ascii="Arial" w:cs="Arial" w:eastAsia="Arial" w:hAnsi="Arial"/>
                <w:sz w:val="14"/>
                <w:szCs w:val="14"/>
                <w:b w:val="1"/>
                <w:bCs w:val="1"/>
                <w:color w:val="51555C"/>
              </w:rPr>
              <w:t>basis</w:t>
            </w: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51555C"/>
              </w:rPr>
              <w:t>26.2 %</w:t>
            </w: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51555C"/>
              </w:rPr>
              <w:t>25.2 %</w:t>
            </w: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4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95"/>
        </w:trPr>
        <w:tc>
          <w:tcPr>
            <w:tcW w:w="4160" w:type="dxa"/>
            <w:vAlign w:val="bottom"/>
            <w:shd w:val="clear" w:color="auto" w:fill="EBFBFF"/>
          </w:tcPr>
          <w:p>
            <w:pPr>
              <w:spacing w:after="0"/>
              <w:rPr>
                <w:sz w:val="8"/>
                <w:szCs w:val="8"/>
                <w:color w:val="auto"/>
              </w:rPr>
            </w:pPr>
          </w:p>
        </w:tc>
        <w:tc>
          <w:tcPr>
            <w:tcW w:w="400" w:type="dxa"/>
            <w:vAlign w:val="bottom"/>
            <w:shd w:val="clear" w:color="auto" w:fill="EBFBFF"/>
          </w:tcPr>
          <w:p>
            <w:pPr>
              <w:spacing w:after="0"/>
              <w:rPr>
                <w:sz w:val="8"/>
                <w:szCs w:val="8"/>
                <w:color w:val="auto"/>
              </w:rPr>
            </w:pPr>
          </w:p>
        </w:tc>
        <w:tc>
          <w:tcPr>
            <w:tcW w:w="840" w:type="dxa"/>
            <w:vAlign w:val="bottom"/>
            <w:shd w:val="clear" w:color="auto" w:fill="EBFBFF"/>
          </w:tcPr>
          <w:p>
            <w:pPr>
              <w:spacing w:after="0"/>
              <w:rPr>
                <w:sz w:val="8"/>
                <w:szCs w:val="8"/>
                <w:color w:val="auto"/>
              </w:rPr>
            </w:pPr>
          </w:p>
        </w:tc>
        <w:tc>
          <w:tcPr>
            <w:tcW w:w="440" w:type="dxa"/>
            <w:vAlign w:val="bottom"/>
            <w:shd w:val="clear" w:color="auto" w:fill="EBFBFF"/>
          </w:tcPr>
          <w:p>
            <w:pPr>
              <w:spacing w:after="0"/>
              <w:rPr>
                <w:sz w:val="8"/>
                <w:szCs w:val="8"/>
                <w:color w:val="auto"/>
              </w:rPr>
            </w:pPr>
          </w:p>
        </w:tc>
        <w:tc>
          <w:tcPr>
            <w:tcW w:w="680" w:type="dxa"/>
            <w:vAlign w:val="bottom"/>
            <w:shd w:val="clear" w:color="auto" w:fill="EBFBFF"/>
          </w:tcPr>
          <w:p>
            <w:pPr>
              <w:spacing w:after="0"/>
              <w:rPr>
                <w:sz w:val="8"/>
                <w:szCs w:val="8"/>
                <w:color w:val="auto"/>
              </w:rPr>
            </w:pPr>
          </w:p>
        </w:tc>
        <w:tc>
          <w:tcPr>
            <w:tcW w:w="1120" w:type="dxa"/>
            <w:vAlign w:val="bottom"/>
            <w:tcBorders>
              <w:right w:val="single" w:sz="8" w:color="EBFBFF"/>
            </w:tcBorders>
            <w:shd w:val="clear" w:color="auto" w:fill="EBFBFF"/>
          </w:tcPr>
          <w:p>
            <w:pPr>
              <w:spacing w:after="0"/>
              <w:rPr>
                <w:sz w:val="8"/>
                <w:szCs w:val="8"/>
                <w:color w:val="auto"/>
              </w:rPr>
            </w:pPr>
          </w:p>
        </w:tc>
        <w:tc>
          <w:tcPr>
            <w:tcW w:w="80" w:type="dxa"/>
            <w:vAlign w:val="bottom"/>
            <w:shd w:val="clear" w:color="auto" w:fill="EBFBFF"/>
          </w:tcPr>
          <w:p>
            <w:pPr>
              <w:spacing w:after="0"/>
              <w:rPr>
                <w:sz w:val="8"/>
                <w:szCs w:val="8"/>
                <w:color w:val="auto"/>
              </w:rPr>
            </w:pPr>
          </w:p>
        </w:tc>
        <w:tc>
          <w:tcPr>
            <w:tcW w:w="400" w:type="dxa"/>
            <w:vAlign w:val="bottom"/>
            <w:shd w:val="clear" w:color="auto" w:fill="EBFBFF"/>
          </w:tcPr>
          <w:p>
            <w:pPr>
              <w:spacing w:after="0"/>
              <w:rPr>
                <w:sz w:val="8"/>
                <w:szCs w:val="8"/>
                <w:color w:val="auto"/>
              </w:rPr>
            </w:pPr>
          </w:p>
        </w:tc>
        <w:tc>
          <w:tcPr>
            <w:tcW w:w="860" w:type="dxa"/>
            <w:vAlign w:val="bottom"/>
            <w:shd w:val="clear" w:color="auto" w:fill="EBFBFF"/>
          </w:tcPr>
          <w:p>
            <w:pPr>
              <w:spacing w:after="0"/>
              <w:rPr>
                <w:sz w:val="8"/>
                <w:szCs w:val="8"/>
                <w:color w:val="auto"/>
              </w:rPr>
            </w:pPr>
          </w:p>
        </w:tc>
        <w:tc>
          <w:tcPr>
            <w:tcW w:w="420" w:type="dxa"/>
            <w:vAlign w:val="bottom"/>
            <w:shd w:val="clear" w:color="auto" w:fill="EBFBFF"/>
          </w:tcPr>
          <w:p>
            <w:pPr>
              <w:spacing w:after="0"/>
              <w:rPr>
                <w:sz w:val="8"/>
                <w:szCs w:val="8"/>
                <w:color w:val="auto"/>
              </w:rPr>
            </w:pPr>
          </w:p>
        </w:tc>
        <w:tc>
          <w:tcPr>
            <w:tcW w:w="740" w:type="dxa"/>
            <w:vAlign w:val="bottom"/>
            <w:shd w:val="clear" w:color="auto" w:fill="EBFBFF"/>
          </w:tcPr>
          <w:p>
            <w:pPr>
              <w:spacing w:after="0"/>
              <w:rPr>
                <w:sz w:val="8"/>
                <w:szCs w:val="8"/>
                <w:color w:val="auto"/>
              </w:rPr>
            </w:pPr>
          </w:p>
        </w:tc>
        <w:tc>
          <w:tcPr>
            <w:tcW w:w="1100" w:type="dxa"/>
            <w:vAlign w:val="bottom"/>
            <w:shd w:val="clear" w:color="auto" w:fill="EBFBFF"/>
          </w:tcPr>
          <w:p>
            <w:pPr>
              <w:spacing w:after="0"/>
              <w:rPr>
                <w:sz w:val="8"/>
                <w:szCs w:val="8"/>
                <w:color w:val="auto"/>
              </w:rPr>
            </w:pPr>
          </w:p>
        </w:tc>
        <w:tc>
          <w:tcPr>
            <w:tcW w:w="20" w:type="dxa"/>
            <w:vAlign w:val="bottom"/>
          </w:tcPr>
          <w:p>
            <w:pPr>
              <w:spacing w:after="0"/>
              <w:rPr>
                <w:sz w:val="8"/>
                <w:szCs w:val="8"/>
                <w:color w:val="auto"/>
              </w:rPr>
            </w:pPr>
          </w:p>
        </w:tc>
      </w:tr>
      <w:tr>
        <w:trPr>
          <w:trHeight w:val="230"/>
        </w:trPr>
        <w:tc>
          <w:tcPr>
            <w:tcW w:w="4160" w:type="dxa"/>
            <w:vAlign w:val="bottom"/>
            <w:tcBorders>
              <w:bottom w:val="single" w:sz="8" w:color="0CD973"/>
            </w:tcBorders>
          </w:tcPr>
          <w:p>
            <w:pPr>
              <w:ind w:left="20"/>
              <w:spacing w:after="0"/>
              <w:rPr>
                <w:sz w:val="20"/>
                <w:szCs w:val="20"/>
                <w:color w:val="auto"/>
              </w:rPr>
            </w:pPr>
            <w:r>
              <w:rPr>
                <w:rFonts w:ascii="Arial" w:cs="Arial" w:eastAsia="Arial" w:hAnsi="Arial"/>
                <w:sz w:val="14"/>
                <w:szCs w:val="14"/>
                <w:b w:val="1"/>
                <w:bCs w:val="1"/>
                <w:color w:val="51555C"/>
              </w:rPr>
              <w:t>Rule of 40 on constant currency basis</w:t>
            </w:r>
            <w:r>
              <w:rPr>
                <w:rFonts w:ascii="Arial" w:cs="Arial" w:eastAsia="Arial" w:hAnsi="Arial"/>
                <w:sz w:val="18"/>
                <w:szCs w:val="18"/>
                <w:b w:val="1"/>
                <w:bCs w:val="1"/>
                <w:color w:val="51555C"/>
                <w:vertAlign w:val="superscript"/>
              </w:rPr>
              <w:t>(6)</w:t>
            </w:r>
          </w:p>
        </w:tc>
        <w:tc>
          <w:tcPr>
            <w:tcW w:w="400" w:type="dxa"/>
            <w:vAlign w:val="bottom"/>
            <w:tcBorders>
              <w:bottom w:val="single" w:sz="8" w:color="0CD973"/>
            </w:tcBorders>
          </w:tcPr>
          <w:p>
            <w:pPr>
              <w:spacing w:after="0"/>
              <w:rPr>
                <w:sz w:val="19"/>
                <w:szCs w:val="19"/>
                <w:color w:val="auto"/>
              </w:rPr>
            </w:pPr>
          </w:p>
        </w:tc>
        <w:tc>
          <w:tcPr>
            <w:tcW w:w="840" w:type="dxa"/>
            <w:vAlign w:val="bottom"/>
            <w:tcBorders>
              <w:bottom w:val="single" w:sz="8" w:color="0CD973"/>
            </w:tcBorders>
          </w:tcPr>
          <w:p>
            <w:pPr>
              <w:jc w:val="right"/>
              <w:spacing w:after="0"/>
              <w:rPr>
                <w:sz w:val="20"/>
                <w:szCs w:val="20"/>
                <w:color w:val="auto"/>
              </w:rPr>
            </w:pPr>
            <w:r>
              <w:rPr>
                <w:rFonts w:ascii="Arial" w:cs="Arial" w:eastAsia="Arial" w:hAnsi="Arial"/>
                <w:sz w:val="14"/>
                <w:szCs w:val="14"/>
                <w:b w:val="1"/>
                <w:bCs w:val="1"/>
                <w:color w:val="51555C"/>
              </w:rPr>
              <w:t>29.8 %</w:t>
            </w:r>
          </w:p>
        </w:tc>
        <w:tc>
          <w:tcPr>
            <w:tcW w:w="440" w:type="dxa"/>
            <w:vAlign w:val="bottom"/>
            <w:tcBorders>
              <w:bottom w:val="single" w:sz="8" w:color="0CD973"/>
            </w:tcBorders>
          </w:tcPr>
          <w:p>
            <w:pPr>
              <w:spacing w:after="0"/>
              <w:rPr>
                <w:sz w:val="19"/>
                <w:szCs w:val="19"/>
                <w:color w:val="auto"/>
              </w:rPr>
            </w:pPr>
          </w:p>
        </w:tc>
        <w:tc>
          <w:tcPr>
            <w:tcW w:w="680" w:type="dxa"/>
            <w:vAlign w:val="bottom"/>
            <w:tcBorders>
              <w:bottom w:val="single" w:sz="8" w:color="0CD973"/>
            </w:tcBorders>
          </w:tcPr>
          <w:p>
            <w:pPr>
              <w:spacing w:after="0"/>
              <w:rPr>
                <w:sz w:val="19"/>
                <w:szCs w:val="19"/>
                <w:color w:val="auto"/>
              </w:rPr>
            </w:pPr>
          </w:p>
        </w:tc>
        <w:tc>
          <w:tcPr>
            <w:tcW w:w="1120" w:type="dxa"/>
            <w:vAlign w:val="bottom"/>
            <w:tcBorders>
              <w:bottom w:val="single" w:sz="8" w:color="0CD973"/>
            </w:tcBorders>
          </w:tcPr>
          <w:p>
            <w:pPr>
              <w:spacing w:after="0"/>
              <w:rPr>
                <w:sz w:val="19"/>
                <w:szCs w:val="19"/>
                <w:color w:val="auto"/>
              </w:rPr>
            </w:pPr>
          </w:p>
        </w:tc>
        <w:tc>
          <w:tcPr>
            <w:tcW w:w="80" w:type="dxa"/>
            <w:vAlign w:val="bottom"/>
            <w:tcBorders>
              <w:bottom w:val="single" w:sz="8" w:color="0CD973"/>
            </w:tcBorders>
          </w:tcPr>
          <w:p>
            <w:pPr>
              <w:spacing w:after="0"/>
              <w:rPr>
                <w:sz w:val="19"/>
                <w:szCs w:val="19"/>
                <w:color w:val="auto"/>
              </w:rPr>
            </w:pPr>
          </w:p>
        </w:tc>
        <w:tc>
          <w:tcPr>
            <w:tcW w:w="400" w:type="dxa"/>
            <w:vAlign w:val="bottom"/>
            <w:tcBorders>
              <w:bottom w:val="single" w:sz="8" w:color="0CD973"/>
            </w:tcBorders>
          </w:tcPr>
          <w:p>
            <w:pPr>
              <w:spacing w:after="0"/>
              <w:rPr>
                <w:sz w:val="19"/>
                <w:szCs w:val="19"/>
                <w:color w:val="auto"/>
              </w:rPr>
            </w:pPr>
          </w:p>
        </w:tc>
        <w:tc>
          <w:tcPr>
            <w:tcW w:w="860" w:type="dxa"/>
            <w:vAlign w:val="bottom"/>
            <w:tcBorders>
              <w:bottom w:val="single" w:sz="8" w:color="0CD973"/>
            </w:tcBorders>
          </w:tcPr>
          <w:p>
            <w:pPr>
              <w:jc w:val="right"/>
              <w:spacing w:after="0"/>
              <w:rPr>
                <w:sz w:val="20"/>
                <w:szCs w:val="20"/>
                <w:color w:val="auto"/>
              </w:rPr>
            </w:pPr>
            <w:r>
              <w:rPr>
                <w:rFonts w:ascii="Arial" w:cs="Arial" w:eastAsia="Arial" w:hAnsi="Arial"/>
                <w:sz w:val="14"/>
                <w:szCs w:val="14"/>
                <w:b w:val="1"/>
                <w:bCs w:val="1"/>
                <w:color w:val="51555C"/>
              </w:rPr>
              <w:t>29.9 %</w:t>
            </w:r>
          </w:p>
        </w:tc>
        <w:tc>
          <w:tcPr>
            <w:tcW w:w="420" w:type="dxa"/>
            <w:vAlign w:val="bottom"/>
            <w:tcBorders>
              <w:bottom w:val="single" w:sz="8" w:color="0CD973"/>
            </w:tcBorders>
          </w:tcPr>
          <w:p>
            <w:pPr>
              <w:spacing w:after="0"/>
              <w:rPr>
                <w:sz w:val="19"/>
                <w:szCs w:val="19"/>
                <w:color w:val="auto"/>
              </w:rPr>
            </w:pPr>
          </w:p>
        </w:tc>
        <w:tc>
          <w:tcPr>
            <w:tcW w:w="740" w:type="dxa"/>
            <w:vAlign w:val="bottom"/>
            <w:tcBorders>
              <w:bottom w:val="single" w:sz="8" w:color="0CD973"/>
            </w:tcBorders>
          </w:tcPr>
          <w:p>
            <w:pPr>
              <w:spacing w:after="0"/>
              <w:rPr>
                <w:sz w:val="19"/>
                <w:szCs w:val="19"/>
                <w:color w:val="auto"/>
              </w:rPr>
            </w:pPr>
          </w:p>
        </w:tc>
        <w:tc>
          <w:tcPr>
            <w:tcW w:w="1100" w:type="dxa"/>
            <w:vAlign w:val="bottom"/>
            <w:tcBorders>
              <w:bottom w:val="single" w:sz="8" w:color="0CD973"/>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-4594225</wp:posOffset>
            </wp:positionV>
            <wp:extent cx="45091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509135" cy="8890"/>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51555C"/>
        </w:rPr>
      </w:pPr>
      <w:r>
        <w:rPr>
          <w:rFonts w:ascii="Arial" w:cs="Arial" w:eastAsia="Arial" w:hAnsi="Arial"/>
          <w:sz w:val="14"/>
          <w:szCs w:val="14"/>
          <w:color w:val="51555C"/>
        </w:rPr>
        <w:t>Includes amortization expense related to software development costs and amortization expense from capitalized cloud computing implementation costs.</w:t>
      </w:r>
    </w:p>
    <w:p>
      <w:pPr>
        <w:spacing w:after="0" w:line="1" w:lineRule="exact"/>
        <w:rPr>
          <w:rFonts w:ascii="Arial" w:cs="Arial" w:eastAsia="Arial" w:hAnsi="Arial"/>
          <w:sz w:val="14"/>
          <w:szCs w:val="14"/>
          <w:color w:val="51555C"/>
        </w:rPr>
      </w:pPr>
    </w:p>
    <w:p>
      <w:pPr>
        <w:ind w:left="340" w:right="20" w:hanging="332"/>
        <w:spacing w:after="0" w:line="261" w:lineRule="auto"/>
        <w:tabs>
          <w:tab w:leader="none" w:pos="354" w:val="left"/>
        </w:tabs>
        <w:numPr>
          <w:ilvl w:val="0"/>
          <w:numId w:val="34"/>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subtotal, non-GAAP EBITDA, non-GAAP adjusted EBITDA or non-GAAP adjusted EBITDA on a constant currency basis due to rounding.</w:t>
      </w:r>
    </w:p>
    <w:p>
      <w:pPr>
        <w:ind w:left="340" w:hanging="332"/>
        <w:spacing w:after="0"/>
        <w:tabs>
          <w:tab w:leader="none" w:pos="340" w:val="left"/>
        </w:tabs>
        <w:numPr>
          <w:ilvl w:val="0"/>
          <w:numId w:val="34"/>
        </w:numPr>
        <w:rPr>
          <w:rFonts w:ascii="Arial" w:cs="Arial" w:eastAsia="Arial" w:hAnsi="Arial"/>
          <w:sz w:val="14"/>
          <w:szCs w:val="14"/>
          <w:color w:val="51555C"/>
        </w:rPr>
      </w:pPr>
      <w:r>
        <w:rPr>
          <w:rFonts w:ascii="Arial" w:cs="Arial" w:eastAsia="Arial" w:hAnsi="Arial"/>
          <w:sz w:val="14"/>
          <w:szCs w:val="14"/>
          <w:color w:val="51555C"/>
        </w:rPr>
        <w:t>See additional details in the reconciliation of GAAP to Non-GAAP operating income above.</w:t>
      </w:r>
    </w:p>
    <w:p>
      <w:pPr>
        <w:spacing w:after="0" w:line="14" w:lineRule="exact"/>
        <w:rPr>
          <w:rFonts w:ascii="Arial" w:cs="Arial" w:eastAsia="Arial" w:hAnsi="Arial"/>
          <w:sz w:val="14"/>
          <w:szCs w:val="14"/>
          <w:color w:val="51555C"/>
        </w:rPr>
      </w:pPr>
    </w:p>
    <w:p>
      <w:pPr>
        <w:ind w:left="340" w:hanging="332"/>
        <w:spacing w:after="0"/>
        <w:tabs>
          <w:tab w:leader="none" w:pos="340" w:val="left"/>
        </w:tabs>
        <w:numPr>
          <w:ilvl w:val="0"/>
          <w:numId w:val="34"/>
        </w:numPr>
        <w:rPr>
          <w:rFonts w:ascii="Arial" w:cs="Arial" w:eastAsia="Arial" w:hAnsi="Arial"/>
          <w:sz w:val="14"/>
          <w:szCs w:val="14"/>
          <w:color w:val="51555C"/>
        </w:rPr>
      </w:pPr>
      <w:r>
        <w:rPr>
          <w:rFonts w:ascii="Arial" w:cs="Arial" w:eastAsia="Arial" w:hAnsi="Arial"/>
          <w:sz w:val="14"/>
          <w:szCs w:val="14"/>
          <w:color w:val="51555C"/>
        </w:rPr>
        <w:t>Measured by non-GAAP organic revenue growth plus non-GAAP adjusted EBITDA margin. See Non-GAAP organic revenue growth table above.</w:t>
      </w:r>
    </w:p>
    <w:p>
      <w:pPr>
        <w:spacing w:after="0" w:line="14" w:lineRule="exact"/>
        <w:rPr>
          <w:rFonts w:ascii="Arial" w:cs="Arial" w:eastAsia="Arial" w:hAnsi="Arial"/>
          <w:sz w:val="14"/>
          <w:szCs w:val="14"/>
          <w:color w:val="51555C"/>
        </w:rPr>
      </w:pPr>
    </w:p>
    <w:p>
      <w:pPr>
        <w:jc w:val="both"/>
        <w:ind w:left="340" w:right="20" w:hanging="332"/>
        <w:spacing w:after="0" w:line="254" w:lineRule="auto"/>
        <w:tabs>
          <w:tab w:leader="none" w:pos="354" w:val="left"/>
        </w:tabs>
        <w:numPr>
          <w:ilvl w:val="0"/>
          <w:numId w:val="34"/>
        </w:numPr>
        <w:rPr>
          <w:rFonts w:ascii="Arial" w:cs="Arial" w:eastAsia="Arial" w:hAnsi="Arial"/>
          <w:sz w:val="14"/>
          <w:szCs w:val="14"/>
          <w:color w:val="51555C"/>
        </w:rPr>
      </w:pPr>
      <w:r>
        <w:rPr>
          <w:rFonts w:ascii="Arial" w:cs="Arial" w:eastAsia="Arial" w:hAnsi="Arial"/>
          <w:sz w:val="14"/>
          <w:szCs w:val="14"/>
          <w:color w:val="51555C"/>
        </w:rPr>
        <w:t>To determine non-GAAP adjusted EBITDA on a constant currency basis, non-GAAP adjusted EBITDA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1" w:lineRule="exact"/>
        <w:rPr>
          <w:rFonts w:ascii="Arial" w:cs="Arial" w:eastAsia="Arial" w:hAnsi="Arial"/>
          <w:sz w:val="14"/>
          <w:szCs w:val="14"/>
          <w:color w:val="51555C"/>
        </w:rPr>
      </w:pPr>
    </w:p>
    <w:p>
      <w:pPr>
        <w:ind w:left="340" w:right="20" w:hanging="332"/>
        <w:spacing w:after="0" w:line="278" w:lineRule="auto"/>
        <w:tabs>
          <w:tab w:leader="none" w:pos="354" w:val="left"/>
        </w:tabs>
        <w:numPr>
          <w:ilvl w:val="0"/>
          <w:numId w:val="34"/>
        </w:numPr>
        <w:rPr>
          <w:rFonts w:ascii="Arial" w:cs="Arial" w:eastAsia="Arial" w:hAnsi="Arial"/>
          <w:sz w:val="14"/>
          <w:szCs w:val="14"/>
          <w:color w:val="51555C"/>
        </w:rPr>
      </w:pPr>
      <w:r>
        <w:rPr>
          <w:rFonts w:ascii="Arial" w:cs="Arial" w:eastAsia="Arial" w:hAnsi="Arial"/>
          <w:sz w:val="14"/>
          <w:szCs w:val="14"/>
          <w:color w:val="51555C"/>
        </w:rPr>
        <w:t>Measured by non-GAAP organic revenue growth on constant currency basis plus non-GAAP adjusted EBITDA margin on constant currency basis. See Non-GAAP organic revenue growth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462915</wp:posOffset>
            </wp:positionV>
            <wp:extent cx="659765"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41</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Non-GAAP free cash flow and non-GAAP adjusted free cash flow</w:t>
      </w:r>
    </w:p>
    <w:p>
      <w:pPr>
        <w:spacing w:after="0" w:line="18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Non-GAAP free cash flow is defined as operating cash flow less capital expenditures, including costs required to be capitalized for software development, and capital expenditures for property and equipment.</w:t>
      </w:r>
    </w:p>
    <w:p>
      <w:pPr>
        <w:spacing w:after="0" w:line="14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Non-GAAP adjusted free cash flow is defined as operating cash flow less capital expenditures, including costs required to be capitalized for software development and capital expenditures for property and equipment, plus cash outflows, net of insurance, related to the Security Incident.</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We believe non-GAAP free cash flow and non-GAAP adjusted free cash flow provides useful measures of the Company's operating performance. Non-GAAP adjusted free cash flow is not intended to represent and should not be viewed as the amount of residual cash flow available for discretionary expenditures.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0" w:type="dxa"/>
            <w:vAlign w:val="bottom"/>
            <w:shd w:val="clear" w:color="auto" w:fill="004054"/>
          </w:tcPr>
          <w:p>
            <w:pPr>
              <w:spacing w:after="0"/>
              <w:rPr>
                <w:sz w:val="17"/>
                <w:szCs w:val="17"/>
                <w:color w:val="auto"/>
              </w:rPr>
            </w:pPr>
          </w:p>
        </w:tc>
        <w:tc>
          <w:tcPr>
            <w:tcW w:w="440" w:type="dxa"/>
            <w:vAlign w:val="bottom"/>
            <w:shd w:val="clear" w:color="auto" w:fill="004054"/>
          </w:tcPr>
          <w:p>
            <w:pPr>
              <w:spacing w:after="0"/>
              <w:rPr>
                <w:sz w:val="17"/>
                <w:szCs w:val="17"/>
                <w:color w:val="auto"/>
              </w:rPr>
            </w:pPr>
          </w:p>
        </w:tc>
        <w:tc>
          <w:tcPr>
            <w:tcW w:w="760" w:type="dxa"/>
            <w:vAlign w:val="bottom"/>
            <w:shd w:val="clear" w:color="auto" w:fill="004054"/>
          </w:tcPr>
          <w:p>
            <w:pPr>
              <w:spacing w:after="0"/>
              <w:rPr>
                <w:sz w:val="17"/>
                <w:szCs w:val="17"/>
                <w:color w:val="auto"/>
              </w:rPr>
            </w:pPr>
          </w:p>
        </w:tc>
        <w:tc>
          <w:tcPr>
            <w:tcW w:w="420" w:type="dxa"/>
            <w:vAlign w:val="bottom"/>
            <w:shd w:val="clear" w:color="auto" w:fill="004054"/>
          </w:tcPr>
          <w:p>
            <w:pPr>
              <w:spacing w:after="0"/>
              <w:rPr>
                <w:sz w:val="17"/>
                <w:szCs w:val="17"/>
                <w:color w:val="auto"/>
              </w:rPr>
            </w:pPr>
          </w:p>
        </w:tc>
        <w:tc>
          <w:tcPr>
            <w:tcW w:w="202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w:t>
            </w:r>
          </w:p>
        </w:tc>
        <w:tc>
          <w:tcPr>
            <w:tcW w:w="20" w:type="dxa"/>
            <w:vAlign w:val="bottom"/>
            <w:shd w:val="clear" w:color="auto" w:fill="004054"/>
          </w:tcPr>
          <w:p>
            <w:pPr>
              <w:spacing w:after="0"/>
              <w:rPr>
                <w:sz w:val="17"/>
                <w:szCs w:val="17"/>
                <w:color w:val="auto"/>
              </w:rPr>
            </w:pPr>
          </w:p>
        </w:tc>
      </w:tr>
      <w:tr>
        <w:trPr>
          <w:trHeight w:val="190"/>
        </w:trPr>
        <w:tc>
          <w:tcPr>
            <w:tcW w:w="7600" w:type="dxa"/>
            <w:vAlign w:val="bottom"/>
            <w:shd w:val="clear" w:color="auto" w:fill="004054"/>
          </w:tcPr>
          <w:p>
            <w:pPr>
              <w:spacing w:after="0"/>
              <w:rPr>
                <w:sz w:val="16"/>
                <w:szCs w:val="16"/>
                <w:color w:val="auto"/>
              </w:rPr>
            </w:pPr>
          </w:p>
        </w:tc>
        <w:tc>
          <w:tcPr>
            <w:tcW w:w="440" w:type="dxa"/>
            <w:vAlign w:val="bottom"/>
            <w:shd w:val="clear" w:color="auto" w:fill="004054"/>
          </w:tcPr>
          <w:p>
            <w:pPr>
              <w:spacing w:after="0"/>
              <w:rPr>
                <w:sz w:val="16"/>
                <w:szCs w:val="16"/>
                <w:color w:val="auto"/>
              </w:rPr>
            </w:pPr>
          </w:p>
        </w:tc>
        <w:tc>
          <w:tcPr>
            <w:tcW w:w="760" w:type="dxa"/>
            <w:vAlign w:val="bottom"/>
            <w:shd w:val="clear" w:color="auto" w:fill="004054"/>
          </w:tcPr>
          <w:p>
            <w:pPr>
              <w:spacing w:after="0"/>
              <w:rPr>
                <w:sz w:val="16"/>
                <w:szCs w:val="16"/>
                <w:color w:val="auto"/>
              </w:rPr>
            </w:pPr>
          </w:p>
        </w:tc>
        <w:tc>
          <w:tcPr>
            <w:tcW w:w="420" w:type="dxa"/>
            <w:vAlign w:val="bottom"/>
            <w:shd w:val="clear" w:color="auto" w:fill="004054"/>
          </w:tcPr>
          <w:p>
            <w:pPr>
              <w:spacing w:after="0"/>
              <w:rPr>
                <w:sz w:val="16"/>
                <w:szCs w:val="16"/>
                <w:color w:val="auto"/>
              </w:rPr>
            </w:pPr>
          </w:p>
        </w:tc>
        <w:tc>
          <w:tcPr>
            <w:tcW w:w="760" w:type="dxa"/>
            <w:vAlign w:val="bottom"/>
            <w:shd w:val="clear" w:color="auto" w:fill="004054"/>
          </w:tcPr>
          <w:p>
            <w:pPr>
              <w:spacing w:after="0"/>
              <w:rPr>
                <w:sz w:val="16"/>
                <w:szCs w:val="16"/>
                <w:color w:val="auto"/>
              </w:rPr>
            </w:pPr>
          </w:p>
        </w:tc>
        <w:tc>
          <w:tcPr>
            <w:tcW w:w="12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0" w:type="dxa"/>
            <w:vAlign w:val="bottom"/>
            <w:shd w:val="clear" w:color="auto" w:fill="004054"/>
          </w:tcPr>
          <w:p>
            <w:pPr>
              <w:spacing w:after="0"/>
              <w:rPr>
                <w:sz w:val="16"/>
                <w:szCs w:val="16"/>
                <w:color w:val="auto"/>
              </w:rPr>
            </w:pPr>
          </w:p>
        </w:tc>
      </w:tr>
      <w:tr>
        <w:trPr>
          <w:trHeight w:val="262"/>
        </w:trPr>
        <w:tc>
          <w:tcPr>
            <w:tcW w:w="76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40" w:type="dxa"/>
            <w:vAlign w:val="bottom"/>
            <w:tcBorders>
              <w:bottom w:val="single" w:sz="8" w:color="004054"/>
            </w:tcBorders>
            <w:shd w:val="clear" w:color="auto" w:fill="004054"/>
          </w:tcPr>
          <w:p>
            <w:pPr>
              <w:spacing w:after="0"/>
              <w:rPr>
                <w:sz w:val="22"/>
                <w:szCs w:val="22"/>
                <w:color w:val="auto"/>
              </w:rPr>
            </w:pPr>
          </w:p>
        </w:tc>
        <w:tc>
          <w:tcPr>
            <w:tcW w:w="7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420" w:type="dxa"/>
            <w:vAlign w:val="bottom"/>
            <w:tcBorders>
              <w:bottom w:val="single" w:sz="8" w:color="004054"/>
            </w:tcBorders>
            <w:shd w:val="clear" w:color="auto" w:fill="004054"/>
          </w:tcPr>
          <w:p>
            <w:pPr>
              <w:spacing w:after="0"/>
              <w:rPr>
                <w:sz w:val="22"/>
                <w:szCs w:val="22"/>
                <w:color w:val="auto"/>
              </w:rPr>
            </w:pPr>
          </w:p>
        </w:tc>
        <w:tc>
          <w:tcPr>
            <w:tcW w:w="7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2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004054"/>
            </w:tcBorders>
            <w:shd w:val="clear" w:color="auto" w:fill="004054"/>
          </w:tcPr>
          <w:p>
            <w:pPr>
              <w:spacing w:after="0"/>
              <w:rPr>
                <w:sz w:val="22"/>
                <w:szCs w:val="22"/>
                <w:color w:val="auto"/>
              </w:rPr>
            </w:pPr>
          </w:p>
        </w:tc>
      </w:tr>
      <w:tr>
        <w:trPr>
          <w:trHeight w:val="209"/>
        </w:trPr>
        <w:tc>
          <w:tcPr>
            <w:tcW w:w="76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GAAP net cash provided by operating activities</w:t>
            </w:r>
          </w:p>
        </w:tc>
        <w:tc>
          <w:tcPr>
            <w:tcW w:w="440" w:type="dxa"/>
            <w:vAlign w:val="bottom"/>
            <w:tcBorders>
              <w:bottom w:val="single" w:sz="8" w:color="EBFBFF"/>
            </w:tcBorders>
            <w:shd w:val="clear" w:color="auto" w:fill="EBFBFF"/>
          </w:tcPr>
          <w:p>
            <w:pPr>
              <w:jc w:val="right"/>
              <w:ind w:right="268"/>
              <w:spacing w:after="0"/>
              <w:rPr>
                <w:sz w:val="20"/>
                <w:szCs w:val="20"/>
                <w:color w:val="auto"/>
              </w:rPr>
            </w:pPr>
            <w:r>
              <w:rPr>
                <w:rFonts w:ascii="Arial" w:cs="Arial" w:eastAsia="Arial" w:hAnsi="Arial"/>
                <w:sz w:val="14"/>
                <w:szCs w:val="14"/>
                <w:color w:val="51555C"/>
              </w:rPr>
              <w:t>$</w:t>
            </w:r>
          </w:p>
        </w:tc>
        <w:tc>
          <w:tcPr>
            <w:tcW w:w="76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189.8</w:t>
            </w:r>
          </w:p>
        </w:tc>
        <w:tc>
          <w:tcPr>
            <w:tcW w:w="420" w:type="dxa"/>
            <w:vAlign w:val="bottom"/>
            <w:tcBorders>
              <w:bottom w:val="single" w:sz="8" w:color="EBFBFF"/>
            </w:tcBorders>
            <w:shd w:val="clear" w:color="auto" w:fill="EBFBFF"/>
          </w:tcPr>
          <w:p>
            <w:pPr>
              <w:jc w:val="right"/>
              <w:ind w:right="248"/>
              <w:spacing w:after="0"/>
              <w:rPr>
                <w:sz w:val="20"/>
                <w:szCs w:val="20"/>
                <w:color w:val="auto"/>
              </w:rPr>
            </w:pPr>
            <w:r>
              <w:rPr>
                <w:rFonts w:ascii="Arial" w:cs="Arial" w:eastAsia="Arial" w:hAnsi="Arial"/>
                <w:sz w:val="14"/>
                <w:szCs w:val="14"/>
                <w:color w:val="51555C"/>
              </w:rPr>
              <w:t>$</w:t>
            </w:r>
          </w:p>
        </w:tc>
        <w:tc>
          <w:tcPr>
            <w:tcW w:w="7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169.8</w:t>
            </w:r>
          </w:p>
        </w:tc>
        <w:tc>
          <w:tcPr>
            <w:tcW w:w="12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11.8 %</w:t>
            </w:r>
          </w:p>
        </w:tc>
        <w:tc>
          <w:tcPr>
            <w:tcW w:w="20" w:type="dxa"/>
            <w:vAlign w:val="bottom"/>
          </w:tcPr>
          <w:p>
            <w:pPr>
              <w:spacing w:after="0"/>
              <w:rPr>
                <w:sz w:val="18"/>
                <w:szCs w:val="18"/>
                <w:color w:val="auto"/>
              </w:rPr>
            </w:pPr>
          </w:p>
        </w:tc>
      </w:tr>
      <w:tr>
        <w:trPr>
          <w:trHeight w:val="204"/>
        </w:trPr>
        <w:tc>
          <w:tcPr>
            <w:tcW w:w="7600" w:type="dxa"/>
            <w:vAlign w:val="bottom"/>
          </w:tcPr>
          <w:p>
            <w:pPr>
              <w:ind w:left="140"/>
              <w:spacing w:after="0"/>
              <w:rPr>
                <w:sz w:val="20"/>
                <w:szCs w:val="20"/>
                <w:color w:val="auto"/>
              </w:rPr>
            </w:pPr>
            <w:r>
              <w:rPr>
                <w:rFonts w:ascii="Arial" w:cs="Arial" w:eastAsia="Arial" w:hAnsi="Arial"/>
                <w:sz w:val="14"/>
                <w:szCs w:val="14"/>
                <w:color w:val="51555C"/>
              </w:rPr>
              <w:t>Less: purchase of property and equipment</w:t>
            </w: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51555C"/>
              </w:rPr>
              <w:t>(10.5)</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51555C"/>
              </w:rPr>
              <w:t>(8.3)</w:t>
            </w:r>
          </w:p>
        </w:tc>
        <w:tc>
          <w:tcPr>
            <w:tcW w:w="1260" w:type="dxa"/>
            <w:vAlign w:val="bottom"/>
          </w:tcPr>
          <w:p>
            <w:pPr>
              <w:jc w:val="right"/>
              <w:spacing w:after="0"/>
              <w:rPr>
                <w:sz w:val="20"/>
                <w:szCs w:val="20"/>
                <w:color w:val="auto"/>
              </w:rPr>
            </w:pPr>
            <w:r>
              <w:rPr>
                <w:rFonts w:ascii="Arial" w:cs="Arial" w:eastAsia="Arial" w:hAnsi="Arial"/>
                <w:sz w:val="14"/>
                <w:szCs w:val="14"/>
                <w:color w:val="51555C"/>
              </w:rPr>
              <w:t>26.2 %</w:t>
            </w:r>
          </w:p>
        </w:tc>
        <w:tc>
          <w:tcPr>
            <w:tcW w:w="20" w:type="dxa"/>
            <w:vAlign w:val="bottom"/>
          </w:tcPr>
          <w:p>
            <w:pPr>
              <w:spacing w:after="0"/>
              <w:rPr>
                <w:sz w:val="17"/>
                <w:szCs w:val="17"/>
                <w:color w:val="auto"/>
              </w:rPr>
            </w:pPr>
          </w:p>
        </w:tc>
      </w:tr>
      <w:tr>
        <w:trPr>
          <w:trHeight w:val="26"/>
        </w:trPr>
        <w:tc>
          <w:tcPr>
            <w:tcW w:w="7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76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Less: capitalized software and content development costs</w:t>
            </w:r>
          </w:p>
        </w:tc>
        <w:tc>
          <w:tcPr>
            <w:tcW w:w="440" w:type="dxa"/>
            <w:vAlign w:val="bottom"/>
            <w:tcBorders>
              <w:bottom w:val="single" w:sz="8" w:color="EBFBFF"/>
            </w:tcBorders>
            <w:shd w:val="clear" w:color="auto" w:fill="EBFBFF"/>
          </w:tcPr>
          <w:p>
            <w:pPr>
              <w:spacing w:after="0"/>
              <w:rPr>
                <w:sz w:val="19"/>
                <w:szCs w:val="19"/>
                <w:color w:val="auto"/>
              </w:rPr>
            </w:pPr>
          </w:p>
        </w:tc>
        <w:tc>
          <w:tcPr>
            <w:tcW w:w="7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(42.8)</w:t>
            </w:r>
          </w:p>
        </w:tc>
        <w:tc>
          <w:tcPr>
            <w:tcW w:w="420" w:type="dxa"/>
            <w:vAlign w:val="bottom"/>
            <w:tcBorders>
              <w:bottom w:val="single" w:sz="8" w:color="EBFBFF"/>
            </w:tcBorders>
            <w:shd w:val="clear" w:color="auto" w:fill="EBFBFF"/>
          </w:tcPr>
          <w:p>
            <w:pPr>
              <w:spacing w:after="0"/>
              <w:rPr>
                <w:sz w:val="19"/>
                <w:szCs w:val="19"/>
                <w:color w:val="auto"/>
              </w:rPr>
            </w:pPr>
          </w:p>
        </w:tc>
        <w:tc>
          <w:tcPr>
            <w:tcW w:w="7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(29.7)</w:t>
            </w:r>
          </w:p>
        </w:tc>
        <w:tc>
          <w:tcPr>
            <w:tcW w:w="12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44.2 %</w:t>
            </w:r>
          </w:p>
        </w:tc>
        <w:tc>
          <w:tcPr>
            <w:tcW w:w="20" w:type="dxa"/>
            <w:vAlign w:val="bottom"/>
          </w:tcPr>
          <w:p>
            <w:pPr>
              <w:spacing w:after="0"/>
              <w:rPr>
                <w:sz w:val="19"/>
                <w:szCs w:val="19"/>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4"/>
                <w:szCs w:val="14"/>
                <w:b w:val="1"/>
                <w:bCs w:val="1"/>
                <w:color w:val="51555C"/>
              </w:rPr>
              <w:t>Non-GAAP free cash flow</w:t>
            </w:r>
            <w:r>
              <w:rPr>
                <w:rFonts w:ascii="Arial" w:cs="Arial" w:eastAsia="Arial" w:hAnsi="Arial"/>
                <w:sz w:val="18"/>
                <w:szCs w:val="18"/>
                <w:b w:val="1"/>
                <w:bCs w:val="1"/>
                <w:color w:val="51555C"/>
                <w:vertAlign w:val="superscript"/>
              </w:rPr>
              <w:t>(1)</w:t>
            </w:r>
          </w:p>
        </w:tc>
        <w:tc>
          <w:tcPr>
            <w:tcW w:w="440" w:type="dxa"/>
            <w:vAlign w:val="bottom"/>
            <w:tcBorders>
              <w:top w:val="single" w:sz="8" w:color="51555C"/>
            </w:tcBorders>
          </w:tcPr>
          <w:p>
            <w:pPr>
              <w:jc w:val="right"/>
              <w:ind w:right="268"/>
              <w:spacing w:after="0"/>
              <w:rPr>
                <w:sz w:val="20"/>
                <w:szCs w:val="20"/>
                <w:color w:val="auto"/>
              </w:rPr>
            </w:pPr>
            <w:r>
              <w:rPr>
                <w:rFonts w:ascii="Arial" w:cs="Arial" w:eastAsia="Arial" w:hAnsi="Arial"/>
                <w:sz w:val="14"/>
                <w:szCs w:val="14"/>
                <w:color w:val="51555C"/>
              </w:rPr>
              <w:t>$</w:t>
            </w:r>
          </w:p>
        </w:tc>
        <w:tc>
          <w:tcPr>
            <w:tcW w:w="760" w:type="dxa"/>
            <w:vAlign w:val="bottom"/>
            <w:tcBorders>
              <w:top w:val="single" w:sz="8" w:color="51555C"/>
            </w:tcBorders>
          </w:tcPr>
          <w:p>
            <w:pPr>
              <w:jc w:val="right"/>
              <w:ind w:right="8"/>
              <w:spacing w:after="0"/>
              <w:rPr>
                <w:sz w:val="20"/>
                <w:szCs w:val="20"/>
                <w:color w:val="auto"/>
              </w:rPr>
            </w:pPr>
            <w:r>
              <w:rPr>
                <w:rFonts w:ascii="Arial" w:cs="Arial" w:eastAsia="Arial" w:hAnsi="Arial"/>
                <w:sz w:val="14"/>
                <w:szCs w:val="14"/>
                <w:color w:val="51555C"/>
              </w:rPr>
              <w:t>136.5</w:t>
            </w:r>
          </w:p>
        </w:tc>
        <w:tc>
          <w:tcPr>
            <w:tcW w:w="420" w:type="dxa"/>
            <w:vAlign w:val="bottom"/>
            <w:tcBorders>
              <w:top w:val="single" w:sz="8" w:color="51555C"/>
            </w:tcBorders>
          </w:tcPr>
          <w:p>
            <w:pPr>
              <w:jc w:val="right"/>
              <w:ind w:right="248"/>
              <w:spacing w:after="0"/>
              <w:rPr>
                <w:sz w:val="20"/>
                <w:szCs w:val="20"/>
                <w:color w:val="auto"/>
              </w:rPr>
            </w:pPr>
            <w:r>
              <w:rPr>
                <w:rFonts w:ascii="Arial" w:cs="Arial" w:eastAsia="Arial" w:hAnsi="Arial"/>
                <w:sz w:val="14"/>
                <w:szCs w:val="14"/>
                <w:color w:val="51555C"/>
              </w:rPr>
              <w:t>$</w:t>
            </w:r>
          </w:p>
        </w:tc>
        <w:tc>
          <w:tcPr>
            <w:tcW w:w="760" w:type="dxa"/>
            <w:vAlign w:val="bottom"/>
            <w:tcBorders>
              <w:top w:val="single" w:sz="8" w:color="51555C"/>
            </w:tcBorders>
          </w:tcPr>
          <w:p>
            <w:pPr>
              <w:jc w:val="right"/>
              <w:spacing w:after="0"/>
              <w:rPr>
                <w:sz w:val="20"/>
                <w:szCs w:val="20"/>
                <w:color w:val="auto"/>
              </w:rPr>
            </w:pPr>
            <w:r>
              <w:rPr>
                <w:rFonts w:ascii="Arial" w:cs="Arial" w:eastAsia="Arial" w:hAnsi="Arial"/>
                <w:sz w:val="14"/>
                <w:szCs w:val="14"/>
                <w:color w:val="51555C"/>
              </w:rPr>
              <w:t>131.8</w:t>
            </w:r>
          </w:p>
        </w:tc>
        <w:tc>
          <w:tcPr>
            <w:tcW w:w="1260" w:type="dxa"/>
            <w:vAlign w:val="bottom"/>
          </w:tcPr>
          <w:p>
            <w:pPr>
              <w:jc w:val="right"/>
              <w:spacing w:after="0"/>
              <w:rPr>
                <w:sz w:val="20"/>
                <w:szCs w:val="20"/>
                <w:color w:val="auto"/>
              </w:rPr>
            </w:pPr>
            <w:r>
              <w:rPr>
                <w:rFonts w:ascii="Arial" w:cs="Arial" w:eastAsia="Arial" w:hAnsi="Arial"/>
                <w:sz w:val="14"/>
                <w:szCs w:val="14"/>
                <w:color w:val="51555C"/>
              </w:rPr>
              <w:t>3.6 %</w:t>
            </w:r>
          </w:p>
        </w:tc>
        <w:tc>
          <w:tcPr>
            <w:tcW w:w="20" w:type="dxa"/>
            <w:vAlign w:val="bottom"/>
          </w:tcPr>
          <w:p>
            <w:pPr>
              <w:spacing w:after="0"/>
              <w:rPr>
                <w:sz w:val="19"/>
                <w:szCs w:val="19"/>
                <w:color w:val="auto"/>
              </w:rPr>
            </w:pPr>
          </w:p>
        </w:tc>
      </w:tr>
      <w:tr>
        <w:trPr>
          <w:trHeight w:val="229"/>
        </w:trPr>
        <w:tc>
          <w:tcPr>
            <w:tcW w:w="76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Security Incident-related cash flows, net of insurance</w:t>
            </w:r>
          </w:p>
        </w:tc>
        <w:tc>
          <w:tcPr>
            <w:tcW w:w="440" w:type="dxa"/>
            <w:vAlign w:val="bottom"/>
            <w:tcBorders>
              <w:bottom w:val="single" w:sz="8" w:color="EBFBFF"/>
            </w:tcBorders>
            <w:shd w:val="clear" w:color="auto" w:fill="EBFBFF"/>
          </w:tcPr>
          <w:p>
            <w:pPr>
              <w:spacing w:after="0"/>
              <w:rPr>
                <w:sz w:val="19"/>
                <w:szCs w:val="19"/>
                <w:color w:val="auto"/>
              </w:rPr>
            </w:pPr>
          </w:p>
        </w:tc>
        <w:tc>
          <w:tcPr>
            <w:tcW w:w="760" w:type="dxa"/>
            <w:vAlign w:val="bottom"/>
            <w:tcBorders>
              <w:bottom w:val="single" w:sz="8" w:color="EBFBFF"/>
            </w:tcBorders>
            <w:shd w:val="clear" w:color="auto" w:fill="EBFBFF"/>
          </w:tcPr>
          <w:p>
            <w:pPr>
              <w:jc w:val="right"/>
              <w:ind w:right="8"/>
              <w:spacing w:after="0"/>
              <w:rPr>
                <w:sz w:val="20"/>
                <w:szCs w:val="20"/>
                <w:color w:val="auto"/>
              </w:rPr>
            </w:pPr>
            <w:r>
              <w:rPr>
                <w:rFonts w:ascii="Arial" w:cs="Arial" w:eastAsia="Arial" w:hAnsi="Arial"/>
                <w:sz w:val="14"/>
                <w:szCs w:val="14"/>
                <w:color w:val="51555C"/>
              </w:rPr>
              <w:t>9.5</w:t>
            </w:r>
          </w:p>
        </w:tc>
        <w:tc>
          <w:tcPr>
            <w:tcW w:w="420" w:type="dxa"/>
            <w:vAlign w:val="bottom"/>
            <w:tcBorders>
              <w:bottom w:val="single" w:sz="8" w:color="EBFBFF"/>
            </w:tcBorders>
            <w:shd w:val="clear" w:color="auto" w:fill="EBFBFF"/>
          </w:tcPr>
          <w:p>
            <w:pPr>
              <w:spacing w:after="0"/>
              <w:rPr>
                <w:sz w:val="19"/>
                <w:szCs w:val="19"/>
                <w:color w:val="auto"/>
              </w:rPr>
            </w:pPr>
          </w:p>
        </w:tc>
        <w:tc>
          <w:tcPr>
            <w:tcW w:w="7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4.5</w:t>
            </w:r>
          </w:p>
        </w:tc>
        <w:tc>
          <w:tcPr>
            <w:tcW w:w="12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109.6 %</w:t>
            </w:r>
          </w:p>
        </w:tc>
        <w:tc>
          <w:tcPr>
            <w:tcW w:w="20" w:type="dxa"/>
            <w:vAlign w:val="bottom"/>
          </w:tcPr>
          <w:p>
            <w:pPr>
              <w:spacing w:after="0"/>
              <w:rPr>
                <w:sz w:val="19"/>
                <w:szCs w:val="19"/>
                <w:color w:val="auto"/>
              </w:rPr>
            </w:pPr>
          </w:p>
        </w:tc>
      </w:tr>
      <w:tr>
        <w:trPr>
          <w:trHeight w:val="223"/>
        </w:trPr>
        <w:tc>
          <w:tcPr>
            <w:tcW w:w="7600" w:type="dxa"/>
            <w:vAlign w:val="bottom"/>
            <w:tcBorders>
              <w:bottom w:val="single" w:sz="8" w:color="0CD973"/>
            </w:tcBorders>
          </w:tcPr>
          <w:p>
            <w:pPr>
              <w:ind w:left="20"/>
              <w:spacing w:after="0"/>
              <w:rPr>
                <w:sz w:val="20"/>
                <w:szCs w:val="20"/>
                <w:color w:val="auto"/>
              </w:rPr>
            </w:pPr>
            <w:r>
              <w:rPr>
                <w:rFonts w:ascii="Arial" w:cs="Arial" w:eastAsia="Arial" w:hAnsi="Arial"/>
                <w:sz w:val="14"/>
                <w:szCs w:val="14"/>
                <w:b w:val="1"/>
                <w:bCs w:val="1"/>
                <w:color w:val="51555C"/>
              </w:rPr>
              <w:t>Non-GAAP adjusted free cash flow</w:t>
            </w:r>
            <w:r>
              <w:rPr>
                <w:rFonts w:ascii="Arial" w:cs="Arial" w:eastAsia="Arial" w:hAnsi="Arial"/>
                <w:sz w:val="18"/>
                <w:szCs w:val="18"/>
                <w:b w:val="1"/>
                <w:bCs w:val="1"/>
                <w:color w:val="51555C"/>
                <w:vertAlign w:val="superscript"/>
              </w:rPr>
              <w:t>(1)</w:t>
            </w:r>
          </w:p>
        </w:tc>
        <w:tc>
          <w:tcPr>
            <w:tcW w:w="440" w:type="dxa"/>
            <w:vAlign w:val="bottom"/>
            <w:tcBorders>
              <w:top w:val="single" w:sz="8" w:color="51555C"/>
              <w:bottom w:val="single" w:sz="8" w:color="0CD973"/>
            </w:tcBorders>
          </w:tcPr>
          <w:p>
            <w:pPr>
              <w:jc w:val="right"/>
              <w:ind w:right="268"/>
              <w:spacing w:after="0"/>
              <w:rPr>
                <w:sz w:val="20"/>
                <w:szCs w:val="20"/>
                <w:color w:val="auto"/>
              </w:rPr>
            </w:pPr>
            <w:r>
              <w:rPr>
                <w:rFonts w:ascii="Arial" w:cs="Arial" w:eastAsia="Arial" w:hAnsi="Arial"/>
                <w:sz w:val="14"/>
                <w:szCs w:val="14"/>
                <w:color w:val="51555C"/>
              </w:rPr>
              <w:t>$</w:t>
            </w:r>
          </w:p>
        </w:tc>
        <w:tc>
          <w:tcPr>
            <w:tcW w:w="760" w:type="dxa"/>
            <w:vAlign w:val="bottom"/>
            <w:tcBorders>
              <w:top w:val="single" w:sz="8" w:color="51555C"/>
              <w:bottom w:val="single" w:sz="8" w:color="0CD973"/>
            </w:tcBorders>
          </w:tcPr>
          <w:p>
            <w:pPr>
              <w:jc w:val="right"/>
              <w:ind w:right="8"/>
              <w:spacing w:after="0"/>
              <w:rPr>
                <w:sz w:val="20"/>
                <w:szCs w:val="20"/>
                <w:color w:val="auto"/>
              </w:rPr>
            </w:pPr>
            <w:r>
              <w:rPr>
                <w:rFonts w:ascii="Arial" w:cs="Arial" w:eastAsia="Arial" w:hAnsi="Arial"/>
                <w:sz w:val="14"/>
                <w:szCs w:val="14"/>
                <w:color w:val="51555C"/>
              </w:rPr>
              <w:t>146.1</w:t>
            </w:r>
          </w:p>
        </w:tc>
        <w:tc>
          <w:tcPr>
            <w:tcW w:w="420" w:type="dxa"/>
            <w:vAlign w:val="bottom"/>
            <w:tcBorders>
              <w:top w:val="single" w:sz="8" w:color="51555C"/>
              <w:bottom w:val="single" w:sz="8" w:color="0CD973"/>
            </w:tcBorders>
          </w:tcPr>
          <w:p>
            <w:pPr>
              <w:jc w:val="right"/>
              <w:ind w:right="248"/>
              <w:spacing w:after="0"/>
              <w:rPr>
                <w:sz w:val="20"/>
                <w:szCs w:val="20"/>
                <w:color w:val="auto"/>
              </w:rPr>
            </w:pPr>
            <w:r>
              <w:rPr>
                <w:rFonts w:ascii="Arial" w:cs="Arial" w:eastAsia="Arial" w:hAnsi="Arial"/>
                <w:sz w:val="14"/>
                <w:szCs w:val="14"/>
                <w:color w:val="51555C"/>
              </w:rPr>
              <w:t>$</w:t>
            </w:r>
          </w:p>
        </w:tc>
        <w:tc>
          <w:tcPr>
            <w:tcW w:w="760" w:type="dxa"/>
            <w:vAlign w:val="bottom"/>
            <w:tcBorders>
              <w:top w:val="single" w:sz="8" w:color="51555C"/>
              <w:bottom w:val="single" w:sz="8" w:color="0CD973"/>
            </w:tcBorders>
          </w:tcPr>
          <w:p>
            <w:pPr>
              <w:jc w:val="right"/>
              <w:spacing w:after="0"/>
              <w:rPr>
                <w:sz w:val="20"/>
                <w:szCs w:val="20"/>
                <w:color w:val="auto"/>
              </w:rPr>
            </w:pPr>
            <w:r>
              <w:rPr>
                <w:rFonts w:ascii="Arial" w:cs="Arial" w:eastAsia="Arial" w:hAnsi="Arial"/>
                <w:sz w:val="14"/>
                <w:szCs w:val="14"/>
                <w:color w:val="51555C"/>
              </w:rPr>
              <w:t>136.3</w:t>
            </w:r>
          </w:p>
        </w:tc>
        <w:tc>
          <w:tcPr>
            <w:tcW w:w="1260" w:type="dxa"/>
            <w:vAlign w:val="bottom"/>
            <w:tcBorders>
              <w:bottom w:val="single" w:sz="8" w:color="0CD973"/>
            </w:tcBorders>
          </w:tcPr>
          <w:p>
            <w:pPr>
              <w:jc w:val="right"/>
              <w:spacing w:after="0"/>
              <w:rPr>
                <w:sz w:val="20"/>
                <w:szCs w:val="20"/>
                <w:color w:val="auto"/>
              </w:rPr>
            </w:pPr>
            <w:r>
              <w:rPr>
                <w:rFonts w:ascii="Arial" w:cs="Arial" w:eastAsia="Arial" w:hAnsi="Arial"/>
                <w:sz w:val="14"/>
                <w:szCs w:val="14"/>
                <w:color w:val="51555C"/>
              </w:rPr>
              <w:t>7.1 %</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-1062355</wp:posOffset>
            </wp:positionV>
            <wp:extent cx="23145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non-GAAP free cash flow or non-GAAP adjusted free cash flow due to rounding.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Seasonality</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51555C"/>
        </w:rPr>
        <w:t>Our revenues normally fluctuate as a result of certain seasonal variations in our business. Our first quarter has historically been the seasonal low for bookings, with the second and fourth quarters historically being seasonally higher, and our bookings tend to be back-end loaded within individual quarters given our quarterly quota plans. Transactional revenue is non-contractual and less predictable given the susceptibility to certain drivers such as timing and number of events and marketing campaigns, as well as fluctuations in donation volumes and tuition payments. Our transactional revenue has historically been at its lowest in the first quarter due to the timing of customer fundraising initiatives and events. We have historically experienced seasonal highs during the fourth quarter due to year-end giving campaigns and during the second quarter when a large number of events are held.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other than transaction-based costs related to our payments services, do not vary significantly as a result of these factors, but do fluctuate on a quarterly basis due to varying timing of expenditures.</w:t>
      </w:r>
    </w:p>
    <w:p>
      <w:pPr>
        <w:spacing w:after="0" w:line="157"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51555C"/>
        </w:rPr>
        <w:t>Our cash flow from operations normally fluctuates quarterly due to the combination of the timing of customer contract renewals including renewals associated with customers of acquired companies, delivery of professional services and occurrence of customer events, as well as merit-based salary increases, among other factors. Historically, due to lower revenues in our first quarter, combined with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generally been lower in our second quarter as compared to our third and fourth quarters. Partially, offsetting these favorable drivers of cash flow from operations in our third and fourth quarters are base salary merit increases, which occur in July. In addition, deferred revenues can vary on a seasonal basis due to the timing of customer contract renewals and student enrollments or significant acquisitions. Our cash flow from financing is negatively impacted in our first quarter when most of our equity awards vest, as we pay taxes on behalf of our employees related to the settlement or exercise of equity awards.</w:t>
      </w:r>
    </w:p>
    <w:p>
      <w:pPr>
        <w:spacing w:after="0" w:line="15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These patterns may change as a result of the continued shift to online giving, growth in volume of transactions for which we process payments, large dollar customer bookings and contract renewals, or as a result of acquisitions, new market opportunities, new solution introductions, the COVID-19 pandemic or other factors.</w:t>
      </w:r>
    </w:p>
    <w:p>
      <w:pPr>
        <w:spacing w:after="0" w:line="321"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42</w:t>
      </w:r>
      <w:r>
        <w:rPr>
          <w:sz w:val="20"/>
          <w:szCs w:val="20"/>
          <w:color w:val="auto"/>
        </w:rPr>
        <w:tab/>
      </w:r>
      <w:r>
        <w:rPr>
          <w:sz w:val="1"/>
          <w:szCs w:val="1"/>
          <w:color w:val="auto"/>
        </w:rPr>
        <w:drawing>
          <wp:inline distT="0" distB="0" distL="0" distR="0">
            <wp:extent cx="651510" cy="17145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presents selected financial information about our financial position: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shd w:val="clear" w:color="auto" w:fill="004054"/>
          </w:tcPr>
          <w:p>
            <w:pPr>
              <w:spacing w:after="0"/>
              <w:rPr>
                <w:sz w:val="16"/>
                <w:szCs w:val="16"/>
                <w:color w:val="auto"/>
              </w:rPr>
            </w:pPr>
          </w:p>
        </w:tc>
        <w:tc>
          <w:tcPr>
            <w:tcW w:w="240" w:type="dxa"/>
            <w:vAlign w:val="bottom"/>
            <w:shd w:val="clear" w:color="auto" w:fill="004054"/>
          </w:tcPr>
          <w:p>
            <w:pPr>
              <w:spacing w:after="0"/>
              <w:rPr>
                <w:sz w:val="16"/>
                <w:szCs w:val="16"/>
                <w:color w:val="auto"/>
              </w:rPr>
            </w:pPr>
          </w:p>
        </w:tc>
        <w:tc>
          <w:tcPr>
            <w:tcW w:w="11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September 30,</w:t>
            </w:r>
          </w:p>
        </w:tc>
        <w:tc>
          <w:tcPr>
            <w:tcW w:w="240" w:type="dxa"/>
            <w:vAlign w:val="bottom"/>
            <w:shd w:val="clear" w:color="auto" w:fill="004054"/>
          </w:tcPr>
          <w:p>
            <w:pPr>
              <w:spacing w:after="0"/>
              <w:rPr>
                <w:sz w:val="16"/>
                <w:szCs w:val="16"/>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48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223"/>
        </w:trPr>
        <w:tc>
          <w:tcPr>
            <w:tcW w:w="71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240" w:type="dxa"/>
            <w:vAlign w:val="bottom"/>
            <w:tcBorders>
              <w:bottom w:val="single" w:sz="8" w:color="004054"/>
            </w:tcBorders>
            <w:shd w:val="clear" w:color="auto" w:fill="004054"/>
          </w:tcPr>
          <w:p>
            <w:pPr>
              <w:spacing w:after="0"/>
              <w:rPr>
                <w:sz w:val="19"/>
                <w:szCs w:val="19"/>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40" w:type="dxa"/>
            <w:vAlign w:val="bottom"/>
            <w:tcBorders>
              <w:bottom w:val="single" w:sz="8" w:color="004054"/>
            </w:tcBorders>
            <w:shd w:val="clear" w:color="auto" w:fill="004054"/>
          </w:tcPr>
          <w:p>
            <w:pPr>
              <w:spacing w:after="0"/>
              <w:rPr>
                <w:sz w:val="19"/>
                <w:szCs w:val="19"/>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4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004054"/>
            </w:tcBorders>
            <w:shd w:val="clear" w:color="auto" w:fill="004054"/>
          </w:tcPr>
          <w:p>
            <w:pPr>
              <w:spacing w:after="0"/>
              <w:rPr>
                <w:sz w:val="19"/>
                <w:szCs w:val="19"/>
                <w:color w:val="auto"/>
              </w:rPr>
            </w:pPr>
          </w:p>
        </w:tc>
      </w:tr>
      <w:tr>
        <w:trPr>
          <w:trHeight w:val="250"/>
        </w:trPr>
        <w:tc>
          <w:tcPr>
            <w:tcW w:w="71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Cash and cash equivalents</w:t>
            </w:r>
          </w:p>
        </w:tc>
        <w:tc>
          <w:tcPr>
            <w:tcW w:w="240" w:type="dxa"/>
            <w:vAlign w:val="bottom"/>
            <w:tcBorders>
              <w:bottom w:val="single" w:sz="8" w:color="EBFBFF"/>
            </w:tcBorders>
            <w:shd w:val="clear" w:color="auto" w:fill="EBFBFF"/>
          </w:tcPr>
          <w:p>
            <w:pPr>
              <w:jc w:val="right"/>
              <w:ind w:right="30"/>
              <w:spacing w:after="0"/>
              <w:rPr>
                <w:sz w:val="20"/>
                <w:szCs w:val="20"/>
                <w:color w:val="auto"/>
              </w:rPr>
            </w:pPr>
            <w:r>
              <w:rPr>
                <w:rFonts w:ascii="Arial" w:cs="Arial" w:eastAsia="Arial" w:hAnsi="Arial"/>
                <w:sz w:val="18"/>
                <w:szCs w:val="18"/>
                <w:color w:val="51555C"/>
                <w:w w:val="99"/>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31.4</w:t>
            </w:r>
          </w:p>
        </w:tc>
        <w:tc>
          <w:tcPr>
            <w:tcW w:w="240" w:type="dxa"/>
            <w:vAlign w:val="bottom"/>
            <w:tcBorders>
              <w:bottom w:val="single" w:sz="8" w:color="EBFBFF"/>
            </w:tcBorders>
            <w:shd w:val="clear" w:color="auto" w:fill="EBFBFF"/>
          </w:tcPr>
          <w:p>
            <w:pPr>
              <w:jc w:val="right"/>
              <w:ind w:right="30"/>
              <w:spacing w:after="0"/>
              <w:rPr>
                <w:sz w:val="20"/>
                <w:szCs w:val="20"/>
                <w:color w:val="auto"/>
              </w:rPr>
            </w:pPr>
            <w:r>
              <w:rPr>
                <w:rFonts w:ascii="Arial" w:cs="Arial" w:eastAsia="Arial" w:hAnsi="Arial"/>
                <w:sz w:val="18"/>
                <w:szCs w:val="18"/>
                <w:color w:val="51555C"/>
                <w:w w:val="99"/>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55.1</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(43.0)%</w:t>
            </w:r>
          </w:p>
        </w:tc>
        <w:tc>
          <w:tcPr>
            <w:tcW w:w="20" w:type="dxa"/>
            <w:vAlign w:val="bottom"/>
          </w:tcPr>
          <w:p>
            <w:pPr>
              <w:spacing w:after="0"/>
              <w:rPr>
                <w:sz w:val="21"/>
                <w:szCs w:val="21"/>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51555C"/>
              </w:rPr>
              <w:t>Property and equipment, net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109.5</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111.4</w:t>
            </w:r>
          </w:p>
        </w:tc>
        <w:tc>
          <w:tcPr>
            <w:tcW w:w="1480" w:type="dxa"/>
            <w:vAlign w:val="bottom"/>
          </w:tcPr>
          <w:p>
            <w:pPr>
              <w:jc w:val="right"/>
              <w:spacing w:after="0"/>
              <w:rPr>
                <w:sz w:val="20"/>
                <w:szCs w:val="20"/>
                <w:color w:val="auto"/>
              </w:rPr>
            </w:pPr>
            <w:r>
              <w:rPr>
                <w:rFonts w:ascii="Arial" w:cs="Arial" w:eastAsia="Arial" w:hAnsi="Arial"/>
                <w:sz w:val="18"/>
                <w:szCs w:val="18"/>
                <w:color w:val="51555C"/>
              </w:rPr>
              <w:t>(1.8)%</w:t>
            </w:r>
          </w:p>
        </w:tc>
        <w:tc>
          <w:tcPr>
            <w:tcW w:w="2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1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Software and content development costs, net</w:t>
            </w:r>
          </w:p>
        </w:tc>
        <w:tc>
          <w:tcPr>
            <w:tcW w:w="24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135.6</w:t>
            </w:r>
          </w:p>
        </w:tc>
        <w:tc>
          <w:tcPr>
            <w:tcW w:w="24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121.4</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11.7 %</w:t>
            </w:r>
          </w:p>
        </w:tc>
        <w:tc>
          <w:tcPr>
            <w:tcW w:w="20" w:type="dxa"/>
            <w:vAlign w:val="bottom"/>
          </w:tcPr>
          <w:p>
            <w:pPr>
              <w:spacing w:after="0"/>
              <w:rPr>
                <w:sz w:val="21"/>
                <w:szCs w:val="21"/>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51555C"/>
              </w:rPr>
              <w:t>Total carrying value of debt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854.1</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956.2</w:t>
            </w:r>
          </w:p>
        </w:tc>
        <w:tc>
          <w:tcPr>
            <w:tcW w:w="1480" w:type="dxa"/>
            <w:vAlign w:val="bottom"/>
          </w:tcPr>
          <w:p>
            <w:pPr>
              <w:jc w:val="right"/>
              <w:spacing w:after="0"/>
              <w:rPr>
                <w:sz w:val="20"/>
                <w:szCs w:val="20"/>
                <w:color w:val="auto"/>
              </w:rPr>
            </w:pPr>
            <w:r>
              <w:rPr>
                <w:rFonts w:ascii="Arial" w:cs="Arial" w:eastAsia="Arial" w:hAnsi="Arial"/>
                <w:sz w:val="18"/>
                <w:szCs w:val="18"/>
                <w:color w:val="51555C"/>
              </w:rPr>
              <w:t>(10.7)%</w:t>
            </w:r>
          </w:p>
        </w:tc>
        <w:tc>
          <w:tcPr>
            <w:tcW w:w="2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71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Working capital</w:t>
            </w:r>
          </w:p>
        </w:tc>
        <w:tc>
          <w:tcPr>
            <w:tcW w:w="240" w:type="dxa"/>
            <w:vAlign w:val="bottom"/>
            <w:tcBorders>
              <w:bottom w:val="single" w:sz="8" w:color="EBFBFF"/>
            </w:tcBorders>
            <w:shd w:val="clear" w:color="auto" w:fill="EBFBFF"/>
          </w:tcPr>
          <w:p>
            <w:pPr>
              <w:spacing w:after="0"/>
              <w:rPr>
                <w:sz w:val="23"/>
                <w:szCs w:val="23"/>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(323.5)</w:t>
            </w:r>
          </w:p>
        </w:tc>
        <w:tc>
          <w:tcPr>
            <w:tcW w:w="240" w:type="dxa"/>
            <w:vAlign w:val="bottom"/>
            <w:tcBorders>
              <w:bottom w:val="single" w:sz="8" w:color="EBFBFF"/>
            </w:tcBorders>
            <w:shd w:val="clear" w:color="auto" w:fill="EBFBFF"/>
          </w:tcPr>
          <w:p>
            <w:pPr>
              <w:spacing w:after="0"/>
              <w:rPr>
                <w:sz w:val="23"/>
                <w:szCs w:val="23"/>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(258.7)</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(25.1)%</w:t>
            </w:r>
          </w:p>
        </w:tc>
        <w:tc>
          <w:tcPr>
            <w:tcW w:w="20" w:type="dxa"/>
            <w:vAlign w:val="bottom"/>
          </w:tcPr>
          <w:p>
            <w:pPr>
              <w:spacing w:after="0"/>
              <w:rPr>
                <w:sz w:val="23"/>
                <w:szCs w:val="23"/>
                <w:color w:val="auto"/>
              </w:rPr>
            </w:pPr>
          </w:p>
        </w:tc>
      </w:tr>
      <w:tr>
        <w:trPr>
          <w:trHeight w:val="453"/>
        </w:trPr>
        <w:tc>
          <w:tcPr>
            <w:tcW w:w="7100" w:type="dxa"/>
            <w:vAlign w:val="bottom"/>
            <w:tcBorders>
              <w:top w:val="single" w:sz="8" w:color="0CD973"/>
            </w:tcBorders>
          </w:tcPr>
          <w:p>
            <w:pPr>
              <w:spacing w:after="0"/>
              <w:rPr>
                <w:sz w:val="20"/>
                <w:szCs w:val="20"/>
                <w:color w:val="auto"/>
              </w:rPr>
            </w:pPr>
            <w:r>
              <w:rPr>
                <w:rFonts w:ascii="Arial" w:cs="Arial" w:eastAsia="Arial" w:hAnsi="Arial"/>
                <w:sz w:val="18"/>
                <w:szCs w:val="18"/>
                <w:color w:val="51555C"/>
              </w:rPr>
              <w:t>The following table presents selected financial information about our cash flows:</w:t>
            </w:r>
          </w:p>
        </w:tc>
        <w:tc>
          <w:tcPr>
            <w:tcW w:w="240" w:type="dxa"/>
            <w:vAlign w:val="bottom"/>
            <w:tcBorders>
              <w:top w:val="single" w:sz="8" w:color="0CD973"/>
            </w:tcBorders>
          </w:tcPr>
          <w:p>
            <w:pPr>
              <w:spacing w:after="0"/>
              <w:rPr>
                <w:sz w:val="24"/>
                <w:szCs w:val="24"/>
                <w:color w:val="auto"/>
              </w:rPr>
            </w:pPr>
          </w:p>
        </w:tc>
        <w:tc>
          <w:tcPr>
            <w:tcW w:w="1100" w:type="dxa"/>
            <w:vAlign w:val="bottom"/>
            <w:tcBorders>
              <w:top w:val="single" w:sz="8" w:color="0CD973"/>
            </w:tcBorders>
          </w:tcPr>
          <w:p>
            <w:pPr>
              <w:spacing w:after="0"/>
              <w:rPr>
                <w:sz w:val="24"/>
                <w:szCs w:val="24"/>
                <w:color w:val="auto"/>
              </w:rPr>
            </w:pPr>
          </w:p>
        </w:tc>
        <w:tc>
          <w:tcPr>
            <w:tcW w:w="240" w:type="dxa"/>
            <w:vAlign w:val="bottom"/>
            <w:tcBorders>
              <w:top w:val="single" w:sz="8" w:color="0CD973"/>
            </w:tcBorders>
          </w:tcPr>
          <w:p>
            <w:pPr>
              <w:spacing w:after="0"/>
              <w:rPr>
                <w:sz w:val="24"/>
                <w:szCs w:val="24"/>
                <w:color w:val="auto"/>
              </w:rPr>
            </w:pPr>
          </w:p>
        </w:tc>
        <w:tc>
          <w:tcPr>
            <w:tcW w:w="1080" w:type="dxa"/>
            <w:vAlign w:val="bottom"/>
            <w:tcBorders>
              <w:top w:val="single" w:sz="8" w:color="0CD973"/>
            </w:tcBorders>
          </w:tcPr>
          <w:p>
            <w:pPr>
              <w:spacing w:after="0"/>
              <w:rPr>
                <w:sz w:val="24"/>
                <w:szCs w:val="24"/>
                <w:color w:val="auto"/>
              </w:rPr>
            </w:pPr>
          </w:p>
        </w:tc>
        <w:tc>
          <w:tcPr>
            <w:tcW w:w="148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7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560" w:type="dxa"/>
            <w:vAlign w:val="bottom"/>
            <w:gridSpan w:val="2"/>
          </w:tcPr>
          <w:p>
            <w:pPr>
              <w:spacing w:after="0"/>
              <w:rPr>
                <w:sz w:val="7"/>
                <w:szCs w:val="7"/>
                <w:color w:val="auto"/>
              </w:rPr>
            </w:pPr>
          </w:p>
        </w:tc>
        <w:tc>
          <w:tcPr>
            <w:tcW w:w="20" w:type="dxa"/>
            <w:vAlign w:val="bottom"/>
          </w:tcPr>
          <w:p>
            <w:pPr>
              <w:spacing w:after="0"/>
              <w:rPr>
                <w:sz w:val="7"/>
                <w:szCs w:val="7"/>
                <w:color w:val="auto"/>
              </w:rPr>
            </w:pPr>
          </w:p>
        </w:tc>
      </w:tr>
      <w:tr>
        <w:trPr>
          <w:trHeight w:val="218"/>
        </w:trPr>
        <w:tc>
          <w:tcPr>
            <w:tcW w:w="7100" w:type="dxa"/>
            <w:vAlign w:val="bottom"/>
            <w:shd w:val="clear" w:color="auto" w:fill="004054"/>
          </w:tcPr>
          <w:p>
            <w:pPr>
              <w:spacing w:after="0"/>
              <w:rPr>
                <w:sz w:val="18"/>
                <w:szCs w:val="18"/>
                <w:color w:val="auto"/>
              </w:rPr>
            </w:pPr>
          </w:p>
        </w:tc>
        <w:tc>
          <w:tcPr>
            <w:tcW w:w="240" w:type="dxa"/>
            <w:vAlign w:val="bottom"/>
            <w:shd w:val="clear" w:color="auto" w:fill="004054"/>
          </w:tcPr>
          <w:p>
            <w:pPr>
              <w:spacing w:after="0"/>
              <w:rPr>
                <w:sz w:val="18"/>
                <w:szCs w:val="18"/>
                <w:color w:val="auto"/>
              </w:rPr>
            </w:pPr>
          </w:p>
        </w:tc>
        <w:tc>
          <w:tcPr>
            <w:tcW w:w="1100" w:type="dxa"/>
            <w:vAlign w:val="bottom"/>
            <w:shd w:val="clear" w:color="auto" w:fill="004054"/>
          </w:tcPr>
          <w:p>
            <w:pPr>
              <w:spacing w:after="0"/>
              <w:rPr>
                <w:sz w:val="18"/>
                <w:szCs w:val="18"/>
                <w:color w:val="auto"/>
              </w:rPr>
            </w:pPr>
          </w:p>
        </w:tc>
        <w:tc>
          <w:tcPr>
            <w:tcW w:w="240" w:type="dxa"/>
            <w:vAlign w:val="bottom"/>
            <w:shd w:val="clear" w:color="auto" w:fill="004054"/>
          </w:tcPr>
          <w:p>
            <w:pPr>
              <w:spacing w:after="0"/>
              <w:rPr>
                <w:sz w:val="18"/>
                <w:szCs w:val="18"/>
                <w:color w:val="auto"/>
              </w:rPr>
            </w:pPr>
          </w:p>
        </w:tc>
        <w:tc>
          <w:tcPr>
            <w:tcW w:w="256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Nine months ended September 30,</w:t>
            </w:r>
          </w:p>
        </w:tc>
        <w:tc>
          <w:tcPr>
            <w:tcW w:w="20" w:type="dxa"/>
            <w:vAlign w:val="bottom"/>
            <w:shd w:val="clear" w:color="auto" w:fill="004054"/>
          </w:tcPr>
          <w:p>
            <w:pPr>
              <w:spacing w:after="0"/>
              <w:rPr>
                <w:sz w:val="18"/>
                <w:szCs w:val="18"/>
                <w:color w:val="auto"/>
              </w:rPr>
            </w:pPr>
          </w:p>
        </w:tc>
      </w:tr>
      <w:tr>
        <w:trPr>
          <w:trHeight w:val="262"/>
        </w:trPr>
        <w:tc>
          <w:tcPr>
            <w:tcW w:w="71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240" w:type="dxa"/>
            <w:vAlign w:val="bottom"/>
            <w:tcBorders>
              <w:bottom w:val="single" w:sz="8" w:color="004054"/>
            </w:tcBorders>
            <w:shd w:val="clear" w:color="auto" w:fill="004054"/>
          </w:tcPr>
          <w:p>
            <w:pPr>
              <w:spacing w:after="0"/>
              <w:rPr>
                <w:sz w:val="22"/>
                <w:szCs w:val="22"/>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40" w:type="dxa"/>
            <w:vAlign w:val="bottom"/>
            <w:tcBorders>
              <w:bottom w:val="single" w:sz="8" w:color="004054"/>
            </w:tcBorders>
            <w:shd w:val="clear" w:color="auto" w:fill="004054"/>
          </w:tcPr>
          <w:p>
            <w:pPr>
              <w:spacing w:after="0"/>
              <w:rPr>
                <w:sz w:val="22"/>
                <w:szCs w:val="22"/>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4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004054"/>
            </w:tcBorders>
            <w:shd w:val="clear" w:color="auto" w:fill="004054"/>
          </w:tcPr>
          <w:p>
            <w:pPr>
              <w:spacing w:after="0"/>
              <w:rPr>
                <w:sz w:val="22"/>
                <w:szCs w:val="22"/>
                <w:color w:val="auto"/>
              </w:rPr>
            </w:pPr>
          </w:p>
        </w:tc>
      </w:tr>
      <w:tr>
        <w:trPr>
          <w:trHeight w:val="250"/>
        </w:trPr>
        <w:tc>
          <w:tcPr>
            <w:tcW w:w="71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Net cash provided by operating activities</w:t>
            </w:r>
          </w:p>
        </w:tc>
        <w:tc>
          <w:tcPr>
            <w:tcW w:w="24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189.8</w:t>
            </w:r>
          </w:p>
        </w:tc>
        <w:tc>
          <w:tcPr>
            <w:tcW w:w="240" w:type="dxa"/>
            <w:vAlign w:val="bottom"/>
            <w:tcBorders>
              <w:bottom w:val="single" w:sz="8" w:color="EBFBFF"/>
            </w:tcBorders>
            <w:shd w:val="clear" w:color="auto" w:fill="EBFBFF"/>
          </w:tcPr>
          <w:p>
            <w:pPr>
              <w:jc w:val="right"/>
              <w:ind w:right="30"/>
              <w:spacing w:after="0"/>
              <w:rPr>
                <w:sz w:val="20"/>
                <w:szCs w:val="20"/>
                <w:color w:val="auto"/>
              </w:rPr>
            </w:pPr>
            <w:r>
              <w:rPr>
                <w:rFonts w:ascii="Arial" w:cs="Arial" w:eastAsia="Arial" w:hAnsi="Arial"/>
                <w:sz w:val="18"/>
                <w:szCs w:val="18"/>
                <w:color w:val="51555C"/>
                <w:w w:val="99"/>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169.8</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11.8 %</w:t>
            </w:r>
          </w:p>
        </w:tc>
        <w:tc>
          <w:tcPr>
            <w:tcW w:w="20" w:type="dxa"/>
            <w:vAlign w:val="bottom"/>
          </w:tcPr>
          <w:p>
            <w:pPr>
              <w:spacing w:after="0"/>
              <w:rPr>
                <w:sz w:val="21"/>
                <w:szCs w:val="21"/>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51555C"/>
              </w:rPr>
              <w:t>Net cash used in investing activities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(67.8)</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(38.0)</w:t>
            </w:r>
          </w:p>
        </w:tc>
        <w:tc>
          <w:tcPr>
            <w:tcW w:w="1480" w:type="dxa"/>
            <w:vAlign w:val="bottom"/>
          </w:tcPr>
          <w:p>
            <w:pPr>
              <w:jc w:val="right"/>
              <w:spacing w:after="0"/>
              <w:rPr>
                <w:sz w:val="20"/>
                <w:szCs w:val="20"/>
                <w:color w:val="auto"/>
              </w:rPr>
            </w:pPr>
            <w:r>
              <w:rPr>
                <w:rFonts w:ascii="Arial" w:cs="Arial" w:eastAsia="Arial" w:hAnsi="Arial"/>
                <w:sz w:val="18"/>
                <w:szCs w:val="18"/>
                <w:color w:val="51555C"/>
              </w:rPr>
              <w:t>78.4 %</w:t>
            </w:r>
          </w:p>
        </w:tc>
        <w:tc>
          <w:tcPr>
            <w:tcW w:w="2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1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Net cash used in financing activities</w:t>
            </w:r>
          </w:p>
        </w:tc>
        <w:tc>
          <w:tcPr>
            <w:tcW w:w="24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(384.2)</w:t>
            </w:r>
          </w:p>
        </w:tc>
        <w:tc>
          <w:tcPr>
            <w:tcW w:w="24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(533.1)</w:t>
            </w:r>
          </w:p>
        </w:tc>
        <w:tc>
          <w:tcPr>
            <w:tcW w:w="14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(27.9)%</w:t>
            </w:r>
          </w:p>
        </w:tc>
        <w:tc>
          <w:tcPr>
            <w:tcW w:w="20" w:type="dxa"/>
            <w:vAlign w:val="bottom"/>
          </w:tcPr>
          <w:p>
            <w:pPr>
              <w:spacing w:after="0"/>
              <w:rPr>
                <w:sz w:val="21"/>
                <w:szCs w:val="21"/>
                <w:color w:val="auto"/>
              </w:rPr>
            </w:pPr>
          </w:p>
        </w:tc>
      </w:tr>
      <w:tr>
        <w:trPr>
          <w:trHeight w:val="20"/>
        </w:trPr>
        <w:tc>
          <w:tcPr>
            <w:tcW w:w="710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110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1080" w:type="dxa"/>
            <w:vAlign w:val="bottom"/>
            <w:shd w:val="clear" w:color="auto" w:fill="0CD973"/>
          </w:tcPr>
          <w:p>
            <w:pPr>
              <w:spacing w:after="0" w:line="20" w:lineRule="exact"/>
              <w:rPr>
                <w:sz w:val="1"/>
                <w:szCs w:val="1"/>
                <w:color w:val="auto"/>
              </w:rPr>
            </w:pPr>
          </w:p>
        </w:tc>
        <w:tc>
          <w:tcPr>
            <w:tcW w:w="14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-685165</wp:posOffset>
            </wp:positionV>
            <wp:extent cx="262318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236"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51555C"/>
        </w:rPr>
        <w:t>Our principal sources of liquidity are our operating cash flow, funds available under the 2020 Credit Facility and cash on hand. Our operating cash flow depends on continued customer renewal of our subscription and maintenance arrangements, market acceptance of our solutions and services, the volume and size of transactions for which we process payments and our customers' ability to pay.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We also believe that we will be able to continue to meet our long-term cash requirements due to our anticipated cash flow from operations, solid financial position and ability to access capital from financial markets. To the extent we undertake future material acquisitions or, investments or unanticipated capital or operating expenditures, including in connection with the Security Incident, we may require additional capital. In that context, we regularly evaluate opportunities to enhance our capital structure, including through potential debt or equity issuances.</w:t>
      </w:r>
    </w:p>
    <w:p>
      <w:pPr>
        <w:spacing w:after="0" w:line="15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As a well-known seasoned issuer, we filed an automatic shelf registration statement for an undetermined amount of debt and equity securities with the SEC on January 14, 2022. Under this universal shelf registration statement we may offer and sell, from time to time, debt securities, common stock, preferred stock, depositary shares, warrants, stock purchase contracts and stock purchase units. Subject to certain conditions, this registration statement will be effective through January 13, 2024.</w:t>
      </w:r>
    </w:p>
    <w:p>
      <w:pPr>
        <w:spacing w:after="0" w:line="15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At September 30, 2022, our total cash and cash equivalents balance included approximately $15.9 million of cash that was held by operations outside the U.S. While these funds may not be needed to fund our U.S. operations for at least the next twelve months, if we need these funds, we may be required to accrue and pay taxes to repatriate the funds. We currently do not intend nor anticipate a need to repatriate our cash held outside the 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Operating Cash Flow</w:t>
      </w:r>
    </w:p>
    <w:p>
      <w:pPr>
        <w:spacing w:after="0" w:line="19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51555C"/>
        </w:rPr>
        <w:t>Our cash flows from operations are derived principally from: (i) our earnings from on-going operations prior to non-cash expenses such as depreciation, amortization, stock-based compensation, deferred taxes, amortization of deferred financing costs and debt discount and adjustments to our provision for credit losses and sales returns; and (ii) changes in our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213995</wp:posOffset>
            </wp:positionV>
            <wp:extent cx="659765"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43</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Working capital changes are composed of changes in accounts receivable, prepaid expenses and other assets, trade accounts payable, accrued expenses and other liabilities, and deferred revenue.</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Net cash provided by operating activities increased by $20.0 million during the nine months ended September 30, 2022, when compared to the same period in 2021, primarily due to a $45.5 million decrease in net income adjusted for non-cash expenses and a $65.5 million increase in cash flow from operations associated with working capital.</w:t>
      </w:r>
    </w:p>
    <w:p>
      <w:pPr>
        <w:spacing w:after="0" w:line="14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The increase in cash flow from operations associated with working capital during the nine months ended September 30, 2022, when compared to the same period in 2021, was primarily due to:</w:t>
      </w:r>
    </w:p>
    <w:p>
      <w:pPr>
        <w:spacing w:after="0" w:line="144" w:lineRule="exact"/>
        <w:rPr>
          <w:sz w:val="20"/>
          <w:szCs w:val="20"/>
          <w:color w:val="auto"/>
        </w:rPr>
      </w:pPr>
    </w:p>
    <w:p>
      <w:pPr>
        <w:ind w:left="660" w:hanging="328"/>
        <w:spacing w:after="0" w:line="261" w:lineRule="auto"/>
        <w:tabs>
          <w:tab w:leader="none" w:pos="628" w:val="left"/>
        </w:tabs>
        <w:numPr>
          <w:ilvl w:val="0"/>
          <w:numId w:val="36"/>
        </w:numPr>
        <w:rPr>
          <w:rFonts w:ascii="Arial" w:cs="Arial" w:eastAsia="Arial" w:hAnsi="Arial"/>
          <w:sz w:val="18"/>
          <w:szCs w:val="18"/>
          <w:color w:val="51555C"/>
        </w:rPr>
      </w:pPr>
      <w:r>
        <w:rPr>
          <w:rFonts w:ascii="Arial" w:cs="Arial" w:eastAsia="Arial" w:hAnsi="Arial"/>
          <w:sz w:val="18"/>
          <w:szCs w:val="18"/>
          <w:color w:val="51555C"/>
        </w:rPr>
        <w:t>a seasonal increase in the collection of customer contract renewal billings and an increase in the collection of customer account balances from an aging improvement initiative;</w:t>
      </w:r>
    </w:p>
    <w:p>
      <w:pPr>
        <w:spacing w:after="0" w:line="143" w:lineRule="exact"/>
        <w:rPr>
          <w:rFonts w:ascii="Arial" w:cs="Arial" w:eastAsia="Arial" w:hAnsi="Arial"/>
          <w:sz w:val="18"/>
          <w:szCs w:val="18"/>
          <w:color w:val="51555C"/>
        </w:rPr>
      </w:pPr>
    </w:p>
    <w:p>
      <w:pPr>
        <w:ind w:left="660" w:hanging="328"/>
        <w:spacing w:after="0" w:line="261" w:lineRule="auto"/>
        <w:tabs>
          <w:tab w:leader="none" w:pos="628" w:val="left"/>
        </w:tabs>
        <w:numPr>
          <w:ilvl w:val="0"/>
          <w:numId w:val="36"/>
        </w:numPr>
        <w:rPr>
          <w:rFonts w:ascii="Arial" w:cs="Arial" w:eastAsia="Arial" w:hAnsi="Arial"/>
          <w:sz w:val="18"/>
          <w:szCs w:val="18"/>
          <w:color w:val="51555C"/>
        </w:rPr>
      </w:pPr>
      <w:r>
        <w:rPr>
          <w:rFonts w:ascii="Arial" w:cs="Arial" w:eastAsia="Arial" w:hAnsi="Arial"/>
          <w:sz w:val="18"/>
          <w:szCs w:val="18"/>
          <w:color w:val="51555C"/>
        </w:rPr>
        <w:t>a decrease in probable insurance recoveries related to the Security Incident as we have received payment for all of the related insurance claims;</w:t>
      </w:r>
    </w:p>
    <w:p>
      <w:pPr>
        <w:spacing w:after="0" w:line="143" w:lineRule="exact"/>
        <w:rPr>
          <w:rFonts w:ascii="Arial" w:cs="Arial" w:eastAsia="Arial" w:hAnsi="Arial"/>
          <w:sz w:val="18"/>
          <w:szCs w:val="18"/>
          <w:color w:val="51555C"/>
        </w:rPr>
      </w:pPr>
    </w:p>
    <w:p>
      <w:pPr>
        <w:ind w:left="620" w:hanging="288"/>
        <w:spacing w:after="0"/>
        <w:tabs>
          <w:tab w:leader="none" w:pos="620" w:val="left"/>
        </w:tabs>
        <w:numPr>
          <w:ilvl w:val="0"/>
          <w:numId w:val="36"/>
        </w:numPr>
        <w:rPr>
          <w:rFonts w:ascii="Arial" w:cs="Arial" w:eastAsia="Arial" w:hAnsi="Arial"/>
          <w:sz w:val="18"/>
          <w:szCs w:val="18"/>
          <w:color w:val="51555C"/>
        </w:rPr>
      </w:pPr>
      <w:r>
        <w:rPr>
          <w:rFonts w:ascii="Arial" w:cs="Arial" w:eastAsia="Arial" w:hAnsi="Arial"/>
          <w:sz w:val="18"/>
          <w:szCs w:val="18"/>
          <w:color w:val="51555C"/>
        </w:rPr>
        <w:t>an increase in taxes payable; and</w:t>
      </w:r>
    </w:p>
    <w:p>
      <w:pPr>
        <w:spacing w:after="0" w:line="171" w:lineRule="exact"/>
        <w:rPr>
          <w:rFonts w:ascii="Arial" w:cs="Arial" w:eastAsia="Arial" w:hAnsi="Arial"/>
          <w:sz w:val="18"/>
          <w:szCs w:val="18"/>
          <w:color w:val="51555C"/>
        </w:rPr>
      </w:pPr>
    </w:p>
    <w:p>
      <w:pPr>
        <w:ind w:left="620" w:hanging="288"/>
        <w:spacing w:after="0"/>
        <w:tabs>
          <w:tab w:leader="none" w:pos="620" w:val="left"/>
        </w:tabs>
        <w:numPr>
          <w:ilvl w:val="0"/>
          <w:numId w:val="36"/>
        </w:numPr>
        <w:rPr>
          <w:rFonts w:ascii="Arial" w:cs="Arial" w:eastAsia="Arial" w:hAnsi="Arial"/>
          <w:sz w:val="18"/>
          <w:szCs w:val="18"/>
          <w:color w:val="51555C"/>
        </w:rPr>
      </w:pPr>
      <w:r>
        <w:rPr>
          <w:rFonts w:ascii="Arial" w:cs="Arial" w:eastAsia="Arial" w:hAnsi="Arial"/>
          <w:sz w:val="18"/>
          <w:szCs w:val="18"/>
          <w:color w:val="51555C"/>
        </w:rPr>
        <w:t>fluctuations in the timing of vendor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Workforce reduction</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We have taken steps to better align our workforce with our strategic priorities to drive efficiencies and minimize any potential impacts from the current uncertain macroeconomic environment. This recently included further elimination of open positions as well as the decision to reduce our workforce. As a result of the workforce targeted reduction, we expect to incur between $6 million and $8 million in pre-tax employee severance costs primarily during the fourth quarter of 2022. We expect this workforce reduction and other cost actions will reduce our planned future pre-tax cost run rate by approximately $40 million to $50 million beginning in 2023, partially offset by continued investments in cybersecurity and innovation.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Security Incident update</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 xml:space="preserve">As discussed in Note 10 to our unaudited, condensed consolidated financial statements included in this report, total costs related to the Security Incident that we expect will be recoverable has exceeded the limit of our insurance coverage. Accordingly, we expect that the Security Incident will continue to negatively impact our GAAP profitability and GAAP cash flow for the foreseeable future (see discussion regarding our non-GAAP financial measures beginning on page </w:t>
      </w:r>
      <w:r>
        <w:rPr>
          <w:rFonts w:ascii="Arial" w:cs="Arial" w:eastAsia="Arial" w:hAnsi="Arial"/>
          <w:sz w:val="18"/>
          <w:szCs w:val="18"/>
          <w:color w:val="000000"/>
        </w:rPr>
        <w:t>38</w:t>
      </w:r>
      <w:r>
        <w:rPr>
          <w:rFonts w:ascii="Arial" w:cs="Arial" w:eastAsia="Arial" w:hAnsi="Arial"/>
          <w:sz w:val="18"/>
          <w:szCs w:val="18"/>
          <w:color w:val="51555C"/>
        </w:rPr>
        <w:t>). For full year 2022, we currently expect net pre-tax expense of approximately $ 30 million to $35 million for ongoing legal fees related to the Security Incident. In line with our policy, legal fees are expensed as incurred. For full year 2022, we currently expect net cash outlays of approximately $15 million to $25 million for ongoing legal fees related to the Security Incident. As of September 30, 2022, we have recorded approximately $5.0 million in aggregate liabilities for a loss contingencies related to the Security Incident that we believe we can reasonably estimate. Certain of these recorded charges reflect the low end of a range of estimated losses based on our determination that no estimate within that range was better than any other amount. It is reasonably possible that actual losses in the future for those matters will be in excess of the amounts accrued, but we are unable at this time to reasonably estimate the possible additional loss. There are other Security Incident-related matters, including customer claims, customer constituent class actions and governmental investigations, for which we have not recorded a liability for a loss contingency as of September 30, 2022 because we are unable at this time to reasonably estimate the possible loss or range of loss.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Investing Cash Flow</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Net cash used in investing activities of $67.8 million increased by $29.8 million during the nine months ended September 30, 2022, when compared to the same period in 2021.</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During the nine months ended September 30, 2022, we used $20.9 million of net cash for our acquisitions of EVERFI and Kilter, comprised primarily of (i) $17.4 million that had not been paid by EVERFI to its former option holders as of December 31, 2021, solely due to the timing of the acquisition on the last day of 2021; (ii) $2.9 million that was paid to acquire Kilter; and (iii) $2.6 million that was paid to a number of EVERFI's selling shareholders after determining they would be paid in cash, rather than shares of our common stock.</w:t>
      </w:r>
    </w:p>
    <w:p>
      <w:pPr>
        <w:spacing w:after="0" w:line="310"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44</w:t>
      </w:r>
      <w:r>
        <w:rPr>
          <w:sz w:val="20"/>
          <w:szCs w:val="20"/>
          <w:color w:val="auto"/>
        </w:rPr>
        <w:tab/>
      </w:r>
      <w:r>
        <w:rPr>
          <w:sz w:val="1"/>
          <w:szCs w:val="1"/>
          <w:color w:val="auto"/>
        </w:rPr>
        <w:drawing>
          <wp:inline distT="0" distB="0" distL="0" distR="0">
            <wp:extent cx="651510" cy="1714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We used $ 42.8 million for software development costs, which was up $13.1 million from cash spent during the same period in 2021, primarily due to the inclusion of EVERFI's software and content development activities. We also spent $10.5 million of cash for purchases of property and equipment during the nine months ended September 30, 2022, which was an increase of $2.2 million when compared to the same period in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Financing Cash Flow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51555C"/>
        </w:rPr>
        <w:t>During the nine months ended September 30, 2022, we had a net decrease in borrowings of $102.5 million.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We paid $36.1 million to satisfy tax obligations of employees upon settlement of equity awards during the nine months ended September 30, 2022 compared to $39.0 million during the same period in 2021. The amount of taxes paid by us on behalf of employees related to the settlement of equity awards varies from period to period based upon the timing of grants and vesting, as well as the market price for shares of our common stock at the time of settlement. Most of our equity awards currently vest in our first quarter.</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During the nine months ended September 30, 2022, cash flow from financing activities associated with changes in restricted cash due to customers decreased $243.1 million, compared to a decrease of $387.0 million during the same period in 2021. This line in the statement of cash flows represents the change in the amount of restricted cash held and payable by us to customers from one period to the next.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Stock repurchase program</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In December 2021, our Board of Directors reauthorized and replenished our stock repurchase program that authorizes us to purchase up to $250.0 million of our outstanding shares of common stock.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 During the three and nine months ended September 30, 2022, we did not purchase any shares. The remaining amount available to purchase stock under the stock repurchase program was $250.0 million as of September 30,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2020 Credit Facility</w:t>
      </w:r>
    </w:p>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Historically, we have drawn on our credit facility from time to time to help us meet financial needs, primarily due to the seasonality of our cash flows from operations and financing for business acquisitions. At September 30, 2022, our available borrowing capacity under the 2020 Credit Facility was $326.9 million. The 2020 Credit Facility matures in October 2025.</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At September 30, 2022, the carrying amount of our debt under the 2020 Credit Facility was $795.5 million. Our average daily borrowings during the three and nine months ended September 30, 2022 were $834.7 million and $886.8 million,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is a summary of the financial covenants under the 2020 Credit Facility: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99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Financial covenant</w:t>
            </w:r>
          </w:p>
        </w:tc>
        <w:tc>
          <w:tcPr>
            <w:tcW w:w="286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Requirement</w:t>
            </w:r>
          </w:p>
        </w:tc>
        <w:tc>
          <w:tcPr>
            <w:tcW w:w="337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Ratio as of September 30, 2022</w:t>
            </w:r>
          </w:p>
        </w:tc>
      </w:tr>
      <w:tr>
        <w:trPr>
          <w:trHeight w:val="324"/>
        </w:trPr>
        <w:tc>
          <w:tcPr>
            <w:tcW w:w="499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Net leverage ratio</w:t>
            </w:r>
            <w:r>
              <w:rPr>
                <w:rFonts w:ascii="Arial" w:cs="Arial" w:eastAsia="Arial" w:hAnsi="Arial"/>
                <w:sz w:val="23"/>
                <w:szCs w:val="23"/>
                <w:color w:val="51555C"/>
                <w:vertAlign w:val="superscript"/>
              </w:rPr>
              <w:t>(1)</w:t>
            </w:r>
          </w:p>
        </w:tc>
        <w:tc>
          <w:tcPr>
            <w:tcW w:w="286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9"/>
              </w:rPr>
              <w:t>≤ 4.25 to 1.00</w:t>
            </w:r>
          </w:p>
        </w:tc>
        <w:tc>
          <w:tcPr>
            <w:tcW w:w="337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8"/>
              </w:rPr>
              <w:t>3.10 to 1.00</w:t>
            </w:r>
          </w:p>
        </w:tc>
      </w:tr>
      <w:tr>
        <w:trPr>
          <w:trHeight w:val="243"/>
        </w:trPr>
        <w:tc>
          <w:tcPr>
            <w:tcW w:w="4990" w:type="dxa"/>
            <w:vAlign w:val="bottom"/>
          </w:tcPr>
          <w:p>
            <w:pPr>
              <w:ind w:left="20"/>
              <w:spacing w:after="0"/>
              <w:rPr>
                <w:sz w:val="20"/>
                <w:szCs w:val="20"/>
                <w:color w:val="auto"/>
              </w:rPr>
            </w:pPr>
            <w:r>
              <w:rPr>
                <w:rFonts w:ascii="Arial" w:cs="Arial" w:eastAsia="Arial" w:hAnsi="Arial"/>
                <w:sz w:val="18"/>
                <w:szCs w:val="18"/>
                <w:color w:val="51555C"/>
              </w:rPr>
              <w:t>Interest coverage ratio</w:t>
            </w:r>
          </w:p>
        </w:tc>
        <w:tc>
          <w:tcPr>
            <w:tcW w:w="2860" w:type="dxa"/>
            <w:vAlign w:val="bottom"/>
          </w:tcPr>
          <w:p>
            <w:pPr>
              <w:jc w:val="center"/>
              <w:spacing w:after="0"/>
              <w:rPr>
                <w:sz w:val="20"/>
                <w:szCs w:val="20"/>
                <w:color w:val="auto"/>
              </w:rPr>
            </w:pPr>
            <w:r>
              <w:rPr>
                <w:rFonts w:ascii="Arial" w:cs="Arial" w:eastAsia="Arial" w:hAnsi="Arial"/>
                <w:sz w:val="18"/>
                <w:szCs w:val="18"/>
                <w:color w:val="51555C"/>
                <w:w w:val="99"/>
              </w:rPr>
              <w:t>≥ 2.50 to 1.00</w:t>
            </w:r>
          </w:p>
        </w:tc>
        <w:tc>
          <w:tcPr>
            <w:tcW w:w="3370" w:type="dxa"/>
            <w:vAlign w:val="bottom"/>
          </w:tcPr>
          <w:p>
            <w:pPr>
              <w:jc w:val="center"/>
              <w:spacing w:after="0"/>
              <w:rPr>
                <w:sz w:val="20"/>
                <w:szCs w:val="20"/>
                <w:color w:val="auto"/>
              </w:rPr>
            </w:pPr>
            <w:r>
              <w:rPr>
                <w:rFonts w:ascii="Arial" w:cs="Arial" w:eastAsia="Arial" w:hAnsi="Arial"/>
                <w:sz w:val="18"/>
                <w:szCs w:val="18"/>
                <w:color w:val="51555C"/>
                <w:w w:val="98"/>
              </w:rPr>
              <w:t>9.42 to 1.00</w:t>
            </w:r>
          </w:p>
        </w:tc>
      </w:tr>
      <w:tr>
        <w:trPr>
          <w:trHeight w:val="27"/>
        </w:trPr>
        <w:tc>
          <w:tcPr>
            <w:tcW w:w="4990" w:type="dxa"/>
            <w:vAlign w:val="bottom"/>
            <w:tcBorders>
              <w:bottom w:val="single" w:sz="8" w:color="0CD973"/>
            </w:tcBorders>
          </w:tcPr>
          <w:p>
            <w:pPr>
              <w:spacing w:after="0"/>
              <w:rPr>
                <w:sz w:val="2"/>
                <w:szCs w:val="2"/>
                <w:color w:val="auto"/>
              </w:rPr>
            </w:pPr>
          </w:p>
        </w:tc>
        <w:tc>
          <w:tcPr>
            <w:tcW w:w="2860" w:type="dxa"/>
            <w:vAlign w:val="bottom"/>
            <w:tcBorders>
              <w:bottom w:val="single" w:sz="8" w:color="0CD973"/>
            </w:tcBorders>
          </w:tcPr>
          <w:p>
            <w:pPr>
              <w:spacing w:after="0"/>
              <w:rPr>
                <w:sz w:val="2"/>
                <w:szCs w:val="2"/>
                <w:color w:val="auto"/>
              </w:rPr>
            </w:pPr>
          </w:p>
        </w:tc>
        <w:tc>
          <w:tcPr>
            <w:tcW w:w="3370" w:type="dxa"/>
            <w:vAlign w:val="bottom"/>
            <w:tcBorders>
              <w:bottom w:val="single" w:sz="8" w:color="0CD973"/>
            </w:tcBorders>
          </w:tcPr>
          <w:p>
            <w:pPr>
              <w:spacing w:after="0"/>
              <w:rPr>
                <w:sz w:val="2"/>
                <w:szCs w:val="2"/>
                <w:color w:val="auto"/>
              </w:rPr>
            </w:pPr>
          </w:p>
        </w:tc>
      </w:tr>
    </w:tbl>
    <w:p>
      <w:pPr>
        <w:spacing w:after="0" w:line="99" w:lineRule="exact"/>
        <w:rPr>
          <w:sz w:val="20"/>
          <w:szCs w:val="20"/>
          <w:color w:val="auto"/>
        </w:rPr>
      </w:pPr>
    </w:p>
    <w:p>
      <w:pPr>
        <w:ind w:left="340" w:hanging="332"/>
        <w:spacing w:after="0" w:line="258" w:lineRule="auto"/>
        <w:tabs>
          <w:tab w:leader="none" w:pos="354" w:val="left"/>
        </w:tabs>
        <w:numPr>
          <w:ilvl w:val="0"/>
          <w:numId w:val="37"/>
        </w:numPr>
        <w:rPr>
          <w:rFonts w:ascii="Arial" w:cs="Arial" w:eastAsia="Arial" w:hAnsi="Arial"/>
          <w:sz w:val="14"/>
          <w:szCs w:val="14"/>
          <w:color w:val="51555C"/>
        </w:rPr>
      </w:pPr>
      <w:r>
        <w:rPr>
          <w:rFonts w:ascii="Arial" w:cs="Arial" w:eastAsia="Arial" w:hAnsi="Arial"/>
          <w:sz w:val="14"/>
          <w:szCs w:val="14"/>
          <w:color w:val="51555C"/>
        </w:rPr>
        <w:t>Under the terms of the 2020 Credit Facility, the Net Leverage Ratio requirement may be increased by up to 0.50 provided we satisfy certain requirements, including a permitted business acquisition, and provided that the maximum Net Leverage Ratio shall not exceed 4.25 to 1.00.</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Under the 2020 Credit Facility, we also have restrictions on our ability to declare and pay dividends and our ability to repurchase shares of our common stock. In order to pay any cash dividends and/or repurchase shares of stock: (i) no default or event of default shall have occurred and be continuing under the 2020 Credit Facility, and (ii) our pro forma net leverage ratio, as set forth in the 2020 Credit Facility, must be 0.25 less than the net leverage ratio requirement at the time of dividend declaration or share repurchase. At September 30, 2022, we were in compliance with our debt covenants under the 2020 Credit Facility. See Note 8 to our unaudited, condensed consolidated financial statements included in this report for additional information regarding the 2020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226695</wp:posOffset>
            </wp:positionV>
            <wp:extent cx="659765"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45</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Commitments and Contingencies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40" w:type="dxa"/>
            <w:vAlign w:val="bottom"/>
            <w:shd w:val="clear" w:color="auto" w:fill="004054"/>
          </w:tcPr>
          <w:p>
            <w:pPr>
              <w:spacing w:after="0"/>
              <w:rPr>
                <w:sz w:val="18"/>
                <w:szCs w:val="18"/>
                <w:color w:val="auto"/>
              </w:rPr>
            </w:pPr>
          </w:p>
        </w:tc>
        <w:tc>
          <w:tcPr>
            <w:tcW w:w="380" w:type="dxa"/>
            <w:vAlign w:val="bottom"/>
            <w:shd w:val="clear" w:color="auto" w:fill="004054"/>
          </w:tcPr>
          <w:p>
            <w:pPr>
              <w:spacing w:after="0"/>
              <w:rPr>
                <w:sz w:val="18"/>
                <w:szCs w:val="18"/>
                <w:color w:val="auto"/>
              </w:rPr>
            </w:pPr>
          </w:p>
        </w:tc>
        <w:tc>
          <w:tcPr>
            <w:tcW w:w="2700" w:type="dxa"/>
            <w:vAlign w:val="bottom"/>
            <w:gridSpan w:val="4"/>
            <w:shd w:val="clear" w:color="auto" w:fill="004054"/>
          </w:tcPr>
          <w:p>
            <w:pPr>
              <w:jc w:val="right"/>
              <w:ind w:right="150"/>
              <w:spacing w:after="0"/>
              <w:rPr>
                <w:sz w:val="20"/>
                <w:szCs w:val="20"/>
                <w:color w:val="auto"/>
              </w:rPr>
            </w:pPr>
            <w:r>
              <w:rPr>
                <w:rFonts w:ascii="Arial" w:cs="Arial" w:eastAsia="Arial" w:hAnsi="Arial"/>
                <w:sz w:val="14"/>
                <w:szCs w:val="14"/>
                <w:b w:val="1"/>
                <w:bCs w:val="1"/>
                <w:color w:val="FFFFFF"/>
              </w:rPr>
              <w:t>Payments due by period</w:t>
            </w:r>
          </w:p>
        </w:tc>
        <w:tc>
          <w:tcPr>
            <w:tcW w:w="9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40" w:type="dxa"/>
            <w:vAlign w:val="bottom"/>
            <w:shd w:val="clear" w:color="auto" w:fill="004054"/>
          </w:tcPr>
          <w:p>
            <w:pPr>
              <w:spacing w:after="0"/>
              <w:rPr>
                <w:sz w:val="19"/>
                <w:szCs w:val="19"/>
                <w:color w:val="auto"/>
              </w:rPr>
            </w:pPr>
          </w:p>
        </w:tc>
        <w:tc>
          <w:tcPr>
            <w:tcW w:w="380" w:type="dxa"/>
            <w:vAlign w:val="bottom"/>
            <w:shd w:val="clear" w:color="auto" w:fill="004054"/>
          </w:tcPr>
          <w:p>
            <w:pPr>
              <w:spacing w:after="0"/>
              <w:rPr>
                <w:sz w:val="19"/>
                <w:szCs w:val="19"/>
                <w:color w:val="auto"/>
              </w:rPr>
            </w:pPr>
          </w:p>
        </w:tc>
        <w:tc>
          <w:tcPr>
            <w:tcW w:w="9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Less than</w:t>
            </w:r>
          </w:p>
        </w:tc>
        <w:tc>
          <w:tcPr>
            <w:tcW w:w="380" w:type="dxa"/>
            <w:vAlign w:val="bottom"/>
            <w:shd w:val="clear" w:color="auto" w:fill="004054"/>
          </w:tcPr>
          <w:p>
            <w:pPr>
              <w:spacing w:after="0"/>
              <w:rPr>
                <w:sz w:val="19"/>
                <w:szCs w:val="19"/>
                <w:color w:val="auto"/>
              </w:rPr>
            </w:pPr>
          </w:p>
        </w:tc>
        <w:tc>
          <w:tcPr>
            <w:tcW w:w="9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More than</w:t>
            </w:r>
          </w:p>
        </w:tc>
        <w:tc>
          <w:tcPr>
            <w:tcW w:w="420" w:type="dxa"/>
            <w:vAlign w:val="bottom"/>
            <w:shd w:val="clear" w:color="auto" w:fill="004054"/>
          </w:tcPr>
          <w:p>
            <w:pPr>
              <w:spacing w:after="0"/>
              <w:rPr>
                <w:sz w:val="19"/>
                <w:szCs w:val="19"/>
                <w:color w:val="auto"/>
              </w:rPr>
            </w:pPr>
          </w:p>
        </w:tc>
        <w:tc>
          <w:tcPr>
            <w:tcW w:w="92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r>
              <w:rPr>
                <w:rFonts w:ascii="Arial" w:cs="Arial" w:eastAsia="Arial" w:hAnsi="Arial"/>
                <w:sz w:val="18"/>
                <w:szCs w:val="18"/>
                <w:b w:val="1"/>
                <w:bCs w:val="1"/>
                <w:color w:val="FFFFFF"/>
                <w:vertAlign w:val="superscript"/>
              </w:rPr>
              <w:t>(1)</w:t>
            </w:r>
          </w:p>
        </w:tc>
        <w:tc>
          <w:tcPr>
            <w:tcW w:w="20" w:type="dxa"/>
            <w:vAlign w:val="bottom"/>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(in millions)</w:t>
            </w:r>
          </w:p>
        </w:tc>
        <w:tc>
          <w:tcPr>
            <w:tcW w:w="380" w:type="dxa"/>
            <w:vAlign w:val="bottom"/>
            <w:shd w:val="clear" w:color="auto" w:fill="004054"/>
          </w:tcPr>
          <w:p>
            <w:pPr>
              <w:spacing w:after="0"/>
              <w:rPr>
                <w:sz w:val="19"/>
                <w:szCs w:val="19"/>
                <w:color w:val="auto"/>
              </w:rPr>
            </w:pPr>
          </w:p>
        </w:tc>
        <w:tc>
          <w:tcPr>
            <w:tcW w:w="9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1 year</w:t>
            </w:r>
          </w:p>
        </w:tc>
        <w:tc>
          <w:tcPr>
            <w:tcW w:w="380" w:type="dxa"/>
            <w:vAlign w:val="bottom"/>
            <w:shd w:val="clear" w:color="auto" w:fill="004054"/>
          </w:tcPr>
          <w:p>
            <w:pPr>
              <w:spacing w:after="0"/>
              <w:rPr>
                <w:sz w:val="19"/>
                <w:szCs w:val="19"/>
                <w:color w:val="auto"/>
              </w:rPr>
            </w:pPr>
          </w:p>
        </w:tc>
        <w:tc>
          <w:tcPr>
            <w:tcW w:w="9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1 year</w:t>
            </w:r>
          </w:p>
        </w:tc>
        <w:tc>
          <w:tcPr>
            <w:tcW w:w="420" w:type="dxa"/>
            <w:vAlign w:val="bottom"/>
            <w:shd w:val="clear" w:color="auto" w:fill="004054"/>
          </w:tcPr>
          <w:p>
            <w:pPr>
              <w:spacing w:after="0"/>
              <w:rPr>
                <w:sz w:val="19"/>
                <w:szCs w:val="19"/>
                <w:color w:val="auto"/>
              </w:rPr>
            </w:pPr>
          </w:p>
        </w:tc>
        <w:tc>
          <w:tcPr>
            <w:tcW w:w="920" w:type="dxa"/>
            <w:vAlign w:val="bottom"/>
            <w:vMerge w:val="continue"/>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Recorded contractual obligations:</w:t>
            </w:r>
          </w:p>
        </w:tc>
        <w:tc>
          <w:tcPr>
            <w:tcW w:w="3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spacing w:after="0"/>
              <w:rPr>
                <w:sz w:val="21"/>
                <w:szCs w:val="21"/>
                <w:color w:val="auto"/>
              </w:rPr>
            </w:pPr>
          </w:p>
        </w:tc>
        <w:tc>
          <w:tcPr>
            <w:tcW w:w="38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spacing w:after="0"/>
              <w:rPr>
                <w:sz w:val="21"/>
                <w:szCs w:val="21"/>
                <w:color w:val="auto"/>
              </w:rPr>
            </w:pPr>
          </w:p>
        </w:tc>
        <w:tc>
          <w:tcPr>
            <w:tcW w:w="42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51555C"/>
              </w:rPr>
              <w:t>Debt</w:t>
            </w:r>
          </w:p>
        </w:tc>
        <w:tc>
          <w:tcPr>
            <w:tcW w:w="380" w:type="dxa"/>
            <w:vAlign w:val="bottom"/>
          </w:tcPr>
          <w:p>
            <w:pPr>
              <w:jc w:val="right"/>
              <w:ind w:right="190"/>
              <w:spacing w:after="0"/>
              <w:rPr>
                <w:sz w:val="20"/>
                <w:szCs w:val="20"/>
                <w:color w:val="auto"/>
              </w:rPr>
            </w:pPr>
            <w:r>
              <w:rPr>
                <w:rFonts w:ascii="Arial" w:cs="Arial" w:eastAsia="Arial" w:hAnsi="Arial"/>
                <w:sz w:val="18"/>
                <w:szCs w:val="18"/>
                <w:color w:val="51555C"/>
                <w:w w:val="79"/>
              </w:rPr>
              <w:t>$</w:t>
            </w:r>
          </w:p>
        </w:tc>
        <w:tc>
          <w:tcPr>
            <w:tcW w:w="940" w:type="dxa"/>
            <w:vAlign w:val="bottom"/>
          </w:tcPr>
          <w:p>
            <w:pPr>
              <w:jc w:val="right"/>
              <w:spacing w:after="0"/>
              <w:rPr>
                <w:sz w:val="20"/>
                <w:szCs w:val="20"/>
                <w:color w:val="auto"/>
              </w:rPr>
            </w:pPr>
            <w:r>
              <w:rPr>
                <w:rFonts w:ascii="Arial" w:cs="Arial" w:eastAsia="Arial" w:hAnsi="Arial"/>
                <w:sz w:val="18"/>
                <w:szCs w:val="18"/>
                <w:color w:val="51555C"/>
              </w:rPr>
              <w:t>18.2</w:t>
            </w:r>
          </w:p>
        </w:tc>
        <w:tc>
          <w:tcPr>
            <w:tcW w:w="380" w:type="dxa"/>
            <w:vAlign w:val="bottom"/>
          </w:tcPr>
          <w:p>
            <w:pPr>
              <w:jc w:val="right"/>
              <w:ind w:right="170"/>
              <w:spacing w:after="0"/>
              <w:rPr>
                <w:sz w:val="20"/>
                <w:szCs w:val="20"/>
                <w:color w:val="auto"/>
              </w:rPr>
            </w:pPr>
            <w:r>
              <w:rPr>
                <w:rFonts w:ascii="Arial" w:cs="Arial" w:eastAsia="Arial" w:hAnsi="Arial"/>
                <w:sz w:val="18"/>
                <w:szCs w:val="18"/>
                <w:color w:val="51555C"/>
                <w:w w:val="99"/>
              </w:rPr>
              <w:t>$</w:t>
            </w:r>
          </w:p>
        </w:tc>
        <w:tc>
          <w:tcPr>
            <w:tcW w:w="960" w:type="dxa"/>
            <w:vAlign w:val="bottom"/>
          </w:tcPr>
          <w:p>
            <w:pPr>
              <w:jc w:val="right"/>
              <w:spacing w:after="0"/>
              <w:rPr>
                <w:sz w:val="20"/>
                <w:szCs w:val="20"/>
                <w:color w:val="auto"/>
              </w:rPr>
            </w:pPr>
            <w:r>
              <w:rPr>
                <w:rFonts w:ascii="Arial" w:cs="Arial" w:eastAsia="Arial" w:hAnsi="Arial"/>
                <w:sz w:val="18"/>
                <w:szCs w:val="18"/>
                <w:color w:val="51555C"/>
              </w:rPr>
              <w:t>839.3</w:t>
            </w:r>
          </w:p>
        </w:tc>
        <w:tc>
          <w:tcPr>
            <w:tcW w:w="420" w:type="dxa"/>
            <w:vAlign w:val="bottom"/>
          </w:tcPr>
          <w:p>
            <w:pPr>
              <w:jc w:val="right"/>
              <w:ind w:right="210"/>
              <w:spacing w:after="0"/>
              <w:rPr>
                <w:sz w:val="20"/>
                <w:szCs w:val="20"/>
                <w:color w:val="auto"/>
              </w:rPr>
            </w:pPr>
            <w:r>
              <w:rPr>
                <w:rFonts w:ascii="Arial" w:cs="Arial" w:eastAsia="Arial" w:hAnsi="Arial"/>
                <w:sz w:val="18"/>
                <w:szCs w:val="18"/>
                <w:color w:val="51555C"/>
                <w:w w:val="99"/>
              </w:rPr>
              <w:t>$</w:t>
            </w:r>
          </w:p>
        </w:tc>
        <w:tc>
          <w:tcPr>
            <w:tcW w:w="920" w:type="dxa"/>
            <w:vAlign w:val="bottom"/>
          </w:tcPr>
          <w:p>
            <w:pPr>
              <w:jc w:val="right"/>
              <w:spacing w:after="0"/>
              <w:rPr>
                <w:sz w:val="20"/>
                <w:szCs w:val="20"/>
                <w:color w:val="auto"/>
              </w:rPr>
            </w:pPr>
            <w:r>
              <w:rPr>
                <w:rFonts w:ascii="Arial" w:cs="Arial" w:eastAsia="Arial" w:hAnsi="Arial"/>
                <w:sz w:val="18"/>
                <w:szCs w:val="18"/>
                <w:color w:val="51555C"/>
              </w:rPr>
              <w:t>857.5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Operating leases</w:t>
            </w:r>
          </w:p>
        </w:tc>
        <w:tc>
          <w:tcPr>
            <w:tcW w:w="3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10.4</w:t>
            </w:r>
          </w:p>
        </w:tc>
        <w:tc>
          <w:tcPr>
            <w:tcW w:w="38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55.4</w:t>
            </w:r>
          </w:p>
        </w:tc>
        <w:tc>
          <w:tcPr>
            <w:tcW w:w="42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51555C"/>
              </w:rPr>
              <w:t>Contingent consideration</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51555C"/>
              </w:rPr>
              <w:t>2.7</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1555C"/>
              </w:rPr>
              <w:t>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Unrecorded contractual obligations:</w:t>
            </w:r>
          </w:p>
        </w:tc>
        <w:tc>
          <w:tcPr>
            <w:tcW w:w="3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spacing w:after="0"/>
              <w:rPr>
                <w:sz w:val="21"/>
                <w:szCs w:val="21"/>
                <w:color w:val="auto"/>
              </w:rPr>
            </w:pPr>
          </w:p>
        </w:tc>
        <w:tc>
          <w:tcPr>
            <w:tcW w:w="38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spacing w:after="0"/>
              <w:rPr>
                <w:sz w:val="21"/>
                <w:szCs w:val="21"/>
                <w:color w:val="auto"/>
              </w:rPr>
            </w:pPr>
          </w:p>
        </w:tc>
        <w:tc>
          <w:tcPr>
            <w:tcW w:w="42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51555C"/>
              </w:rPr>
              <w:t>Purchase obligations</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55.1</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51555C"/>
              </w:rPr>
              <w:t>180.9</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1555C"/>
              </w:rPr>
              <w:t>236.0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Interest payments on debt</w:t>
            </w:r>
          </w:p>
        </w:tc>
        <w:tc>
          <w:tcPr>
            <w:tcW w:w="380" w:type="dxa"/>
            <w:vAlign w:val="bottom"/>
            <w:tcBorders>
              <w:bottom w:val="single" w:sz="8" w:color="EBFBFF"/>
            </w:tcBorders>
            <w:shd w:val="clear" w:color="auto" w:fill="EBFBFF"/>
          </w:tcPr>
          <w:p>
            <w:pPr>
              <w:spacing w:after="0"/>
              <w:rPr>
                <w:sz w:val="23"/>
                <w:szCs w:val="23"/>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33.2</w:t>
            </w:r>
          </w:p>
        </w:tc>
        <w:tc>
          <w:tcPr>
            <w:tcW w:w="380" w:type="dxa"/>
            <w:vAlign w:val="bottom"/>
            <w:tcBorders>
              <w:bottom w:val="single" w:sz="8" w:color="EBFBFF"/>
            </w:tcBorders>
            <w:shd w:val="clear" w:color="auto" w:fill="EBFBFF"/>
          </w:tcPr>
          <w:p>
            <w:pPr>
              <w:spacing w:after="0"/>
              <w:rPr>
                <w:sz w:val="23"/>
                <w:szCs w:val="23"/>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102.6</w:t>
            </w:r>
          </w:p>
        </w:tc>
        <w:tc>
          <w:tcPr>
            <w:tcW w:w="420" w:type="dxa"/>
            <w:vAlign w:val="bottom"/>
            <w:tcBorders>
              <w:bottom w:val="single" w:sz="8" w:color="EBFBFF"/>
            </w:tcBorders>
            <w:shd w:val="clear" w:color="auto" w:fill="EBFBFF"/>
          </w:tcPr>
          <w:p>
            <w:pPr>
              <w:spacing w:after="0"/>
              <w:rPr>
                <w:sz w:val="23"/>
                <w:szCs w:val="23"/>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135.9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724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51555C"/>
              </w:rPr>
              <w:t>Total contractual obligations</w:t>
            </w:r>
            <w:r>
              <w:rPr>
                <w:rFonts w:ascii="Arial" w:cs="Arial" w:eastAsia="Arial" w:hAnsi="Arial"/>
                <w:sz w:val="23"/>
                <w:szCs w:val="23"/>
                <w:b w:val="1"/>
                <w:bCs w:val="1"/>
                <w:color w:val="51555C"/>
                <w:vertAlign w:val="superscript"/>
              </w:rPr>
              <w:t>(1)</w:t>
            </w:r>
          </w:p>
        </w:tc>
        <w:tc>
          <w:tcPr>
            <w:tcW w:w="380" w:type="dxa"/>
            <w:vAlign w:val="bottom"/>
            <w:tcBorders>
              <w:top w:val="single" w:sz="8" w:color="51555C"/>
              <w:bottom w:val="single" w:sz="8" w:color="0CD973"/>
            </w:tcBorders>
          </w:tcPr>
          <w:p>
            <w:pPr>
              <w:jc w:val="right"/>
              <w:ind w:right="190"/>
              <w:spacing w:after="0"/>
              <w:rPr>
                <w:sz w:val="20"/>
                <w:szCs w:val="20"/>
                <w:color w:val="auto"/>
              </w:rPr>
            </w:pPr>
            <w:r>
              <w:rPr>
                <w:rFonts w:ascii="Arial" w:cs="Arial" w:eastAsia="Arial" w:hAnsi="Arial"/>
                <w:sz w:val="18"/>
                <w:szCs w:val="18"/>
                <w:color w:val="51555C"/>
                <w:w w:val="79"/>
              </w:rPr>
              <w:t>$</w:t>
            </w:r>
          </w:p>
        </w:tc>
        <w:tc>
          <w:tcPr>
            <w:tcW w:w="940" w:type="dxa"/>
            <w:vAlign w:val="bottom"/>
            <w:tcBorders>
              <w:top w:val="single" w:sz="8" w:color="51555C"/>
              <w:bottom w:val="single" w:sz="8" w:color="0CD973"/>
            </w:tcBorders>
          </w:tcPr>
          <w:p>
            <w:pPr>
              <w:jc w:val="right"/>
              <w:spacing w:after="0"/>
              <w:rPr>
                <w:sz w:val="20"/>
                <w:szCs w:val="20"/>
                <w:color w:val="auto"/>
              </w:rPr>
            </w:pPr>
            <w:r>
              <w:rPr>
                <w:rFonts w:ascii="Arial" w:cs="Arial" w:eastAsia="Arial" w:hAnsi="Arial"/>
                <w:sz w:val="18"/>
                <w:szCs w:val="18"/>
                <w:color w:val="51555C"/>
              </w:rPr>
              <w:t>116.9</w:t>
            </w:r>
          </w:p>
        </w:tc>
        <w:tc>
          <w:tcPr>
            <w:tcW w:w="380" w:type="dxa"/>
            <w:vAlign w:val="bottom"/>
            <w:tcBorders>
              <w:top w:val="single" w:sz="8" w:color="51555C"/>
              <w:bottom w:val="single" w:sz="8" w:color="0CD973"/>
            </w:tcBorders>
          </w:tcPr>
          <w:p>
            <w:pPr>
              <w:jc w:val="right"/>
              <w:ind w:right="170"/>
              <w:spacing w:after="0"/>
              <w:rPr>
                <w:sz w:val="20"/>
                <w:szCs w:val="20"/>
                <w:color w:val="auto"/>
              </w:rPr>
            </w:pPr>
            <w:r>
              <w:rPr>
                <w:rFonts w:ascii="Arial" w:cs="Arial" w:eastAsia="Arial" w:hAnsi="Arial"/>
                <w:sz w:val="18"/>
                <w:szCs w:val="18"/>
                <w:color w:val="51555C"/>
                <w:w w:val="99"/>
              </w:rPr>
              <w:t>$</w:t>
            </w:r>
          </w:p>
        </w:tc>
        <w:tc>
          <w:tcPr>
            <w:tcW w:w="960" w:type="dxa"/>
            <w:vAlign w:val="bottom"/>
            <w:tcBorders>
              <w:top w:val="single" w:sz="8" w:color="51555C"/>
              <w:bottom w:val="single" w:sz="8" w:color="0CD973"/>
            </w:tcBorders>
          </w:tcPr>
          <w:p>
            <w:pPr>
              <w:jc w:val="right"/>
              <w:spacing w:after="0"/>
              <w:rPr>
                <w:sz w:val="20"/>
                <w:szCs w:val="20"/>
                <w:color w:val="auto"/>
              </w:rPr>
            </w:pPr>
            <w:r>
              <w:rPr>
                <w:rFonts w:ascii="Arial" w:cs="Arial" w:eastAsia="Arial" w:hAnsi="Arial"/>
                <w:sz w:val="18"/>
                <w:szCs w:val="18"/>
                <w:color w:val="51555C"/>
              </w:rPr>
              <w:t>1,181.0</w:t>
            </w:r>
          </w:p>
        </w:tc>
        <w:tc>
          <w:tcPr>
            <w:tcW w:w="420" w:type="dxa"/>
            <w:vAlign w:val="bottom"/>
            <w:tcBorders>
              <w:top w:val="single" w:sz="8" w:color="51555C"/>
              <w:bottom w:val="single" w:sz="8" w:color="0CD973"/>
            </w:tcBorders>
          </w:tcPr>
          <w:p>
            <w:pPr>
              <w:jc w:val="right"/>
              <w:ind w:right="210"/>
              <w:spacing w:after="0"/>
              <w:rPr>
                <w:sz w:val="20"/>
                <w:szCs w:val="20"/>
                <w:color w:val="auto"/>
              </w:rPr>
            </w:pPr>
            <w:r>
              <w:rPr>
                <w:rFonts w:ascii="Arial" w:cs="Arial" w:eastAsia="Arial" w:hAnsi="Arial"/>
                <w:sz w:val="18"/>
                <w:szCs w:val="18"/>
                <w:color w:val="51555C"/>
                <w:w w:val="99"/>
              </w:rPr>
              <w:t>$</w:t>
            </w:r>
          </w:p>
        </w:tc>
        <w:tc>
          <w:tcPr>
            <w:tcW w:w="920" w:type="dxa"/>
            <w:vAlign w:val="bottom"/>
            <w:tcBorders>
              <w:top w:val="single" w:sz="8" w:color="51555C"/>
              <w:bottom w:val="single" w:sz="8" w:color="0CD973"/>
            </w:tcBorders>
          </w:tcPr>
          <w:p>
            <w:pPr>
              <w:jc w:val="right"/>
              <w:spacing w:after="0"/>
              <w:rPr>
                <w:sz w:val="20"/>
                <w:szCs w:val="20"/>
                <w:color w:val="auto"/>
              </w:rPr>
            </w:pPr>
            <w:r>
              <w:rPr>
                <w:rFonts w:ascii="Arial" w:cs="Arial" w:eastAsia="Arial" w:hAnsi="Arial"/>
                <w:sz w:val="18"/>
                <w:szCs w:val="18"/>
                <w:color w:val="51555C"/>
              </w:rPr>
              <w:t>1,297.9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-1687830</wp:posOffset>
            </wp:positionV>
            <wp:extent cx="255460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51555C"/>
        </w:rPr>
      </w:pPr>
      <w:r>
        <w:rPr>
          <w:rFonts w:ascii="Arial" w:cs="Arial" w:eastAsia="Arial" w:hAnsi="Arial"/>
          <w:sz w:val="14"/>
          <w:szCs w:val="14"/>
          <w:color w:val="51555C"/>
        </w:rPr>
        <w:t>The individual amounts may not sum to the total due to rounding.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Debt</w:t>
      </w:r>
    </w:p>
    <w:p>
      <w:pPr>
        <w:spacing w:after="0" w:line="18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As of September 30, 2022, we had total remaining principal payments of $857.5 million. These payments represent principal payments only, under the following assumptions: (i) that the amounts outstanding under the 2020 Credit Facility, our real estate loans and our other debt at September 30, 2022 will remain outstanding until maturity, with minimum payments occurring as currently scheduled, and (ii) that there are no assumed future borrowings on the 2020 Revolving Facility for the purposes of determining minimum commitment amounts. See Note 8 to our unaudited, condensed consolidated financial statements in this report for more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Interest payments on debt</w:t>
      </w:r>
    </w:p>
    <w:p>
      <w:pPr>
        <w:spacing w:after="0" w:line="189"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In addition to principal payments, as of September 30, 2022, we expect to pay interest expense over the life of our debt obligations of approximately $135.9 million. These payments represent our estimated future interest payments on debt using our debt balances and the related weighted average effective interest rates as of September 30, 2022, which includes the effect of interest rate swap agreements. The actual interest expense recognized in our consolidated statements of comprehensive income will depend on the amount of debt, the length of time the debt is outstanding and the interest rate, which could be different from our assumptions on our remaining principal payments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Operating leases</w:t>
      </w:r>
    </w:p>
    <w:p>
      <w:pPr>
        <w:spacing w:after="0" w:line="189"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As of September 30, 2022, we had remaining operating lease payments of $65.9 million. These payments have not been reduced by sublease income, incentive payments, reimbursement of leasehold improvements or the amount representing imputed interest of $11.3 million. Our operating leases are generally for corporate offices, subleased offices and certain equipment and furniture. Given our remote-first workforce strategy and real estate footprint optimization efforts, as discussed above, we do not anticipate entering any new, material operating leases for offices for the foreseeable future. See Note 10 to our unaudited, condensed consolidated financial statements in this report for more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Purchase obligations</w:t>
      </w:r>
    </w:p>
    <w:p>
      <w:pPr>
        <w:spacing w:after="0" w:line="18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As of September 30, 2022, we had remaining purchase obligations of $236.0 million. These purchase obligations are for third-party technology used in our solutions and for other services we purchase as part of our normal operations. In certain cases, these arrangements require a minimum annual purchase commitment by us. Our purchase obligations are not recorded as liabilities on our consolidated balance sheets as of September 30, 2022, as we had not received the related services. See Note 10 to our unaudited, condensed consolidated financial statements in this report for more information.</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The total liability for uncertain tax positions as of September 30, 2022 and December 31, 2021, was $4.1 million and $3.7 million, respectively. Our accrued interest and penalties related to tax positions taken on our tax returns was insignificant as of September 30, 2022 and December 31, 2021.</w:t>
      </w:r>
    </w:p>
    <w:p>
      <w:pPr>
        <w:spacing w:after="0" w:line="321"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46</w:t>
      </w:r>
      <w:r>
        <w:rPr>
          <w:sz w:val="20"/>
          <w:szCs w:val="20"/>
          <w:color w:val="auto"/>
        </w:rPr>
        <w:tab/>
      </w:r>
      <w:r>
        <w:rPr>
          <w:sz w:val="1"/>
          <w:szCs w:val="1"/>
          <w:color w:val="auto"/>
        </w:rPr>
        <w:drawing>
          <wp:inline distT="0" distB="0" distL="0" distR="0">
            <wp:extent cx="651510" cy="1714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Contingent consideration</w:t>
      </w:r>
    </w:p>
    <w:p>
      <w:pPr>
        <w:spacing w:after="0" w:line="18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In connection with our acquisition of Kilter, we are obligated to pay contingent consideration upon the achievement of certain milestones. For information regarding our contingent consideration obligations, see Note 3 to our unaudited, condensed consolidated financial statements in this report.</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Approximately 16% of our total revenue for the nine months ended September 30, 2022 was generated from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accumulated other comprehensive income (loss) as a component of stockholders’ equity, was a loss of $22.8 million as of September 30, 2022 and income of $1.3 million as of December 31, 2021. We have entered into foreign currency forward contracts to hedge a portion of the foreign currency exposure that arises on translation of our investments denominated in British Pounds into U.S. dollars.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 and expenses denominated in non-U.S. currencies. During the nine months ended September 30, 2022, foreign translation resulted in decreases in our revenues and expenses denominated in non-U.S. currencies. Though we have exposure to fluctuations in currency exchange rates, primarily those between the U.S. dollar and both the British Pound and Canadian dollar, the impact has generally not been material to our consolidated results of operations or financial position. However, we currently expect that fluctuations in foreign currency exchange rates will have a significant negative impact on our total revenue for the full year 2022. For the nine months ended September 30, 2022, the fluctuation in foreign currency exchange rates reduced our total revenue and our income from operations by $ 8.7 million and $2.2 million, respectively. We have entered into foreign currency forward contracts to hedge revenues denominated in the Canadian dollar against changes in the exchange rate with the U.S. dollar.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 impacts are non-GAAP financial information and are not in accordance with, or an alternative to, information prepared in accordance with GAAP.</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There have been no significant changes in our critical accounting policies and estimates during the nine months ended September 30, 2022 as compared to those disclosed in “Management’s Discussion and Analysis of Financial Condition and Results of Operations” included in our Annual Report on Form 10-K for the fiscal year ended December 31, 2021.</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Recently Issued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For a discussion of the impact that recently issued accounting pronouncements are expected to have on our financial position and results of operations when adopted in the future, see Note 2 to our unaudited, condensed consolidated financial statements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212090</wp:posOffset>
            </wp:positionV>
            <wp:extent cx="659765"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47</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8"/>
          <w:szCs w:val="28"/>
          <w:b w:val="1"/>
          <w:bCs w:val="1"/>
          <w:color w:val="004054"/>
        </w:rPr>
        <w:t>ITEM 3. QUANTITATIVE AND QUALITATIVE DISCLOSURES ABOUT MARKET RISK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51555C"/>
        </w:rPr>
        <w:t>We have market rate sensitivity for interest rates and foreign currency exchange rates.</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Our interest rate exposure includes SOFR rates. The Financial Conduct Authority in the U.K. has stated that it plans to phase out all tenors of LIBOR by June 2023. Our financial contracts that were indexed to LIBOR were modified to reference SOFR during the three months ended September 30, 2022. These modifications did not have a significant financial impact. Due to the nature of our debt, the materiality of the fair values of the derivative instruments and the highly liquid, short-term nature and level of our cash and cash equivalents as of September 30, 2022, we believe that the risk of exposure to changing interest rates for those positions is immaterial. There were no significant changes in how we manage interest rate risk between December 31, 2021 and September 30, 2022.</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For a discussion of our exposure to foreign currency exchange rate fluctuations, see “Management’s Discussion and Analysis of Financial Condition and Results of Operations — Foreign Currency Exchange Rates” in this report.</w:t>
      </w:r>
    </w:p>
    <w:p>
      <w:pPr>
        <w:spacing w:after="0" w:line="213"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4. CONTROLS AND PROCEDURES</w:t>
      </w:r>
    </w:p>
    <w:p>
      <w:pPr>
        <w:spacing w:after="0" w:line="30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Evaluation of 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Disclosure controls and procedures (as defined in Securities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Securities Exchange Act Rule 13a-15(b). Based upon that evaluation, our Chief Executive Officer and Chief Financial Officer have concluded that our disclosure controls and procedures are effective to provide the reasonable assurance discussed above.</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Changes in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Although we do not believe it materially affected, or is reasonably likely to materially affect, our internal control over financial reporting, our evaluation of the effectiveness of internal control over financial reporting as of September 30, 2022 excluded EVERFI as permitted by the guidance issued by the Office of the Chief Accountant of the Securities and Exchange Commission (not to extend more than one year beyond the date of the acquisition or for more than one annual reporting period). The acquisition of EVERFI was completed on December 31, 2021. As of and for the quarter ended September 30, 2022, EVERFI's assets represented approximately 4% of our consolidated total assets and its revenue represented approximately 10% of our consolidated total revenue. We are working to integrate EVERFI into our overall internal control over financial reporting processes.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No changes in internal control over financial reporting occurred during the most recent fiscal quarter ended September 30, 2022 with respect to our operations, which have materially affected, or are reasonably likely to materially affect, our internal control over financial reporting.</w:t>
      </w:r>
    </w:p>
    <w:p>
      <w:pPr>
        <w:spacing w:after="0" w:line="304"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48</w:t>
      </w:r>
      <w:r>
        <w:rPr>
          <w:sz w:val="20"/>
          <w:szCs w:val="20"/>
          <w:color w:val="auto"/>
        </w:rPr>
        <w:tab/>
      </w:r>
      <w:r>
        <w:rPr>
          <w:sz w:val="1"/>
          <w:szCs w:val="1"/>
          <w:color w:val="auto"/>
        </w:rPr>
        <w:drawing>
          <wp:inline distT="0" distB="0" distL="0" distR="0">
            <wp:extent cx="651510" cy="1714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sz w:val="1"/>
          <w:szCs w:val="1"/>
          <w:color w:val="auto"/>
        </w:rPr>
        <w:drawing>
          <wp:inline distT="0" distB="0" distL="0" distR="0">
            <wp:extent cx="248285" cy="24892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II. OTHER INFORMATION</w:t>
      </w:r>
    </w:p>
    <w:p>
      <w:pPr>
        <w:spacing w:after="0" w:line="378"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1. LEGAL PROCEEDINGS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51555C"/>
        </w:rPr>
        <w:t>For a discussion of our legal proceedings, see Note 10 to our unaudited, condensed consolidated financial statements in this report.</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1A. RISK FACTORS</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are supplementing Item 1A. Risk Factors in our Annual Report on Form 10-K for the year ended December 31, 2021, as filed with the Securities and Exchange Commission on March 1, 2022 (the “Annual Report”). The following risk factors should be read in conjunction with the risk factors set forth in that Annual Report.</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Operational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The Security Incident has had, and may continue to have, numerous adverse effects on our business, results of operations, financial condition and cash flows.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As previously disclosed, on July 16, 2020, we contacted certain customers to inform them about the Security Incident, including that in May 2020 we discovered and stopped a ransomware attack. Prior to our successfully preventing the cybercriminal from blocking our system access and fully encrypting files, and ultimately expelling them from our system with no significant disruption to our operations, the cybercriminal removed a copy of a subset of data from our self-hosted environment. Based on the nature of the incident, our research and third party (including law enforcement) investigation we believe that no data went beyond the cybercriminal, was or will be misused, or will be disseminated or otherwise made available publicly. However, our investigation into the Security Incident remains ongoing and may provide additional information.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To date, we have received approximately 260 Customer Reimbursement Requests and approximately 400 reservations of the right to seek expense recovery in the future from customers or their attorneys in the U.S., U.K. and Canada related to the Security Incident (none of which have as yet been filed in court). In June 2022, we also received notice of a proposed claim on behalf of a number of U.K. data subjects, which we are reviewing. In addition, insurance companies representing various customers’ interests through subrogation claims have contacted us, and one insurance company has filed a subrogation claim in court. Customer and insurer subrogation claims generally seek reimbursement of their costs and expenses associated with notifying their own customers of the Security Incident and taking steps to assure that personal information has not been compromised as a result of the Security Incident. In addition, presently, we are a defendant in 19 putative consumer class action cases [17 in U.S. federal courts (which have been consolidated under multi district litigation to a single federal court) and 2 in Canadian courts] alleging harm from the Security Incident. The plaintiffs in these cases, who generally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 To date, we also have received a consolidated, multi-state Civil Investigative Demand issued on behalf of 49 state Attorneys General and the District of Columbia and a separate Civil Investigative Demand from the office of the California Attorney General relating to the Security Incident. In addition, we are subject to pending governmental actions or investigations by the U.S. Federal Trade Commission, the U.S. Department of Health and Human Services, the SEC, the Office of the Australian Information Commissioner and the Office of the Privacy Commissioner of Canada. (See Note 10 to our unaudited, condensed consolidated financial statements included in this report for a more detailed description of the Security Incident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218440</wp:posOffset>
            </wp:positionV>
            <wp:extent cx="659765"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49</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We may be named as a party in additional lawsuits, other claims may be asserted by or on behalf of our customers or their constituents, and we may be subject to additional governmental inquires, requests or investigations. Responding to and resolving these current and any future lawsuits, claims and/or investigations could result in material remedial and other expenses that will not be covered by insurance. For example, we have recorded approximately $5.0 million in aggregate liabilities for loss contingencies related to the Security Incident that we believe we can reasonably estimate as of September 30, 2022. Governmental authorities are likely to seek to impose undertakings, injunctive relief, consent decrees, or other civil or criminal penalties, which could, among other things, materially increase our data security costs or otherwise require us to alter how we operate our business. Although we intend to defend ourselves vigorously against the claims asserted against us, we cannot predict the potential outcomes, cost and expenses associated with current and any future claims, lawsuits, inquiries and investigations.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In addition, any legislative or regulatory changes adopted in reaction to the Security Incident or other companies’ data breaches could require us to make modifications to the operation of our business that could have an adverse effect and/or increase or accelerate our compliance costs.</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Significant management time and Company resources have been, and are expected to continue to be, devoted to the Security Incident. For example, we currently expect net cash outlays of approximately $15 million to $25 million for ongoing legal fees related to the Security Incident for full year 2022. For full year 2022, we currently expect net pre-tax expense of approximately $30 million to $35 million for ongoing legal fees related to the Security Incident. Although we carry insurance against certain losses related to the Security Incident, we have exceeded the limit of that insurance coverage. As a result, we will be responsible for all expenses or other losses (including penalties, fines or other judgments) or all types of claims that may arise in connection with the Security Incident, which could materially and adversely affect our liquidity and results of operations. (See Note 10 to our unaudited, condensed consolidated financial statements included in this report.) If any such fines or penalties were great enough that we could not pay them through funds generated from operating activities and/or cause a default under the 2020 Credit Facility, we may be forced to renegotiate or obtain a waiver under the 2020 Credit Facility and/or seek additional debt or equity financing. Such renegotiation or financing may not be available on acceptable terms, or at all. In these circumstances, if we were unable to obtain sufficient financing, we may not be able to meet our obligations as they come due.</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In addition, publicity or developments related to the Security Incident could in the future have a range of other adverse effects on our business or prospects, including causing or contributing to loss of customer confidence, reduced customer demand, reduced customer retention, strategic growth opportunities, and associated retention and recruiting difficulties, some or all of which could be material.</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Legal and Compliance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 xml:space="preserve">Anti-takeover provisions in our charter documents, our Stockholder Rights Agreement </w:t>
      </w:r>
      <w:r>
        <w:rPr>
          <w:rFonts w:ascii="Arial" w:cs="Arial" w:eastAsia="Arial" w:hAnsi="Arial"/>
          <w:sz w:val="18"/>
          <w:szCs w:val="18"/>
          <w:color w:val="51555C"/>
        </w:rPr>
        <w:t>(as described below, the "Rights Agreement")</w:t>
      </w:r>
      <w:r>
        <w:rPr>
          <w:rFonts w:ascii="Arial" w:cs="Arial" w:eastAsia="Arial" w:hAnsi="Arial"/>
          <w:sz w:val="18"/>
          <w:szCs w:val="18"/>
          <w:b w:val="1"/>
          <w:bCs w:val="1"/>
          <w:i w:val="1"/>
          <w:iCs w:val="1"/>
          <w:color w:val="51555C"/>
        </w:rPr>
        <w:t xml:space="preserve"> and Delaware law may delay or prevent an acquisition of our Company.</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Provisions of Delaware law, our certificate of incorporation and bylaws and our Rights Agreement may have the effect of delaying or preventing a change in control of our company or deterring tender offers for our common stock that other stockholders may consider in their best interests. Our certificate of incorporation authorizes “blank check” preferred stock, which could be issued by the board of directors without stockholder approval and may contain voting, liquidation, dividend and other rights superior to our common stock. Stockholder approval is not necessary to issue preferred stock in this manner. Issuance of these shares of preferred stock could have the effect of making it more difficult and more expensive for a person or group to acquire control of us, and could effectively be used as an anti-takeover device. Currently there are no shares of our preferred stock issued or outstanding. Our bylaws provide for an advance notice procedure for stockholders to nominate director candidates for election or to bring business before an annual meeting of stockholders, including proposed nominations of persons for election to our board of directors, and limit the persons who may call special meetings of stockholders.</w:t>
      </w:r>
    </w:p>
    <w:p>
      <w:pPr>
        <w:spacing w:after="0" w:line="31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51555C"/>
        </w:rPr>
        <w:t>50</w:t>
      </w:r>
      <w:r>
        <w:rPr>
          <w:sz w:val="20"/>
          <w:szCs w:val="20"/>
          <w:color w:val="auto"/>
        </w:rPr>
        <w:tab/>
      </w:r>
      <w:r>
        <w:rPr>
          <w:sz w:val="1"/>
          <w:szCs w:val="1"/>
          <w:color w:val="auto"/>
        </w:rPr>
        <w:drawing>
          <wp:inline distT="0" distB="0" distL="0" distR="0">
            <wp:extent cx="651510" cy="17145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51555C"/>
        </w:rPr>
        <w:t xml:space="preserve">  Third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51555C"/>
        </w:rPr>
        <w:t>On October 7, 2022, we declared a dividend of one preferred share purchase right (a “Right”) for each of our issued and outstanding shares of common stock. Each Right entitles the registered holder, subject to the terms of the Rights Agreement, to purchase from us one one-thousandth of a share of our Series A Junior Participating Preferred Stock, par value $0.001 per share (the “Preferred Stock”) at a price of $313.00, subject to certain adjustments (as adjusted from time to time, the “Exercise Price”). Under the Rights Agreement, the Rights will become exercisable if an entity, person or group acquires beneficial ownership of 20% or more of our outstanding common stock in a transaction not approved by our Board of Directors. In the event that the Rights become exercisable due to the ownership threshold being crossed, each Right will entitle its holder (other than the person, entity or group triggering the Rights Plan, whose rights will become void and will not be exercisable) to purchase additional shares of common stock having a then-current market value of twice the Exercise Price. Subject to the terms of the Rights Agreement, the Rights will expire on October 2, 2023. Additional information regarding the Rights Agreement is contained in a Form 8-K filed with the SEC on October 11, 2022.</w:t>
      </w:r>
    </w:p>
    <w:p>
      <w:pPr>
        <w:spacing w:after="0" w:line="15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The anti-takeover provisions of Delaware law and provisions in our organizational documents and the Rights Agreement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they are viewed as discouraging takeover attempts in the future.</w:t>
      </w:r>
    </w:p>
    <w:p>
      <w:pPr>
        <w:spacing w:after="0" w:line="219" w:lineRule="exact"/>
        <w:rPr>
          <w:sz w:val="20"/>
          <w:szCs w:val="20"/>
          <w:color w:val="auto"/>
        </w:rPr>
      </w:pPr>
    </w:p>
    <w:p>
      <w:pPr>
        <w:ind w:right="1540"/>
        <w:spacing w:after="0" w:line="287" w:lineRule="auto"/>
        <w:rPr>
          <w:sz w:val="20"/>
          <w:szCs w:val="20"/>
          <w:color w:val="auto"/>
        </w:rPr>
      </w:pPr>
      <w:r>
        <w:rPr>
          <w:rFonts w:ascii="Arial" w:cs="Arial" w:eastAsia="Arial" w:hAnsi="Arial"/>
          <w:sz w:val="29"/>
          <w:szCs w:val="29"/>
          <w:b w:val="1"/>
          <w:bCs w:val="1"/>
          <w:color w:val="004054"/>
        </w:rPr>
        <w:t>ITEM 2. UNREGISTERED SALES OF EQUITY SECURITIES AND USE OF PROCEEDS</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The following table provides information about shares of common stock acquired or repurchased during the three months ended September 30, 2022 under the stock repurchase program then in effect, as well as common stock withheld by us to satisfy the minimum tax obligations of employees due upon vesting of restricted stock awards and units.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shd w:val="clear" w:color="auto" w:fill="004054"/>
          </w:tcPr>
          <w:p>
            <w:pPr>
              <w:spacing w:after="0"/>
              <w:rPr>
                <w:sz w:val="17"/>
                <w:szCs w:val="17"/>
                <w:color w:val="auto"/>
              </w:rPr>
            </w:pPr>
          </w:p>
        </w:tc>
        <w:tc>
          <w:tcPr>
            <w:tcW w:w="1360" w:type="dxa"/>
            <w:vAlign w:val="bottom"/>
            <w:shd w:val="clear" w:color="auto" w:fill="004054"/>
          </w:tcPr>
          <w:p>
            <w:pPr>
              <w:spacing w:after="0"/>
              <w:rPr>
                <w:sz w:val="17"/>
                <w:szCs w:val="17"/>
                <w:color w:val="auto"/>
              </w:rPr>
            </w:pPr>
          </w:p>
        </w:tc>
        <w:tc>
          <w:tcPr>
            <w:tcW w:w="100" w:type="dxa"/>
            <w:vAlign w:val="bottom"/>
            <w:shd w:val="clear" w:color="auto" w:fill="004054"/>
          </w:tcPr>
          <w:p>
            <w:pPr>
              <w:spacing w:after="0"/>
              <w:rPr>
                <w:sz w:val="17"/>
                <w:szCs w:val="17"/>
                <w:color w:val="auto"/>
              </w:rPr>
            </w:pPr>
          </w:p>
        </w:tc>
        <w:tc>
          <w:tcPr>
            <w:tcW w:w="460" w:type="dxa"/>
            <w:vAlign w:val="bottom"/>
            <w:shd w:val="clear" w:color="auto" w:fill="004054"/>
          </w:tcPr>
          <w:p>
            <w:pPr>
              <w:spacing w:after="0"/>
              <w:rPr>
                <w:sz w:val="17"/>
                <w:szCs w:val="17"/>
                <w:color w:val="auto"/>
              </w:rPr>
            </w:pPr>
          </w:p>
        </w:tc>
        <w:tc>
          <w:tcPr>
            <w:tcW w:w="920" w:type="dxa"/>
            <w:vAlign w:val="bottom"/>
            <w:shd w:val="clear" w:color="auto" w:fill="004054"/>
          </w:tcPr>
          <w:p>
            <w:pPr>
              <w:spacing w:after="0"/>
              <w:rPr>
                <w:sz w:val="17"/>
                <w:szCs w:val="17"/>
                <w:color w:val="auto"/>
              </w:rPr>
            </w:pPr>
          </w:p>
        </w:tc>
        <w:tc>
          <w:tcPr>
            <w:tcW w:w="120" w:type="dxa"/>
            <w:vAlign w:val="bottom"/>
            <w:shd w:val="clear" w:color="auto" w:fill="004054"/>
          </w:tcPr>
          <w:p>
            <w:pPr>
              <w:spacing w:after="0"/>
              <w:rPr>
                <w:sz w:val="17"/>
                <w:szCs w:val="17"/>
                <w:color w:val="auto"/>
              </w:rPr>
            </w:pPr>
          </w:p>
        </w:tc>
        <w:tc>
          <w:tcPr>
            <w:tcW w:w="1360" w:type="dxa"/>
            <w:vAlign w:val="bottom"/>
            <w:shd w:val="clear" w:color="auto" w:fill="004054"/>
          </w:tcPr>
          <w:p>
            <w:pPr>
              <w:spacing w:after="0"/>
              <w:rPr>
                <w:sz w:val="17"/>
                <w:szCs w:val="17"/>
                <w:color w:val="auto"/>
              </w:rPr>
            </w:pPr>
          </w:p>
        </w:tc>
        <w:tc>
          <w:tcPr>
            <w:tcW w:w="100" w:type="dxa"/>
            <w:vAlign w:val="bottom"/>
            <w:shd w:val="clear" w:color="auto" w:fill="004054"/>
          </w:tcPr>
          <w:p>
            <w:pPr>
              <w:spacing w:after="0"/>
              <w:rPr>
                <w:sz w:val="17"/>
                <w:szCs w:val="17"/>
                <w:color w:val="auto"/>
              </w:rPr>
            </w:pPr>
          </w:p>
        </w:tc>
        <w:tc>
          <w:tcPr>
            <w:tcW w:w="240" w:type="dxa"/>
            <w:vAlign w:val="bottom"/>
            <w:shd w:val="clear" w:color="auto" w:fill="004054"/>
          </w:tcPr>
          <w:p>
            <w:pPr>
              <w:spacing w:after="0"/>
              <w:rPr>
                <w:sz w:val="17"/>
                <w:szCs w:val="17"/>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Approximate</w:t>
            </w:r>
          </w:p>
        </w:tc>
        <w:tc>
          <w:tcPr>
            <w:tcW w:w="20" w:type="dxa"/>
            <w:vAlign w:val="bottom"/>
            <w:shd w:val="clear" w:color="auto" w:fill="004054"/>
          </w:tcPr>
          <w:p>
            <w:pPr>
              <w:spacing w:after="0"/>
              <w:rPr>
                <w:sz w:val="17"/>
                <w:szCs w:val="17"/>
                <w:color w:val="auto"/>
              </w:rPr>
            </w:pPr>
          </w:p>
        </w:tc>
      </w:tr>
      <w:tr>
        <w:trPr>
          <w:trHeight w:val="162"/>
        </w:trPr>
        <w:tc>
          <w:tcPr>
            <w:tcW w:w="5440" w:type="dxa"/>
            <w:vAlign w:val="bottom"/>
            <w:shd w:val="clear" w:color="auto" w:fill="004054"/>
          </w:tcPr>
          <w:p>
            <w:pPr>
              <w:spacing w:after="0"/>
              <w:rPr>
                <w:sz w:val="14"/>
                <w:szCs w:val="14"/>
                <w:color w:val="auto"/>
              </w:rPr>
            </w:pPr>
          </w:p>
        </w:tc>
        <w:tc>
          <w:tcPr>
            <w:tcW w:w="1360" w:type="dxa"/>
            <w:vAlign w:val="bottom"/>
            <w:shd w:val="clear" w:color="auto" w:fill="004054"/>
          </w:tcPr>
          <w:p>
            <w:pPr>
              <w:spacing w:after="0"/>
              <w:rPr>
                <w:sz w:val="14"/>
                <w:szCs w:val="14"/>
                <w:color w:val="auto"/>
              </w:rPr>
            </w:pPr>
          </w:p>
        </w:tc>
        <w:tc>
          <w:tcPr>
            <w:tcW w:w="100" w:type="dxa"/>
            <w:vAlign w:val="bottom"/>
            <w:shd w:val="clear" w:color="auto" w:fill="004054"/>
          </w:tcPr>
          <w:p>
            <w:pPr>
              <w:spacing w:after="0"/>
              <w:rPr>
                <w:sz w:val="14"/>
                <w:szCs w:val="14"/>
                <w:color w:val="auto"/>
              </w:rPr>
            </w:pPr>
          </w:p>
        </w:tc>
        <w:tc>
          <w:tcPr>
            <w:tcW w:w="460" w:type="dxa"/>
            <w:vAlign w:val="bottom"/>
            <w:shd w:val="clear" w:color="auto" w:fill="004054"/>
          </w:tcPr>
          <w:p>
            <w:pPr>
              <w:spacing w:after="0"/>
              <w:rPr>
                <w:sz w:val="14"/>
                <w:szCs w:val="14"/>
                <w:color w:val="auto"/>
              </w:rPr>
            </w:pPr>
          </w:p>
        </w:tc>
        <w:tc>
          <w:tcPr>
            <w:tcW w:w="920" w:type="dxa"/>
            <w:vAlign w:val="bottom"/>
            <w:shd w:val="clear" w:color="auto" w:fill="004054"/>
          </w:tcPr>
          <w:p>
            <w:pPr>
              <w:spacing w:after="0"/>
              <w:rPr>
                <w:sz w:val="14"/>
                <w:szCs w:val="14"/>
                <w:color w:val="auto"/>
              </w:rPr>
            </w:pPr>
          </w:p>
        </w:tc>
        <w:tc>
          <w:tcPr>
            <w:tcW w:w="12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 number</w:t>
            </w:r>
          </w:p>
        </w:tc>
        <w:tc>
          <w:tcPr>
            <w:tcW w:w="100" w:type="dxa"/>
            <w:vAlign w:val="bottom"/>
            <w:shd w:val="clear" w:color="auto" w:fill="004054"/>
          </w:tcPr>
          <w:p>
            <w:pPr>
              <w:spacing w:after="0"/>
              <w:rPr>
                <w:sz w:val="14"/>
                <w:szCs w:val="14"/>
                <w:color w:val="auto"/>
              </w:rPr>
            </w:pPr>
          </w:p>
        </w:tc>
        <w:tc>
          <w:tcPr>
            <w:tcW w:w="240" w:type="dxa"/>
            <w:vAlign w:val="bottom"/>
            <w:shd w:val="clear" w:color="auto" w:fill="004054"/>
          </w:tcPr>
          <w:p>
            <w:pPr>
              <w:spacing w:after="0"/>
              <w:rPr>
                <w:sz w:val="14"/>
                <w:szCs w:val="14"/>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dollar value</w:t>
            </w:r>
          </w:p>
        </w:tc>
        <w:tc>
          <w:tcPr>
            <w:tcW w:w="20" w:type="dxa"/>
            <w:vAlign w:val="bottom"/>
            <w:shd w:val="clear" w:color="auto" w:fill="004054"/>
          </w:tcPr>
          <w:p>
            <w:pPr>
              <w:spacing w:after="0"/>
              <w:rPr>
                <w:sz w:val="14"/>
                <w:szCs w:val="14"/>
                <w:color w:val="auto"/>
              </w:rPr>
            </w:pPr>
          </w:p>
        </w:tc>
      </w:tr>
      <w:tr>
        <w:trPr>
          <w:trHeight w:val="175"/>
        </w:trPr>
        <w:tc>
          <w:tcPr>
            <w:tcW w:w="544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92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of shares</w:t>
            </w:r>
          </w:p>
        </w:tc>
        <w:tc>
          <w:tcPr>
            <w:tcW w:w="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of shares</w:t>
            </w:r>
          </w:p>
        </w:tc>
        <w:tc>
          <w:tcPr>
            <w:tcW w:w="20" w:type="dxa"/>
            <w:vAlign w:val="bottom"/>
            <w:shd w:val="clear" w:color="auto" w:fill="004054"/>
          </w:tcPr>
          <w:p>
            <w:pPr>
              <w:spacing w:after="0"/>
              <w:rPr>
                <w:sz w:val="15"/>
                <w:szCs w:val="15"/>
                <w:color w:val="auto"/>
              </w:rPr>
            </w:pPr>
          </w:p>
        </w:tc>
      </w:tr>
      <w:tr>
        <w:trPr>
          <w:trHeight w:val="175"/>
        </w:trPr>
        <w:tc>
          <w:tcPr>
            <w:tcW w:w="544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92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purchased as</w:t>
            </w:r>
          </w:p>
        </w:tc>
        <w:tc>
          <w:tcPr>
            <w:tcW w:w="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that may yet</w:t>
            </w:r>
          </w:p>
        </w:tc>
        <w:tc>
          <w:tcPr>
            <w:tcW w:w="20" w:type="dxa"/>
            <w:vAlign w:val="bottom"/>
            <w:shd w:val="clear" w:color="auto" w:fill="004054"/>
          </w:tcPr>
          <w:p>
            <w:pPr>
              <w:spacing w:after="0"/>
              <w:rPr>
                <w:sz w:val="15"/>
                <w:szCs w:val="15"/>
                <w:color w:val="auto"/>
              </w:rPr>
            </w:pPr>
          </w:p>
        </w:tc>
      </w:tr>
      <w:tr>
        <w:trPr>
          <w:trHeight w:val="176"/>
        </w:trPr>
        <w:tc>
          <w:tcPr>
            <w:tcW w:w="544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Average</w:t>
            </w: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part of</w:t>
            </w:r>
          </w:p>
        </w:tc>
        <w:tc>
          <w:tcPr>
            <w:tcW w:w="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be purchased</w:t>
            </w:r>
          </w:p>
        </w:tc>
        <w:tc>
          <w:tcPr>
            <w:tcW w:w="20" w:type="dxa"/>
            <w:vAlign w:val="bottom"/>
            <w:shd w:val="clear" w:color="auto" w:fill="004054"/>
          </w:tcPr>
          <w:p>
            <w:pPr>
              <w:spacing w:after="0"/>
              <w:rPr>
                <w:sz w:val="15"/>
                <w:szCs w:val="15"/>
                <w:color w:val="auto"/>
              </w:rPr>
            </w:pPr>
          </w:p>
        </w:tc>
      </w:tr>
      <w:tr>
        <w:trPr>
          <w:trHeight w:val="162"/>
        </w:trPr>
        <w:tc>
          <w:tcPr>
            <w:tcW w:w="544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100" w:type="dxa"/>
            <w:vAlign w:val="bottom"/>
            <w:shd w:val="clear" w:color="auto" w:fill="004054"/>
          </w:tcPr>
          <w:p>
            <w:pPr>
              <w:spacing w:after="0"/>
              <w:rPr>
                <w:sz w:val="14"/>
                <w:szCs w:val="14"/>
                <w:color w:val="auto"/>
              </w:rPr>
            </w:pPr>
          </w:p>
        </w:tc>
        <w:tc>
          <w:tcPr>
            <w:tcW w:w="460" w:type="dxa"/>
            <w:vAlign w:val="bottom"/>
            <w:shd w:val="clear" w:color="auto" w:fill="004054"/>
          </w:tcPr>
          <w:p>
            <w:pPr>
              <w:spacing w:after="0"/>
              <w:rPr>
                <w:sz w:val="14"/>
                <w:szCs w:val="14"/>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price</w:t>
            </w:r>
          </w:p>
        </w:tc>
        <w:tc>
          <w:tcPr>
            <w:tcW w:w="12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publicly</w:t>
            </w:r>
          </w:p>
        </w:tc>
        <w:tc>
          <w:tcPr>
            <w:tcW w:w="100" w:type="dxa"/>
            <w:vAlign w:val="bottom"/>
            <w:shd w:val="clear" w:color="auto" w:fill="004054"/>
          </w:tcPr>
          <w:p>
            <w:pPr>
              <w:spacing w:after="0"/>
              <w:rPr>
                <w:sz w:val="14"/>
                <w:szCs w:val="14"/>
                <w:color w:val="auto"/>
              </w:rPr>
            </w:pPr>
          </w:p>
        </w:tc>
        <w:tc>
          <w:tcPr>
            <w:tcW w:w="240" w:type="dxa"/>
            <w:vAlign w:val="bottom"/>
            <w:shd w:val="clear" w:color="auto" w:fill="004054"/>
          </w:tcPr>
          <w:p>
            <w:pPr>
              <w:spacing w:after="0"/>
              <w:rPr>
                <w:sz w:val="14"/>
                <w:szCs w:val="14"/>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under the</w:t>
            </w:r>
          </w:p>
        </w:tc>
        <w:tc>
          <w:tcPr>
            <w:tcW w:w="20" w:type="dxa"/>
            <w:vAlign w:val="bottom"/>
            <w:shd w:val="clear" w:color="auto" w:fill="004054"/>
          </w:tcPr>
          <w:p>
            <w:pPr>
              <w:spacing w:after="0"/>
              <w:rPr>
                <w:sz w:val="14"/>
                <w:szCs w:val="14"/>
                <w:color w:val="auto"/>
              </w:rPr>
            </w:pPr>
          </w:p>
        </w:tc>
      </w:tr>
      <w:tr>
        <w:trPr>
          <w:trHeight w:val="175"/>
        </w:trPr>
        <w:tc>
          <w:tcPr>
            <w:tcW w:w="54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w:t>
            </w:r>
          </w:p>
        </w:tc>
        <w:tc>
          <w:tcPr>
            <w:tcW w:w="1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paid</w:t>
            </w: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announced</w:t>
            </w:r>
          </w:p>
        </w:tc>
        <w:tc>
          <w:tcPr>
            <w:tcW w:w="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plans or</w:t>
            </w:r>
          </w:p>
        </w:tc>
        <w:tc>
          <w:tcPr>
            <w:tcW w:w="20" w:type="dxa"/>
            <w:vAlign w:val="bottom"/>
            <w:shd w:val="clear" w:color="auto" w:fill="004054"/>
          </w:tcPr>
          <w:p>
            <w:pPr>
              <w:spacing w:after="0"/>
              <w:rPr>
                <w:sz w:val="15"/>
                <w:szCs w:val="15"/>
                <w:color w:val="auto"/>
              </w:rPr>
            </w:pPr>
          </w:p>
        </w:tc>
      </w:tr>
      <w:tr>
        <w:trPr>
          <w:trHeight w:val="176"/>
        </w:trPr>
        <w:tc>
          <w:tcPr>
            <w:tcW w:w="54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of shares</w:t>
            </w:r>
          </w:p>
        </w:tc>
        <w:tc>
          <w:tcPr>
            <w:tcW w:w="1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per</w:t>
            </w: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plans or</w:t>
            </w:r>
          </w:p>
        </w:tc>
        <w:tc>
          <w:tcPr>
            <w:tcW w:w="100" w:type="dxa"/>
            <w:vAlign w:val="bottom"/>
            <w:shd w:val="clear" w:color="auto" w:fill="004054"/>
          </w:tcPr>
          <w:p>
            <w:pPr>
              <w:spacing w:after="0"/>
              <w:rPr>
                <w:sz w:val="15"/>
                <w:szCs w:val="15"/>
                <w:color w:val="auto"/>
              </w:rPr>
            </w:pPr>
          </w:p>
        </w:tc>
        <w:tc>
          <w:tcPr>
            <w:tcW w:w="240" w:type="dxa"/>
            <w:vAlign w:val="bottom"/>
            <w:shd w:val="clear" w:color="auto" w:fill="004054"/>
          </w:tcPr>
          <w:p>
            <w:pPr>
              <w:spacing w:after="0"/>
              <w:rPr>
                <w:sz w:val="15"/>
                <w:szCs w:val="15"/>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programs</w:t>
            </w:r>
          </w:p>
        </w:tc>
        <w:tc>
          <w:tcPr>
            <w:tcW w:w="20" w:type="dxa"/>
            <w:vAlign w:val="bottom"/>
            <w:shd w:val="clear" w:color="auto" w:fill="004054"/>
          </w:tcPr>
          <w:p>
            <w:pPr>
              <w:spacing w:after="0"/>
              <w:rPr>
                <w:sz w:val="15"/>
                <w:szCs w:val="15"/>
                <w:color w:val="auto"/>
              </w:rPr>
            </w:pPr>
          </w:p>
        </w:tc>
      </w:tr>
      <w:tr>
        <w:trPr>
          <w:trHeight w:val="209"/>
        </w:trPr>
        <w:tc>
          <w:tcPr>
            <w:tcW w:w="54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Period</w:t>
            </w:r>
          </w:p>
        </w:tc>
        <w:tc>
          <w:tcPr>
            <w:tcW w:w="13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purchased</w:t>
            </w:r>
            <w:r>
              <w:rPr>
                <w:rFonts w:ascii="Arial" w:cs="Arial" w:eastAsia="Arial" w:hAnsi="Arial"/>
                <w:sz w:val="9"/>
                <w:szCs w:val="9"/>
                <w:b w:val="1"/>
                <w:bCs w:val="1"/>
                <w:color w:val="FFFFFF"/>
              </w:rPr>
              <w:t>(1)</w:t>
            </w:r>
          </w:p>
        </w:tc>
        <w:tc>
          <w:tcPr>
            <w:tcW w:w="100" w:type="dxa"/>
            <w:vAlign w:val="bottom"/>
            <w:tcBorders>
              <w:bottom w:val="single" w:sz="8" w:color="004054"/>
            </w:tcBorders>
            <w:shd w:val="clear" w:color="auto" w:fill="004054"/>
          </w:tcPr>
          <w:p>
            <w:pPr>
              <w:spacing w:after="0"/>
              <w:rPr>
                <w:sz w:val="18"/>
                <w:szCs w:val="18"/>
                <w:color w:val="auto"/>
              </w:rPr>
            </w:pPr>
          </w:p>
        </w:tc>
        <w:tc>
          <w:tcPr>
            <w:tcW w:w="460" w:type="dxa"/>
            <w:vAlign w:val="bottom"/>
            <w:tcBorders>
              <w:bottom w:val="single" w:sz="8" w:color="004054"/>
            </w:tcBorders>
            <w:shd w:val="clear" w:color="auto" w:fill="004054"/>
          </w:tcPr>
          <w:p>
            <w:pPr>
              <w:spacing w:after="0"/>
              <w:rPr>
                <w:sz w:val="18"/>
                <w:szCs w:val="18"/>
                <w:color w:val="auto"/>
              </w:rPr>
            </w:pPr>
          </w:p>
        </w:tc>
        <w:tc>
          <w:tcPr>
            <w:tcW w:w="9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share</w:t>
            </w:r>
          </w:p>
        </w:tc>
        <w:tc>
          <w:tcPr>
            <w:tcW w:w="120" w:type="dxa"/>
            <w:vAlign w:val="bottom"/>
            <w:tcBorders>
              <w:bottom w:val="single" w:sz="8" w:color="004054"/>
            </w:tcBorders>
            <w:shd w:val="clear" w:color="auto" w:fill="004054"/>
          </w:tcPr>
          <w:p>
            <w:pPr>
              <w:spacing w:after="0"/>
              <w:rPr>
                <w:sz w:val="18"/>
                <w:szCs w:val="18"/>
                <w:color w:val="auto"/>
              </w:rPr>
            </w:pPr>
          </w:p>
        </w:tc>
        <w:tc>
          <w:tcPr>
            <w:tcW w:w="13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programs</w:t>
            </w:r>
            <w:r>
              <w:rPr>
                <w:rFonts w:ascii="Arial" w:cs="Arial" w:eastAsia="Arial" w:hAnsi="Arial"/>
                <w:sz w:val="9"/>
                <w:szCs w:val="9"/>
                <w:b w:val="1"/>
                <w:bCs w:val="1"/>
                <w:color w:val="FFFFFF"/>
              </w:rPr>
              <w:t>(2)</w:t>
            </w:r>
          </w:p>
        </w:tc>
        <w:tc>
          <w:tcPr>
            <w:tcW w:w="100" w:type="dxa"/>
            <w:vAlign w:val="bottom"/>
            <w:tcBorders>
              <w:bottom w:val="single" w:sz="8" w:color="004054"/>
            </w:tcBorders>
            <w:shd w:val="clear" w:color="auto" w:fill="004054"/>
          </w:tcPr>
          <w:p>
            <w:pPr>
              <w:spacing w:after="0"/>
              <w:rPr>
                <w:sz w:val="18"/>
                <w:szCs w:val="18"/>
                <w:color w:val="auto"/>
              </w:rPr>
            </w:pPr>
          </w:p>
        </w:tc>
        <w:tc>
          <w:tcPr>
            <w:tcW w:w="240" w:type="dxa"/>
            <w:vAlign w:val="bottom"/>
            <w:tcBorders>
              <w:bottom w:val="single" w:sz="8" w:color="004054"/>
            </w:tcBorders>
            <w:shd w:val="clear" w:color="auto" w:fill="004054"/>
          </w:tcPr>
          <w:p>
            <w:pPr>
              <w:spacing w:after="0"/>
              <w:rPr>
                <w:sz w:val="18"/>
                <w:szCs w:val="18"/>
                <w:color w:val="auto"/>
              </w:rPr>
            </w:pP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(in thousands)</w:t>
            </w:r>
          </w:p>
        </w:tc>
        <w:tc>
          <w:tcPr>
            <w:tcW w:w="20" w:type="dxa"/>
            <w:vAlign w:val="bottom"/>
            <w:tcBorders>
              <w:bottom w:val="single" w:sz="8" w:color="004054"/>
            </w:tcBorders>
            <w:shd w:val="clear" w:color="auto" w:fill="004054"/>
          </w:tcPr>
          <w:p>
            <w:pPr>
              <w:spacing w:after="0"/>
              <w:rPr>
                <w:sz w:val="18"/>
                <w:szCs w:val="18"/>
                <w:color w:val="auto"/>
              </w:rPr>
            </w:pPr>
          </w:p>
        </w:tc>
      </w:tr>
      <w:tr>
        <w:trPr>
          <w:trHeight w:val="250"/>
        </w:trPr>
        <w:tc>
          <w:tcPr>
            <w:tcW w:w="5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Beginning balance, July 1, 2022</w:t>
            </w:r>
          </w:p>
        </w:tc>
        <w:tc>
          <w:tcPr>
            <w:tcW w:w="13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46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13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jc w:val="right"/>
              <w:ind w:right="30"/>
              <w:spacing w:after="0"/>
              <w:rPr>
                <w:sz w:val="20"/>
                <w:szCs w:val="20"/>
                <w:color w:val="auto"/>
              </w:rPr>
            </w:pPr>
            <w:r>
              <w:rPr>
                <w:rFonts w:ascii="Arial" w:cs="Arial" w:eastAsia="Arial" w:hAnsi="Arial"/>
                <w:sz w:val="18"/>
                <w:szCs w:val="18"/>
                <w:color w:val="51555C"/>
                <w:w w:val="99"/>
              </w:rPr>
              <w:t>$</w:t>
            </w:r>
          </w:p>
        </w:tc>
        <w:tc>
          <w:tcPr>
            <w:tcW w:w="114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250,000</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51555C"/>
              </w:rPr>
              <w:t>July 1, 2022 through July 31, 2022</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51555C"/>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51555C"/>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51555C"/>
              </w:rPr>
              <w:t>—</w:t>
            </w:r>
          </w:p>
        </w:tc>
        <w:tc>
          <w:tcPr>
            <w:tcW w:w="1460" w:type="dxa"/>
            <w:vAlign w:val="bottom"/>
            <w:gridSpan w:val="2"/>
          </w:tcPr>
          <w:p>
            <w:pPr>
              <w:ind w:left="1100"/>
              <w:spacing w:after="0"/>
              <w:rPr>
                <w:sz w:val="20"/>
                <w:szCs w:val="20"/>
                <w:color w:val="auto"/>
              </w:rPr>
            </w:pPr>
            <w:r>
              <w:rPr>
                <w:rFonts w:ascii="Arial" w:cs="Arial" w:eastAsia="Arial" w:hAnsi="Arial"/>
                <w:sz w:val="18"/>
                <w:szCs w:val="18"/>
                <w:color w:val="51555C"/>
              </w:rPr>
              <w:t>—</w:t>
            </w:r>
          </w:p>
        </w:tc>
        <w:tc>
          <w:tcPr>
            <w:tcW w:w="2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51555C"/>
              </w:rPr>
              <w:t>250,000</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August 1, 2022 through August 31, 2022</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8,218</w:t>
            </w:r>
          </w:p>
        </w:tc>
        <w:tc>
          <w:tcPr>
            <w:tcW w:w="100" w:type="dxa"/>
            <w:vAlign w:val="bottom"/>
            <w:tcBorders>
              <w:bottom w:val="single" w:sz="8" w:color="EBFBFF"/>
            </w:tcBorders>
            <w:shd w:val="clear" w:color="auto" w:fill="EBFBFF"/>
          </w:tcPr>
          <w:p>
            <w:pPr>
              <w:spacing w:after="0"/>
              <w:rPr>
                <w:sz w:val="21"/>
                <w:szCs w:val="21"/>
                <w:color w:val="auto"/>
              </w:rPr>
            </w:pPr>
          </w:p>
        </w:tc>
        <w:tc>
          <w:tcPr>
            <w:tcW w:w="46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55.40</w:t>
            </w:r>
          </w:p>
        </w:tc>
        <w:tc>
          <w:tcPr>
            <w:tcW w:w="120" w:type="dxa"/>
            <w:vAlign w:val="bottom"/>
            <w:tcBorders>
              <w:bottom w:val="single" w:sz="8" w:color="EBFBFF"/>
            </w:tcBorders>
            <w:shd w:val="clear" w:color="auto" w:fill="EBFBFF"/>
          </w:tcPr>
          <w:p>
            <w:pPr>
              <w:spacing w:after="0"/>
              <w:rPr>
                <w:sz w:val="21"/>
                <w:szCs w:val="21"/>
                <w:color w:val="auto"/>
              </w:rPr>
            </w:pPr>
          </w:p>
        </w:tc>
        <w:tc>
          <w:tcPr>
            <w:tcW w:w="1460" w:type="dxa"/>
            <w:vAlign w:val="bottom"/>
            <w:tcBorders>
              <w:bottom w:val="single" w:sz="8" w:color="EBFBFF"/>
            </w:tcBorders>
            <w:gridSpan w:val="2"/>
            <w:shd w:val="clear" w:color="auto" w:fill="EBFBFF"/>
          </w:tcPr>
          <w:p>
            <w:pPr>
              <w:ind w:left="1100"/>
              <w:spacing w:after="0"/>
              <w:rPr>
                <w:sz w:val="20"/>
                <w:szCs w:val="20"/>
                <w:color w:val="auto"/>
              </w:rPr>
            </w:pPr>
            <w:r>
              <w:rPr>
                <w:rFonts w:ascii="Arial" w:cs="Arial" w:eastAsia="Arial" w:hAnsi="Arial"/>
                <w:sz w:val="18"/>
                <w:szCs w:val="18"/>
                <w:color w:val="51555C"/>
              </w:rPr>
              <w:t>—</w:t>
            </w:r>
          </w:p>
        </w:tc>
        <w:tc>
          <w:tcPr>
            <w:tcW w:w="24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250,000</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51555C"/>
              </w:rPr>
              <w:t>September 1, 2022 through September 30, 2022</w:t>
            </w:r>
          </w:p>
        </w:tc>
        <w:tc>
          <w:tcPr>
            <w:tcW w:w="1360" w:type="dxa"/>
            <w:vAlign w:val="bottom"/>
          </w:tcPr>
          <w:p>
            <w:pPr>
              <w:jc w:val="right"/>
              <w:spacing w:after="0"/>
              <w:rPr>
                <w:sz w:val="20"/>
                <w:szCs w:val="20"/>
                <w:color w:val="auto"/>
              </w:rPr>
            </w:pPr>
            <w:r>
              <w:rPr>
                <w:rFonts w:ascii="Arial" w:cs="Arial" w:eastAsia="Arial" w:hAnsi="Arial"/>
                <w:sz w:val="18"/>
                <w:szCs w:val="18"/>
                <w:color w:val="51555C"/>
              </w:rPr>
              <w:t>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1555C"/>
              </w:rPr>
              <w:t>45.75</w:t>
            </w:r>
          </w:p>
        </w:tc>
        <w:tc>
          <w:tcPr>
            <w:tcW w:w="120" w:type="dxa"/>
            <w:vAlign w:val="bottom"/>
          </w:tcPr>
          <w:p>
            <w:pPr>
              <w:spacing w:after="0"/>
              <w:rPr>
                <w:sz w:val="21"/>
                <w:szCs w:val="21"/>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51555C"/>
              </w:rPr>
              <w:t>—</w:t>
            </w:r>
          </w:p>
        </w:tc>
        <w:tc>
          <w:tcPr>
            <w:tcW w:w="2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51555C"/>
              </w:rPr>
              <w:t>250,000</w:t>
            </w:r>
          </w:p>
        </w:tc>
        <w:tc>
          <w:tcPr>
            <w:tcW w:w="20" w:type="dxa"/>
            <w:vAlign w:val="bottom"/>
          </w:tcPr>
          <w:p>
            <w:pPr>
              <w:spacing w:after="0"/>
              <w:rPr>
                <w:sz w:val="21"/>
                <w:szCs w:val="21"/>
                <w:color w:val="auto"/>
              </w:rPr>
            </w:pPr>
          </w:p>
        </w:tc>
      </w:tr>
      <w:tr>
        <w:trPr>
          <w:trHeight w:val="27"/>
        </w:trPr>
        <w:tc>
          <w:tcPr>
            <w:tcW w:w="5440" w:type="dxa"/>
            <w:vAlign w:val="bottom"/>
            <w:tcBorders>
              <w:bottom w:val="single" w:sz="8" w:color="EBFBFF"/>
            </w:tcBorders>
          </w:tcPr>
          <w:p>
            <w:pPr>
              <w:spacing w:after="0"/>
              <w:rPr>
                <w:sz w:val="2"/>
                <w:szCs w:val="2"/>
                <w:color w:val="auto"/>
              </w:rPr>
            </w:pPr>
          </w:p>
        </w:tc>
        <w:tc>
          <w:tcPr>
            <w:tcW w:w="136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460" w:type="dxa"/>
            <w:vAlign w:val="bottom"/>
            <w:tcBorders>
              <w:bottom w:val="single" w:sz="8" w:color="51555C"/>
            </w:tcBorders>
          </w:tcPr>
          <w:p>
            <w:pPr>
              <w:spacing w:after="0"/>
              <w:rPr>
                <w:sz w:val="2"/>
                <w:szCs w:val="2"/>
                <w:color w:val="auto"/>
              </w:rPr>
            </w:pPr>
          </w:p>
        </w:tc>
        <w:tc>
          <w:tcPr>
            <w:tcW w:w="920" w:type="dxa"/>
            <w:vAlign w:val="bottom"/>
            <w:tcBorders>
              <w:bottom w:val="single" w:sz="8" w:color="51555C"/>
            </w:tcBorders>
          </w:tcPr>
          <w:p>
            <w:pPr>
              <w:spacing w:after="0"/>
              <w:rPr>
                <w:sz w:val="2"/>
                <w:szCs w:val="2"/>
                <w:color w:val="auto"/>
              </w:rPr>
            </w:pPr>
          </w:p>
        </w:tc>
        <w:tc>
          <w:tcPr>
            <w:tcW w:w="120" w:type="dxa"/>
            <w:vAlign w:val="bottom"/>
            <w:tcBorders>
              <w:bottom w:val="single" w:sz="8" w:color="EBFBFF"/>
            </w:tcBorders>
          </w:tcPr>
          <w:p>
            <w:pPr>
              <w:spacing w:after="0"/>
              <w:rPr>
                <w:sz w:val="2"/>
                <w:szCs w:val="2"/>
                <w:color w:val="auto"/>
              </w:rPr>
            </w:pPr>
          </w:p>
        </w:tc>
        <w:tc>
          <w:tcPr>
            <w:tcW w:w="136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240" w:type="dxa"/>
            <w:vAlign w:val="bottom"/>
            <w:tcBorders>
              <w:bottom w:val="single" w:sz="8" w:color="51555C"/>
            </w:tcBorders>
          </w:tcPr>
          <w:p>
            <w:pPr>
              <w:spacing w:after="0"/>
              <w:rPr>
                <w:sz w:val="2"/>
                <w:szCs w:val="2"/>
                <w:color w:val="auto"/>
              </w:rPr>
            </w:pPr>
          </w:p>
        </w:tc>
        <w:tc>
          <w:tcPr>
            <w:tcW w:w="114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Total</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8,260</w:t>
            </w:r>
          </w:p>
        </w:tc>
        <w:tc>
          <w:tcPr>
            <w:tcW w:w="100" w:type="dxa"/>
            <w:vAlign w:val="bottom"/>
            <w:tcBorders>
              <w:bottom w:val="single" w:sz="8" w:color="EBFBFF"/>
            </w:tcBorders>
            <w:shd w:val="clear" w:color="auto" w:fill="EBFBFF"/>
          </w:tcPr>
          <w:p>
            <w:pPr>
              <w:spacing w:after="0"/>
              <w:rPr>
                <w:sz w:val="21"/>
                <w:szCs w:val="21"/>
                <w:color w:val="auto"/>
              </w:rPr>
            </w:pPr>
          </w:p>
        </w:tc>
        <w:tc>
          <w:tcPr>
            <w:tcW w:w="460" w:type="dxa"/>
            <w:vAlign w:val="bottom"/>
            <w:tcBorders>
              <w:bottom w:val="single" w:sz="8" w:color="EBFBFF"/>
            </w:tcBorders>
            <w:shd w:val="clear" w:color="auto" w:fill="EBFBFF"/>
          </w:tcPr>
          <w:p>
            <w:pPr>
              <w:jc w:val="right"/>
              <w:ind w:right="250"/>
              <w:spacing w:after="0"/>
              <w:rPr>
                <w:sz w:val="20"/>
                <w:szCs w:val="20"/>
                <w:color w:val="auto"/>
              </w:rPr>
            </w:pPr>
            <w:r>
              <w:rPr>
                <w:rFonts w:ascii="Arial" w:cs="Arial" w:eastAsia="Arial" w:hAnsi="Arial"/>
                <w:sz w:val="18"/>
                <w:szCs w:val="18"/>
                <w:color w:val="51555C"/>
                <w:w w:val="99"/>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55.36</w:t>
            </w:r>
          </w:p>
        </w:tc>
        <w:tc>
          <w:tcPr>
            <w:tcW w:w="120" w:type="dxa"/>
            <w:vAlign w:val="bottom"/>
            <w:tcBorders>
              <w:bottom w:val="single" w:sz="8" w:color="EBFBFF"/>
            </w:tcBorders>
            <w:shd w:val="clear" w:color="auto" w:fill="EBFBFF"/>
          </w:tcPr>
          <w:p>
            <w:pPr>
              <w:spacing w:after="0"/>
              <w:rPr>
                <w:sz w:val="21"/>
                <w:szCs w:val="21"/>
                <w:color w:val="auto"/>
              </w:rPr>
            </w:pPr>
          </w:p>
        </w:tc>
        <w:tc>
          <w:tcPr>
            <w:tcW w:w="1460" w:type="dxa"/>
            <w:vAlign w:val="bottom"/>
            <w:tcBorders>
              <w:bottom w:val="single" w:sz="8" w:color="EBFBFF"/>
            </w:tcBorders>
            <w:gridSpan w:val="2"/>
            <w:shd w:val="clear" w:color="auto" w:fill="EBFBFF"/>
          </w:tcPr>
          <w:p>
            <w:pPr>
              <w:ind w:left="1100"/>
              <w:spacing w:after="0"/>
              <w:rPr>
                <w:sz w:val="20"/>
                <w:szCs w:val="20"/>
                <w:color w:val="auto"/>
              </w:rPr>
            </w:pPr>
            <w:r>
              <w:rPr>
                <w:rFonts w:ascii="Arial" w:cs="Arial" w:eastAsia="Arial" w:hAnsi="Arial"/>
                <w:sz w:val="18"/>
                <w:szCs w:val="18"/>
                <w:color w:val="51555C"/>
              </w:rPr>
              <w:t>—</w:t>
            </w:r>
          </w:p>
        </w:tc>
        <w:tc>
          <w:tcPr>
            <w:tcW w:w="240" w:type="dxa"/>
            <w:vAlign w:val="bottom"/>
            <w:tcBorders>
              <w:bottom w:val="single" w:sz="8" w:color="EBFBFF"/>
            </w:tcBorders>
            <w:shd w:val="clear" w:color="auto" w:fill="EBFBFF"/>
          </w:tcPr>
          <w:p>
            <w:pPr>
              <w:jc w:val="right"/>
              <w:ind w:right="30"/>
              <w:spacing w:after="0"/>
              <w:rPr>
                <w:sz w:val="20"/>
                <w:szCs w:val="20"/>
                <w:color w:val="auto"/>
              </w:rPr>
            </w:pPr>
            <w:r>
              <w:rPr>
                <w:rFonts w:ascii="Arial" w:cs="Arial" w:eastAsia="Arial" w:hAnsi="Arial"/>
                <w:sz w:val="18"/>
                <w:szCs w:val="18"/>
                <w:color w:val="51555C"/>
                <w:w w:val="99"/>
              </w:rPr>
              <w:t>$</w:t>
            </w:r>
          </w:p>
        </w:tc>
        <w:tc>
          <w:tcPr>
            <w:tcW w:w="114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250,000</w:t>
            </w:r>
          </w:p>
        </w:tc>
        <w:tc>
          <w:tcPr>
            <w:tcW w:w="20" w:type="dxa"/>
            <w:vAlign w:val="bottom"/>
          </w:tcPr>
          <w:p>
            <w:pPr>
              <w:spacing w:after="0"/>
              <w:rPr>
                <w:sz w:val="21"/>
                <w:szCs w:val="21"/>
                <w:color w:val="auto"/>
              </w:rPr>
            </w:pPr>
          </w:p>
        </w:tc>
      </w:tr>
      <w:tr>
        <w:trPr>
          <w:trHeight w:val="20"/>
        </w:trPr>
        <w:tc>
          <w:tcPr>
            <w:tcW w:w="5440" w:type="dxa"/>
            <w:vAlign w:val="bottom"/>
            <w:shd w:val="clear" w:color="auto" w:fill="0CD973"/>
          </w:tcPr>
          <w:p>
            <w:pPr>
              <w:spacing w:after="0" w:line="20" w:lineRule="exact"/>
              <w:rPr>
                <w:sz w:val="1"/>
                <w:szCs w:val="1"/>
                <w:color w:val="auto"/>
              </w:rPr>
            </w:pPr>
          </w:p>
        </w:tc>
        <w:tc>
          <w:tcPr>
            <w:tcW w:w="136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92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136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11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right="20" w:hanging="332"/>
        <w:spacing w:after="0" w:line="251" w:lineRule="auto"/>
        <w:tabs>
          <w:tab w:leader="none" w:pos="354" w:val="left"/>
        </w:tabs>
        <w:numPr>
          <w:ilvl w:val="0"/>
          <w:numId w:val="39"/>
        </w:numPr>
        <w:rPr>
          <w:rFonts w:ascii="Arial" w:cs="Arial" w:eastAsia="Arial" w:hAnsi="Arial"/>
          <w:sz w:val="14"/>
          <w:szCs w:val="14"/>
          <w:color w:val="51555C"/>
        </w:rPr>
      </w:pPr>
      <w:r>
        <w:rPr>
          <w:rFonts w:ascii="Arial" w:cs="Arial" w:eastAsia="Arial" w:hAnsi="Arial"/>
          <w:sz w:val="14"/>
          <w:szCs w:val="14"/>
          <w:color w:val="51555C"/>
        </w:rPr>
        <w:t>Includes 8,260 shares (8,218 in August and 42 in September) withheld by us to satisfy the minimum tax obligations of employees due upon vesting of restricted stock awards and units. The level of this acquisition activity varies from period to period based upon the timing of award grants and vesting.</w:t>
      </w:r>
    </w:p>
    <w:p>
      <w:pPr>
        <w:ind w:left="340" w:right="40" w:hanging="332"/>
        <w:spacing w:after="0" w:line="278" w:lineRule="auto"/>
        <w:tabs>
          <w:tab w:leader="none" w:pos="354" w:val="left"/>
        </w:tabs>
        <w:numPr>
          <w:ilvl w:val="0"/>
          <w:numId w:val="39"/>
        </w:numPr>
        <w:rPr>
          <w:rFonts w:ascii="Arial" w:cs="Arial" w:eastAsia="Arial" w:hAnsi="Arial"/>
          <w:sz w:val="14"/>
          <w:szCs w:val="14"/>
          <w:color w:val="51555C"/>
        </w:rPr>
      </w:pPr>
      <w:r>
        <w:rPr>
          <w:rFonts w:ascii="Arial" w:cs="Arial" w:eastAsia="Arial" w:hAnsi="Arial"/>
          <w:sz w:val="14"/>
          <w:szCs w:val="14"/>
          <w:color w:val="51555C"/>
        </w:rPr>
        <w:t>In December 2021, our Board of Directors reauthorized and replenished our stock repurchase program to authorize us to purchase up to $250.0 million of our outstanding shares of common stock. The program does not have an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205740</wp:posOffset>
            </wp:positionV>
            <wp:extent cx="659765"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40"/>
              <w:spacing w:after="0"/>
              <w:rPr>
                <w:sz w:val="20"/>
                <w:szCs w:val="20"/>
                <w:color w:val="auto"/>
              </w:rPr>
            </w:pPr>
            <w:r>
              <w:rPr>
                <w:rFonts w:ascii="Arial" w:cs="Arial" w:eastAsia="Arial" w:hAnsi="Arial"/>
                <w:sz w:val="14"/>
                <w:szCs w:val="14"/>
                <w:color w:val="51555C"/>
              </w:rPr>
              <w:t>Third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51555C"/>
              </w:rPr>
              <w:t>51</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6. EXHIBITS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51555C"/>
        </w:rPr>
        <w:t>The exhibits listed below are filed or incorporated by reference as part of this Quarterly Report on Form 10-Q:</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0" w:type="dxa"/>
            <w:vAlign w:val="bottom"/>
            <w:shd w:val="clear" w:color="auto" w:fill="004054"/>
          </w:tcPr>
          <w:p>
            <w:pPr>
              <w:spacing w:after="0"/>
              <w:rPr>
                <w:sz w:val="18"/>
                <w:szCs w:val="18"/>
                <w:color w:val="auto"/>
              </w:rPr>
            </w:pPr>
          </w:p>
        </w:tc>
        <w:tc>
          <w:tcPr>
            <w:tcW w:w="100" w:type="dxa"/>
            <w:vAlign w:val="bottom"/>
            <w:shd w:val="clear" w:color="auto" w:fill="004054"/>
          </w:tcPr>
          <w:p>
            <w:pPr>
              <w:spacing w:after="0"/>
              <w:rPr>
                <w:sz w:val="18"/>
                <w:szCs w:val="18"/>
                <w:color w:val="auto"/>
              </w:rPr>
            </w:pPr>
          </w:p>
        </w:tc>
        <w:tc>
          <w:tcPr>
            <w:tcW w:w="260" w:type="dxa"/>
            <w:vAlign w:val="bottom"/>
            <w:shd w:val="clear" w:color="auto" w:fill="004054"/>
          </w:tcPr>
          <w:p>
            <w:pPr>
              <w:spacing w:after="0"/>
              <w:rPr>
                <w:sz w:val="18"/>
                <w:szCs w:val="18"/>
                <w:color w:val="auto"/>
              </w:rPr>
            </w:pPr>
          </w:p>
        </w:tc>
        <w:tc>
          <w:tcPr>
            <w:tcW w:w="140" w:type="dxa"/>
            <w:vAlign w:val="bottom"/>
            <w:shd w:val="clear" w:color="auto" w:fill="004054"/>
          </w:tcPr>
          <w:p>
            <w:pPr>
              <w:spacing w:after="0"/>
              <w:rPr>
                <w:sz w:val="18"/>
                <w:szCs w:val="18"/>
                <w:color w:val="auto"/>
              </w:rPr>
            </w:pPr>
          </w:p>
        </w:tc>
        <w:tc>
          <w:tcPr>
            <w:tcW w:w="700" w:type="dxa"/>
            <w:vAlign w:val="bottom"/>
            <w:shd w:val="clear" w:color="auto" w:fill="004054"/>
          </w:tcPr>
          <w:p>
            <w:pPr>
              <w:spacing w:after="0"/>
              <w:rPr>
                <w:sz w:val="18"/>
                <w:szCs w:val="18"/>
                <w:color w:val="auto"/>
              </w:rPr>
            </w:pPr>
          </w:p>
        </w:tc>
        <w:tc>
          <w:tcPr>
            <w:tcW w:w="260" w:type="dxa"/>
            <w:vAlign w:val="bottom"/>
            <w:shd w:val="clear" w:color="auto" w:fill="004054"/>
          </w:tcPr>
          <w:p>
            <w:pPr>
              <w:spacing w:after="0"/>
              <w:rPr>
                <w:sz w:val="18"/>
                <w:szCs w:val="18"/>
                <w:color w:val="auto"/>
              </w:rPr>
            </w:pPr>
          </w:p>
        </w:tc>
        <w:tc>
          <w:tcPr>
            <w:tcW w:w="920" w:type="dxa"/>
            <w:vAlign w:val="bottom"/>
            <w:shd w:val="clear" w:color="auto" w:fill="004054"/>
          </w:tcPr>
          <w:p>
            <w:pPr>
              <w:spacing w:after="0"/>
              <w:rPr>
                <w:sz w:val="18"/>
                <w:szCs w:val="18"/>
                <w:color w:val="auto"/>
              </w:rPr>
            </w:pPr>
          </w:p>
        </w:tc>
        <w:tc>
          <w:tcPr>
            <w:tcW w:w="720" w:type="dxa"/>
            <w:vAlign w:val="bottom"/>
            <w:shd w:val="clear" w:color="auto" w:fill="004054"/>
          </w:tcPr>
          <w:p>
            <w:pPr>
              <w:spacing w:after="0"/>
              <w:rPr>
                <w:sz w:val="18"/>
                <w:szCs w:val="18"/>
                <w:color w:val="auto"/>
              </w:rPr>
            </w:pPr>
          </w:p>
        </w:tc>
        <w:tc>
          <w:tcPr>
            <w:tcW w:w="120" w:type="dxa"/>
            <w:vAlign w:val="bottom"/>
            <w:shd w:val="clear" w:color="auto" w:fill="004054"/>
          </w:tcPr>
          <w:p>
            <w:pPr>
              <w:spacing w:after="0"/>
              <w:rPr>
                <w:sz w:val="18"/>
                <w:szCs w:val="18"/>
                <w:color w:val="auto"/>
              </w:rPr>
            </w:pPr>
          </w:p>
        </w:tc>
        <w:tc>
          <w:tcPr>
            <w:tcW w:w="1080" w:type="dxa"/>
            <w:vAlign w:val="bottom"/>
            <w:shd w:val="clear" w:color="auto" w:fill="004054"/>
          </w:tcPr>
          <w:p>
            <w:pPr>
              <w:spacing w:after="0"/>
              <w:rPr>
                <w:sz w:val="18"/>
                <w:szCs w:val="18"/>
                <w:color w:val="auto"/>
              </w:rPr>
            </w:pPr>
          </w:p>
        </w:tc>
        <w:tc>
          <w:tcPr>
            <w:tcW w:w="320" w:type="dxa"/>
            <w:vAlign w:val="bottom"/>
            <w:shd w:val="clear" w:color="auto" w:fill="004054"/>
          </w:tcPr>
          <w:p>
            <w:pPr>
              <w:spacing w:after="0"/>
              <w:rPr>
                <w:sz w:val="18"/>
                <w:szCs w:val="18"/>
                <w:color w:val="auto"/>
              </w:rPr>
            </w:pPr>
          </w:p>
        </w:tc>
        <w:tc>
          <w:tcPr>
            <w:tcW w:w="140" w:type="dxa"/>
            <w:vAlign w:val="bottom"/>
            <w:shd w:val="clear" w:color="auto" w:fill="004054"/>
          </w:tcPr>
          <w:p>
            <w:pPr>
              <w:spacing w:after="0"/>
              <w:rPr>
                <w:sz w:val="18"/>
                <w:szCs w:val="18"/>
                <w:color w:val="auto"/>
              </w:rPr>
            </w:pPr>
          </w:p>
        </w:tc>
        <w:tc>
          <w:tcPr>
            <w:tcW w:w="60" w:type="dxa"/>
            <w:vAlign w:val="bottom"/>
            <w:shd w:val="clear" w:color="auto" w:fill="004054"/>
          </w:tcPr>
          <w:p>
            <w:pPr>
              <w:spacing w:after="0"/>
              <w:rPr>
                <w:sz w:val="18"/>
                <w:szCs w:val="18"/>
                <w:color w:val="auto"/>
              </w:rPr>
            </w:pPr>
          </w:p>
        </w:tc>
        <w:tc>
          <w:tcPr>
            <w:tcW w:w="200" w:type="dxa"/>
            <w:vAlign w:val="bottom"/>
            <w:shd w:val="clear" w:color="auto" w:fill="004054"/>
          </w:tcPr>
          <w:p>
            <w:pPr>
              <w:spacing w:after="0"/>
              <w:rPr>
                <w:sz w:val="18"/>
                <w:szCs w:val="18"/>
                <w:color w:val="auto"/>
              </w:rPr>
            </w:pPr>
          </w:p>
        </w:tc>
        <w:tc>
          <w:tcPr>
            <w:tcW w:w="60" w:type="dxa"/>
            <w:vAlign w:val="bottom"/>
            <w:shd w:val="clear" w:color="auto" w:fill="004054"/>
          </w:tcPr>
          <w:p>
            <w:pPr>
              <w:spacing w:after="0"/>
              <w:rPr>
                <w:sz w:val="18"/>
                <w:szCs w:val="18"/>
                <w:color w:val="auto"/>
              </w:rPr>
            </w:pPr>
          </w:p>
        </w:tc>
        <w:tc>
          <w:tcPr>
            <w:tcW w:w="200" w:type="dxa"/>
            <w:vAlign w:val="bottom"/>
            <w:shd w:val="clear" w:color="auto" w:fill="004054"/>
          </w:tcPr>
          <w:p>
            <w:pPr>
              <w:spacing w:after="0"/>
              <w:rPr>
                <w:sz w:val="18"/>
                <w:szCs w:val="18"/>
                <w:color w:val="auto"/>
              </w:rPr>
            </w:pPr>
          </w:p>
        </w:tc>
        <w:tc>
          <w:tcPr>
            <w:tcW w:w="40" w:type="dxa"/>
            <w:vAlign w:val="bottom"/>
            <w:shd w:val="clear" w:color="auto" w:fill="004054"/>
          </w:tcPr>
          <w:p>
            <w:pPr>
              <w:spacing w:after="0"/>
              <w:rPr>
                <w:sz w:val="18"/>
                <w:szCs w:val="18"/>
                <w:color w:val="auto"/>
              </w:rPr>
            </w:pPr>
          </w:p>
        </w:tc>
        <w:tc>
          <w:tcPr>
            <w:tcW w:w="140" w:type="dxa"/>
            <w:vAlign w:val="bottom"/>
            <w:shd w:val="clear" w:color="auto" w:fill="004054"/>
          </w:tcPr>
          <w:p>
            <w:pPr>
              <w:spacing w:after="0"/>
              <w:rPr>
                <w:sz w:val="18"/>
                <w:szCs w:val="18"/>
                <w:color w:val="auto"/>
              </w:rPr>
            </w:pPr>
          </w:p>
        </w:tc>
        <w:tc>
          <w:tcPr>
            <w:tcW w:w="10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40" w:type="dxa"/>
            <w:vAlign w:val="bottom"/>
            <w:shd w:val="clear" w:color="auto" w:fill="004054"/>
          </w:tcPr>
          <w:p>
            <w:pPr>
              <w:spacing w:after="0"/>
              <w:rPr>
                <w:sz w:val="18"/>
                <w:szCs w:val="18"/>
                <w:color w:val="auto"/>
              </w:rPr>
            </w:pPr>
          </w:p>
        </w:tc>
        <w:tc>
          <w:tcPr>
            <w:tcW w:w="1070" w:type="dxa"/>
            <w:vAlign w:val="bottom"/>
            <w:shd w:val="clear" w:color="auto" w:fill="004054"/>
          </w:tcPr>
          <w:p>
            <w:pPr>
              <w:spacing w:after="0"/>
              <w:rPr>
                <w:sz w:val="18"/>
                <w:szCs w:val="18"/>
                <w:color w:val="auto"/>
              </w:rPr>
            </w:pPr>
          </w:p>
        </w:tc>
        <w:tc>
          <w:tcPr>
            <w:tcW w:w="990" w:type="dxa"/>
            <w:vAlign w:val="bottom"/>
            <w:shd w:val="clear" w:color="auto" w:fill="004054"/>
          </w:tcPr>
          <w:p>
            <w:pPr>
              <w:spacing w:after="0"/>
              <w:rPr>
                <w:sz w:val="18"/>
                <w:szCs w:val="18"/>
                <w:color w:val="auto"/>
              </w:rPr>
            </w:pPr>
          </w:p>
        </w:tc>
        <w:tc>
          <w:tcPr>
            <w:tcW w:w="1320" w:type="dxa"/>
            <w:vAlign w:val="bottom"/>
            <w:gridSpan w:val="2"/>
            <w:shd w:val="clear" w:color="auto" w:fill="004054"/>
          </w:tcPr>
          <w:p>
            <w:pPr>
              <w:spacing w:after="0"/>
              <w:rPr>
                <w:sz w:val="20"/>
                <w:szCs w:val="20"/>
                <w:color w:val="auto"/>
              </w:rPr>
            </w:pPr>
            <w:r>
              <w:rPr>
                <w:rFonts w:ascii="Arial" w:cs="Arial" w:eastAsia="Arial" w:hAnsi="Arial"/>
                <w:sz w:val="14"/>
                <w:szCs w:val="14"/>
                <w:b w:val="1"/>
                <w:bCs w:val="1"/>
                <w:color w:val="FFFFFF"/>
              </w:rPr>
              <w:t>Filed In</w:t>
            </w:r>
          </w:p>
        </w:tc>
        <w:tc>
          <w:tcPr>
            <w:tcW w:w="126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Exhibit</w:t>
            </w:r>
          </w:p>
        </w:tc>
        <w:tc>
          <w:tcPr>
            <w:tcW w:w="140" w:type="dxa"/>
            <w:vAlign w:val="bottom"/>
            <w:shd w:val="clear" w:color="auto" w:fill="004054"/>
          </w:tcPr>
          <w:p>
            <w:pPr>
              <w:spacing w:after="0"/>
              <w:rPr>
                <w:sz w:val="18"/>
                <w:szCs w:val="18"/>
                <w:color w:val="auto"/>
              </w:rPr>
            </w:pPr>
          </w:p>
        </w:tc>
        <w:tc>
          <w:tcPr>
            <w:tcW w:w="700" w:type="dxa"/>
            <w:vAlign w:val="bottom"/>
            <w:shd w:val="clear" w:color="auto" w:fill="004054"/>
          </w:tcPr>
          <w:p>
            <w:pPr>
              <w:spacing w:after="0"/>
              <w:rPr>
                <w:sz w:val="18"/>
                <w:szCs w:val="18"/>
                <w:color w:val="auto"/>
              </w:rPr>
            </w:pPr>
          </w:p>
        </w:tc>
        <w:tc>
          <w:tcPr>
            <w:tcW w:w="260" w:type="dxa"/>
            <w:vAlign w:val="bottom"/>
            <w:shd w:val="clear" w:color="auto" w:fill="004054"/>
          </w:tcPr>
          <w:p>
            <w:pPr>
              <w:spacing w:after="0"/>
              <w:rPr>
                <w:sz w:val="18"/>
                <w:szCs w:val="18"/>
                <w:color w:val="auto"/>
              </w:rPr>
            </w:pPr>
          </w:p>
        </w:tc>
        <w:tc>
          <w:tcPr>
            <w:tcW w:w="920" w:type="dxa"/>
            <w:vAlign w:val="bottom"/>
            <w:shd w:val="clear" w:color="auto" w:fill="004054"/>
          </w:tcPr>
          <w:p>
            <w:pPr>
              <w:spacing w:after="0"/>
              <w:rPr>
                <w:sz w:val="18"/>
                <w:szCs w:val="18"/>
                <w:color w:val="auto"/>
              </w:rPr>
            </w:pPr>
          </w:p>
        </w:tc>
        <w:tc>
          <w:tcPr>
            <w:tcW w:w="720" w:type="dxa"/>
            <w:vAlign w:val="bottom"/>
            <w:shd w:val="clear" w:color="auto" w:fill="004054"/>
          </w:tcPr>
          <w:p>
            <w:pPr>
              <w:spacing w:after="0"/>
              <w:rPr>
                <w:sz w:val="18"/>
                <w:szCs w:val="18"/>
                <w:color w:val="auto"/>
              </w:rPr>
            </w:pPr>
          </w:p>
        </w:tc>
        <w:tc>
          <w:tcPr>
            <w:tcW w:w="120" w:type="dxa"/>
            <w:vAlign w:val="bottom"/>
            <w:shd w:val="clear" w:color="auto" w:fill="004054"/>
          </w:tcPr>
          <w:p>
            <w:pPr>
              <w:spacing w:after="0"/>
              <w:rPr>
                <w:sz w:val="18"/>
                <w:szCs w:val="18"/>
                <w:color w:val="auto"/>
              </w:rPr>
            </w:pPr>
          </w:p>
        </w:tc>
        <w:tc>
          <w:tcPr>
            <w:tcW w:w="1080" w:type="dxa"/>
            <w:vAlign w:val="bottom"/>
            <w:shd w:val="clear" w:color="auto" w:fill="004054"/>
          </w:tcPr>
          <w:p>
            <w:pPr>
              <w:spacing w:after="0"/>
              <w:rPr>
                <w:sz w:val="18"/>
                <w:szCs w:val="18"/>
                <w:color w:val="auto"/>
              </w:rPr>
            </w:pPr>
          </w:p>
        </w:tc>
        <w:tc>
          <w:tcPr>
            <w:tcW w:w="320" w:type="dxa"/>
            <w:vAlign w:val="bottom"/>
            <w:shd w:val="clear" w:color="auto" w:fill="004054"/>
          </w:tcPr>
          <w:p>
            <w:pPr>
              <w:spacing w:after="0"/>
              <w:rPr>
                <w:sz w:val="18"/>
                <w:szCs w:val="18"/>
                <w:color w:val="auto"/>
              </w:rPr>
            </w:pPr>
          </w:p>
        </w:tc>
        <w:tc>
          <w:tcPr>
            <w:tcW w:w="140" w:type="dxa"/>
            <w:vAlign w:val="bottom"/>
            <w:shd w:val="clear" w:color="auto" w:fill="004054"/>
          </w:tcPr>
          <w:p>
            <w:pPr>
              <w:spacing w:after="0"/>
              <w:rPr>
                <w:sz w:val="18"/>
                <w:szCs w:val="18"/>
                <w:color w:val="auto"/>
              </w:rPr>
            </w:pPr>
          </w:p>
        </w:tc>
        <w:tc>
          <w:tcPr>
            <w:tcW w:w="60" w:type="dxa"/>
            <w:vAlign w:val="bottom"/>
            <w:shd w:val="clear" w:color="auto" w:fill="004054"/>
          </w:tcPr>
          <w:p>
            <w:pPr>
              <w:spacing w:after="0"/>
              <w:rPr>
                <w:sz w:val="18"/>
                <w:szCs w:val="18"/>
                <w:color w:val="auto"/>
              </w:rPr>
            </w:pPr>
          </w:p>
        </w:tc>
        <w:tc>
          <w:tcPr>
            <w:tcW w:w="200" w:type="dxa"/>
            <w:vAlign w:val="bottom"/>
            <w:shd w:val="clear" w:color="auto" w:fill="004054"/>
          </w:tcPr>
          <w:p>
            <w:pPr>
              <w:spacing w:after="0"/>
              <w:rPr>
                <w:sz w:val="18"/>
                <w:szCs w:val="18"/>
                <w:color w:val="auto"/>
              </w:rPr>
            </w:pPr>
          </w:p>
        </w:tc>
        <w:tc>
          <w:tcPr>
            <w:tcW w:w="60" w:type="dxa"/>
            <w:vAlign w:val="bottom"/>
            <w:shd w:val="clear" w:color="auto" w:fill="004054"/>
          </w:tcPr>
          <w:p>
            <w:pPr>
              <w:spacing w:after="0"/>
              <w:rPr>
                <w:sz w:val="18"/>
                <w:szCs w:val="18"/>
                <w:color w:val="auto"/>
              </w:rPr>
            </w:pPr>
          </w:p>
        </w:tc>
        <w:tc>
          <w:tcPr>
            <w:tcW w:w="200" w:type="dxa"/>
            <w:vAlign w:val="bottom"/>
            <w:shd w:val="clear" w:color="auto" w:fill="004054"/>
          </w:tcPr>
          <w:p>
            <w:pPr>
              <w:spacing w:after="0"/>
              <w:rPr>
                <w:sz w:val="18"/>
                <w:szCs w:val="18"/>
                <w:color w:val="auto"/>
              </w:rPr>
            </w:pPr>
          </w:p>
        </w:tc>
        <w:tc>
          <w:tcPr>
            <w:tcW w:w="40" w:type="dxa"/>
            <w:vAlign w:val="bottom"/>
            <w:shd w:val="clear" w:color="auto" w:fill="004054"/>
          </w:tcPr>
          <w:p>
            <w:pPr>
              <w:spacing w:after="0"/>
              <w:rPr>
                <w:sz w:val="18"/>
                <w:szCs w:val="18"/>
                <w:color w:val="auto"/>
              </w:rPr>
            </w:pPr>
          </w:p>
        </w:tc>
        <w:tc>
          <w:tcPr>
            <w:tcW w:w="140" w:type="dxa"/>
            <w:vAlign w:val="bottom"/>
            <w:shd w:val="clear" w:color="auto" w:fill="004054"/>
          </w:tcPr>
          <w:p>
            <w:pPr>
              <w:spacing w:after="0"/>
              <w:rPr>
                <w:sz w:val="18"/>
                <w:szCs w:val="18"/>
                <w:color w:val="auto"/>
              </w:rPr>
            </w:pPr>
          </w:p>
        </w:tc>
        <w:tc>
          <w:tcPr>
            <w:tcW w:w="10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40" w:type="dxa"/>
            <w:vAlign w:val="bottom"/>
            <w:shd w:val="clear" w:color="auto" w:fill="004054"/>
          </w:tcPr>
          <w:p>
            <w:pPr>
              <w:spacing w:after="0"/>
              <w:rPr>
                <w:sz w:val="18"/>
                <w:szCs w:val="18"/>
                <w:color w:val="auto"/>
              </w:rPr>
            </w:pPr>
          </w:p>
        </w:tc>
        <w:tc>
          <w:tcPr>
            <w:tcW w:w="1070" w:type="dxa"/>
            <w:vAlign w:val="bottom"/>
            <w:shd w:val="clear" w:color="auto" w:fill="004054"/>
          </w:tcPr>
          <w:p>
            <w:pPr>
              <w:jc w:val="center"/>
              <w:ind w:right="43"/>
              <w:spacing w:after="0"/>
              <w:rPr>
                <w:sz w:val="20"/>
                <w:szCs w:val="20"/>
                <w:color w:val="auto"/>
              </w:rPr>
            </w:pPr>
            <w:r>
              <w:rPr>
                <w:rFonts w:ascii="Arial" w:cs="Arial" w:eastAsia="Arial" w:hAnsi="Arial"/>
                <w:sz w:val="14"/>
                <w:szCs w:val="14"/>
                <w:b w:val="1"/>
                <w:bCs w:val="1"/>
                <w:color w:val="FFFFFF"/>
              </w:rPr>
              <w:t>Filed</w:t>
            </w:r>
          </w:p>
        </w:tc>
        <w:tc>
          <w:tcPr>
            <w:tcW w:w="990" w:type="dxa"/>
            <w:vAlign w:val="bottom"/>
            <w:shd w:val="clear" w:color="auto" w:fill="004054"/>
          </w:tcPr>
          <w:p>
            <w:pPr>
              <w:spacing w:after="0"/>
              <w:rPr>
                <w:sz w:val="18"/>
                <w:szCs w:val="18"/>
                <w:color w:val="auto"/>
              </w:rPr>
            </w:pPr>
          </w:p>
        </w:tc>
        <w:tc>
          <w:tcPr>
            <w:tcW w:w="1220" w:type="dxa"/>
            <w:vAlign w:val="bottom"/>
            <w:shd w:val="clear" w:color="auto" w:fill="004054"/>
          </w:tcPr>
          <w:p>
            <w:pPr>
              <w:jc w:val="center"/>
              <w:ind w:left="38"/>
              <w:spacing w:after="0"/>
              <w:rPr>
                <w:sz w:val="20"/>
                <w:szCs w:val="20"/>
                <w:color w:val="auto"/>
              </w:rPr>
            </w:pPr>
            <w:r>
              <w:rPr>
                <w:rFonts w:ascii="Arial" w:cs="Arial" w:eastAsia="Arial" w:hAnsi="Arial"/>
                <w:sz w:val="14"/>
                <w:szCs w:val="14"/>
                <w:b w:val="1"/>
                <w:bCs w:val="1"/>
                <w:color w:val="FFFFFF"/>
                <w:w w:val="98"/>
              </w:rPr>
              <w:t>Exhibit</w:t>
            </w:r>
          </w:p>
        </w:tc>
        <w:tc>
          <w:tcPr>
            <w:tcW w:w="100" w:type="dxa"/>
            <w:vAlign w:val="bottom"/>
            <w:shd w:val="clear" w:color="auto" w:fill="004054"/>
          </w:tcPr>
          <w:p>
            <w:pPr>
              <w:spacing w:after="0"/>
              <w:rPr>
                <w:sz w:val="18"/>
                <w:szCs w:val="18"/>
                <w:color w:val="auto"/>
              </w:rPr>
            </w:pPr>
          </w:p>
        </w:tc>
        <w:tc>
          <w:tcPr>
            <w:tcW w:w="126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Borders>
              <w:bottom w:val="single" w:sz="8" w:color="004054"/>
            </w:tcBorders>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Number</w:t>
            </w:r>
          </w:p>
        </w:tc>
        <w:tc>
          <w:tcPr>
            <w:tcW w:w="140" w:type="dxa"/>
            <w:vAlign w:val="bottom"/>
            <w:tcBorders>
              <w:bottom w:val="single" w:sz="8" w:color="004054"/>
            </w:tcBorders>
            <w:shd w:val="clear" w:color="auto" w:fill="004054"/>
          </w:tcPr>
          <w:p>
            <w:pPr>
              <w:spacing w:after="0"/>
              <w:rPr>
                <w:sz w:val="19"/>
                <w:szCs w:val="19"/>
                <w:color w:val="auto"/>
              </w:rPr>
            </w:pPr>
          </w:p>
        </w:tc>
        <w:tc>
          <w:tcPr>
            <w:tcW w:w="700" w:type="dxa"/>
            <w:vAlign w:val="bottom"/>
            <w:tcBorders>
              <w:bottom w:val="single" w:sz="8" w:color="004054"/>
            </w:tcBorders>
            <w:shd w:val="clear" w:color="auto" w:fill="004054"/>
          </w:tcPr>
          <w:p>
            <w:pPr>
              <w:spacing w:after="0"/>
              <w:rPr>
                <w:sz w:val="19"/>
                <w:szCs w:val="19"/>
                <w:color w:val="auto"/>
              </w:rPr>
            </w:pPr>
          </w:p>
        </w:tc>
        <w:tc>
          <w:tcPr>
            <w:tcW w:w="260" w:type="dxa"/>
            <w:vAlign w:val="bottom"/>
            <w:tcBorders>
              <w:bottom w:val="single" w:sz="8" w:color="004054"/>
            </w:tcBorders>
            <w:shd w:val="clear" w:color="auto" w:fill="004054"/>
          </w:tcPr>
          <w:p>
            <w:pPr>
              <w:spacing w:after="0"/>
              <w:rPr>
                <w:sz w:val="19"/>
                <w:szCs w:val="19"/>
                <w:color w:val="auto"/>
              </w:rPr>
            </w:pPr>
          </w:p>
        </w:tc>
        <w:tc>
          <w:tcPr>
            <w:tcW w:w="4420" w:type="dxa"/>
            <w:vAlign w:val="bottom"/>
            <w:tcBorders>
              <w:bottom w:val="single" w:sz="8" w:color="004054"/>
            </w:tcBorders>
            <w:gridSpan w:val="18"/>
            <w:shd w:val="clear" w:color="auto" w:fill="004054"/>
          </w:tcPr>
          <w:p>
            <w:pPr>
              <w:ind w:left="800"/>
              <w:spacing w:after="0"/>
              <w:rPr>
                <w:sz w:val="20"/>
                <w:szCs w:val="20"/>
                <w:color w:val="auto"/>
              </w:rPr>
            </w:pPr>
            <w:r>
              <w:rPr>
                <w:rFonts w:ascii="Arial" w:cs="Arial" w:eastAsia="Arial" w:hAnsi="Arial"/>
                <w:sz w:val="14"/>
                <w:szCs w:val="14"/>
                <w:b w:val="1"/>
                <w:bCs w:val="1"/>
                <w:color w:val="FFFFFF"/>
              </w:rPr>
              <w:t>Description of Document</w:t>
            </w:r>
          </w:p>
        </w:tc>
        <w:tc>
          <w:tcPr>
            <w:tcW w:w="1070" w:type="dxa"/>
            <w:vAlign w:val="bottom"/>
            <w:tcBorders>
              <w:bottom w:val="single" w:sz="8" w:color="004054"/>
            </w:tcBorders>
            <w:shd w:val="clear" w:color="auto" w:fill="004054"/>
          </w:tcPr>
          <w:p>
            <w:pPr>
              <w:jc w:val="center"/>
              <w:ind w:right="23"/>
              <w:spacing w:after="0"/>
              <w:rPr>
                <w:sz w:val="20"/>
                <w:szCs w:val="20"/>
                <w:color w:val="auto"/>
              </w:rPr>
            </w:pPr>
            <w:r>
              <w:rPr>
                <w:rFonts w:ascii="Arial" w:cs="Arial" w:eastAsia="Arial" w:hAnsi="Arial"/>
                <w:sz w:val="14"/>
                <w:szCs w:val="14"/>
                <w:b w:val="1"/>
                <w:bCs w:val="1"/>
                <w:color w:val="FFFFFF"/>
              </w:rPr>
              <w:t>Herewith</w:t>
            </w:r>
          </w:p>
        </w:tc>
        <w:tc>
          <w:tcPr>
            <w:tcW w:w="99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Form</w:t>
            </w:r>
          </w:p>
        </w:tc>
        <w:tc>
          <w:tcPr>
            <w:tcW w:w="1220" w:type="dxa"/>
            <w:vAlign w:val="bottom"/>
            <w:tcBorders>
              <w:bottom w:val="single" w:sz="8" w:color="004054"/>
            </w:tcBorders>
            <w:shd w:val="clear" w:color="auto" w:fill="004054"/>
          </w:tcPr>
          <w:p>
            <w:pPr>
              <w:jc w:val="center"/>
              <w:ind w:left="38"/>
              <w:spacing w:after="0"/>
              <w:rPr>
                <w:sz w:val="20"/>
                <w:szCs w:val="20"/>
                <w:color w:val="auto"/>
              </w:rPr>
            </w:pPr>
            <w:r>
              <w:rPr>
                <w:rFonts w:ascii="Arial" w:cs="Arial" w:eastAsia="Arial" w:hAnsi="Arial"/>
                <w:sz w:val="14"/>
                <w:szCs w:val="14"/>
                <w:b w:val="1"/>
                <w:bCs w:val="1"/>
                <w:color w:val="FFFFFF"/>
              </w:rPr>
              <w:t>Number</w:t>
            </w:r>
          </w:p>
        </w:tc>
        <w:tc>
          <w:tcPr>
            <w:tcW w:w="100" w:type="dxa"/>
            <w:vAlign w:val="bottom"/>
            <w:tcBorders>
              <w:bottom w:val="single" w:sz="8" w:color="004054"/>
            </w:tcBorders>
            <w:shd w:val="clear" w:color="auto" w:fill="004054"/>
          </w:tcPr>
          <w:p>
            <w:pPr>
              <w:spacing w:after="0"/>
              <w:rPr>
                <w:sz w:val="19"/>
                <w:szCs w:val="19"/>
                <w:color w:val="auto"/>
              </w:rPr>
            </w:pPr>
          </w:p>
        </w:tc>
        <w:tc>
          <w:tcPr>
            <w:tcW w:w="1260" w:type="dxa"/>
            <w:vAlign w:val="bottom"/>
            <w:tcBorders>
              <w:bottom w:val="single" w:sz="8" w:color="004054"/>
            </w:tcBorders>
            <w:shd w:val="clear" w:color="auto" w:fill="004054"/>
          </w:tcPr>
          <w:p>
            <w:pPr>
              <w:ind w:left="280"/>
              <w:spacing w:after="0"/>
              <w:rPr>
                <w:sz w:val="20"/>
                <w:szCs w:val="20"/>
                <w:color w:val="auto"/>
              </w:rPr>
            </w:pPr>
            <w:r>
              <w:rPr>
                <w:rFonts w:ascii="Arial" w:cs="Arial" w:eastAsia="Arial" w:hAnsi="Arial"/>
                <w:sz w:val="14"/>
                <w:szCs w:val="14"/>
                <w:b w:val="1"/>
                <w:bCs w:val="1"/>
                <w:color w:val="FFFFFF"/>
              </w:rPr>
              <w:t>Filing Date</w:t>
            </w:r>
          </w:p>
        </w:tc>
        <w:tc>
          <w:tcPr>
            <w:tcW w:w="20" w:type="dxa"/>
            <w:vAlign w:val="bottom"/>
            <w:tcBorders>
              <w:bottom w:val="single" w:sz="8" w:color="004054"/>
            </w:tcBorders>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80" w:type="dxa"/>
            <w:vAlign w:val="bottom"/>
            <w:tcBorders>
              <w:bottom w:val="single" w:sz="8" w:color="EBFBFF"/>
            </w:tcBorders>
            <w:gridSpan w:val="3"/>
            <w:vMerge w:val="restart"/>
            <w:shd w:val="clear" w:color="auto" w:fill="EBFBFF"/>
          </w:tcPr>
          <w:p>
            <w:pPr>
              <w:jc w:val="right"/>
              <w:spacing w:after="0"/>
              <w:rPr>
                <w:rFonts w:ascii="Arial" w:cs="Arial" w:eastAsia="Arial" w:hAnsi="Arial"/>
                <w:sz w:val="18"/>
                <w:szCs w:val="18"/>
                <w:color w:val="7A04DD"/>
              </w:rPr>
            </w:pPr>
            <w:hyperlink r:id="rId228">
              <w:r>
                <w:rPr>
                  <w:rFonts w:ascii="Arial" w:cs="Arial" w:eastAsia="Arial" w:hAnsi="Arial"/>
                  <w:sz w:val="18"/>
                  <w:szCs w:val="18"/>
                  <w:color w:val="7A04DD"/>
                </w:rPr>
                <w:t>3.1</w:t>
              </w:r>
            </w:hyperlink>
          </w:p>
        </w:tc>
        <w:tc>
          <w:tcPr>
            <w:tcW w:w="140" w:type="dxa"/>
            <w:vAlign w:val="bottom"/>
            <w:tcBorders>
              <w:bottom w:val="single" w:sz="8" w:color="EBFBFF"/>
            </w:tcBorders>
            <w:shd w:val="clear" w:color="auto" w:fill="EBFBFF"/>
          </w:tcPr>
          <w:p>
            <w:pPr>
              <w:spacing w:after="0"/>
              <w:rPr>
                <w:sz w:val="17"/>
                <w:szCs w:val="17"/>
                <w:color w:val="auto"/>
              </w:rPr>
            </w:pPr>
          </w:p>
        </w:tc>
        <w:tc>
          <w:tcPr>
            <w:tcW w:w="4520" w:type="dxa"/>
            <w:vAlign w:val="bottom"/>
            <w:tcBorders>
              <w:bottom w:val="single" w:sz="8" w:color="7A04DD"/>
            </w:tcBorders>
            <w:gridSpan w:val="10"/>
            <w:shd w:val="clear" w:color="auto" w:fill="EBFBFF"/>
          </w:tcPr>
          <w:p>
            <w:pPr>
              <w:spacing w:after="0" w:line="182" w:lineRule="exact"/>
              <w:rPr>
                <w:rFonts w:ascii="Arial" w:cs="Arial" w:eastAsia="Arial" w:hAnsi="Arial"/>
                <w:sz w:val="18"/>
                <w:szCs w:val="18"/>
                <w:color w:val="7A04DD"/>
                <w:w w:val="99"/>
              </w:rPr>
            </w:pPr>
            <w:hyperlink r:id="rId228">
              <w:r>
                <w:rPr>
                  <w:rFonts w:ascii="Arial" w:cs="Arial" w:eastAsia="Arial" w:hAnsi="Arial"/>
                  <w:sz w:val="18"/>
                  <w:szCs w:val="18"/>
                  <w:color w:val="7A04DD"/>
                  <w:w w:val="99"/>
                </w:rPr>
                <w:t>Certificate of Designation of Series A Junior Participating</w:t>
              </w:r>
            </w:hyperlink>
          </w:p>
        </w:tc>
        <w:tc>
          <w:tcPr>
            <w:tcW w:w="60" w:type="dxa"/>
            <w:vAlign w:val="bottom"/>
            <w:tcBorders>
              <w:bottom w:val="single" w:sz="8" w:color="EBFBFF"/>
            </w:tcBorders>
            <w:shd w:val="clear" w:color="auto" w:fill="EBFBFF"/>
          </w:tcPr>
          <w:p>
            <w:pPr>
              <w:spacing w:after="0"/>
              <w:rPr>
                <w:sz w:val="17"/>
                <w:szCs w:val="17"/>
                <w:color w:val="auto"/>
              </w:rPr>
            </w:pPr>
          </w:p>
        </w:tc>
        <w:tc>
          <w:tcPr>
            <w:tcW w:w="200" w:type="dxa"/>
            <w:vAlign w:val="bottom"/>
            <w:tcBorders>
              <w:bottom w:val="single" w:sz="8" w:color="EBFBFF"/>
            </w:tcBorders>
            <w:shd w:val="clear" w:color="auto" w:fill="EBFBFF"/>
          </w:tcPr>
          <w:p>
            <w:pPr>
              <w:spacing w:after="0"/>
              <w:rPr>
                <w:sz w:val="17"/>
                <w:szCs w:val="17"/>
                <w:color w:val="auto"/>
              </w:rPr>
            </w:pPr>
          </w:p>
        </w:tc>
        <w:tc>
          <w:tcPr>
            <w:tcW w:w="40" w:type="dxa"/>
            <w:vAlign w:val="bottom"/>
            <w:tcBorders>
              <w:bottom w:val="single" w:sz="8" w:color="EBFBFF"/>
            </w:tcBorders>
            <w:shd w:val="clear" w:color="auto" w:fill="EBFBFF"/>
          </w:tcPr>
          <w:p>
            <w:pPr>
              <w:spacing w:after="0"/>
              <w:rPr>
                <w:sz w:val="17"/>
                <w:szCs w:val="17"/>
                <w:color w:val="auto"/>
              </w:rPr>
            </w:pPr>
          </w:p>
        </w:tc>
        <w:tc>
          <w:tcPr>
            <w:tcW w:w="140" w:type="dxa"/>
            <w:vAlign w:val="bottom"/>
            <w:tcBorders>
              <w:bottom w:val="single" w:sz="8" w:color="EBFBFF"/>
            </w:tcBorders>
            <w:shd w:val="clear" w:color="auto" w:fill="EBFBFF"/>
          </w:tcPr>
          <w:p>
            <w:pPr>
              <w:spacing w:after="0"/>
              <w:rPr>
                <w:sz w:val="17"/>
                <w:szCs w:val="17"/>
                <w:color w:val="auto"/>
              </w:rPr>
            </w:pPr>
          </w:p>
        </w:tc>
        <w:tc>
          <w:tcPr>
            <w:tcW w:w="100" w:type="dxa"/>
            <w:vAlign w:val="bottom"/>
            <w:tcBorders>
              <w:bottom w:val="single" w:sz="8" w:color="EBFBFF"/>
            </w:tcBorders>
            <w:shd w:val="clear" w:color="auto" w:fill="EBFBFF"/>
          </w:tcPr>
          <w:p>
            <w:pPr>
              <w:spacing w:after="0"/>
              <w:rPr>
                <w:sz w:val="17"/>
                <w:szCs w:val="17"/>
                <w:color w:val="auto"/>
              </w:rPr>
            </w:pPr>
          </w:p>
        </w:tc>
        <w:tc>
          <w:tcPr>
            <w:tcW w:w="20" w:type="dxa"/>
            <w:vAlign w:val="bottom"/>
            <w:tcBorders>
              <w:bottom w:val="single" w:sz="8" w:color="EBFBFF"/>
            </w:tcBorders>
            <w:shd w:val="clear" w:color="auto" w:fill="EBFBFF"/>
          </w:tcPr>
          <w:p>
            <w:pPr>
              <w:spacing w:after="0"/>
              <w:rPr>
                <w:sz w:val="17"/>
                <w:szCs w:val="17"/>
                <w:color w:val="auto"/>
              </w:rPr>
            </w:pPr>
          </w:p>
        </w:tc>
        <w:tc>
          <w:tcPr>
            <w:tcW w:w="20" w:type="dxa"/>
            <w:vAlign w:val="bottom"/>
            <w:tcBorders>
              <w:bottom w:val="single" w:sz="8" w:color="EBFBFF"/>
            </w:tcBorders>
            <w:shd w:val="clear" w:color="auto" w:fill="EBFBFF"/>
          </w:tcPr>
          <w:p>
            <w:pPr>
              <w:spacing w:after="0"/>
              <w:rPr>
                <w:sz w:val="17"/>
                <w:szCs w:val="17"/>
                <w:color w:val="auto"/>
              </w:rPr>
            </w:pPr>
          </w:p>
        </w:tc>
        <w:tc>
          <w:tcPr>
            <w:tcW w:w="20" w:type="dxa"/>
            <w:vAlign w:val="bottom"/>
            <w:tcBorders>
              <w:bottom w:val="single" w:sz="8" w:color="EBFBFF"/>
            </w:tcBorders>
            <w:shd w:val="clear" w:color="auto" w:fill="EBFBFF"/>
          </w:tcPr>
          <w:p>
            <w:pPr>
              <w:spacing w:after="0"/>
              <w:rPr>
                <w:sz w:val="17"/>
                <w:szCs w:val="17"/>
                <w:color w:val="auto"/>
              </w:rPr>
            </w:pPr>
          </w:p>
        </w:tc>
        <w:tc>
          <w:tcPr>
            <w:tcW w:w="20" w:type="dxa"/>
            <w:vAlign w:val="bottom"/>
            <w:tcBorders>
              <w:bottom w:val="single" w:sz="8" w:color="EBFBFF"/>
            </w:tcBorders>
            <w:shd w:val="clear" w:color="auto" w:fill="EBFBFF"/>
          </w:tcPr>
          <w:p>
            <w:pPr>
              <w:spacing w:after="0"/>
              <w:rPr>
                <w:sz w:val="17"/>
                <w:szCs w:val="17"/>
                <w:color w:val="auto"/>
              </w:rPr>
            </w:pPr>
          </w:p>
        </w:tc>
        <w:tc>
          <w:tcPr>
            <w:tcW w:w="240" w:type="dxa"/>
            <w:vAlign w:val="bottom"/>
            <w:tcBorders>
              <w:bottom w:val="single" w:sz="8" w:color="EBFBFF"/>
            </w:tcBorders>
            <w:shd w:val="clear" w:color="auto" w:fill="EBFBFF"/>
          </w:tcPr>
          <w:p>
            <w:pPr>
              <w:spacing w:after="0"/>
              <w:rPr>
                <w:sz w:val="17"/>
                <w:szCs w:val="17"/>
                <w:color w:val="auto"/>
              </w:rPr>
            </w:pPr>
          </w:p>
        </w:tc>
        <w:tc>
          <w:tcPr>
            <w:tcW w:w="1070" w:type="dxa"/>
            <w:vAlign w:val="bottom"/>
            <w:tcBorders>
              <w:bottom w:val="single" w:sz="8" w:color="EBFBFF"/>
            </w:tcBorders>
            <w:shd w:val="clear" w:color="auto" w:fill="EBFBFF"/>
          </w:tcPr>
          <w:p>
            <w:pPr>
              <w:spacing w:after="0"/>
              <w:rPr>
                <w:sz w:val="17"/>
                <w:szCs w:val="17"/>
                <w:color w:val="auto"/>
              </w:rPr>
            </w:pPr>
          </w:p>
        </w:tc>
        <w:tc>
          <w:tcPr>
            <w:tcW w:w="990" w:type="dxa"/>
            <w:vAlign w:val="bottom"/>
            <w:tcBorders>
              <w:bottom w:val="single" w:sz="8" w:color="EBFBFF"/>
            </w:tcBorders>
            <w:vMerge w:val="restart"/>
            <w:shd w:val="clear" w:color="auto" w:fill="EBFBFF"/>
          </w:tcPr>
          <w:p>
            <w:pPr>
              <w:jc w:val="center"/>
              <w:spacing w:after="0"/>
              <w:rPr>
                <w:sz w:val="20"/>
                <w:szCs w:val="20"/>
                <w:color w:val="auto"/>
              </w:rPr>
            </w:pPr>
            <w:r>
              <w:rPr>
                <w:rFonts w:ascii="Arial" w:cs="Arial" w:eastAsia="Arial" w:hAnsi="Arial"/>
                <w:sz w:val="18"/>
                <w:szCs w:val="18"/>
                <w:color w:val="51555C"/>
                <w:w w:val="99"/>
              </w:rPr>
              <w:t>8-K</w:t>
            </w:r>
          </w:p>
        </w:tc>
        <w:tc>
          <w:tcPr>
            <w:tcW w:w="1220" w:type="dxa"/>
            <w:vAlign w:val="bottom"/>
            <w:tcBorders>
              <w:bottom w:val="single" w:sz="8" w:color="EBFBFF"/>
            </w:tcBorders>
            <w:vMerge w:val="restart"/>
            <w:shd w:val="clear" w:color="auto" w:fill="EBFBFF"/>
          </w:tcPr>
          <w:p>
            <w:pPr>
              <w:jc w:val="center"/>
              <w:ind w:left="18"/>
              <w:spacing w:after="0"/>
              <w:rPr>
                <w:sz w:val="20"/>
                <w:szCs w:val="20"/>
                <w:color w:val="auto"/>
              </w:rPr>
            </w:pPr>
            <w:r>
              <w:rPr>
                <w:rFonts w:ascii="Arial" w:cs="Arial" w:eastAsia="Arial" w:hAnsi="Arial"/>
                <w:sz w:val="18"/>
                <w:szCs w:val="18"/>
                <w:color w:val="51555C"/>
                <w:w w:val="95"/>
              </w:rPr>
              <w:t>3.1</w:t>
            </w:r>
          </w:p>
        </w:tc>
        <w:tc>
          <w:tcPr>
            <w:tcW w:w="100" w:type="dxa"/>
            <w:vAlign w:val="bottom"/>
            <w:tcBorders>
              <w:bottom w:val="single" w:sz="8" w:color="EBFBFF"/>
            </w:tcBorders>
            <w:shd w:val="clear" w:color="auto" w:fill="EBFBFF"/>
          </w:tcPr>
          <w:p>
            <w:pPr>
              <w:spacing w:after="0"/>
              <w:rPr>
                <w:sz w:val="17"/>
                <w:szCs w:val="17"/>
                <w:color w:val="auto"/>
              </w:rPr>
            </w:pPr>
          </w:p>
        </w:tc>
        <w:tc>
          <w:tcPr>
            <w:tcW w:w="1260" w:type="dxa"/>
            <w:vAlign w:val="bottom"/>
            <w:tcBorders>
              <w:bottom w:val="single" w:sz="8" w:color="EBFBFF"/>
            </w:tcBorders>
            <w:vMerge w:val="restart"/>
            <w:shd w:val="clear" w:color="auto" w:fill="EBFBFF"/>
          </w:tcPr>
          <w:p>
            <w:pPr>
              <w:jc w:val="center"/>
              <w:spacing w:after="0"/>
              <w:rPr>
                <w:sz w:val="20"/>
                <w:szCs w:val="20"/>
                <w:color w:val="auto"/>
              </w:rPr>
            </w:pPr>
            <w:r>
              <w:rPr>
                <w:rFonts w:ascii="Arial" w:cs="Arial" w:eastAsia="Arial" w:hAnsi="Arial"/>
                <w:sz w:val="18"/>
                <w:szCs w:val="18"/>
                <w:color w:val="51555C"/>
                <w:w w:val="99"/>
              </w:rPr>
              <w:t>10/11/2022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080" w:type="dxa"/>
            <w:vAlign w:val="bottom"/>
            <w:gridSpan w:val="3"/>
            <w:vMerge w:val="continue"/>
            <w:shd w:val="clear" w:color="auto" w:fill="EBFBFF"/>
          </w:tcPr>
          <w:p>
            <w:pPr>
              <w:spacing w:after="0"/>
              <w:rPr>
                <w:sz w:val="2"/>
                <w:szCs w:val="2"/>
                <w:color w:val="auto"/>
              </w:rPr>
            </w:pPr>
          </w:p>
        </w:tc>
        <w:tc>
          <w:tcPr>
            <w:tcW w:w="140" w:type="dxa"/>
            <w:vAlign w:val="bottom"/>
            <w:shd w:val="clear" w:color="auto" w:fill="EBFBFF"/>
          </w:tcPr>
          <w:p>
            <w:pPr>
              <w:spacing w:after="0"/>
              <w:rPr>
                <w:sz w:val="2"/>
                <w:szCs w:val="2"/>
                <w:color w:val="auto"/>
              </w:rPr>
            </w:pPr>
          </w:p>
        </w:tc>
        <w:tc>
          <w:tcPr>
            <w:tcW w:w="5380" w:type="dxa"/>
            <w:vAlign w:val="bottom"/>
            <w:gridSpan w:val="20"/>
            <w:vMerge w:val="restart"/>
            <w:shd w:val="clear" w:color="auto" w:fill="EBFBFF"/>
          </w:tcPr>
          <w:p>
            <w:pPr>
              <w:spacing w:after="0" w:line="196" w:lineRule="exact"/>
              <w:rPr>
                <w:rFonts w:ascii="Arial" w:cs="Arial" w:eastAsia="Arial" w:hAnsi="Arial"/>
                <w:sz w:val="18"/>
                <w:szCs w:val="18"/>
                <w:color w:val="7A04DD"/>
              </w:rPr>
            </w:pPr>
            <w:hyperlink r:id="rId228">
              <w:r>
                <w:rPr>
                  <w:rFonts w:ascii="Arial" w:cs="Arial" w:eastAsia="Arial" w:hAnsi="Arial"/>
                  <w:sz w:val="18"/>
                  <w:szCs w:val="18"/>
                  <w:color w:val="7A04DD"/>
                </w:rPr>
                <w:t>Preferred Stock of Blackbaud, Inc.</w:t>
              </w:r>
            </w:hyperlink>
          </w:p>
        </w:tc>
        <w:tc>
          <w:tcPr>
            <w:tcW w:w="1070" w:type="dxa"/>
            <w:vAlign w:val="bottom"/>
            <w:shd w:val="clear" w:color="auto" w:fill="EBFBFF"/>
          </w:tcPr>
          <w:p>
            <w:pPr>
              <w:spacing w:after="0"/>
              <w:rPr>
                <w:sz w:val="2"/>
                <w:szCs w:val="2"/>
                <w:color w:val="auto"/>
              </w:rPr>
            </w:pPr>
          </w:p>
        </w:tc>
        <w:tc>
          <w:tcPr>
            <w:tcW w:w="990" w:type="dxa"/>
            <w:vAlign w:val="bottom"/>
            <w:vMerge w:val="continue"/>
            <w:shd w:val="clear" w:color="auto" w:fill="EBFBFF"/>
          </w:tcPr>
          <w:p>
            <w:pPr>
              <w:spacing w:after="0"/>
              <w:rPr>
                <w:sz w:val="2"/>
                <w:szCs w:val="2"/>
                <w:color w:val="auto"/>
              </w:rPr>
            </w:pPr>
          </w:p>
        </w:tc>
        <w:tc>
          <w:tcPr>
            <w:tcW w:w="1220" w:type="dxa"/>
            <w:vAlign w:val="bottom"/>
            <w:vMerge w:val="continue"/>
            <w:shd w:val="clear" w:color="auto" w:fill="EBFBFF"/>
          </w:tcPr>
          <w:p>
            <w:pPr>
              <w:spacing w:after="0"/>
              <w:rPr>
                <w:sz w:val="2"/>
                <w:szCs w:val="2"/>
                <w:color w:val="auto"/>
              </w:rPr>
            </w:pPr>
          </w:p>
        </w:tc>
        <w:tc>
          <w:tcPr>
            <w:tcW w:w="100" w:type="dxa"/>
            <w:vAlign w:val="bottom"/>
            <w:shd w:val="clear" w:color="auto" w:fill="EBFBFF"/>
          </w:tcPr>
          <w:p>
            <w:pPr>
              <w:spacing w:after="0"/>
              <w:rPr>
                <w:sz w:val="2"/>
                <w:szCs w:val="2"/>
                <w:color w:val="auto"/>
              </w:rPr>
            </w:pPr>
          </w:p>
        </w:tc>
        <w:tc>
          <w:tcPr>
            <w:tcW w:w="1260" w:type="dxa"/>
            <w:vAlign w:val="bottom"/>
            <w:vMerge w:val="continue"/>
            <w:shd w:val="clear" w:color="auto" w:fill="EBFB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20" w:type="dxa"/>
            <w:vAlign w:val="bottom"/>
            <w:tcBorders>
              <w:top w:val="single" w:sz="8" w:color="EBFBFF"/>
            </w:tcBorders>
            <w:shd w:val="clear" w:color="auto" w:fill="EBFBFF"/>
          </w:tcPr>
          <w:p>
            <w:pPr>
              <w:spacing w:after="0"/>
              <w:rPr>
                <w:sz w:val="12"/>
                <w:szCs w:val="12"/>
                <w:color w:val="auto"/>
              </w:rPr>
            </w:pPr>
          </w:p>
        </w:tc>
        <w:tc>
          <w:tcPr>
            <w:tcW w:w="100" w:type="dxa"/>
            <w:vAlign w:val="bottom"/>
            <w:tcBorders>
              <w:top w:val="single" w:sz="8" w:color="EBFBFF"/>
            </w:tcBorders>
            <w:shd w:val="clear" w:color="auto" w:fill="EBFBFF"/>
          </w:tcPr>
          <w:p>
            <w:pPr>
              <w:spacing w:after="0"/>
              <w:rPr>
                <w:sz w:val="12"/>
                <w:szCs w:val="12"/>
                <w:color w:val="auto"/>
              </w:rPr>
            </w:pPr>
          </w:p>
        </w:tc>
        <w:tc>
          <w:tcPr>
            <w:tcW w:w="260" w:type="dxa"/>
            <w:vAlign w:val="bottom"/>
            <w:tcBorders>
              <w:top w:val="single" w:sz="8" w:color="7A04DD"/>
            </w:tcBorders>
            <w:shd w:val="clear" w:color="auto" w:fill="EBFBFF"/>
          </w:tcPr>
          <w:p>
            <w:pPr>
              <w:spacing w:after="0"/>
              <w:rPr>
                <w:sz w:val="12"/>
                <w:szCs w:val="12"/>
                <w:color w:val="auto"/>
              </w:rPr>
            </w:pPr>
          </w:p>
        </w:tc>
        <w:tc>
          <w:tcPr>
            <w:tcW w:w="140" w:type="dxa"/>
            <w:vAlign w:val="bottom"/>
            <w:tcBorders>
              <w:top w:val="single" w:sz="8" w:color="EBFBFF"/>
            </w:tcBorders>
            <w:shd w:val="clear" w:color="auto" w:fill="EBFBFF"/>
          </w:tcPr>
          <w:p>
            <w:pPr>
              <w:spacing w:after="0"/>
              <w:rPr>
                <w:sz w:val="12"/>
                <w:szCs w:val="12"/>
                <w:color w:val="auto"/>
              </w:rPr>
            </w:pPr>
          </w:p>
        </w:tc>
        <w:tc>
          <w:tcPr>
            <w:tcW w:w="5380" w:type="dxa"/>
            <w:vAlign w:val="bottom"/>
            <w:tcBorders>
              <w:top w:val="single" w:sz="8" w:color="EBFBFF"/>
            </w:tcBorders>
            <w:gridSpan w:val="20"/>
            <w:vMerge w:val="continue"/>
            <w:shd w:val="clear" w:color="auto" w:fill="EBFBFF"/>
          </w:tcPr>
          <w:p>
            <w:pPr>
              <w:spacing w:after="0"/>
              <w:rPr>
                <w:sz w:val="12"/>
                <w:szCs w:val="12"/>
                <w:color w:val="auto"/>
              </w:rPr>
            </w:pPr>
          </w:p>
        </w:tc>
        <w:tc>
          <w:tcPr>
            <w:tcW w:w="1070" w:type="dxa"/>
            <w:vAlign w:val="bottom"/>
            <w:tcBorders>
              <w:top w:val="single" w:sz="8" w:color="EBFBFF"/>
            </w:tcBorders>
            <w:shd w:val="clear" w:color="auto" w:fill="EBFBFF"/>
          </w:tcPr>
          <w:p>
            <w:pPr>
              <w:spacing w:after="0"/>
              <w:rPr>
                <w:sz w:val="12"/>
                <w:szCs w:val="12"/>
                <w:color w:val="auto"/>
              </w:rPr>
            </w:pPr>
          </w:p>
        </w:tc>
        <w:tc>
          <w:tcPr>
            <w:tcW w:w="990" w:type="dxa"/>
            <w:vAlign w:val="bottom"/>
            <w:tcBorders>
              <w:top w:val="single" w:sz="8" w:color="EBFBFF"/>
            </w:tcBorders>
            <w:shd w:val="clear" w:color="auto" w:fill="EBFBFF"/>
          </w:tcPr>
          <w:p>
            <w:pPr>
              <w:spacing w:after="0"/>
              <w:rPr>
                <w:sz w:val="12"/>
                <w:szCs w:val="12"/>
                <w:color w:val="auto"/>
              </w:rPr>
            </w:pPr>
          </w:p>
        </w:tc>
        <w:tc>
          <w:tcPr>
            <w:tcW w:w="1220" w:type="dxa"/>
            <w:vAlign w:val="bottom"/>
            <w:tcBorders>
              <w:top w:val="single" w:sz="8" w:color="EBFBFF"/>
            </w:tcBorders>
            <w:shd w:val="clear" w:color="auto" w:fill="EBFBFF"/>
          </w:tcPr>
          <w:p>
            <w:pPr>
              <w:spacing w:after="0"/>
              <w:rPr>
                <w:sz w:val="12"/>
                <w:szCs w:val="12"/>
                <w:color w:val="auto"/>
              </w:rPr>
            </w:pPr>
          </w:p>
        </w:tc>
        <w:tc>
          <w:tcPr>
            <w:tcW w:w="100" w:type="dxa"/>
            <w:vAlign w:val="bottom"/>
            <w:tcBorders>
              <w:top w:val="single" w:sz="8" w:color="EBFBFF"/>
            </w:tcBorders>
            <w:shd w:val="clear" w:color="auto" w:fill="EBFBFF"/>
          </w:tcPr>
          <w:p>
            <w:pPr>
              <w:spacing w:after="0"/>
              <w:rPr>
                <w:sz w:val="12"/>
                <w:szCs w:val="12"/>
                <w:color w:val="auto"/>
              </w:rPr>
            </w:pPr>
          </w:p>
        </w:tc>
        <w:tc>
          <w:tcPr>
            <w:tcW w:w="1260" w:type="dxa"/>
            <w:vAlign w:val="bottom"/>
            <w:tcBorders>
              <w:top w:val="single" w:sz="8" w:color="EBFBFF"/>
            </w:tcBorders>
            <w:shd w:val="clear" w:color="auto" w:fill="EBFB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2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260" w:type="dxa"/>
            <w:vAlign w:val="bottom"/>
            <w:tcBorders>
              <w:top w:val="single" w:sz="8" w:color="EBFBFF"/>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700" w:type="dxa"/>
            <w:vAlign w:val="bottom"/>
            <w:tcBorders>
              <w:top w:val="single" w:sz="8" w:color="7A04DD"/>
            </w:tcBorders>
            <w:shd w:val="clear" w:color="auto" w:fill="EBFBFF"/>
          </w:tcPr>
          <w:p>
            <w:pPr>
              <w:spacing w:after="0"/>
              <w:rPr>
                <w:sz w:val="4"/>
                <w:szCs w:val="4"/>
                <w:color w:val="auto"/>
              </w:rPr>
            </w:pPr>
          </w:p>
        </w:tc>
        <w:tc>
          <w:tcPr>
            <w:tcW w:w="260" w:type="dxa"/>
            <w:vAlign w:val="bottom"/>
            <w:tcBorders>
              <w:top w:val="single" w:sz="8" w:color="7A04DD"/>
            </w:tcBorders>
            <w:shd w:val="clear" w:color="auto" w:fill="EBFBFF"/>
          </w:tcPr>
          <w:p>
            <w:pPr>
              <w:spacing w:after="0"/>
              <w:rPr>
                <w:sz w:val="4"/>
                <w:szCs w:val="4"/>
                <w:color w:val="auto"/>
              </w:rPr>
            </w:pPr>
          </w:p>
        </w:tc>
        <w:tc>
          <w:tcPr>
            <w:tcW w:w="920" w:type="dxa"/>
            <w:vAlign w:val="bottom"/>
            <w:tcBorders>
              <w:top w:val="single" w:sz="8" w:color="7A04DD"/>
            </w:tcBorders>
            <w:shd w:val="clear" w:color="auto" w:fill="EBFBFF"/>
          </w:tcPr>
          <w:p>
            <w:pPr>
              <w:spacing w:after="0"/>
              <w:rPr>
                <w:sz w:val="4"/>
                <w:szCs w:val="4"/>
                <w:color w:val="auto"/>
              </w:rPr>
            </w:pPr>
          </w:p>
        </w:tc>
        <w:tc>
          <w:tcPr>
            <w:tcW w:w="720" w:type="dxa"/>
            <w:vAlign w:val="bottom"/>
            <w:tcBorders>
              <w:top w:val="single" w:sz="8" w:color="7A04DD"/>
            </w:tcBorders>
            <w:shd w:val="clear" w:color="auto" w:fill="EBFBFF"/>
          </w:tcPr>
          <w:p>
            <w:pPr>
              <w:spacing w:after="0"/>
              <w:rPr>
                <w:sz w:val="4"/>
                <w:szCs w:val="4"/>
                <w:color w:val="auto"/>
              </w:rPr>
            </w:pPr>
          </w:p>
        </w:tc>
        <w:tc>
          <w:tcPr>
            <w:tcW w:w="120" w:type="dxa"/>
            <w:vAlign w:val="bottom"/>
            <w:tcBorders>
              <w:top w:val="single" w:sz="8" w:color="7A04DD"/>
            </w:tcBorders>
            <w:shd w:val="clear" w:color="auto" w:fill="EBFBFF"/>
          </w:tcPr>
          <w:p>
            <w:pPr>
              <w:spacing w:after="0"/>
              <w:rPr>
                <w:sz w:val="4"/>
                <w:szCs w:val="4"/>
                <w:color w:val="auto"/>
              </w:rPr>
            </w:pPr>
          </w:p>
        </w:tc>
        <w:tc>
          <w:tcPr>
            <w:tcW w:w="1080" w:type="dxa"/>
            <w:vAlign w:val="bottom"/>
            <w:tcBorders>
              <w:top w:val="single" w:sz="8" w:color="EBFBFF"/>
            </w:tcBorders>
            <w:shd w:val="clear" w:color="auto" w:fill="EBFBFF"/>
          </w:tcPr>
          <w:p>
            <w:pPr>
              <w:spacing w:after="0"/>
              <w:rPr>
                <w:sz w:val="4"/>
                <w:szCs w:val="4"/>
                <w:color w:val="auto"/>
              </w:rPr>
            </w:pPr>
          </w:p>
        </w:tc>
        <w:tc>
          <w:tcPr>
            <w:tcW w:w="320" w:type="dxa"/>
            <w:vAlign w:val="bottom"/>
            <w:tcBorders>
              <w:top w:val="single" w:sz="8" w:color="EBFBFF"/>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tcBorders>
            <w:shd w:val="clear" w:color="auto" w:fill="EBFBFF"/>
          </w:tcPr>
          <w:p>
            <w:pPr>
              <w:spacing w:after="0"/>
              <w:rPr>
                <w:sz w:val="4"/>
                <w:szCs w:val="4"/>
                <w:color w:val="auto"/>
              </w:rPr>
            </w:pPr>
          </w:p>
        </w:tc>
        <w:tc>
          <w:tcPr>
            <w:tcW w:w="20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tcBorders>
            <w:shd w:val="clear" w:color="auto" w:fill="EBFBFF"/>
          </w:tcPr>
          <w:p>
            <w:pPr>
              <w:spacing w:after="0"/>
              <w:rPr>
                <w:sz w:val="4"/>
                <w:szCs w:val="4"/>
                <w:color w:val="auto"/>
              </w:rPr>
            </w:pPr>
          </w:p>
        </w:tc>
        <w:tc>
          <w:tcPr>
            <w:tcW w:w="20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40" w:type="dxa"/>
            <w:vAlign w:val="bottom"/>
            <w:tcBorders>
              <w:top w:val="single" w:sz="8" w:color="EBFBFF"/>
            </w:tcBorders>
            <w:shd w:val="clear" w:color="auto" w:fill="EBFBFF"/>
          </w:tcPr>
          <w:p>
            <w:pPr>
              <w:spacing w:after="0"/>
              <w:rPr>
                <w:sz w:val="4"/>
                <w:szCs w:val="4"/>
                <w:color w:val="auto"/>
              </w:rPr>
            </w:pPr>
          </w:p>
        </w:tc>
        <w:tc>
          <w:tcPr>
            <w:tcW w:w="1070" w:type="dxa"/>
            <w:vAlign w:val="bottom"/>
            <w:tcBorders>
              <w:top w:val="single" w:sz="8" w:color="EBFBFF"/>
            </w:tcBorders>
            <w:shd w:val="clear" w:color="auto" w:fill="EBFBFF"/>
          </w:tcPr>
          <w:p>
            <w:pPr>
              <w:spacing w:after="0"/>
              <w:rPr>
                <w:sz w:val="4"/>
                <w:szCs w:val="4"/>
                <w:color w:val="auto"/>
              </w:rPr>
            </w:pPr>
          </w:p>
        </w:tc>
        <w:tc>
          <w:tcPr>
            <w:tcW w:w="990" w:type="dxa"/>
            <w:vAlign w:val="bottom"/>
            <w:tcBorders>
              <w:top w:val="single" w:sz="8" w:color="EBFBFF"/>
            </w:tcBorders>
            <w:shd w:val="clear" w:color="auto" w:fill="EBFBFF"/>
          </w:tcPr>
          <w:p>
            <w:pPr>
              <w:spacing w:after="0"/>
              <w:rPr>
                <w:sz w:val="4"/>
                <w:szCs w:val="4"/>
                <w:color w:val="auto"/>
              </w:rPr>
            </w:pPr>
          </w:p>
        </w:tc>
        <w:tc>
          <w:tcPr>
            <w:tcW w:w="122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1260" w:type="dxa"/>
            <w:vAlign w:val="bottom"/>
            <w:tcBorders>
              <w:top w:val="single" w:sz="8" w:color="EBFBFF"/>
            </w:tcBorders>
            <w:shd w:val="clear" w:color="auto" w:fill="EBFB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080" w:type="dxa"/>
            <w:vAlign w:val="bottom"/>
            <w:gridSpan w:val="3"/>
            <w:vMerge w:val="restart"/>
          </w:tcPr>
          <w:p>
            <w:pPr>
              <w:jc w:val="right"/>
              <w:spacing w:after="0"/>
              <w:rPr>
                <w:rFonts w:ascii="Arial" w:cs="Arial" w:eastAsia="Arial" w:hAnsi="Arial"/>
                <w:sz w:val="18"/>
                <w:szCs w:val="18"/>
                <w:color w:val="7A04DD"/>
              </w:rPr>
            </w:pPr>
            <w:hyperlink r:id="rId229">
              <w:r>
                <w:rPr>
                  <w:rFonts w:ascii="Arial" w:cs="Arial" w:eastAsia="Arial" w:hAnsi="Arial"/>
                  <w:sz w:val="18"/>
                  <w:szCs w:val="18"/>
                  <w:color w:val="7A04DD"/>
                </w:rPr>
                <w:t>3.</w:t>
              </w:r>
              <w:r>
                <w:rPr>
                  <w:rFonts w:ascii="Arial" w:cs="Arial" w:eastAsia="Arial" w:hAnsi="Arial"/>
                  <w:sz w:val="18"/>
                  <w:szCs w:val="18"/>
                  <w:u w:val="single" w:color="auto"/>
                  <w:color w:val="7A04DD"/>
                </w:rPr>
                <w:t>2</w:t>
              </w:r>
            </w:hyperlink>
          </w:p>
        </w:tc>
        <w:tc>
          <w:tcPr>
            <w:tcW w:w="140" w:type="dxa"/>
            <w:vAlign w:val="bottom"/>
          </w:tcPr>
          <w:p>
            <w:pPr>
              <w:spacing w:after="0"/>
              <w:rPr>
                <w:sz w:val="17"/>
                <w:szCs w:val="17"/>
                <w:color w:val="auto"/>
              </w:rPr>
            </w:pPr>
          </w:p>
        </w:tc>
        <w:tc>
          <w:tcPr>
            <w:tcW w:w="5100" w:type="dxa"/>
            <w:vAlign w:val="bottom"/>
            <w:tcBorders>
              <w:bottom w:val="single" w:sz="8" w:color="7A04DD"/>
            </w:tcBorders>
            <w:gridSpan w:val="17"/>
          </w:tcPr>
          <w:p>
            <w:pPr>
              <w:spacing w:after="0" w:line="182" w:lineRule="exact"/>
              <w:rPr>
                <w:rFonts w:ascii="Arial" w:cs="Arial" w:eastAsia="Arial" w:hAnsi="Arial"/>
                <w:sz w:val="18"/>
                <w:szCs w:val="18"/>
                <w:color w:val="7A04DD"/>
                <w:w w:val="99"/>
              </w:rPr>
            </w:pPr>
            <w:hyperlink r:id="rId229">
              <w:r>
                <w:rPr>
                  <w:rFonts w:ascii="Arial" w:cs="Arial" w:eastAsia="Arial" w:hAnsi="Arial"/>
                  <w:sz w:val="18"/>
                  <w:szCs w:val="18"/>
                  <w:color w:val="7A04DD"/>
                  <w:w w:val="99"/>
                </w:rPr>
                <w:t>Amended and Restated Bylaws of Blackbaud, Inc. dated August</w:t>
              </w:r>
            </w:hyperlink>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40" w:type="dxa"/>
            <w:vAlign w:val="bottom"/>
            <w:vMerge w:val="restart"/>
          </w:tcPr>
          <w:p>
            <w:pPr>
              <w:spacing w:after="0"/>
              <w:rPr>
                <w:sz w:val="17"/>
                <w:szCs w:val="17"/>
                <w:color w:val="auto"/>
              </w:rPr>
            </w:pPr>
          </w:p>
        </w:tc>
        <w:tc>
          <w:tcPr>
            <w:tcW w:w="1070" w:type="dxa"/>
            <w:vAlign w:val="bottom"/>
          </w:tcPr>
          <w:p>
            <w:pPr>
              <w:spacing w:after="0"/>
              <w:rPr>
                <w:sz w:val="17"/>
                <w:szCs w:val="17"/>
                <w:color w:val="auto"/>
              </w:rPr>
            </w:pPr>
          </w:p>
        </w:tc>
        <w:tc>
          <w:tcPr>
            <w:tcW w:w="990" w:type="dxa"/>
            <w:vAlign w:val="bottom"/>
            <w:vMerge w:val="restart"/>
          </w:tcPr>
          <w:p>
            <w:pPr>
              <w:jc w:val="center"/>
              <w:spacing w:after="0"/>
              <w:rPr>
                <w:sz w:val="20"/>
                <w:szCs w:val="20"/>
                <w:color w:val="auto"/>
              </w:rPr>
            </w:pPr>
            <w:r>
              <w:rPr>
                <w:rFonts w:ascii="Arial" w:cs="Arial" w:eastAsia="Arial" w:hAnsi="Arial"/>
                <w:sz w:val="18"/>
                <w:szCs w:val="18"/>
                <w:color w:val="51555C"/>
                <w:w w:val="99"/>
              </w:rPr>
              <w:t>8-K</w:t>
            </w:r>
          </w:p>
        </w:tc>
        <w:tc>
          <w:tcPr>
            <w:tcW w:w="1220" w:type="dxa"/>
            <w:vAlign w:val="bottom"/>
            <w:vMerge w:val="restart"/>
          </w:tcPr>
          <w:p>
            <w:pPr>
              <w:jc w:val="center"/>
              <w:ind w:left="18"/>
              <w:spacing w:after="0"/>
              <w:rPr>
                <w:sz w:val="20"/>
                <w:szCs w:val="20"/>
                <w:color w:val="auto"/>
              </w:rPr>
            </w:pPr>
            <w:r>
              <w:rPr>
                <w:rFonts w:ascii="Arial" w:cs="Arial" w:eastAsia="Arial" w:hAnsi="Arial"/>
                <w:sz w:val="18"/>
                <w:szCs w:val="18"/>
                <w:color w:val="51555C"/>
                <w:w w:val="95"/>
              </w:rPr>
              <w:t>3.1</w:t>
            </w:r>
          </w:p>
        </w:tc>
        <w:tc>
          <w:tcPr>
            <w:tcW w:w="100" w:type="dxa"/>
            <w:vAlign w:val="bottom"/>
          </w:tcPr>
          <w:p>
            <w:pPr>
              <w:spacing w:after="0"/>
              <w:rPr>
                <w:sz w:val="17"/>
                <w:szCs w:val="17"/>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51555C"/>
                <w:w w:val="99"/>
              </w:rPr>
              <w:t>8/25/2022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080" w:type="dxa"/>
            <w:vAlign w:val="bottom"/>
            <w:gridSpan w:val="3"/>
            <w:vMerge w:val="continue"/>
          </w:tcPr>
          <w:p>
            <w:pPr>
              <w:spacing w:after="0"/>
              <w:rPr>
                <w:sz w:val="2"/>
                <w:szCs w:val="2"/>
                <w:color w:val="auto"/>
              </w:rPr>
            </w:pPr>
          </w:p>
        </w:tc>
        <w:tc>
          <w:tcPr>
            <w:tcW w:w="1100" w:type="dxa"/>
            <w:vAlign w:val="bottom"/>
            <w:gridSpan w:val="3"/>
            <w:vMerge w:val="restart"/>
          </w:tcPr>
          <w:p>
            <w:pPr>
              <w:ind w:left="140"/>
              <w:spacing w:after="0" w:line="196" w:lineRule="exact"/>
              <w:rPr>
                <w:rFonts w:ascii="Arial" w:cs="Arial" w:eastAsia="Arial" w:hAnsi="Arial"/>
                <w:sz w:val="18"/>
                <w:szCs w:val="18"/>
                <w:color w:val="7A04DD"/>
              </w:rPr>
            </w:pPr>
            <w:hyperlink r:id="rId229">
              <w:r>
                <w:rPr>
                  <w:rFonts w:ascii="Arial" w:cs="Arial" w:eastAsia="Arial" w:hAnsi="Arial"/>
                  <w:sz w:val="18"/>
                  <w:szCs w:val="18"/>
                  <w:color w:val="7A04DD"/>
                </w:rPr>
                <w:t>24, 2022.</w:t>
              </w:r>
            </w:hyperlink>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1070" w:type="dxa"/>
            <w:vAlign w:val="bottom"/>
          </w:tcPr>
          <w:p>
            <w:pPr>
              <w:spacing w:after="0"/>
              <w:rPr>
                <w:sz w:val="2"/>
                <w:szCs w:val="2"/>
                <w:color w:val="auto"/>
              </w:rPr>
            </w:pPr>
          </w:p>
        </w:tc>
        <w:tc>
          <w:tcPr>
            <w:tcW w:w="99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7A04DD"/>
            </w:tcBorders>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70" w:type="dxa"/>
            <w:vAlign w:val="bottom"/>
          </w:tcPr>
          <w:p>
            <w:pPr>
              <w:spacing w:after="0"/>
              <w:rPr>
                <w:sz w:val="12"/>
                <w:szCs w:val="12"/>
                <w:color w:val="auto"/>
              </w:rPr>
            </w:pPr>
          </w:p>
        </w:tc>
        <w:tc>
          <w:tcPr>
            <w:tcW w:w="99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top w:val="single" w:sz="8" w:color="7A04DD"/>
            </w:tcBorders>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70" w:type="dxa"/>
            <w:vAlign w:val="bottom"/>
          </w:tcPr>
          <w:p>
            <w:pPr>
              <w:spacing w:after="0"/>
              <w:rPr>
                <w:sz w:val="4"/>
                <w:szCs w:val="4"/>
                <w:color w:val="auto"/>
              </w:rPr>
            </w:pPr>
          </w:p>
        </w:tc>
        <w:tc>
          <w:tcPr>
            <w:tcW w:w="99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820" w:type="dxa"/>
            <w:vAlign w:val="bottom"/>
            <w:tcBorders>
              <w:bottom w:val="single" w:sz="8" w:color="EBFBFF"/>
            </w:tcBorders>
            <w:gridSpan w:val="2"/>
            <w:shd w:val="clear" w:color="auto" w:fill="EBFBFF"/>
          </w:tcPr>
          <w:p>
            <w:pPr>
              <w:spacing w:after="0"/>
              <w:rPr>
                <w:sz w:val="22"/>
                <w:szCs w:val="22"/>
                <w:color w:val="auto"/>
              </w:rPr>
            </w:pPr>
          </w:p>
        </w:tc>
        <w:tc>
          <w:tcPr>
            <w:tcW w:w="260" w:type="dxa"/>
            <w:vAlign w:val="bottom"/>
            <w:tcBorders>
              <w:bottom w:val="single" w:sz="8" w:color="7A04DD"/>
            </w:tcBorders>
            <w:shd w:val="clear" w:color="auto" w:fill="EBFBFF"/>
          </w:tcPr>
          <w:p>
            <w:pPr>
              <w:jc w:val="right"/>
              <w:spacing w:after="0"/>
              <w:rPr>
                <w:rFonts w:ascii="Arial" w:cs="Arial" w:eastAsia="Arial" w:hAnsi="Arial"/>
                <w:sz w:val="18"/>
                <w:szCs w:val="18"/>
                <w:color w:val="7A04DD"/>
                <w:w w:val="95"/>
              </w:rPr>
            </w:pPr>
            <w:hyperlink r:id="rId230">
              <w:r>
                <w:rPr>
                  <w:rFonts w:ascii="Arial" w:cs="Arial" w:eastAsia="Arial" w:hAnsi="Arial"/>
                  <w:sz w:val="18"/>
                  <w:szCs w:val="18"/>
                  <w:color w:val="7A04DD"/>
                  <w:w w:val="95"/>
                </w:rPr>
                <w:t>4.</w:t>
              </w:r>
              <w:r>
                <w:rPr>
                  <w:rFonts w:ascii="Arial" w:cs="Arial" w:eastAsia="Arial" w:hAnsi="Arial"/>
                  <w:sz w:val="18"/>
                  <w:szCs w:val="18"/>
                  <w:u w:val="single" w:color="auto"/>
                  <w:color w:val="7A04DD"/>
                  <w:w w:val="95"/>
                </w:rPr>
                <w:t>1</w:t>
              </w:r>
            </w:hyperlink>
          </w:p>
        </w:tc>
        <w:tc>
          <w:tcPr>
            <w:tcW w:w="140" w:type="dxa"/>
            <w:vAlign w:val="bottom"/>
            <w:tcBorders>
              <w:bottom w:val="single" w:sz="8" w:color="EBFBFF"/>
            </w:tcBorders>
            <w:shd w:val="clear" w:color="auto" w:fill="EBFBFF"/>
          </w:tcPr>
          <w:p>
            <w:pPr>
              <w:spacing w:after="0"/>
              <w:rPr>
                <w:sz w:val="22"/>
                <w:szCs w:val="22"/>
                <w:color w:val="auto"/>
              </w:rPr>
            </w:pPr>
          </w:p>
        </w:tc>
        <w:tc>
          <w:tcPr>
            <w:tcW w:w="4820" w:type="dxa"/>
            <w:vAlign w:val="bottom"/>
            <w:tcBorders>
              <w:bottom w:val="single" w:sz="8" w:color="7A04DD"/>
            </w:tcBorders>
            <w:gridSpan w:val="13"/>
            <w:shd w:val="clear" w:color="auto" w:fill="EBFBFF"/>
          </w:tcPr>
          <w:p>
            <w:pPr>
              <w:spacing w:after="0"/>
              <w:rPr>
                <w:rFonts w:ascii="Arial" w:cs="Arial" w:eastAsia="Arial" w:hAnsi="Arial"/>
                <w:sz w:val="18"/>
                <w:szCs w:val="18"/>
                <w:color w:val="7A04DD"/>
                <w:w w:val="99"/>
              </w:rPr>
            </w:pPr>
            <w:hyperlink r:id="rId230">
              <w:r>
                <w:rPr>
                  <w:rFonts w:ascii="Arial" w:cs="Arial" w:eastAsia="Arial" w:hAnsi="Arial"/>
                  <w:sz w:val="18"/>
                  <w:szCs w:val="18"/>
                  <w:color w:val="7A04DD"/>
                  <w:w w:val="99"/>
                </w:rPr>
                <w:t>Stockholder Rights Agreement, dated as of October 7, 2022,</w:t>
              </w:r>
            </w:hyperlink>
          </w:p>
        </w:tc>
        <w:tc>
          <w:tcPr>
            <w:tcW w:w="560" w:type="dxa"/>
            <w:vAlign w:val="bottom"/>
            <w:tcBorders>
              <w:bottom w:val="single" w:sz="8" w:color="EBFBFF"/>
            </w:tcBorders>
            <w:gridSpan w:val="7"/>
            <w:shd w:val="clear" w:color="auto" w:fill="EBFBFF"/>
          </w:tcPr>
          <w:p>
            <w:pPr>
              <w:spacing w:after="0"/>
              <w:rPr>
                <w:sz w:val="22"/>
                <w:szCs w:val="22"/>
                <w:color w:val="auto"/>
              </w:rPr>
            </w:pPr>
          </w:p>
        </w:tc>
        <w:tc>
          <w:tcPr>
            <w:tcW w:w="1070" w:type="dxa"/>
            <w:vAlign w:val="bottom"/>
            <w:tcBorders>
              <w:bottom w:val="single" w:sz="8" w:color="EBFBFF"/>
            </w:tcBorders>
            <w:shd w:val="clear" w:color="auto" w:fill="EBFBFF"/>
          </w:tcPr>
          <w:p>
            <w:pPr>
              <w:spacing w:after="0"/>
              <w:rPr>
                <w:sz w:val="22"/>
                <w:szCs w:val="22"/>
                <w:color w:val="auto"/>
              </w:rPr>
            </w:pPr>
          </w:p>
        </w:tc>
        <w:tc>
          <w:tcPr>
            <w:tcW w:w="990" w:type="dxa"/>
            <w:vAlign w:val="bottom"/>
            <w:tcBorders>
              <w:bottom w:val="single" w:sz="8" w:color="EBFBFF"/>
            </w:tcBorders>
            <w:shd w:val="clear" w:color="auto" w:fill="EBFBFF"/>
          </w:tcPr>
          <w:p>
            <w:pPr>
              <w:jc w:val="center"/>
              <w:spacing w:after="0"/>
              <w:rPr>
                <w:sz w:val="20"/>
                <w:szCs w:val="20"/>
                <w:color w:val="auto"/>
              </w:rPr>
            </w:pPr>
            <w:r>
              <w:rPr>
                <w:rFonts w:ascii="Arial" w:cs="Arial" w:eastAsia="Arial" w:hAnsi="Arial"/>
                <w:sz w:val="18"/>
                <w:szCs w:val="18"/>
                <w:color w:val="51555C"/>
                <w:w w:val="99"/>
              </w:rPr>
              <w:t>8-K</w:t>
            </w:r>
          </w:p>
        </w:tc>
        <w:tc>
          <w:tcPr>
            <w:tcW w:w="1220" w:type="dxa"/>
            <w:vAlign w:val="bottom"/>
            <w:tcBorders>
              <w:bottom w:val="single" w:sz="8" w:color="EBFBFF"/>
            </w:tcBorders>
            <w:shd w:val="clear" w:color="auto" w:fill="EBFBFF"/>
          </w:tcPr>
          <w:p>
            <w:pPr>
              <w:jc w:val="center"/>
              <w:ind w:left="18"/>
              <w:spacing w:after="0"/>
              <w:rPr>
                <w:sz w:val="20"/>
                <w:szCs w:val="20"/>
                <w:color w:val="auto"/>
              </w:rPr>
            </w:pPr>
            <w:r>
              <w:rPr>
                <w:rFonts w:ascii="Arial" w:cs="Arial" w:eastAsia="Arial" w:hAnsi="Arial"/>
                <w:sz w:val="18"/>
                <w:szCs w:val="18"/>
                <w:color w:val="51555C"/>
                <w:w w:val="95"/>
              </w:rPr>
              <w:t>4.1</w:t>
            </w:r>
          </w:p>
        </w:tc>
        <w:tc>
          <w:tcPr>
            <w:tcW w:w="100" w:type="dxa"/>
            <w:vAlign w:val="bottom"/>
            <w:tcBorders>
              <w:bottom w:val="single" w:sz="8" w:color="EBFBFF"/>
            </w:tcBorders>
            <w:shd w:val="clear" w:color="auto" w:fill="EBFBFF"/>
          </w:tcPr>
          <w:p>
            <w:pPr>
              <w:spacing w:after="0"/>
              <w:rPr>
                <w:sz w:val="22"/>
                <w:szCs w:val="22"/>
                <w:color w:val="auto"/>
              </w:rPr>
            </w:pPr>
          </w:p>
        </w:tc>
        <w:tc>
          <w:tcPr>
            <w:tcW w:w="1260" w:type="dxa"/>
            <w:vAlign w:val="bottom"/>
            <w:tcBorders>
              <w:bottom w:val="single" w:sz="8" w:color="EBFBFF"/>
            </w:tcBorders>
            <w:shd w:val="clear" w:color="auto" w:fill="EBFBFF"/>
          </w:tcPr>
          <w:p>
            <w:pPr>
              <w:jc w:val="center"/>
              <w:spacing w:after="0"/>
              <w:rPr>
                <w:sz w:val="20"/>
                <w:szCs w:val="20"/>
                <w:color w:val="auto"/>
              </w:rPr>
            </w:pPr>
            <w:r>
              <w:rPr>
                <w:rFonts w:ascii="Arial" w:cs="Arial" w:eastAsia="Arial" w:hAnsi="Arial"/>
                <w:sz w:val="18"/>
                <w:szCs w:val="18"/>
                <w:color w:val="51555C"/>
                <w:w w:val="99"/>
              </w:rPr>
              <w:t>10/11/2022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tcBorders>
              <w:bottom w:val="single" w:sz="8" w:color="EBFBFF"/>
            </w:tcBorders>
            <w:shd w:val="clear" w:color="auto" w:fill="EBFBFF"/>
          </w:tcPr>
          <w:p>
            <w:pPr>
              <w:spacing w:after="0"/>
              <w:rPr>
                <w:sz w:val="17"/>
                <w:szCs w:val="17"/>
                <w:color w:val="auto"/>
              </w:rPr>
            </w:pPr>
          </w:p>
        </w:tc>
        <w:tc>
          <w:tcPr>
            <w:tcW w:w="100" w:type="dxa"/>
            <w:vAlign w:val="bottom"/>
            <w:tcBorders>
              <w:bottom w:val="single" w:sz="8" w:color="EBFBFF"/>
            </w:tcBorders>
            <w:shd w:val="clear" w:color="auto" w:fill="EBFBFF"/>
          </w:tcPr>
          <w:p>
            <w:pPr>
              <w:spacing w:after="0"/>
              <w:rPr>
                <w:sz w:val="17"/>
                <w:szCs w:val="17"/>
                <w:color w:val="auto"/>
              </w:rPr>
            </w:pPr>
          </w:p>
        </w:tc>
        <w:tc>
          <w:tcPr>
            <w:tcW w:w="260" w:type="dxa"/>
            <w:vAlign w:val="bottom"/>
            <w:tcBorders>
              <w:bottom w:val="single" w:sz="8" w:color="EBFBFF"/>
            </w:tcBorders>
            <w:shd w:val="clear" w:color="auto" w:fill="EBFBFF"/>
          </w:tcPr>
          <w:p>
            <w:pPr>
              <w:spacing w:after="0"/>
              <w:rPr>
                <w:sz w:val="17"/>
                <w:szCs w:val="17"/>
                <w:color w:val="auto"/>
              </w:rPr>
            </w:pPr>
          </w:p>
        </w:tc>
        <w:tc>
          <w:tcPr>
            <w:tcW w:w="140" w:type="dxa"/>
            <w:vAlign w:val="bottom"/>
            <w:tcBorders>
              <w:bottom w:val="single" w:sz="8" w:color="EBFBFF"/>
            </w:tcBorders>
            <w:shd w:val="clear" w:color="auto" w:fill="EBFBFF"/>
          </w:tcPr>
          <w:p>
            <w:pPr>
              <w:spacing w:after="0"/>
              <w:rPr>
                <w:sz w:val="17"/>
                <w:szCs w:val="17"/>
                <w:color w:val="auto"/>
              </w:rPr>
            </w:pPr>
          </w:p>
        </w:tc>
        <w:tc>
          <w:tcPr>
            <w:tcW w:w="4960" w:type="dxa"/>
            <w:vAlign w:val="bottom"/>
            <w:tcBorders>
              <w:bottom w:val="single" w:sz="8" w:color="7A04DD"/>
            </w:tcBorders>
            <w:gridSpan w:val="14"/>
            <w:shd w:val="clear" w:color="auto" w:fill="EBFBFF"/>
          </w:tcPr>
          <w:p>
            <w:pPr>
              <w:spacing w:after="0" w:line="196" w:lineRule="exact"/>
              <w:rPr>
                <w:rFonts w:ascii="Arial" w:cs="Arial" w:eastAsia="Arial" w:hAnsi="Arial"/>
                <w:sz w:val="18"/>
                <w:szCs w:val="18"/>
                <w:color w:val="7A04DD"/>
                <w:w w:val="99"/>
              </w:rPr>
            </w:pPr>
            <w:hyperlink r:id="rId230">
              <w:r>
                <w:rPr>
                  <w:rFonts w:ascii="Arial" w:cs="Arial" w:eastAsia="Arial" w:hAnsi="Arial"/>
                  <w:sz w:val="18"/>
                  <w:szCs w:val="18"/>
                  <w:color w:val="7A04DD"/>
                  <w:w w:val="99"/>
                </w:rPr>
                <w:t>between Blackbaud, Inc. and American Stock Transfer &amp; Trust</w:t>
              </w:r>
            </w:hyperlink>
          </w:p>
        </w:tc>
        <w:tc>
          <w:tcPr>
            <w:tcW w:w="420" w:type="dxa"/>
            <w:vAlign w:val="bottom"/>
            <w:tcBorders>
              <w:bottom w:val="single" w:sz="8" w:color="EBFBFF"/>
            </w:tcBorders>
            <w:gridSpan w:val="6"/>
            <w:shd w:val="clear" w:color="auto" w:fill="EBFBFF"/>
          </w:tcPr>
          <w:p>
            <w:pPr>
              <w:spacing w:after="0"/>
              <w:rPr>
                <w:sz w:val="17"/>
                <w:szCs w:val="17"/>
                <w:color w:val="auto"/>
              </w:rPr>
            </w:pPr>
          </w:p>
        </w:tc>
        <w:tc>
          <w:tcPr>
            <w:tcW w:w="1070" w:type="dxa"/>
            <w:vAlign w:val="bottom"/>
            <w:tcBorders>
              <w:bottom w:val="single" w:sz="8" w:color="EBFBFF"/>
            </w:tcBorders>
            <w:shd w:val="clear" w:color="auto" w:fill="EBFBFF"/>
          </w:tcPr>
          <w:p>
            <w:pPr>
              <w:spacing w:after="0"/>
              <w:rPr>
                <w:sz w:val="17"/>
                <w:szCs w:val="17"/>
                <w:color w:val="auto"/>
              </w:rPr>
            </w:pPr>
          </w:p>
        </w:tc>
        <w:tc>
          <w:tcPr>
            <w:tcW w:w="990" w:type="dxa"/>
            <w:vAlign w:val="bottom"/>
            <w:tcBorders>
              <w:bottom w:val="single" w:sz="8" w:color="EBFBFF"/>
            </w:tcBorders>
            <w:shd w:val="clear" w:color="auto" w:fill="EBFBFF"/>
          </w:tcPr>
          <w:p>
            <w:pPr>
              <w:spacing w:after="0"/>
              <w:rPr>
                <w:sz w:val="17"/>
                <w:szCs w:val="17"/>
                <w:color w:val="auto"/>
              </w:rPr>
            </w:pPr>
          </w:p>
        </w:tc>
        <w:tc>
          <w:tcPr>
            <w:tcW w:w="1220" w:type="dxa"/>
            <w:vAlign w:val="bottom"/>
            <w:tcBorders>
              <w:bottom w:val="single" w:sz="8" w:color="EBFBFF"/>
            </w:tcBorders>
            <w:shd w:val="clear" w:color="auto" w:fill="EBFBFF"/>
          </w:tcPr>
          <w:p>
            <w:pPr>
              <w:spacing w:after="0"/>
              <w:rPr>
                <w:sz w:val="17"/>
                <w:szCs w:val="17"/>
                <w:color w:val="auto"/>
              </w:rPr>
            </w:pPr>
          </w:p>
        </w:tc>
        <w:tc>
          <w:tcPr>
            <w:tcW w:w="100" w:type="dxa"/>
            <w:vAlign w:val="bottom"/>
            <w:tcBorders>
              <w:bottom w:val="single" w:sz="8" w:color="EBFBFF"/>
            </w:tcBorders>
            <w:shd w:val="clear" w:color="auto" w:fill="EBFBFF"/>
          </w:tcPr>
          <w:p>
            <w:pPr>
              <w:spacing w:after="0"/>
              <w:rPr>
                <w:sz w:val="17"/>
                <w:szCs w:val="17"/>
                <w:color w:val="auto"/>
              </w:rPr>
            </w:pPr>
          </w:p>
        </w:tc>
        <w:tc>
          <w:tcPr>
            <w:tcW w:w="126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shd w:val="clear" w:color="auto" w:fill="EBFBFF"/>
          </w:tcPr>
          <w:p>
            <w:pPr>
              <w:spacing w:after="0"/>
              <w:rPr>
                <w:sz w:val="17"/>
                <w:szCs w:val="17"/>
                <w:color w:val="auto"/>
              </w:rPr>
            </w:pPr>
          </w:p>
        </w:tc>
        <w:tc>
          <w:tcPr>
            <w:tcW w:w="100" w:type="dxa"/>
            <w:vAlign w:val="bottom"/>
            <w:shd w:val="clear" w:color="auto" w:fill="EBFBFF"/>
          </w:tcPr>
          <w:p>
            <w:pPr>
              <w:spacing w:after="0"/>
              <w:rPr>
                <w:sz w:val="17"/>
                <w:szCs w:val="17"/>
                <w:color w:val="auto"/>
              </w:rPr>
            </w:pPr>
          </w:p>
        </w:tc>
        <w:tc>
          <w:tcPr>
            <w:tcW w:w="260" w:type="dxa"/>
            <w:vAlign w:val="bottom"/>
            <w:shd w:val="clear" w:color="auto" w:fill="EBFBFF"/>
          </w:tcPr>
          <w:p>
            <w:pPr>
              <w:spacing w:after="0"/>
              <w:rPr>
                <w:sz w:val="17"/>
                <w:szCs w:val="17"/>
                <w:color w:val="auto"/>
              </w:rPr>
            </w:pPr>
          </w:p>
        </w:tc>
        <w:tc>
          <w:tcPr>
            <w:tcW w:w="140" w:type="dxa"/>
            <w:vAlign w:val="bottom"/>
            <w:shd w:val="clear" w:color="auto" w:fill="EBFBFF"/>
          </w:tcPr>
          <w:p>
            <w:pPr>
              <w:spacing w:after="0"/>
              <w:rPr>
                <w:sz w:val="17"/>
                <w:szCs w:val="17"/>
                <w:color w:val="auto"/>
              </w:rPr>
            </w:pPr>
          </w:p>
        </w:tc>
        <w:tc>
          <w:tcPr>
            <w:tcW w:w="5380" w:type="dxa"/>
            <w:vAlign w:val="bottom"/>
            <w:gridSpan w:val="20"/>
            <w:shd w:val="clear" w:color="auto" w:fill="EBFBFF"/>
          </w:tcPr>
          <w:p>
            <w:pPr>
              <w:spacing w:after="0" w:line="196" w:lineRule="exact"/>
              <w:rPr>
                <w:rFonts w:ascii="Arial" w:cs="Arial" w:eastAsia="Arial" w:hAnsi="Arial"/>
                <w:sz w:val="18"/>
                <w:szCs w:val="18"/>
                <w:color w:val="7A04DD"/>
              </w:rPr>
            </w:pPr>
            <w:hyperlink r:id="rId230">
              <w:r>
                <w:rPr>
                  <w:rFonts w:ascii="Arial" w:cs="Arial" w:eastAsia="Arial" w:hAnsi="Arial"/>
                  <w:sz w:val="18"/>
                  <w:szCs w:val="18"/>
                  <w:color w:val="7A04DD"/>
                </w:rPr>
                <w:t>Company, LLC, as Rights Agent.</w:t>
              </w:r>
            </w:hyperlink>
          </w:p>
        </w:tc>
        <w:tc>
          <w:tcPr>
            <w:tcW w:w="1070" w:type="dxa"/>
            <w:vAlign w:val="bottom"/>
            <w:shd w:val="clear" w:color="auto" w:fill="EBFBFF"/>
          </w:tcPr>
          <w:p>
            <w:pPr>
              <w:spacing w:after="0"/>
              <w:rPr>
                <w:sz w:val="17"/>
                <w:szCs w:val="17"/>
                <w:color w:val="auto"/>
              </w:rPr>
            </w:pPr>
          </w:p>
        </w:tc>
        <w:tc>
          <w:tcPr>
            <w:tcW w:w="990" w:type="dxa"/>
            <w:vAlign w:val="bottom"/>
            <w:shd w:val="clear" w:color="auto" w:fill="EBFBFF"/>
          </w:tcPr>
          <w:p>
            <w:pPr>
              <w:spacing w:after="0"/>
              <w:rPr>
                <w:sz w:val="17"/>
                <w:szCs w:val="17"/>
                <w:color w:val="auto"/>
              </w:rPr>
            </w:pPr>
          </w:p>
        </w:tc>
        <w:tc>
          <w:tcPr>
            <w:tcW w:w="1220" w:type="dxa"/>
            <w:vAlign w:val="bottom"/>
            <w:shd w:val="clear" w:color="auto" w:fill="EBFBFF"/>
          </w:tcPr>
          <w:p>
            <w:pPr>
              <w:spacing w:after="0"/>
              <w:rPr>
                <w:sz w:val="17"/>
                <w:szCs w:val="17"/>
                <w:color w:val="auto"/>
              </w:rPr>
            </w:pPr>
          </w:p>
        </w:tc>
        <w:tc>
          <w:tcPr>
            <w:tcW w:w="100" w:type="dxa"/>
            <w:vAlign w:val="bottom"/>
            <w:shd w:val="clear" w:color="auto" w:fill="EBFBFF"/>
          </w:tcPr>
          <w:p>
            <w:pPr>
              <w:spacing w:after="0"/>
              <w:rPr>
                <w:sz w:val="17"/>
                <w:szCs w:val="17"/>
                <w:color w:val="auto"/>
              </w:rPr>
            </w:pPr>
          </w:p>
        </w:tc>
        <w:tc>
          <w:tcPr>
            <w:tcW w:w="126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72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260" w:type="dxa"/>
            <w:vAlign w:val="bottom"/>
            <w:tcBorders>
              <w:top w:val="single" w:sz="8" w:color="EBFBFF"/>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700" w:type="dxa"/>
            <w:vAlign w:val="bottom"/>
            <w:tcBorders>
              <w:top w:val="single" w:sz="8" w:color="7A04DD"/>
            </w:tcBorders>
            <w:shd w:val="clear" w:color="auto" w:fill="EBFBFF"/>
          </w:tcPr>
          <w:p>
            <w:pPr>
              <w:spacing w:after="0"/>
              <w:rPr>
                <w:sz w:val="4"/>
                <w:szCs w:val="4"/>
                <w:color w:val="auto"/>
              </w:rPr>
            </w:pPr>
          </w:p>
        </w:tc>
        <w:tc>
          <w:tcPr>
            <w:tcW w:w="260" w:type="dxa"/>
            <w:vAlign w:val="bottom"/>
            <w:tcBorders>
              <w:top w:val="single" w:sz="8" w:color="7A04DD"/>
            </w:tcBorders>
            <w:shd w:val="clear" w:color="auto" w:fill="EBFBFF"/>
          </w:tcPr>
          <w:p>
            <w:pPr>
              <w:spacing w:after="0"/>
              <w:rPr>
                <w:sz w:val="4"/>
                <w:szCs w:val="4"/>
                <w:color w:val="auto"/>
              </w:rPr>
            </w:pPr>
          </w:p>
        </w:tc>
        <w:tc>
          <w:tcPr>
            <w:tcW w:w="920" w:type="dxa"/>
            <w:vAlign w:val="bottom"/>
            <w:tcBorders>
              <w:top w:val="single" w:sz="8" w:color="7A04DD"/>
            </w:tcBorders>
            <w:shd w:val="clear" w:color="auto" w:fill="EBFBFF"/>
          </w:tcPr>
          <w:p>
            <w:pPr>
              <w:spacing w:after="0"/>
              <w:rPr>
                <w:sz w:val="4"/>
                <w:szCs w:val="4"/>
                <w:color w:val="auto"/>
              </w:rPr>
            </w:pPr>
          </w:p>
        </w:tc>
        <w:tc>
          <w:tcPr>
            <w:tcW w:w="720" w:type="dxa"/>
            <w:vAlign w:val="bottom"/>
            <w:tcBorders>
              <w:top w:val="single" w:sz="8" w:color="7A04DD"/>
            </w:tcBorders>
            <w:shd w:val="clear" w:color="auto" w:fill="EBFBFF"/>
          </w:tcPr>
          <w:p>
            <w:pPr>
              <w:spacing w:after="0"/>
              <w:rPr>
                <w:sz w:val="4"/>
                <w:szCs w:val="4"/>
                <w:color w:val="auto"/>
              </w:rPr>
            </w:pPr>
          </w:p>
        </w:tc>
        <w:tc>
          <w:tcPr>
            <w:tcW w:w="120" w:type="dxa"/>
            <w:vAlign w:val="bottom"/>
            <w:tcBorders>
              <w:top w:val="single" w:sz="8" w:color="EBFBFF"/>
            </w:tcBorders>
            <w:shd w:val="clear" w:color="auto" w:fill="EBFBFF"/>
          </w:tcPr>
          <w:p>
            <w:pPr>
              <w:spacing w:after="0"/>
              <w:rPr>
                <w:sz w:val="4"/>
                <w:szCs w:val="4"/>
                <w:color w:val="auto"/>
              </w:rPr>
            </w:pPr>
          </w:p>
        </w:tc>
        <w:tc>
          <w:tcPr>
            <w:tcW w:w="1080" w:type="dxa"/>
            <w:vAlign w:val="bottom"/>
            <w:tcBorders>
              <w:top w:val="single" w:sz="8" w:color="EBFBFF"/>
            </w:tcBorders>
            <w:shd w:val="clear" w:color="auto" w:fill="EBFBFF"/>
          </w:tcPr>
          <w:p>
            <w:pPr>
              <w:spacing w:after="0"/>
              <w:rPr>
                <w:sz w:val="4"/>
                <w:szCs w:val="4"/>
                <w:color w:val="auto"/>
              </w:rPr>
            </w:pPr>
          </w:p>
        </w:tc>
        <w:tc>
          <w:tcPr>
            <w:tcW w:w="320" w:type="dxa"/>
            <w:vAlign w:val="bottom"/>
            <w:tcBorders>
              <w:top w:val="single" w:sz="8" w:color="EBFBFF"/>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tcBorders>
            <w:shd w:val="clear" w:color="auto" w:fill="EBFBFF"/>
          </w:tcPr>
          <w:p>
            <w:pPr>
              <w:spacing w:after="0"/>
              <w:rPr>
                <w:sz w:val="4"/>
                <w:szCs w:val="4"/>
                <w:color w:val="auto"/>
              </w:rPr>
            </w:pPr>
          </w:p>
        </w:tc>
        <w:tc>
          <w:tcPr>
            <w:tcW w:w="20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tcBorders>
            <w:shd w:val="clear" w:color="auto" w:fill="EBFBFF"/>
          </w:tcPr>
          <w:p>
            <w:pPr>
              <w:spacing w:after="0"/>
              <w:rPr>
                <w:sz w:val="4"/>
                <w:szCs w:val="4"/>
                <w:color w:val="auto"/>
              </w:rPr>
            </w:pPr>
          </w:p>
        </w:tc>
        <w:tc>
          <w:tcPr>
            <w:tcW w:w="20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40" w:type="dxa"/>
            <w:vAlign w:val="bottom"/>
            <w:tcBorders>
              <w:top w:val="single" w:sz="8" w:color="EBFBFF"/>
            </w:tcBorders>
            <w:shd w:val="clear" w:color="auto" w:fill="EBFBFF"/>
          </w:tcPr>
          <w:p>
            <w:pPr>
              <w:spacing w:after="0"/>
              <w:rPr>
                <w:sz w:val="4"/>
                <w:szCs w:val="4"/>
                <w:color w:val="auto"/>
              </w:rPr>
            </w:pPr>
          </w:p>
        </w:tc>
        <w:tc>
          <w:tcPr>
            <w:tcW w:w="1070" w:type="dxa"/>
            <w:vAlign w:val="bottom"/>
            <w:tcBorders>
              <w:top w:val="single" w:sz="8" w:color="EBFBFF"/>
            </w:tcBorders>
            <w:shd w:val="clear" w:color="auto" w:fill="EBFBFF"/>
          </w:tcPr>
          <w:p>
            <w:pPr>
              <w:spacing w:after="0"/>
              <w:rPr>
                <w:sz w:val="4"/>
                <w:szCs w:val="4"/>
                <w:color w:val="auto"/>
              </w:rPr>
            </w:pPr>
          </w:p>
        </w:tc>
        <w:tc>
          <w:tcPr>
            <w:tcW w:w="990" w:type="dxa"/>
            <w:vAlign w:val="bottom"/>
            <w:tcBorders>
              <w:top w:val="single" w:sz="8" w:color="EBFBFF"/>
            </w:tcBorders>
            <w:shd w:val="clear" w:color="auto" w:fill="EBFBFF"/>
          </w:tcPr>
          <w:p>
            <w:pPr>
              <w:spacing w:after="0"/>
              <w:rPr>
                <w:sz w:val="4"/>
                <w:szCs w:val="4"/>
                <w:color w:val="auto"/>
              </w:rPr>
            </w:pPr>
          </w:p>
        </w:tc>
        <w:tc>
          <w:tcPr>
            <w:tcW w:w="122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1260" w:type="dxa"/>
            <w:vAlign w:val="bottom"/>
            <w:tcBorders>
              <w:top w:val="single" w:sz="8" w:color="EBFBFF"/>
            </w:tcBorders>
            <w:shd w:val="clear" w:color="auto" w:fill="EBFB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720" w:type="dxa"/>
            <w:vAlign w:val="bottom"/>
          </w:tcPr>
          <w:p>
            <w:pPr>
              <w:spacing w:after="0"/>
              <w:rPr>
                <w:sz w:val="22"/>
                <w:szCs w:val="22"/>
                <w:color w:val="auto"/>
              </w:rPr>
            </w:pPr>
          </w:p>
        </w:tc>
        <w:tc>
          <w:tcPr>
            <w:tcW w:w="360" w:type="dxa"/>
            <w:vAlign w:val="bottom"/>
            <w:gridSpan w:val="2"/>
          </w:tcPr>
          <w:p>
            <w:pPr>
              <w:jc w:val="right"/>
              <w:spacing w:after="0"/>
              <w:rPr>
                <w:rFonts w:ascii="Arial" w:cs="Arial" w:eastAsia="Arial" w:hAnsi="Arial"/>
                <w:sz w:val="18"/>
                <w:szCs w:val="18"/>
                <w:color w:val="7A04DD"/>
                <w:w w:val="96"/>
              </w:rPr>
            </w:pPr>
            <w:hyperlink r:id="rId231">
              <w:r>
                <w:rPr>
                  <w:rFonts w:ascii="Arial" w:cs="Arial" w:eastAsia="Arial" w:hAnsi="Arial"/>
                  <w:sz w:val="18"/>
                  <w:szCs w:val="18"/>
                  <w:color w:val="7A04DD"/>
                  <w:w w:val="96"/>
                </w:rPr>
                <w:t>10.</w:t>
              </w:r>
              <w:r>
                <w:rPr>
                  <w:rFonts w:ascii="Arial" w:cs="Arial" w:eastAsia="Arial" w:hAnsi="Arial"/>
                  <w:sz w:val="18"/>
                  <w:szCs w:val="18"/>
                  <w:u w:val="single" w:color="auto"/>
                  <w:color w:val="7A04DD"/>
                  <w:w w:val="96"/>
                </w:rPr>
                <w:t>1</w:t>
              </w:r>
            </w:hyperlink>
          </w:p>
        </w:tc>
        <w:tc>
          <w:tcPr>
            <w:tcW w:w="140" w:type="dxa"/>
            <w:vAlign w:val="bottom"/>
          </w:tcPr>
          <w:p>
            <w:pPr>
              <w:spacing w:after="0"/>
              <w:rPr>
                <w:sz w:val="22"/>
                <w:szCs w:val="22"/>
                <w:color w:val="auto"/>
              </w:rPr>
            </w:pPr>
          </w:p>
        </w:tc>
        <w:tc>
          <w:tcPr>
            <w:tcW w:w="5380" w:type="dxa"/>
            <w:vAlign w:val="bottom"/>
            <w:gridSpan w:val="20"/>
          </w:tcPr>
          <w:p>
            <w:pPr>
              <w:spacing w:after="0"/>
              <w:rPr>
                <w:rFonts w:ascii="Arial" w:cs="Arial" w:eastAsia="Arial" w:hAnsi="Arial"/>
                <w:sz w:val="18"/>
                <w:szCs w:val="18"/>
                <w:color w:val="7A04DD"/>
              </w:rPr>
            </w:pPr>
            <w:hyperlink r:id="rId231">
              <w:r>
                <w:rPr>
                  <w:rFonts w:ascii="Arial" w:cs="Arial" w:eastAsia="Arial" w:hAnsi="Arial"/>
                  <w:sz w:val="18"/>
                  <w:szCs w:val="18"/>
                  <w:color w:val="7A04DD"/>
                </w:rPr>
                <w:t>Amended and Restated Employment and Noncompetition</w:t>
              </w:r>
            </w:hyperlink>
          </w:p>
        </w:tc>
        <w:tc>
          <w:tcPr>
            <w:tcW w:w="1070" w:type="dxa"/>
            <w:vAlign w:val="bottom"/>
          </w:tcPr>
          <w:p>
            <w:pPr>
              <w:spacing w:after="0"/>
              <w:rPr>
                <w:sz w:val="22"/>
                <w:szCs w:val="22"/>
                <w:color w:val="auto"/>
              </w:rPr>
            </w:pPr>
          </w:p>
        </w:tc>
        <w:tc>
          <w:tcPr>
            <w:tcW w:w="990" w:type="dxa"/>
            <w:vAlign w:val="bottom"/>
          </w:tcPr>
          <w:p>
            <w:pPr>
              <w:jc w:val="center"/>
              <w:spacing w:after="0"/>
              <w:rPr>
                <w:sz w:val="20"/>
                <w:szCs w:val="20"/>
                <w:color w:val="auto"/>
              </w:rPr>
            </w:pPr>
            <w:r>
              <w:rPr>
                <w:rFonts w:ascii="Arial" w:cs="Arial" w:eastAsia="Arial" w:hAnsi="Arial"/>
                <w:sz w:val="18"/>
                <w:szCs w:val="18"/>
                <w:color w:val="51555C"/>
                <w:w w:val="99"/>
              </w:rPr>
              <w:t>8-K</w:t>
            </w:r>
          </w:p>
        </w:tc>
        <w:tc>
          <w:tcPr>
            <w:tcW w:w="1220" w:type="dxa"/>
            <w:vAlign w:val="bottom"/>
          </w:tcPr>
          <w:p>
            <w:pPr>
              <w:jc w:val="center"/>
              <w:ind w:left="18"/>
              <w:spacing w:after="0"/>
              <w:rPr>
                <w:sz w:val="20"/>
                <w:szCs w:val="20"/>
                <w:color w:val="auto"/>
              </w:rPr>
            </w:pPr>
            <w:r>
              <w:rPr>
                <w:rFonts w:ascii="Arial" w:cs="Arial" w:eastAsia="Arial" w:hAnsi="Arial"/>
                <w:sz w:val="18"/>
                <w:szCs w:val="18"/>
                <w:color w:val="51555C"/>
              </w:rPr>
              <w:t>10.1</w:t>
            </w:r>
          </w:p>
        </w:tc>
        <w:tc>
          <w:tcPr>
            <w:tcW w:w="10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51555C"/>
                <w:w w:val="99"/>
              </w:rPr>
              <w:t>9/21/2022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shd w:val="clear" w:color="auto" w:fill="7A04DD"/>
          </w:tcPr>
          <w:p>
            <w:pPr>
              <w:spacing w:after="0" w:line="20" w:lineRule="exact"/>
              <w:rPr>
                <w:sz w:val="1"/>
                <w:szCs w:val="1"/>
                <w:color w:val="auto"/>
              </w:rPr>
            </w:pPr>
          </w:p>
        </w:tc>
        <w:tc>
          <w:tcPr>
            <w:tcW w:w="260" w:type="dxa"/>
            <w:vAlign w:val="bottom"/>
            <w:shd w:val="clear" w:color="auto" w:fill="7A04DD"/>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shd w:val="clear" w:color="auto" w:fill="7A04DD"/>
          </w:tcPr>
          <w:p>
            <w:pPr>
              <w:spacing w:after="0" w:line="20" w:lineRule="exact"/>
              <w:rPr>
                <w:sz w:val="1"/>
                <w:szCs w:val="1"/>
                <w:color w:val="auto"/>
              </w:rPr>
            </w:pPr>
          </w:p>
        </w:tc>
        <w:tc>
          <w:tcPr>
            <w:tcW w:w="920" w:type="dxa"/>
            <w:vAlign w:val="bottom"/>
            <w:shd w:val="clear" w:color="auto" w:fill="7A04DD"/>
          </w:tcPr>
          <w:p>
            <w:pPr>
              <w:spacing w:after="0" w:line="20" w:lineRule="exact"/>
              <w:rPr>
                <w:sz w:val="1"/>
                <w:szCs w:val="1"/>
                <w:color w:val="auto"/>
              </w:rPr>
            </w:pPr>
          </w:p>
        </w:tc>
        <w:tc>
          <w:tcPr>
            <w:tcW w:w="1920" w:type="dxa"/>
            <w:vAlign w:val="bottom"/>
            <w:gridSpan w:val="3"/>
            <w:shd w:val="clear" w:color="auto" w:fill="7A04DD"/>
          </w:tcPr>
          <w:p>
            <w:pPr>
              <w:spacing w:after="0" w:line="20" w:lineRule="exact"/>
              <w:rPr>
                <w:sz w:val="1"/>
                <w:szCs w:val="1"/>
                <w:color w:val="auto"/>
              </w:rPr>
            </w:pPr>
          </w:p>
        </w:tc>
        <w:tc>
          <w:tcPr>
            <w:tcW w:w="32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60" w:type="dxa"/>
            <w:vAlign w:val="bottom"/>
            <w:shd w:val="clear" w:color="auto" w:fill="7A04DD"/>
          </w:tcPr>
          <w:p>
            <w:pPr>
              <w:spacing w:after="0" w:line="20" w:lineRule="exact"/>
              <w:rPr>
                <w:sz w:val="1"/>
                <w:szCs w:val="1"/>
                <w:color w:val="auto"/>
              </w:rPr>
            </w:pPr>
          </w:p>
        </w:tc>
        <w:tc>
          <w:tcPr>
            <w:tcW w:w="260" w:type="dxa"/>
            <w:vAlign w:val="bottom"/>
            <w:gridSpan w:val="2"/>
            <w:shd w:val="clear" w:color="auto" w:fill="7A04DD"/>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70" w:type="dxa"/>
            <w:vAlign w:val="bottom"/>
          </w:tcPr>
          <w:p>
            <w:pPr>
              <w:spacing w:after="0" w:line="20" w:lineRule="exact"/>
              <w:rPr>
                <w:sz w:val="1"/>
                <w:szCs w:val="1"/>
                <w:color w:val="auto"/>
              </w:rPr>
            </w:pPr>
          </w:p>
        </w:tc>
        <w:tc>
          <w:tcPr>
            <w:tcW w:w="99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80" w:type="dxa"/>
            <w:vAlign w:val="bottom"/>
            <w:gridSpan w:val="20"/>
          </w:tcPr>
          <w:p>
            <w:pPr>
              <w:spacing w:after="0" w:line="196" w:lineRule="exact"/>
              <w:rPr>
                <w:rFonts w:ascii="Arial" w:cs="Arial" w:eastAsia="Arial" w:hAnsi="Arial"/>
                <w:sz w:val="18"/>
                <w:szCs w:val="18"/>
                <w:color w:val="7A04DD"/>
              </w:rPr>
            </w:pPr>
            <w:hyperlink r:id="rId231">
              <w:r>
                <w:rPr>
                  <w:rFonts w:ascii="Arial" w:cs="Arial" w:eastAsia="Arial" w:hAnsi="Arial"/>
                  <w:sz w:val="18"/>
                  <w:szCs w:val="18"/>
                  <w:color w:val="7A04DD"/>
                </w:rPr>
                <w:t>Agreement dated September 20, 2022 between Blackbaud, Inc.</w:t>
              </w:r>
            </w:hyperlink>
          </w:p>
        </w:tc>
        <w:tc>
          <w:tcPr>
            <w:tcW w:w="1070" w:type="dxa"/>
            <w:vAlign w:val="bottom"/>
          </w:tcPr>
          <w:p>
            <w:pPr>
              <w:spacing w:after="0"/>
              <w:rPr>
                <w:sz w:val="17"/>
                <w:szCs w:val="17"/>
                <w:color w:val="auto"/>
              </w:rPr>
            </w:pPr>
          </w:p>
        </w:tc>
        <w:tc>
          <w:tcPr>
            <w:tcW w:w="99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60" w:type="dxa"/>
            <w:vAlign w:val="bottom"/>
            <w:tcBorders>
              <w:top w:val="single" w:sz="8" w:color="7A04DD"/>
            </w:tcBorders>
            <w:gridSpan w:val="15"/>
          </w:tcPr>
          <w:p>
            <w:pPr>
              <w:spacing w:after="0" w:line="196" w:lineRule="exact"/>
              <w:rPr>
                <w:rFonts w:ascii="Arial" w:cs="Arial" w:eastAsia="Arial" w:hAnsi="Arial"/>
                <w:sz w:val="18"/>
                <w:szCs w:val="18"/>
                <w:color w:val="7A04DD"/>
              </w:rPr>
            </w:pPr>
            <w:hyperlink r:id="rId231">
              <w:r>
                <w:rPr>
                  <w:rFonts w:ascii="Arial" w:cs="Arial" w:eastAsia="Arial" w:hAnsi="Arial"/>
                  <w:sz w:val="18"/>
                  <w:szCs w:val="18"/>
                  <w:color w:val="7A04DD"/>
                </w:rPr>
                <w:t>and Michael P. Gianoni.</w:t>
              </w:r>
            </w:hyperlink>
          </w:p>
        </w:tc>
        <w:tc>
          <w:tcPr>
            <w:tcW w:w="320" w:type="dxa"/>
            <w:vAlign w:val="bottom"/>
            <w:gridSpan w:val="5"/>
          </w:tcPr>
          <w:p>
            <w:pPr>
              <w:spacing w:after="0"/>
              <w:rPr>
                <w:sz w:val="17"/>
                <w:szCs w:val="17"/>
                <w:color w:val="auto"/>
              </w:rPr>
            </w:pPr>
          </w:p>
        </w:tc>
        <w:tc>
          <w:tcPr>
            <w:tcW w:w="1070" w:type="dxa"/>
            <w:vAlign w:val="bottom"/>
          </w:tcPr>
          <w:p>
            <w:pPr>
              <w:spacing w:after="0"/>
              <w:rPr>
                <w:sz w:val="17"/>
                <w:szCs w:val="17"/>
                <w:color w:val="auto"/>
              </w:rPr>
            </w:pPr>
          </w:p>
        </w:tc>
        <w:tc>
          <w:tcPr>
            <w:tcW w:w="99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top w:val="single" w:sz="8" w:color="7A04DD"/>
            </w:tcBorders>
          </w:tcPr>
          <w:p>
            <w:pPr>
              <w:spacing w:after="0"/>
              <w:rPr>
                <w:sz w:val="4"/>
                <w:szCs w:val="4"/>
                <w:color w:val="auto"/>
              </w:rPr>
            </w:pPr>
          </w:p>
        </w:tc>
        <w:tc>
          <w:tcPr>
            <w:tcW w:w="260" w:type="dxa"/>
            <w:vAlign w:val="bottom"/>
            <w:tcBorders>
              <w:top w:val="single" w:sz="8" w:color="7A04DD"/>
            </w:tcBorders>
          </w:tcPr>
          <w:p>
            <w:pPr>
              <w:spacing w:after="0"/>
              <w:rPr>
                <w:sz w:val="4"/>
                <w:szCs w:val="4"/>
                <w:color w:val="auto"/>
              </w:rPr>
            </w:pPr>
          </w:p>
        </w:tc>
        <w:tc>
          <w:tcPr>
            <w:tcW w:w="920" w:type="dxa"/>
            <w:vAlign w:val="bottom"/>
            <w:tcBorders>
              <w:top w:val="single" w:sz="8" w:color="7A04DD"/>
            </w:tcBorders>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70" w:type="dxa"/>
            <w:vAlign w:val="bottom"/>
          </w:tcPr>
          <w:p>
            <w:pPr>
              <w:spacing w:after="0"/>
              <w:rPr>
                <w:sz w:val="4"/>
                <w:szCs w:val="4"/>
                <w:color w:val="auto"/>
              </w:rPr>
            </w:pPr>
          </w:p>
        </w:tc>
        <w:tc>
          <w:tcPr>
            <w:tcW w:w="99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720" w:type="dxa"/>
            <w:vAlign w:val="bottom"/>
            <w:shd w:val="clear" w:color="auto" w:fill="EBFBFF"/>
          </w:tcPr>
          <w:p>
            <w:pPr>
              <w:spacing w:after="0"/>
              <w:rPr>
                <w:sz w:val="22"/>
                <w:szCs w:val="22"/>
                <w:color w:val="auto"/>
              </w:rPr>
            </w:pPr>
          </w:p>
        </w:tc>
        <w:tc>
          <w:tcPr>
            <w:tcW w:w="360" w:type="dxa"/>
            <w:vAlign w:val="bottom"/>
            <w:gridSpan w:val="2"/>
            <w:shd w:val="clear" w:color="auto" w:fill="EBFBFF"/>
          </w:tcPr>
          <w:p>
            <w:pPr>
              <w:jc w:val="right"/>
              <w:spacing w:after="0"/>
              <w:rPr>
                <w:sz w:val="20"/>
                <w:szCs w:val="20"/>
                <w:color w:val="auto"/>
              </w:rPr>
            </w:pPr>
            <w:r>
              <w:rPr>
                <w:rFonts w:ascii="Arial" w:cs="Arial" w:eastAsia="Arial" w:hAnsi="Arial"/>
                <w:sz w:val="18"/>
                <w:szCs w:val="18"/>
                <w:color w:val="7A04DD"/>
                <w:w w:val="96"/>
              </w:rPr>
              <w:t>10.</w:t>
            </w:r>
            <w:r>
              <w:rPr>
                <w:rFonts w:ascii="Arial" w:cs="Arial" w:eastAsia="Arial" w:hAnsi="Arial"/>
                <w:sz w:val="18"/>
                <w:szCs w:val="18"/>
                <w:u w:val="single" w:color="auto"/>
                <w:color w:val="7A04DD"/>
                <w:w w:val="96"/>
              </w:rPr>
              <w:t>2</w:t>
            </w:r>
          </w:p>
        </w:tc>
        <w:tc>
          <w:tcPr>
            <w:tcW w:w="140" w:type="dxa"/>
            <w:vAlign w:val="bottom"/>
            <w:shd w:val="clear" w:color="auto" w:fill="EBFBFF"/>
          </w:tcPr>
          <w:p>
            <w:pPr>
              <w:spacing w:after="0"/>
              <w:rPr>
                <w:sz w:val="22"/>
                <w:szCs w:val="22"/>
                <w:color w:val="auto"/>
              </w:rPr>
            </w:pPr>
          </w:p>
        </w:tc>
        <w:tc>
          <w:tcPr>
            <w:tcW w:w="5380" w:type="dxa"/>
            <w:vAlign w:val="bottom"/>
            <w:gridSpan w:val="20"/>
            <w:shd w:val="clear" w:color="auto" w:fill="EBFBFF"/>
          </w:tcPr>
          <w:p>
            <w:pPr>
              <w:spacing w:after="0"/>
              <w:rPr>
                <w:sz w:val="20"/>
                <w:szCs w:val="20"/>
                <w:color w:val="auto"/>
              </w:rPr>
            </w:pPr>
            <w:r>
              <w:rPr>
                <w:rFonts w:ascii="Arial" w:cs="Arial" w:eastAsia="Arial" w:hAnsi="Arial"/>
                <w:sz w:val="18"/>
                <w:szCs w:val="18"/>
                <w:color w:val="7A04DD"/>
              </w:rPr>
              <w:t>LIBOR Transition Amendment, dated as of August 26, 2022,</w:t>
            </w:r>
          </w:p>
        </w:tc>
        <w:tc>
          <w:tcPr>
            <w:tcW w:w="1070" w:type="dxa"/>
            <w:vAlign w:val="bottom"/>
            <w:shd w:val="clear" w:color="auto" w:fill="EBFBFF"/>
          </w:tcPr>
          <w:p>
            <w:pPr>
              <w:jc w:val="center"/>
              <w:ind w:right="63"/>
              <w:spacing w:after="0"/>
              <w:rPr>
                <w:sz w:val="20"/>
                <w:szCs w:val="20"/>
                <w:color w:val="auto"/>
              </w:rPr>
            </w:pPr>
            <w:r>
              <w:rPr>
                <w:rFonts w:ascii="Arial" w:cs="Arial" w:eastAsia="Arial" w:hAnsi="Arial"/>
                <w:sz w:val="18"/>
                <w:szCs w:val="18"/>
                <w:color w:val="51555C"/>
                <w:w w:val="99"/>
              </w:rPr>
              <w:t>X</w:t>
            </w:r>
          </w:p>
        </w:tc>
        <w:tc>
          <w:tcPr>
            <w:tcW w:w="990" w:type="dxa"/>
            <w:vAlign w:val="bottom"/>
            <w:shd w:val="clear" w:color="auto" w:fill="EBFBFF"/>
          </w:tcPr>
          <w:p>
            <w:pPr>
              <w:spacing w:after="0"/>
              <w:rPr>
                <w:sz w:val="22"/>
                <w:szCs w:val="22"/>
                <w:color w:val="auto"/>
              </w:rPr>
            </w:pPr>
          </w:p>
        </w:tc>
        <w:tc>
          <w:tcPr>
            <w:tcW w:w="1220" w:type="dxa"/>
            <w:vAlign w:val="bottom"/>
            <w:shd w:val="clear" w:color="auto" w:fill="EBFBFF"/>
          </w:tcPr>
          <w:p>
            <w:pPr>
              <w:spacing w:after="0"/>
              <w:rPr>
                <w:sz w:val="22"/>
                <w:szCs w:val="22"/>
                <w:color w:val="auto"/>
              </w:rPr>
            </w:pPr>
          </w:p>
        </w:tc>
        <w:tc>
          <w:tcPr>
            <w:tcW w:w="100" w:type="dxa"/>
            <w:vAlign w:val="bottom"/>
            <w:shd w:val="clear" w:color="auto" w:fill="EBFBFF"/>
          </w:tcPr>
          <w:p>
            <w:pPr>
              <w:spacing w:after="0"/>
              <w:rPr>
                <w:sz w:val="22"/>
                <w:szCs w:val="22"/>
                <w:color w:val="auto"/>
              </w:rPr>
            </w:pPr>
          </w:p>
        </w:tc>
        <w:tc>
          <w:tcPr>
            <w:tcW w:w="1260" w:type="dxa"/>
            <w:vAlign w:val="bottom"/>
            <w:shd w:val="clear" w:color="auto" w:fill="EBFB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7A04DD"/>
            </w:tcBorders>
            <w:shd w:val="clear" w:color="auto" w:fill="EBFBFF"/>
          </w:tcPr>
          <w:p>
            <w:pPr>
              <w:spacing w:after="0"/>
              <w:rPr>
                <w:sz w:val="17"/>
                <w:szCs w:val="17"/>
                <w:color w:val="auto"/>
              </w:rPr>
            </w:pPr>
          </w:p>
        </w:tc>
        <w:tc>
          <w:tcPr>
            <w:tcW w:w="260" w:type="dxa"/>
            <w:vAlign w:val="bottom"/>
            <w:tcBorders>
              <w:top w:val="single" w:sz="8" w:color="7A04DD"/>
            </w:tcBorders>
            <w:shd w:val="clear" w:color="auto" w:fill="EBFBFF"/>
          </w:tcPr>
          <w:p>
            <w:pPr>
              <w:spacing w:after="0"/>
              <w:rPr>
                <w:sz w:val="17"/>
                <w:szCs w:val="17"/>
                <w:color w:val="auto"/>
              </w:rPr>
            </w:pPr>
          </w:p>
        </w:tc>
        <w:tc>
          <w:tcPr>
            <w:tcW w:w="140" w:type="dxa"/>
            <w:vAlign w:val="bottom"/>
            <w:tcBorders>
              <w:top w:val="single" w:sz="8" w:color="EBFBFF"/>
            </w:tcBorders>
            <w:shd w:val="clear" w:color="auto" w:fill="EBFBFF"/>
          </w:tcPr>
          <w:p>
            <w:pPr>
              <w:spacing w:after="0"/>
              <w:rPr>
                <w:sz w:val="17"/>
                <w:szCs w:val="17"/>
                <w:color w:val="auto"/>
              </w:rPr>
            </w:pPr>
          </w:p>
        </w:tc>
        <w:tc>
          <w:tcPr>
            <w:tcW w:w="4780" w:type="dxa"/>
            <w:vAlign w:val="bottom"/>
            <w:tcBorders>
              <w:top w:val="single" w:sz="8" w:color="7A04DD"/>
            </w:tcBorders>
            <w:gridSpan w:val="12"/>
            <w:shd w:val="clear" w:color="auto" w:fill="EBFBFF"/>
          </w:tcPr>
          <w:p>
            <w:pPr>
              <w:spacing w:after="0" w:line="196" w:lineRule="exact"/>
              <w:rPr>
                <w:sz w:val="20"/>
                <w:szCs w:val="20"/>
                <w:color w:val="auto"/>
              </w:rPr>
            </w:pPr>
            <w:r>
              <w:rPr>
                <w:rFonts w:ascii="Arial" w:cs="Arial" w:eastAsia="Arial" w:hAnsi="Arial"/>
                <w:sz w:val="18"/>
                <w:szCs w:val="18"/>
                <w:color w:val="7A04DD"/>
              </w:rPr>
              <w:t>between Blackbaud, Inc. and Bank of America, N.A.</w:t>
            </w:r>
          </w:p>
        </w:tc>
        <w:tc>
          <w:tcPr>
            <w:tcW w:w="600" w:type="dxa"/>
            <w:vAlign w:val="bottom"/>
            <w:tcBorders>
              <w:top w:val="single" w:sz="8" w:color="EBFBFF"/>
            </w:tcBorders>
            <w:gridSpan w:val="8"/>
            <w:shd w:val="clear" w:color="auto" w:fill="EBFBFF"/>
          </w:tcPr>
          <w:p>
            <w:pPr>
              <w:spacing w:after="0"/>
              <w:rPr>
                <w:sz w:val="17"/>
                <w:szCs w:val="17"/>
                <w:color w:val="auto"/>
              </w:rPr>
            </w:pPr>
          </w:p>
        </w:tc>
        <w:tc>
          <w:tcPr>
            <w:tcW w:w="1070" w:type="dxa"/>
            <w:vAlign w:val="bottom"/>
            <w:tcBorders>
              <w:top w:val="single" w:sz="8" w:color="EBFBFF"/>
            </w:tcBorders>
            <w:shd w:val="clear" w:color="auto" w:fill="EBFBFF"/>
          </w:tcPr>
          <w:p>
            <w:pPr>
              <w:spacing w:after="0"/>
              <w:rPr>
                <w:sz w:val="17"/>
                <w:szCs w:val="17"/>
                <w:color w:val="auto"/>
              </w:rPr>
            </w:pPr>
          </w:p>
        </w:tc>
        <w:tc>
          <w:tcPr>
            <w:tcW w:w="990" w:type="dxa"/>
            <w:vAlign w:val="bottom"/>
            <w:tcBorders>
              <w:top w:val="single" w:sz="8" w:color="EBFBFF"/>
            </w:tcBorders>
            <w:shd w:val="clear" w:color="auto" w:fill="EBFBFF"/>
          </w:tcPr>
          <w:p>
            <w:pPr>
              <w:spacing w:after="0"/>
              <w:rPr>
                <w:sz w:val="17"/>
                <w:szCs w:val="17"/>
                <w:color w:val="auto"/>
              </w:rPr>
            </w:pPr>
          </w:p>
        </w:tc>
        <w:tc>
          <w:tcPr>
            <w:tcW w:w="122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1260"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72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260" w:type="dxa"/>
            <w:vAlign w:val="bottom"/>
            <w:tcBorders>
              <w:top w:val="single" w:sz="8" w:color="EBFBFF"/>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700" w:type="dxa"/>
            <w:vAlign w:val="bottom"/>
            <w:tcBorders>
              <w:top w:val="single" w:sz="8" w:color="7A04DD"/>
            </w:tcBorders>
            <w:shd w:val="clear" w:color="auto" w:fill="EBFBFF"/>
          </w:tcPr>
          <w:p>
            <w:pPr>
              <w:spacing w:after="0"/>
              <w:rPr>
                <w:sz w:val="4"/>
                <w:szCs w:val="4"/>
                <w:color w:val="auto"/>
              </w:rPr>
            </w:pPr>
          </w:p>
        </w:tc>
        <w:tc>
          <w:tcPr>
            <w:tcW w:w="260" w:type="dxa"/>
            <w:vAlign w:val="bottom"/>
            <w:tcBorders>
              <w:top w:val="single" w:sz="8" w:color="7A04DD"/>
            </w:tcBorders>
            <w:shd w:val="clear" w:color="auto" w:fill="EBFBFF"/>
          </w:tcPr>
          <w:p>
            <w:pPr>
              <w:spacing w:after="0"/>
              <w:rPr>
                <w:sz w:val="4"/>
                <w:szCs w:val="4"/>
                <w:color w:val="auto"/>
              </w:rPr>
            </w:pPr>
          </w:p>
        </w:tc>
        <w:tc>
          <w:tcPr>
            <w:tcW w:w="920" w:type="dxa"/>
            <w:vAlign w:val="bottom"/>
            <w:tcBorders>
              <w:top w:val="single" w:sz="8" w:color="7A04DD"/>
            </w:tcBorders>
            <w:shd w:val="clear" w:color="auto" w:fill="EBFBFF"/>
          </w:tcPr>
          <w:p>
            <w:pPr>
              <w:spacing w:after="0"/>
              <w:rPr>
                <w:sz w:val="4"/>
                <w:szCs w:val="4"/>
                <w:color w:val="auto"/>
              </w:rPr>
            </w:pPr>
          </w:p>
        </w:tc>
        <w:tc>
          <w:tcPr>
            <w:tcW w:w="720" w:type="dxa"/>
            <w:vAlign w:val="bottom"/>
            <w:tcBorders>
              <w:top w:val="single" w:sz="8" w:color="7A04DD"/>
            </w:tcBorders>
            <w:shd w:val="clear" w:color="auto" w:fill="EBFBFF"/>
          </w:tcPr>
          <w:p>
            <w:pPr>
              <w:spacing w:after="0"/>
              <w:rPr>
                <w:sz w:val="4"/>
                <w:szCs w:val="4"/>
                <w:color w:val="auto"/>
              </w:rPr>
            </w:pPr>
          </w:p>
        </w:tc>
        <w:tc>
          <w:tcPr>
            <w:tcW w:w="120" w:type="dxa"/>
            <w:vAlign w:val="bottom"/>
            <w:tcBorders>
              <w:top w:val="single" w:sz="8" w:color="7A04DD"/>
            </w:tcBorders>
            <w:shd w:val="clear" w:color="auto" w:fill="EBFBFF"/>
          </w:tcPr>
          <w:p>
            <w:pPr>
              <w:spacing w:after="0"/>
              <w:rPr>
                <w:sz w:val="4"/>
                <w:szCs w:val="4"/>
                <w:color w:val="auto"/>
              </w:rPr>
            </w:pPr>
          </w:p>
        </w:tc>
        <w:tc>
          <w:tcPr>
            <w:tcW w:w="1080" w:type="dxa"/>
            <w:vAlign w:val="bottom"/>
            <w:tcBorders>
              <w:top w:val="single" w:sz="8" w:color="7A04DD"/>
            </w:tcBorders>
            <w:shd w:val="clear" w:color="auto" w:fill="EBFBFF"/>
          </w:tcPr>
          <w:p>
            <w:pPr>
              <w:spacing w:after="0"/>
              <w:rPr>
                <w:sz w:val="4"/>
                <w:szCs w:val="4"/>
                <w:color w:val="auto"/>
              </w:rPr>
            </w:pPr>
          </w:p>
        </w:tc>
        <w:tc>
          <w:tcPr>
            <w:tcW w:w="320" w:type="dxa"/>
            <w:vAlign w:val="bottom"/>
            <w:tcBorders>
              <w:top w:val="single" w:sz="8" w:color="7A04DD"/>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tcBorders>
            <w:shd w:val="clear" w:color="auto" w:fill="EBFBFF"/>
          </w:tcPr>
          <w:p>
            <w:pPr>
              <w:spacing w:after="0"/>
              <w:rPr>
                <w:sz w:val="4"/>
                <w:szCs w:val="4"/>
                <w:color w:val="auto"/>
              </w:rPr>
            </w:pPr>
          </w:p>
        </w:tc>
        <w:tc>
          <w:tcPr>
            <w:tcW w:w="20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tcBorders>
            <w:shd w:val="clear" w:color="auto" w:fill="EBFBFF"/>
          </w:tcPr>
          <w:p>
            <w:pPr>
              <w:spacing w:after="0"/>
              <w:rPr>
                <w:sz w:val="4"/>
                <w:szCs w:val="4"/>
                <w:color w:val="auto"/>
              </w:rPr>
            </w:pPr>
          </w:p>
        </w:tc>
        <w:tc>
          <w:tcPr>
            <w:tcW w:w="20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40" w:type="dxa"/>
            <w:vAlign w:val="bottom"/>
            <w:tcBorders>
              <w:top w:val="single" w:sz="8" w:color="EBFBFF"/>
            </w:tcBorders>
            <w:shd w:val="clear" w:color="auto" w:fill="EBFBFF"/>
          </w:tcPr>
          <w:p>
            <w:pPr>
              <w:spacing w:after="0"/>
              <w:rPr>
                <w:sz w:val="4"/>
                <w:szCs w:val="4"/>
                <w:color w:val="auto"/>
              </w:rPr>
            </w:pPr>
          </w:p>
        </w:tc>
        <w:tc>
          <w:tcPr>
            <w:tcW w:w="1070" w:type="dxa"/>
            <w:vAlign w:val="bottom"/>
            <w:tcBorders>
              <w:top w:val="single" w:sz="8" w:color="EBFBFF"/>
            </w:tcBorders>
            <w:shd w:val="clear" w:color="auto" w:fill="EBFBFF"/>
          </w:tcPr>
          <w:p>
            <w:pPr>
              <w:spacing w:after="0"/>
              <w:rPr>
                <w:sz w:val="4"/>
                <w:szCs w:val="4"/>
                <w:color w:val="auto"/>
              </w:rPr>
            </w:pPr>
          </w:p>
        </w:tc>
        <w:tc>
          <w:tcPr>
            <w:tcW w:w="990" w:type="dxa"/>
            <w:vAlign w:val="bottom"/>
            <w:tcBorders>
              <w:top w:val="single" w:sz="8" w:color="EBFBFF"/>
            </w:tcBorders>
            <w:shd w:val="clear" w:color="auto" w:fill="EBFBFF"/>
          </w:tcPr>
          <w:p>
            <w:pPr>
              <w:spacing w:after="0"/>
              <w:rPr>
                <w:sz w:val="4"/>
                <w:szCs w:val="4"/>
                <w:color w:val="auto"/>
              </w:rPr>
            </w:pPr>
          </w:p>
        </w:tc>
        <w:tc>
          <w:tcPr>
            <w:tcW w:w="122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1260" w:type="dxa"/>
            <w:vAlign w:val="bottom"/>
            <w:tcBorders>
              <w:top w:val="single" w:sz="8" w:color="EBFBFF"/>
            </w:tcBorders>
            <w:shd w:val="clear" w:color="auto" w:fill="EBFB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720" w:type="dxa"/>
            <w:vAlign w:val="bottom"/>
          </w:tcPr>
          <w:p>
            <w:pPr>
              <w:spacing w:after="0"/>
              <w:rPr>
                <w:sz w:val="22"/>
                <w:szCs w:val="22"/>
                <w:color w:val="auto"/>
              </w:rPr>
            </w:pPr>
          </w:p>
        </w:tc>
        <w:tc>
          <w:tcPr>
            <w:tcW w:w="360" w:type="dxa"/>
            <w:vAlign w:val="bottom"/>
            <w:tcBorders>
              <w:bottom w:val="single" w:sz="8" w:color="7A04DD"/>
            </w:tcBorders>
            <w:gridSpan w:val="2"/>
          </w:tcPr>
          <w:p>
            <w:pPr>
              <w:jc w:val="right"/>
              <w:spacing w:after="0"/>
              <w:rPr>
                <w:sz w:val="20"/>
                <w:szCs w:val="20"/>
                <w:color w:val="auto"/>
              </w:rPr>
            </w:pPr>
            <w:r>
              <w:rPr>
                <w:rFonts w:ascii="Arial" w:cs="Arial" w:eastAsia="Arial" w:hAnsi="Arial"/>
                <w:sz w:val="18"/>
                <w:szCs w:val="18"/>
                <w:color w:val="7A04DD"/>
                <w:w w:val="96"/>
              </w:rPr>
              <w:t>31.</w:t>
            </w:r>
            <w:r>
              <w:rPr>
                <w:rFonts w:ascii="Arial" w:cs="Arial" w:eastAsia="Arial" w:hAnsi="Arial"/>
                <w:sz w:val="18"/>
                <w:szCs w:val="18"/>
                <w:u w:val="single" w:color="auto"/>
                <w:color w:val="7A04DD"/>
                <w:w w:val="96"/>
              </w:rPr>
              <w:t>1</w:t>
            </w:r>
          </w:p>
        </w:tc>
        <w:tc>
          <w:tcPr>
            <w:tcW w:w="140" w:type="dxa"/>
            <w:vAlign w:val="bottom"/>
          </w:tcPr>
          <w:p>
            <w:pPr>
              <w:spacing w:after="0"/>
              <w:rPr>
                <w:sz w:val="22"/>
                <w:szCs w:val="22"/>
                <w:color w:val="auto"/>
              </w:rPr>
            </w:pPr>
          </w:p>
        </w:tc>
        <w:tc>
          <w:tcPr>
            <w:tcW w:w="4320" w:type="dxa"/>
            <w:vAlign w:val="bottom"/>
            <w:tcBorders>
              <w:bottom w:val="single" w:sz="8" w:color="7A04DD"/>
            </w:tcBorders>
            <w:gridSpan w:val="9"/>
          </w:tcPr>
          <w:p>
            <w:pPr>
              <w:spacing w:after="0"/>
              <w:rPr>
                <w:sz w:val="20"/>
                <w:szCs w:val="20"/>
                <w:color w:val="auto"/>
              </w:rPr>
            </w:pPr>
            <w:r>
              <w:rPr>
                <w:rFonts w:ascii="Arial" w:cs="Arial" w:eastAsia="Arial" w:hAnsi="Arial"/>
                <w:sz w:val="18"/>
                <w:szCs w:val="18"/>
                <w:color w:val="7A04DD"/>
                <w:w w:val="99"/>
              </w:rPr>
              <w:t>Certification by the Chief Executive Officer pursuant to</w:t>
            </w:r>
          </w:p>
        </w:tc>
        <w:tc>
          <w:tcPr>
            <w:tcW w:w="1060" w:type="dxa"/>
            <w:vAlign w:val="bottom"/>
            <w:gridSpan w:val="11"/>
          </w:tcPr>
          <w:p>
            <w:pPr>
              <w:spacing w:after="0"/>
              <w:rPr>
                <w:sz w:val="22"/>
                <w:szCs w:val="22"/>
                <w:color w:val="auto"/>
              </w:rPr>
            </w:pPr>
          </w:p>
        </w:tc>
        <w:tc>
          <w:tcPr>
            <w:tcW w:w="1070" w:type="dxa"/>
            <w:vAlign w:val="bottom"/>
          </w:tcPr>
          <w:p>
            <w:pPr>
              <w:jc w:val="center"/>
              <w:ind w:right="63"/>
              <w:spacing w:after="0"/>
              <w:rPr>
                <w:sz w:val="20"/>
                <w:szCs w:val="20"/>
                <w:color w:val="auto"/>
              </w:rPr>
            </w:pPr>
            <w:r>
              <w:rPr>
                <w:rFonts w:ascii="Arial" w:cs="Arial" w:eastAsia="Arial" w:hAnsi="Arial"/>
                <w:sz w:val="18"/>
                <w:szCs w:val="18"/>
                <w:color w:val="51555C"/>
                <w:w w:val="99"/>
              </w:rPr>
              <w:t>X</w:t>
            </w:r>
          </w:p>
        </w:tc>
        <w:tc>
          <w:tcPr>
            <w:tcW w:w="99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80" w:type="dxa"/>
            <w:vAlign w:val="bottom"/>
            <w:gridSpan w:val="20"/>
          </w:tcPr>
          <w:p>
            <w:pPr>
              <w:spacing w:after="0" w:line="196" w:lineRule="exact"/>
              <w:rPr>
                <w:sz w:val="20"/>
                <w:szCs w:val="20"/>
                <w:color w:val="auto"/>
              </w:rPr>
            </w:pPr>
            <w:r>
              <w:rPr>
                <w:rFonts w:ascii="Arial" w:cs="Arial" w:eastAsia="Arial" w:hAnsi="Arial"/>
                <w:sz w:val="18"/>
                <w:szCs w:val="18"/>
                <w:color w:val="7A04DD"/>
              </w:rPr>
              <w:t>Section 302 of the Sarbanes-Oxley Act of 2002.</w:t>
            </w:r>
          </w:p>
        </w:tc>
        <w:tc>
          <w:tcPr>
            <w:tcW w:w="1070" w:type="dxa"/>
            <w:vAlign w:val="bottom"/>
          </w:tcPr>
          <w:p>
            <w:pPr>
              <w:spacing w:after="0"/>
              <w:rPr>
                <w:sz w:val="17"/>
                <w:szCs w:val="17"/>
                <w:color w:val="auto"/>
              </w:rPr>
            </w:pPr>
          </w:p>
        </w:tc>
        <w:tc>
          <w:tcPr>
            <w:tcW w:w="99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top w:val="single" w:sz="8" w:color="7A04DD"/>
            </w:tcBorders>
          </w:tcPr>
          <w:p>
            <w:pPr>
              <w:spacing w:after="0"/>
              <w:rPr>
                <w:sz w:val="4"/>
                <w:szCs w:val="4"/>
                <w:color w:val="auto"/>
              </w:rPr>
            </w:pPr>
          </w:p>
        </w:tc>
        <w:tc>
          <w:tcPr>
            <w:tcW w:w="260" w:type="dxa"/>
            <w:vAlign w:val="bottom"/>
            <w:tcBorders>
              <w:top w:val="single" w:sz="8" w:color="7A04DD"/>
            </w:tcBorders>
          </w:tcPr>
          <w:p>
            <w:pPr>
              <w:spacing w:after="0"/>
              <w:rPr>
                <w:sz w:val="4"/>
                <w:szCs w:val="4"/>
                <w:color w:val="auto"/>
              </w:rPr>
            </w:pPr>
          </w:p>
        </w:tc>
        <w:tc>
          <w:tcPr>
            <w:tcW w:w="920" w:type="dxa"/>
            <w:vAlign w:val="bottom"/>
            <w:tcBorders>
              <w:top w:val="single" w:sz="8" w:color="7A04DD"/>
            </w:tcBorders>
          </w:tcPr>
          <w:p>
            <w:pPr>
              <w:spacing w:after="0"/>
              <w:rPr>
                <w:sz w:val="4"/>
                <w:szCs w:val="4"/>
                <w:color w:val="auto"/>
              </w:rPr>
            </w:pPr>
          </w:p>
        </w:tc>
        <w:tc>
          <w:tcPr>
            <w:tcW w:w="720" w:type="dxa"/>
            <w:vAlign w:val="bottom"/>
            <w:tcBorders>
              <w:top w:val="single" w:sz="8" w:color="7A04DD"/>
            </w:tcBorders>
          </w:tcPr>
          <w:p>
            <w:pPr>
              <w:spacing w:after="0"/>
              <w:rPr>
                <w:sz w:val="4"/>
                <w:szCs w:val="4"/>
                <w:color w:val="auto"/>
              </w:rPr>
            </w:pPr>
          </w:p>
        </w:tc>
        <w:tc>
          <w:tcPr>
            <w:tcW w:w="120" w:type="dxa"/>
            <w:vAlign w:val="bottom"/>
            <w:tcBorders>
              <w:top w:val="single" w:sz="8" w:color="7A04DD"/>
            </w:tcBorders>
          </w:tcPr>
          <w:p>
            <w:pPr>
              <w:spacing w:after="0"/>
              <w:rPr>
                <w:sz w:val="4"/>
                <w:szCs w:val="4"/>
                <w:color w:val="auto"/>
              </w:rPr>
            </w:pPr>
          </w:p>
        </w:tc>
        <w:tc>
          <w:tcPr>
            <w:tcW w:w="1080" w:type="dxa"/>
            <w:vAlign w:val="bottom"/>
            <w:tcBorders>
              <w:top w:val="single" w:sz="8" w:color="7A04DD"/>
            </w:tcBorders>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70" w:type="dxa"/>
            <w:vAlign w:val="bottom"/>
          </w:tcPr>
          <w:p>
            <w:pPr>
              <w:spacing w:after="0"/>
              <w:rPr>
                <w:sz w:val="4"/>
                <w:szCs w:val="4"/>
                <w:color w:val="auto"/>
              </w:rPr>
            </w:pPr>
          </w:p>
        </w:tc>
        <w:tc>
          <w:tcPr>
            <w:tcW w:w="99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720" w:type="dxa"/>
            <w:vAlign w:val="bottom"/>
            <w:tcBorders>
              <w:bottom w:val="single" w:sz="8" w:color="EBFBFF"/>
            </w:tcBorders>
            <w:shd w:val="clear" w:color="auto" w:fill="EBFBFF"/>
          </w:tcPr>
          <w:p>
            <w:pPr>
              <w:spacing w:after="0"/>
              <w:rPr>
                <w:sz w:val="22"/>
                <w:szCs w:val="22"/>
                <w:color w:val="auto"/>
              </w:rPr>
            </w:pPr>
          </w:p>
        </w:tc>
        <w:tc>
          <w:tcPr>
            <w:tcW w:w="360" w:type="dxa"/>
            <w:vAlign w:val="bottom"/>
            <w:tcBorders>
              <w:bottom w:val="single" w:sz="8" w:color="7A04DD"/>
            </w:tcBorders>
            <w:gridSpan w:val="2"/>
            <w:shd w:val="clear" w:color="auto" w:fill="EBFBFF"/>
          </w:tcPr>
          <w:p>
            <w:pPr>
              <w:jc w:val="right"/>
              <w:spacing w:after="0"/>
              <w:rPr>
                <w:sz w:val="20"/>
                <w:szCs w:val="20"/>
                <w:color w:val="auto"/>
              </w:rPr>
            </w:pPr>
            <w:r>
              <w:rPr>
                <w:rFonts w:ascii="Arial" w:cs="Arial" w:eastAsia="Arial" w:hAnsi="Arial"/>
                <w:sz w:val="18"/>
                <w:szCs w:val="18"/>
                <w:color w:val="7A04DD"/>
                <w:w w:val="96"/>
              </w:rPr>
              <w:t>31.</w:t>
            </w:r>
            <w:r>
              <w:rPr>
                <w:rFonts w:ascii="Arial" w:cs="Arial" w:eastAsia="Arial" w:hAnsi="Arial"/>
                <w:sz w:val="18"/>
                <w:szCs w:val="18"/>
                <w:u w:val="single" w:color="auto"/>
                <w:color w:val="7A04DD"/>
                <w:w w:val="96"/>
              </w:rPr>
              <w:t>2</w:t>
            </w:r>
          </w:p>
        </w:tc>
        <w:tc>
          <w:tcPr>
            <w:tcW w:w="140" w:type="dxa"/>
            <w:vAlign w:val="bottom"/>
            <w:tcBorders>
              <w:bottom w:val="single" w:sz="8" w:color="EBFBFF"/>
            </w:tcBorders>
            <w:shd w:val="clear" w:color="auto" w:fill="EBFBFF"/>
          </w:tcPr>
          <w:p>
            <w:pPr>
              <w:spacing w:after="0"/>
              <w:rPr>
                <w:sz w:val="22"/>
                <w:szCs w:val="22"/>
                <w:color w:val="auto"/>
              </w:rPr>
            </w:pPr>
          </w:p>
        </w:tc>
        <w:tc>
          <w:tcPr>
            <w:tcW w:w="4260" w:type="dxa"/>
            <w:vAlign w:val="bottom"/>
            <w:tcBorders>
              <w:bottom w:val="single" w:sz="8" w:color="7A04DD"/>
            </w:tcBorders>
            <w:gridSpan w:val="8"/>
            <w:shd w:val="clear" w:color="auto" w:fill="EBFBFF"/>
          </w:tcPr>
          <w:p>
            <w:pPr>
              <w:spacing w:after="0"/>
              <w:rPr>
                <w:sz w:val="20"/>
                <w:szCs w:val="20"/>
                <w:color w:val="auto"/>
              </w:rPr>
            </w:pPr>
            <w:r>
              <w:rPr>
                <w:rFonts w:ascii="Arial" w:cs="Arial" w:eastAsia="Arial" w:hAnsi="Arial"/>
                <w:sz w:val="18"/>
                <w:szCs w:val="18"/>
                <w:color w:val="7A04DD"/>
                <w:w w:val="99"/>
              </w:rPr>
              <w:t>Certification by the Chief Financial Officer pursuant to</w:t>
            </w:r>
          </w:p>
        </w:tc>
        <w:tc>
          <w:tcPr>
            <w:tcW w:w="1120" w:type="dxa"/>
            <w:vAlign w:val="bottom"/>
            <w:tcBorders>
              <w:bottom w:val="single" w:sz="8" w:color="EBFBFF"/>
            </w:tcBorders>
            <w:gridSpan w:val="12"/>
            <w:shd w:val="clear" w:color="auto" w:fill="EBFBFF"/>
          </w:tcPr>
          <w:p>
            <w:pPr>
              <w:spacing w:after="0"/>
              <w:rPr>
                <w:sz w:val="22"/>
                <w:szCs w:val="22"/>
                <w:color w:val="auto"/>
              </w:rPr>
            </w:pPr>
          </w:p>
        </w:tc>
        <w:tc>
          <w:tcPr>
            <w:tcW w:w="1070" w:type="dxa"/>
            <w:vAlign w:val="bottom"/>
            <w:tcBorders>
              <w:bottom w:val="single" w:sz="8" w:color="EBFBFF"/>
            </w:tcBorders>
            <w:shd w:val="clear" w:color="auto" w:fill="EBFBFF"/>
          </w:tcPr>
          <w:p>
            <w:pPr>
              <w:jc w:val="center"/>
              <w:ind w:right="63"/>
              <w:spacing w:after="0"/>
              <w:rPr>
                <w:sz w:val="20"/>
                <w:szCs w:val="20"/>
                <w:color w:val="auto"/>
              </w:rPr>
            </w:pPr>
            <w:r>
              <w:rPr>
                <w:rFonts w:ascii="Arial" w:cs="Arial" w:eastAsia="Arial" w:hAnsi="Arial"/>
                <w:sz w:val="18"/>
                <w:szCs w:val="18"/>
                <w:color w:val="51555C"/>
                <w:w w:val="99"/>
              </w:rPr>
              <w:t>X</w:t>
            </w:r>
          </w:p>
        </w:tc>
        <w:tc>
          <w:tcPr>
            <w:tcW w:w="990" w:type="dxa"/>
            <w:vAlign w:val="bottom"/>
            <w:tcBorders>
              <w:bottom w:val="single" w:sz="8" w:color="EBFBFF"/>
            </w:tcBorders>
            <w:shd w:val="clear" w:color="auto" w:fill="EBFBFF"/>
          </w:tcPr>
          <w:p>
            <w:pPr>
              <w:spacing w:after="0"/>
              <w:rPr>
                <w:sz w:val="22"/>
                <w:szCs w:val="22"/>
                <w:color w:val="auto"/>
              </w:rPr>
            </w:pPr>
          </w:p>
        </w:tc>
        <w:tc>
          <w:tcPr>
            <w:tcW w:w="1220" w:type="dxa"/>
            <w:vAlign w:val="bottom"/>
            <w:tcBorders>
              <w:bottom w:val="single" w:sz="8" w:color="EBFBFF"/>
            </w:tcBorders>
            <w:shd w:val="clear" w:color="auto" w:fill="EBFBFF"/>
          </w:tcPr>
          <w:p>
            <w:pPr>
              <w:spacing w:after="0"/>
              <w:rPr>
                <w:sz w:val="22"/>
                <w:szCs w:val="22"/>
                <w:color w:val="auto"/>
              </w:rPr>
            </w:pPr>
          </w:p>
        </w:tc>
        <w:tc>
          <w:tcPr>
            <w:tcW w:w="100" w:type="dxa"/>
            <w:vAlign w:val="bottom"/>
            <w:tcBorders>
              <w:bottom w:val="single" w:sz="8" w:color="EBFBFF"/>
            </w:tcBorders>
            <w:shd w:val="clear" w:color="auto" w:fill="EBFBFF"/>
          </w:tcPr>
          <w:p>
            <w:pPr>
              <w:spacing w:after="0"/>
              <w:rPr>
                <w:sz w:val="22"/>
                <w:szCs w:val="22"/>
                <w:color w:val="auto"/>
              </w:rPr>
            </w:pPr>
          </w:p>
        </w:tc>
        <w:tc>
          <w:tcPr>
            <w:tcW w:w="1260" w:type="dxa"/>
            <w:vAlign w:val="bottom"/>
            <w:tcBorders>
              <w:bottom w:val="single" w:sz="8" w:color="EBFBFF"/>
            </w:tcBorders>
            <w:shd w:val="clear" w:color="auto" w:fill="EBFB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3800" w:type="dxa"/>
            <w:vAlign w:val="bottom"/>
            <w:tcBorders>
              <w:bottom w:val="single" w:sz="8" w:color="7A04DD"/>
            </w:tcBorders>
            <w:gridSpan w:val="6"/>
            <w:shd w:val="clear" w:color="auto" w:fill="EBFBFF"/>
          </w:tcPr>
          <w:p>
            <w:pPr>
              <w:spacing w:after="0" w:line="196" w:lineRule="exact"/>
              <w:rPr>
                <w:sz w:val="20"/>
                <w:szCs w:val="20"/>
                <w:color w:val="auto"/>
              </w:rPr>
            </w:pPr>
            <w:r>
              <w:rPr>
                <w:rFonts w:ascii="Arial" w:cs="Arial" w:eastAsia="Arial" w:hAnsi="Arial"/>
                <w:sz w:val="18"/>
                <w:szCs w:val="18"/>
                <w:color w:val="7A04DD"/>
                <w:w w:val="99"/>
              </w:rPr>
              <w:t>Section 302 of the Sarbanes-Oxley Act of 2002.</w:t>
            </w:r>
          </w:p>
        </w:tc>
        <w:tc>
          <w:tcPr>
            <w:tcW w:w="1580" w:type="dxa"/>
            <w:vAlign w:val="bottom"/>
            <w:tcBorders>
              <w:bottom w:val="single" w:sz="8" w:color="EBFBFF"/>
            </w:tcBorders>
            <w:gridSpan w:val="14"/>
            <w:shd w:val="clear" w:color="auto" w:fill="EBFBFF"/>
          </w:tcPr>
          <w:p>
            <w:pPr>
              <w:spacing w:after="0"/>
              <w:rPr>
                <w:sz w:val="21"/>
                <w:szCs w:val="21"/>
                <w:color w:val="auto"/>
              </w:rPr>
            </w:pPr>
          </w:p>
        </w:tc>
        <w:tc>
          <w:tcPr>
            <w:tcW w:w="1070" w:type="dxa"/>
            <w:vAlign w:val="bottom"/>
            <w:tcBorders>
              <w:bottom w:val="single" w:sz="8" w:color="EBFBFF"/>
            </w:tcBorders>
            <w:shd w:val="clear" w:color="auto" w:fill="EBFBFF"/>
          </w:tcPr>
          <w:p>
            <w:pPr>
              <w:spacing w:after="0"/>
              <w:rPr>
                <w:sz w:val="21"/>
                <w:szCs w:val="21"/>
                <w:color w:val="auto"/>
              </w:rPr>
            </w:pPr>
          </w:p>
        </w:tc>
        <w:tc>
          <w:tcPr>
            <w:tcW w:w="990" w:type="dxa"/>
            <w:vAlign w:val="bottom"/>
            <w:tcBorders>
              <w:bottom w:val="single" w:sz="8" w:color="EBFBFF"/>
            </w:tcBorders>
            <w:shd w:val="clear" w:color="auto" w:fill="EBFBFF"/>
          </w:tcPr>
          <w:p>
            <w:pPr>
              <w:spacing w:after="0"/>
              <w:rPr>
                <w:sz w:val="21"/>
                <w:szCs w:val="21"/>
                <w:color w:val="auto"/>
              </w:rPr>
            </w:pPr>
          </w:p>
        </w:tc>
        <w:tc>
          <w:tcPr>
            <w:tcW w:w="12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2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7A04DD"/>
                <w:w w:val="96"/>
              </w:rPr>
              <w:t>32.</w:t>
            </w:r>
            <w:r>
              <w:rPr>
                <w:rFonts w:ascii="Arial" w:cs="Arial" w:eastAsia="Arial" w:hAnsi="Arial"/>
                <w:sz w:val="18"/>
                <w:szCs w:val="18"/>
                <w:u w:val="single" w:color="auto"/>
                <w:color w:val="7A04DD"/>
                <w:w w:val="96"/>
              </w:rPr>
              <w:t>1</w:t>
            </w:r>
          </w:p>
        </w:tc>
        <w:tc>
          <w:tcPr>
            <w:tcW w:w="140" w:type="dxa"/>
            <w:vAlign w:val="bottom"/>
          </w:tcPr>
          <w:p>
            <w:pPr>
              <w:spacing w:after="0"/>
              <w:rPr>
                <w:sz w:val="22"/>
                <w:szCs w:val="22"/>
                <w:color w:val="auto"/>
              </w:rPr>
            </w:pPr>
          </w:p>
        </w:tc>
        <w:tc>
          <w:tcPr>
            <w:tcW w:w="5380" w:type="dxa"/>
            <w:vAlign w:val="bottom"/>
            <w:gridSpan w:val="20"/>
          </w:tcPr>
          <w:p>
            <w:pPr>
              <w:spacing w:after="0"/>
              <w:rPr>
                <w:sz w:val="20"/>
                <w:szCs w:val="20"/>
                <w:color w:val="auto"/>
              </w:rPr>
            </w:pPr>
            <w:r>
              <w:rPr>
                <w:rFonts w:ascii="Arial" w:cs="Arial" w:eastAsia="Arial" w:hAnsi="Arial"/>
                <w:sz w:val="18"/>
                <w:szCs w:val="18"/>
                <w:color w:val="7A04DD"/>
              </w:rPr>
              <w:t>Certification by the Chief Executive Officer pursuant to 18 U.S.C.</w:t>
            </w:r>
          </w:p>
        </w:tc>
        <w:tc>
          <w:tcPr>
            <w:tcW w:w="1070" w:type="dxa"/>
            <w:vAlign w:val="bottom"/>
          </w:tcPr>
          <w:p>
            <w:pPr>
              <w:jc w:val="center"/>
              <w:ind w:right="63"/>
              <w:spacing w:after="0"/>
              <w:rPr>
                <w:sz w:val="20"/>
                <w:szCs w:val="20"/>
                <w:color w:val="auto"/>
              </w:rPr>
            </w:pPr>
            <w:r>
              <w:rPr>
                <w:rFonts w:ascii="Arial" w:cs="Arial" w:eastAsia="Arial" w:hAnsi="Arial"/>
                <w:sz w:val="18"/>
                <w:szCs w:val="18"/>
                <w:color w:val="51555C"/>
                <w:w w:val="99"/>
              </w:rPr>
              <w:t>X</w:t>
            </w:r>
          </w:p>
        </w:tc>
        <w:tc>
          <w:tcPr>
            <w:tcW w:w="99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Borders>
              <w:top w:val="single" w:sz="8" w:color="7A04DD"/>
            </w:tcBorders>
          </w:tcPr>
          <w:p>
            <w:pPr>
              <w:spacing w:after="0"/>
              <w:rPr>
                <w:sz w:val="17"/>
                <w:szCs w:val="17"/>
                <w:color w:val="auto"/>
              </w:rPr>
            </w:pPr>
          </w:p>
        </w:tc>
        <w:tc>
          <w:tcPr>
            <w:tcW w:w="260" w:type="dxa"/>
            <w:vAlign w:val="bottom"/>
            <w:tcBorders>
              <w:top w:val="single" w:sz="8" w:color="7A04DD"/>
            </w:tcBorders>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tcBorders>
              <w:top w:val="single" w:sz="8" w:color="7A04DD"/>
            </w:tcBorders>
            <w:gridSpan w:val="19"/>
          </w:tcPr>
          <w:p>
            <w:pPr>
              <w:spacing w:after="0" w:line="196" w:lineRule="exact"/>
              <w:rPr>
                <w:sz w:val="20"/>
                <w:szCs w:val="20"/>
                <w:color w:val="auto"/>
              </w:rPr>
            </w:pPr>
            <w:r>
              <w:rPr>
                <w:rFonts w:ascii="Arial" w:cs="Arial" w:eastAsia="Arial" w:hAnsi="Arial"/>
                <w:sz w:val="18"/>
                <w:szCs w:val="18"/>
                <w:color w:val="7A04DD"/>
                <w:w w:val="99"/>
              </w:rPr>
              <w:t>1350 as adopted pursuant to Section 906 of the Sarbanes-Oxley</w:t>
            </w:r>
          </w:p>
        </w:tc>
        <w:tc>
          <w:tcPr>
            <w:tcW w:w="240" w:type="dxa"/>
            <w:vAlign w:val="bottom"/>
          </w:tcPr>
          <w:p>
            <w:pPr>
              <w:spacing w:after="0"/>
              <w:rPr>
                <w:sz w:val="17"/>
                <w:szCs w:val="17"/>
                <w:color w:val="auto"/>
              </w:rPr>
            </w:pPr>
          </w:p>
        </w:tc>
        <w:tc>
          <w:tcPr>
            <w:tcW w:w="1070" w:type="dxa"/>
            <w:vAlign w:val="bottom"/>
          </w:tcPr>
          <w:p>
            <w:pPr>
              <w:spacing w:after="0"/>
              <w:rPr>
                <w:sz w:val="17"/>
                <w:szCs w:val="17"/>
                <w:color w:val="auto"/>
              </w:rPr>
            </w:pPr>
          </w:p>
        </w:tc>
        <w:tc>
          <w:tcPr>
            <w:tcW w:w="99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tcBorders>
              <w:top w:val="single" w:sz="8" w:color="7A04DD"/>
            </w:tcBorders>
            <w:gridSpan w:val="18"/>
          </w:tcPr>
          <w:p>
            <w:pPr>
              <w:spacing w:after="0" w:line="196" w:lineRule="exact"/>
              <w:rPr>
                <w:sz w:val="20"/>
                <w:szCs w:val="20"/>
                <w:color w:val="auto"/>
              </w:rPr>
            </w:pPr>
            <w:r>
              <w:rPr>
                <w:rFonts w:ascii="Arial" w:cs="Arial" w:eastAsia="Arial" w:hAnsi="Arial"/>
                <w:sz w:val="18"/>
                <w:szCs w:val="18"/>
                <w:color w:val="7A04DD"/>
              </w:rPr>
              <w:t>Act of 2002.</w:t>
            </w:r>
          </w:p>
        </w:tc>
        <w:tc>
          <w:tcPr>
            <w:tcW w:w="260" w:type="dxa"/>
            <w:vAlign w:val="bottom"/>
            <w:gridSpan w:val="2"/>
          </w:tcPr>
          <w:p>
            <w:pPr>
              <w:spacing w:after="0"/>
              <w:rPr>
                <w:sz w:val="17"/>
                <w:szCs w:val="17"/>
                <w:color w:val="auto"/>
              </w:rPr>
            </w:pPr>
          </w:p>
        </w:tc>
        <w:tc>
          <w:tcPr>
            <w:tcW w:w="1070" w:type="dxa"/>
            <w:vAlign w:val="bottom"/>
          </w:tcPr>
          <w:p>
            <w:pPr>
              <w:spacing w:after="0"/>
              <w:rPr>
                <w:sz w:val="17"/>
                <w:szCs w:val="17"/>
                <w:color w:val="auto"/>
              </w:rPr>
            </w:pPr>
          </w:p>
        </w:tc>
        <w:tc>
          <w:tcPr>
            <w:tcW w:w="99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top w:val="single" w:sz="8" w:color="7A04DD"/>
            </w:tcBorders>
          </w:tcPr>
          <w:p>
            <w:pPr>
              <w:spacing w:after="0"/>
              <w:rPr>
                <w:sz w:val="4"/>
                <w:szCs w:val="4"/>
                <w:color w:val="auto"/>
              </w:rPr>
            </w:pPr>
          </w:p>
        </w:tc>
        <w:tc>
          <w:tcPr>
            <w:tcW w:w="260" w:type="dxa"/>
            <w:vAlign w:val="bottom"/>
            <w:tcBorders>
              <w:top w:val="single" w:sz="8" w:color="7A04DD"/>
            </w:tcBorders>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70" w:type="dxa"/>
            <w:vAlign w:val="bottom"/>
          </w:tcPr>
          <w:p>
            <w:pPr>
              <w:spacing w:after="0"/>
              <w:rPr>
                <w:sz w:val="4"/>
                <w:szCs w:val="4"/>
                <w:color w:val="auto"/>
              </w:rPr>
            </w:pPr>
          </w:p>
        </w:tc>
        <w:tc>
          <w:tcPr>
            <w:tcW w:w="99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720" w:type="dxa"/>
            <w:vAlign w:val="bottom"/>
            <w:shd w:val="clear" w:color="auto" w:fill="EBFBFF"/>
          </w:tcPr>
          <w:p>
            <w:pPr>
              <w:spacing w:after="0"/>
              <w:rPr>
                <w:sz w:val="22"/>
                <w:szCs w:val="22"/>
                <w:color w:val="auto"/>
              </w:rPr>
            </w:pPr>
          </w:p>
        </w:tc>
        <w:tc>
          <w:tcPr>
            <w:tcW w:w="360" w:type="dxa"/>
            <w:vAlign w:val="bottom"/>
            <w:gridSpan w:val="2"/>
            <w:shd w:val="clear" w:color="auto" w:fill="EBFBFF"/>
          </w:tcPr>
          <w:p>
            <w:pPr>
              <w:jc w:val="right"/>
              <w:spacing w:after="0"/>
              <w:rPr>
                <w:sz w:val="20"/>
                <w:szCs w:val="20"/>
                <w:color w:val="auto"/>
              </w:rPr>
            </w:pPr>
            <w:r>
              <w:rPr>
                <w:rFonts w:ascii="Arial" w:cs="Arial" w:eastAsia="Arial" w:hAnsi="Arial"/>
                <w:sz w:val="18"/>
                <w:szCs w:val="18"/>
                <w:color w:val="7A04DD"/>
                <w:w w:val="96"/>
              </w:rPr>
              <w:t>32.</w:t>
            </w:r>
            <w:r>
              <w:rPr>
                <w:rFonts w:ascii="Arial" w:cs="Arial" w:eastAsia="Arial" w:hAnsi="Arial"/>
                <w:sz w:val="18"/>
                <w:szCs w:val="18"/>
                <w:u w:val="single" w:color="auto"/>
                <w:color w:val="7A04DD"/>
                <w:w w:val="96"/>
              </w:rPr>
              <w:t>2</w:t>
            </w:r>
          </w:p>
        </w:tc>
        <w:tc>
          <w:tcPr>
            <w:tcW w:w="140" w:type="dxa"/>
            <w:vAlign w:val="bottom"/>
            <w:shd w:val="clear" w:color="auto" w:fill="EBFBFF"/>
          </w:tcPr>
          <w:p>
            <w:pPr>
              <w:spacing w:after="0"/>
              <w:rPr>
                <w:sz w:val="22"/>
                <w:szCs w:val="22"/>
                <w:color w:val="auto"/>
              </w:rPr>
            </w:pPr>
          </w:p>
        </w:tc>
        <w:tc>
          <w:tcPr>
            <w:tcW w:w="5380" w:type="dxa"/>
            <w:vAlign w:val="bottom"/>
            <w:gridSpan w:val="20"/>
            <w:shd w:val="clear" w:color="auto" w:fill="EBFBFF"/>
          </w:tcPr>
          <w:p>
            <w:pPr>
              <w:spacing w:after="0"/>
              <w:rPr>
                <w:sz w:val="20"/>
                <w:szCs w:val="20"/>
                <w:color w:val="auto"/>
              </w:rPr>
            </w:pPr>
            <w:r>
              <w:rPr>
                <w:rFonts w:ascii="Arial" w:cs="Arial" w:eastAsia="Arial" w:hAnsi="Arial"/>
                <w:sz w:val="18"/>
                <w:szCs w:val="18"/>
                <w:color w:val="7A04DD"/>
              </w:rPr>
              <w:t>Certification by the Chief Financial Officer pursuant to 18 U.S.C.</w:t>
            </w:r>
          </w:p>
        </w:tc>
        <w:tc>
          <w:tcPr>
            <w:tcW w:w="1070" w:type="dxa"/>
            <w:vAlign w:val="bottom"/>
            <w:shd w:val="clear" w:color="auto" w:fill="EBFBFF"/>
          </w:tcPr>
          <w:p>
            <w:pPr>
              <w:jc w:val="center"/>
              <w:ind w:right="63"/>
              <w:spacing w:after="0"/>
              <w:rPr>
                <w:sz w:val="20"/>
                <w:szCs w:val="20"/>
                <w:color w:val="auto"/>
              </w:rPr>
            </w:pPr>
            <w:r>
              <w:rPr>
                <w:rFonts w:ascii="Arial" w:cs="Arial" w:eastAsia="Arial" w:hAnsi="Arial"/>
                <w:sz w:val="18"/>
                <w:szCs w:val="18"/>
                <w:color w:val="51555C"/>
                <w:w w:val="99"/>
              </w:rPr>
              <w:t>X</w:t>
            </w:r>
          </w:p>
        </w:tc>
        <w:tc>
          <w:tcPr>
            <w:tcW w:w="990" w:type="dxa"/>
            <w:vAlign w:val="bottom"/>
            <w:shd w:val="clear" w:color="auto" w:fill="EBFBFF"/>
          </w:tcPr>
          <w:p>
            <w:pPr>
              <w:spacing w:after="0"/>
              <w:rPr>
                <w:sz w:val="22"/>
                <w:szCs w:val="22"/>
                <w:color w:val="auto"/>
              </w:rPr>
            </w:pPr>
          </w:p>
        </w:tc>
        <w:tc>
          <w:tcPr>
            <w:tcW w:w="1220" w:type="dxa"/>
            <w:vAlign w:val="bottom"/>
            <w:shd w:val="clear" w:color="auto" w:fill="EBFBFF"/>
          </w:tcPr>
          <w:p>
            <w:pPr>
              <w:spacing w:after="0"/>
              <w:rPr>
                <w:sz w:val="22"/>
                <w:szCs w:val="22"/>
                <w:color w:val="auto"/>
              </w:rPr>
            </w:pPr>
          </w:p>
        </w:tc>
        <w:tc>
          <w:tcPr>
            <w:tcW w:w="100" w:type="dxa"/>
            <w:vAlign w:val="bottom"/>
            <w:shd w:val="clear" w:color="auto" w:fill="EBFBFF"/>
          </w:tcPr>
          <w:p>
            <w:pPr>
              <w:spacing w:after="0"/>
              <w:rPr>
                <w:sz w:val="22"/>
                <w:szCs w:val="22"/>
                <w:color w:val="auto"/>
              </w:rPr>
            </w:pPr>
          </w:p>
        </w:tc>
        <w:tc>
          <w:tcPr>
            <w:tcW w:w="1260" w:type="dxa"/>
            <w:vAlign w:val="bottom"/>
            <w:shd w:val="clear" w:color="auto" w:fill="EBFB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EBFBFF"/>
          </w:tcPr>
          <w:p>
            <w:pPr>
              <w:spacing w:after="0" w:line="20" w:lineRule="exact"/>
              <w:rPr>
                <w:sz w:val="1"/>
                <w:szCs w:val="1"/>
                <w:color w:val="auto"/>
              </w:rPr>
            </w:pPr>
          </w:p>
        </w:tc>
        <w:tc>
          <w:tcPr>
            <w:tcW w:w="100" w:type="dxa"/>
            <w:vAlign w:val="bottom"/>
            <w:shd w:val="clear" w:color="auto" w:fill="7A04DD"/>
          </w:tcPr>
          <w:p>
            <w:pPr>
              <w:spacing w:after="0" w:line="20" w:lineRule="exact"/>
              <w:rPr>
                <w:sz w:val="1"/>
                <w:szCs w:val="1"/>
                <w:color w:val="auto"/>
              </w:rPr>
            </w:pPr>
          </w:p>
        </w:tc>
        <w:tc>
          <w:tcPr>
            <w:tcW w:w="260" w:type="dxa"/>
            <w:vAlign w:val="bottom"/>
            <w:shd w:val="clear" w:color="auto" w:fill="7A04DD"/>
          </w:tcPr>
          <w:p>
            <w:pPr>
              <w:spacing w:after="0" w:line="20" w:lineRule="exact"/>
              <w:rPr>
                <w:sz w:val="1"/>
                <w:szCs w:val="1"/>
                <w:color w:val="auto"/>
              </w:rPr>
            </w:pPr>
          </w:p>
        </w:tc>
        <w:tc>
          <w:tcPr>
            <w:tcW w:w="140" w:type="dxa"/>
            <w:vAlign w:val="bottom"/>
            <w:shd w:val="clear" w:color="auto" w:fill="EBFBFF"/>
          </w:tcPr>
          <w:p>
            <w:pPr>
              <w:spacing w:after="0" w:line="20" w:lineRule="exact"/>
              <w:rPr>
                <w:sz w:val="1"/>
                <w:szCs w:val="1"/>
                <w:color w:val="auto"/>
              </w:rPr>
            </w:pPr>
          </w:p>
        </w:tc>
        <w:tc>
          <w:tcPr>
            <w:tcW w:w="5080" w:type="dxa"/>
            <w:vAlign w:val="bottom"/>
            <w:gridSpan w:val="16"/>
            <w:shd w:val="clear" w:color="auto" w:fill="7A04DD"/>
          </w:tcPr>
          <w:p>
            <w:pPr>
              <w:spacing w:after="0" w:line="20" w:lineRule="exact"/>
              <w:rPr>
                <w:sz w:val="1"/>
                <w:szCs w:val="1"/>
                <w:color w:val="auto"/>
              </w:rPr>
            </w:pPr>
          </w:p>
        </w:tc>
        <w:tc>
          <w:tcPr>
            <w:tcW w:w="300" w:type="dxa"/>
            <w:vAlign w:val="bottom"/>
            <w:gridSpan w:val="4"/>
            <w:shd w:val="clear" w:color="auto" w:fill="EBFBFF"/>
          </w:tcPr>
          <w:p>
            <w:pPr>
              <w:spacing w:after="0" w:line="20" w:lineRule="exact"/>
              <w:rPr>
                <w:sz w:val="1"/>
                <w:szCs w:val="1"/>
                <w:color w:val="auto"/>
              </w:rPr>
            </w:pPr>
          </w:p>
        </w:tc>
        <w:tc>
          <w:tcPr>
            <w:tcW w:w="1070" w:type="dxa"/>
            <w:vAlign w:val="bottom"/>
            <w:shd w:val="clear" w:color="auto" w:fill="EBFBFF"/>
          </w:tcPr>
          <w:p>
            <w:pPr>
              <w:spacing w:after="0" w:line="20" w:lineRule="exact"/>
              <w:rPr>
                <w:sz w:val="1"/>
                <w:szCs w:val="1"/>
                <w:color w:val="auto"/>
              </w:rPr>
            </w:pPr>
          </w:p>
        </w:tc>
        <w:tc>
          <w:tcPr>
            <w:tcW w:w="990" w:type="dxa"/>
            <w:vAlign w:val="bottom"/>
            <w:shd w:val="clear" w:color="auto" w:fill="EBFBFF"/>
          </w:tcPr>
          <w:p>
            <w:pPr>
              <w:spacing w:after="0" w:line="20" w:lineRule="exact"/>
              <w:rPr>
                <w:sz w:val="1"/>
                <w:szCs w:val="1"/>
                <w:color w:val="auto"/>
              </w:rPr>
            </w:pPr>
          </w:p>
        </w:tc>
        <w:tc>
          <w:tcPr>
            <w:tcW w:w="1220" w:type="dxa"/>
            <w:vAlign w:val="bottom"/>
            <w:shd w:val="clear" w:color="auto" w:fill="EBFBFF"/>
          </w:tcPr>
          <w:p>
            <w:pPr>
              <w:spacing w:after="0" w:line="20" w:lineRule="exact"/>
              <w:rPr>
                <w:sz w:val="1"/>
                <w:szCs w:val="1"/>
                <w:color w:val="auto"/>
              </w:rPr>
            </w:pPr>
          </w:p>
        </w:tc>
        <w:tc>
          <w:tcPr>
            <w:tcW w:w="100" w:type="dxa"/>
            <w:vAlign w:val="bottom"/>
            <w:shd w:val="clear" w:color="auto" w:fill="EBFBFF"/>
          </w:tcPr>
          <w:p>
            <w:pPr>
              <w:spacing w:after="0" w:line="20" w:lineRule="exact"/>
              <w:rPr>
                <w:sz w:val="1"/>
                <w:szCs w:val="1"/>
                <w:color w:val="auto"/>
              </w:rPr>
            </w:pPr>
          </w:p>
        </w:tc>
        <w:tc>
          <w:tcPr>
            <w:tcW w:w="1260"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shd w:val="clear" w:color="auto" w:fill="EBFBFF"/>
          </w:tcPr>
          <w:p>
            <w:pPr>
              <w:spacing w:after="0"/>
              <w:rPr>
                <w:sz w:val="17"/>
                <w:szCs w:val="17"/>
                <w:color w:val="auto"/>
              </w:rPr>
            </w:pPr>
          </w:p>
        </w:tc>
        <w:tc>
          <w:tcPr>
            <w:tcW w:w="100" w:type="dxa"/>
            <w:vAlign w:val="bottom"/>
            <w:shd w:val="clear" w:color="auto" w:fill="EBFBFF"/>
          </w:tcPr>
          <w:p>
            <w:pPr>
              <w:spacing w:after="0"/>
              <w:rPr>
                <w:sz w:val="17"/>
                <w:szCs w:val="17"/>
                <w:color w:val="auto"/>
              </w:rPr>
            </w:pPr>
          </w:p>
        </w:tc>
        <w:tc>
          <w:tcPr>
            <w:tcW w:w="260" w:type="dxa"/>
            <w:vAlign w:val="bottom"/>
            <w:shd w:val="clear" w:color="auto" w:fill="EBFBFF"/>
          </w:tcPr>
          <w:p>
            <w:pPr>
              <w:spacing w:after="0"/>
              <w:rPr>
                <w:sz w:val="17"/>
                <w:szCs w:val="17"/>
                <w:color w:val="auto"/>
              </w:rPr>
            </w:pPr>
          </w:p>
        </w:tc>
        <w:tc>
          <w:tcPr>
            <w:tcW w:w="140" w:type="dxa"/>
            <w:vAlign w:val="bottom"/>
            <w:shd w:val="clear" w:color="auto" w:fill="EBFBFF"/>
          </w:tcPr>
          <w:p>
            <w:pPr>
              <w:spacing w:after="0"/>
              <w:rPr>
                <w:sz w:val="17"/>
                <w:szCs w:val="17"/>
                <w:color w:val="auto"/>
              </w:rPr>
            </w:pPr>
          </w:p>
        </w:tc>
        <w:tc>
          <w:tcPr>
            <w:tcW w:w="5380" w:type="dxa"/>
            <w:vAlign w:val="bottom"/>
            <w:gridSpan w:val="20"/>
            <w:shd w:val="clear" w:color="auto" w:fill="EBFBFF"/>
          </w:tcPr>
          <w:p>
            <w:pPr>
              <w:spacing w:after="0" w:line="196" w:lineRule="exact"/>
              <w:rPr>
                <w:sz w:val="20"/>
                <w:szCs w:val="20"/>
                <w:color w:val="auto"/>
              </w:rPr>
            </w:pPr>
            <w:r>
              <w:rPr>
                <w:rFonts w:ascii="Arial" w:cs="Arial" w:eastAsia="Arial" w:hAnsi="Arial"/>
                <w:sz w:val="18"/>
                <w:szCs w:val="18"/>
                <w:color w:val="7A04DD"/>
              </w:rPr>
              <w:t>1350 as adopted pursuant to Section 906 of the Sarbanes-Oxley</w:t>
            </w:r>
          </w:p>
        </w:tc>
        <w:tc>
          <w:tcPr>
            <w:tcW w:w="1070" w:type="dxa"/>
            <w:vAlign w:val="bottom"/>
            <w:shd w:val="clear" w:color="auto" w:fill="EBFBFF"/>
          </w:tcPr>
          <w:p>
            <w:pPr>
              <w:spacing w:after="0"/>
              <w:rPr>
                <w:sz w:val="17"/>
                <w:szCs w:val="17"/>
                <w:color w:val="auto"/>
              </w:rPr>
            </w:pPr>
          </w:p>
        </w:tc>
        <w:tc>
          <w:tcPr>
            <w:tcW w:w="990" w:type="dxa"/>
            <w:vAlign w:val="bottom"/>
            <w:shd w:val="clear" w:color="auto" w:fill="EBFBFF"/>
          </w:tcPr>
          <w:p>
            <w:pPr>
              <w:spacing w:after="0"/>
              <w:rPr>
                <w:sz w:val="17"/>
                <w:szCs w:val="17"/>
                <w:color w:val="auto"/>
              </w:rPr>
            </w:pPr>
          </w:p>
        </w:tc>
        <w:tc>
          <w:tcPr>
            <w:tcW w:w="1220" w:type="dxa"/>
            <w:vAlign w:val="bottom"/>
            <w:shd w:val="clear" w:color="auto" w:fill="EBFBFF"/>
          </w:tcPr>
          <w:p>
            <w:pPr>
              <w:spacing w:after="0"/>
              <w:rPr>
                <w:sz w:val="17"/>
                <w:szCs w:val="17"/>
                <w:color w:val="auto"/>
              </w:rPr>
            </w:pPr>
          </w:p>
        </w:tc>
        <w:tc>
          <w:tcPr>
            <w:tcW w:w="100" w:type="dxa"/>
            <w:vAlign w:val="bottom"/>
            <w:shd w:val="clear" w:color="auto" w:fill="EBFBFF"/>
          </w:tcPr>
          <w:p>
            <w:pPr>
              <w:spacing w:after="0"/>
              <w:rPr>
                <w:sz w:val="17"/>
                <w:szCs w:val="17"/>
                <w:color w:val="auto"/>
              </w:rPr>
            </w:pPr>
          </w:p>
        </w:tc>
        <w:tc>
          <w:tcPr>
            <w:tcW w:w="126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20" w:type="dxa"/>
            <w:vAlign w:val="bottom"/>
            <w:tcBorders>
              <w:top w:val="single" w:sz="8" w:color="EBFBFF"/>
              <w:bottom w:val="single" w:sz="8" w:color="EBFBFF"/>
            </w:tcBorders>
            <w:shd w:val="clear" w:color="auto" w:fill="EBFBFF"/>
          </w:tcPr>
          <w:p>
            <w:pPr>
              <w:spacing w:after="0"/>
              <w:rPr>
                <w:sz w:val="21"/>
                <w:szCs w:val="21"/>
                <w:color w:val="auto"/>
              </w:rPr>
            </w:pPr>
          </w:p>
        </w:tc>
        <w:tc>
          <w:tcPr>
            <w:tcW w:w="100" w:type="dxa"/>
            <w:vAlign w:val="bottom"/>
            <w:tcBorders>
              <w:top w:val="single" w:sz="8" w:color="EBFBFF"/>
              <w:bottom w:val="single" w:sz="8" w:color="EBFBFF"/>
            </w:tcBorders>
            <w:shd w:val="clear" w:color="auto" w:fill="EBFBFF"/>
          </w:tcPr>
          <w:p>
            <w:pPr>
              <w:spacing w:after="0"/>
              <w:rPr>
                <w:sz w:val="21"/>
                <w:szCs w:val="21"/>
                <w:color w:val="auto"/>
              </w:rPr>
            </w:pPr>
          </w:p>
        </w:tc>
        <w:tc>
          <w:tcPr>
            <w:tcW w:w="260" w:type="dxa"/>
            <w:vAlign w:val="bottom"/>
            <w:tcBorders>
              <w:top w:val="single" w:sz="8" w:color="EBFBFF"/>
              <w:bottom w:val="single" w:sz="8" w:color="EBFBFF"/>
            </w:tcBorders>
            <w:shd w:val="clear" w:color="auto" w:fill="EBFBFF"/>
          </w:tcPr>
          <w:p>
            <w:pPr>
              <w:spacing w:after="0"/>
              <w:rPr>
                <w:sz w:val="21"/>
                <w:szCs w:val="21"/>
                <w:color w:val="auto"/>
              </w:rPr>
            </w:pPr>
          </w:p>
        </w:tc>
        <w:tc>
          <w:tcPr>
            <w:tcW w:w="140" w:type="dxa"/>
            <w:vAlign w:val="bottom"/>
            <w:tcBorders>
              <w:top w:val="single" w:sz="8" w:color="EBFBFF"/>
              <w:bottom w:val="single" w:sz="8" w:color="EBFBFF"/>
            </w:tcBorders>
            <w:shd w:val="clear" w:color="auto" w:fill="EBFBFF"/>
          </w:tcPr>
          <w:p>
            <w:pPr>
              <w:spacing w:after="0"/>
              <w:rPr>
                <w:sz w:val="21"/>
                <w:szCs w:val="21"/>
                <w:color w:val="auto"/>
              </w:rPr>
            </w:pPr>
          </w:p>
        </w:tc>
        <w:tc>
          <w:tcPr>
            <w:tcW w:w="960" w:type="dxa"/>
            <w:vAlign w:val="bottom"/>
            <w:tcBorders>
              <w:top w:val="single" w:sz="8" w:color="7A04DD"/>
              <w:bottom w:val="single" w:sz="8" w:color="7A04DD"/>
            </w:tcBorders>
            <w:gridSpan w:val="2"/>
            <w:shd w:val="clear" w:color="auto" w:fill="EBFBFF"/>
          </w:tcPr>
          <w:p>
            <w:pPr>
              <w:spacing w:after="0" w:line="196" w:lineRule="exact"/>
              <w:rPr>
                <w:sz w:val="20"/>
                <w:szCs w:val="20"/>
                <w:color w:val="auto"/>
              </w:rPr>
            </w:pPr>
            <w:r>
              <w:rPr>
                <w:rFonts w:ascii="Arial" w:cs="Arial" w:eastAsia="Arial" w:hAnsi="Arial"/>
                <w:sz w:val="18"/>
                <w:szCs w:val="18"/>
                <w:color w:val="7A04DD"/>
                <w:w w:val="97"/>
              </w:rPr>
              <w:t>Act of 2002.</w:t>
            </w:r>
          </w:p>
        </w:tc>
        <w:tc>
          <w:tcPr>
            <w:tcW w:w="4160" w:type="dxa"/>
            <w:vAlign w:val="bottom"/>
            <w:tcBorders>
              <w:top w:val="single" w:sz="8" w:color="7A04DD"/>
              <w:bottom w:val="single" w:sz="8" w:color="EBFBFF"/>
            </w:tcBorders>
            <w:gridSpan w:val="16"/>
            <w:shd w:val="clear" w:color="auto" w:fill="EBFBFF"/>
          </w:tcPr>
          <w:p>
            <w:pPr>
              <w:spacing w:after="0"/>
              <w:rPr>
                <w:sz w:val="21"/>
                <w:szCs w:val="21"/>
                <w:color w:val="auto"/>
              </w:rPr>
            </w:pPr>
          </w:p>
        </w:tc>
        <w:tc>
          <w:tcPr>
            <w:tcW w:w="260" w:type="dxa"/>
            <w:vAlign w:val="bottom"/>
            <w:tcBorders>
              <w:top w:val="single" w:sz="8" w:color="EBFBFF"/>
              <w:bottom w:val="single" w:sz="8" w:color="EBFBFF"/>
            </w:tcBorders>
            <w:gridSpan w:val="2"/>
            <w:shd w:val="clear" w:color="auto" w:fill="EBFBFF"/>
          </w:tcPr>
          <w:p>
            <w:pPr>
              <w:spacing w:after="0"/>
              <w:rPr>
                <w:sz w:val="21"/>
                <w:szCs w:val="21"/>
                <w:color w:val="auto"/>
              </w:rPr>
            </w:pPr>
          </w:p>
        </w:tc>
        <w:tc>
          <w:tcPr>
            <w:tcW w:w="1070" w:type="dxa"/>
            <w:vAlign w:val="bottom"/>
            <w:tcBorders>
              <w:top w:val="single" w:sz="8" w:color="EBFBFF"/>
              <w:bottom w:val="single" w:sz="8" w:color="EBFBFF"/>
            </w:tcBorders>
            <w:shd w:val="clear" w:color="auto" w:fill="EBFBFF"/>
          </w:tcPr>
          <w:p>
            <w:pPr>
              <w:spacing w:after="0"/>
              <w:rPr>
                <w:sz w:val="21"/>
                <w:szCs w:val="21"/>
                <w:color w:val="auto"/>
              </w:rPr>
            </w:pPr>
          </w:p>
        </w:tc>
        <w:tc>
          <w:tcPr>
            <w:tcW w:w="990" w:type="dxa"/>
            <w:vAlign w:val="bottom"/>
            <w:tcBorders>
              <w:top w:val="single" w:sz="8" w:color="EBFBFF"/>
              <w:bottom w:val="single" w:sz="8" w:color="EBFBFF"/>
            </w:tcBorders>
            <w:shd w:val="clear" w:color="auto" w:fill="EBFBFF"/>
          </w:tcPr>
          <w:p>
            <w:pPr>
              <w:spacing w:after="0"/>
              <w:rPr>
                <w:sz w:val="21"/>
                <w:szCs w:val="21"/>
                <w:color w:val="auto"/>
              </w:rPr>
            </w:pPr>
          </w:p>
        </w:tc>
        <w:tc>
          <w:tcPr>
            <w:tcW w:w="1220" w:type="dxa"/>
            <w:vAlign w:val="bottom"/>
            <w:tcBorders>
              <w:top w:val="single" w:sz="8" w:color="EBFBFF"/>
              <w:bottom w:val="single" w:sz="8" w:color="EBFBFF"/>
            </w:tcBorders>
            <w:shd w:val="clear" w:color="auto" w:fill="EBFBFF"/>
          </w:tcPr>
          <w:p>
            <w:pPr>
              <w:spacing w:after="0"/>
              <w:rPr>
                <w:sz w:val="21"/>
                <w:szCs w:val="21"/>
                <w:color w:val="auto"/>
              </w:rPr>
            </w:pPr>
          </w:p>
        </w:tc>
        <w:tc>
          <w:tcPr>
            <w:tcW w:w="100" w:type="dxa"/>
            <w:vAlign w:val="bottom"/>
            <w:tcBorders>
              <w:top w:val="single" w:sz="8" w:color="EBFBFF"/>
              <w:bottom w:val="single" w:sz="8" w:color="EBFBFF"/>
            </w:tcBorders>
            <w:shd w:val="clear" w:color="auto" w:fill="EBFBFF"/>
          </w:tcPr>
          <w:p>
            <w:pPr>
              <w:spacing w:after="0"/>
              <w:rPr>
                <w:sz w:val="21"/>
                <w:szCs w:val="21"/>
                <w:color w:val="auto"/>
              </w:rPr>
            </w:pPr>
          </w:p>
        </w:tc>
        <w:tc>
          <w:tcPr>
            <w:tcW w:w="1260" w:type="dxa"/>
            <w:vAlign w:val="bottom"/>
            <w:tcBorders>
              <w:top w:val="single" w:sz="8" w:color="EBFBFF"/>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080" w:type="dxa"/>
            <w:vAlign w:val="bottom"/>
            <w:gridSpan w:val="3"/>
          </w:tcPr>
          <w:p>
            <w:pPr>
              <w:jc w:val="right"/>
              <w:spacing w:after="0"/>
              <w:rPr>
                <w:sz w:val="20"/>
                <w:szCs w:val="20"/>
                <w:color w:val="auto"/>
              </w:rPr>
            </w:pPr>
            <w:r>
              <w:rPr>
                <w:rFonts w:ascii="Arial" w:cs="Arial" w:eastAsia="Arial" w:hAnsi="Arial"/>
                <w:sz w:val="18"/>
                <w:szCs w:val="18"/>
                <w:color w:val="51555C"/>
              </w:rPr>
              <w:t>101.INS</w:t>
            </w:r>
          </w:p>
        </w:tc>
        <w:tc>
          <w:tcPr>
            <w:tcW w:w="140" w:type="dxa"/>
            <w:vAlign w:val="bottom"/>
          </w:tcPr>
          <w:p>
            <w:pPr>
              <w:spacing w:after="0"/>
              <w:rPr>
                <w:sz w:val="21"/>
                <w:szCs w:val="21"/>
                <w:color w:val="auto"/>
              </w:rPr>
            </w:pPr>
          </w:p>
        </w:tc>
        <w:tc>
          <w:tcPr>
            <w:tcW w:w="5380" w:type="dxa"/>
            <w:vAlign w:val="bottom"/>
            <w:gridSpan w:val="20"/>
          </w:tcPr>
          <w:p>
            <w:pPr>
              <w:spacing w:after="0"/>
              <w:rPr>
                <w:sz w:val="20"/>
                <w:szCs w:val="20"/>
                <w:color w:val="auto"/>
              </w:rPr>
            </w:pPr>
            <w:r>
              <w:rPr>
                <w:rFonts w:ascii="Arial" w:cs="Arial" w:eastAsia="Arial" w:hAnsi="Arial"/>
                <w:sz w:val="18"/>
                <w:szCs w:val="18"/>
                <w:color w:val="51555C"/>
              </w:rPr>
              <w:t>Inline XBRL Instance Document - the Instance Document does</w:t>
            </w:r>
          </w:p>
        </w:tc>
        <w:tc>
          <w:tcPr>
            <w:tcW w:w="1070" w:type="dxa"/>
            <w:vAlign w:val="bottom"/>
          </w:tcPr>
          <w:p>
            <w:pPr>
              <w:jc w:val="center"/>
              <w:ind w:right="63"/>
              <w:spacing w:after="0"/>
              <w:rPr>
                <w:sz w:val="20"/>
                <w:szCs w:val="20"/>
                <w:color w:val="auto"/>
              </w:rPr>
            </w:pPr>
            <w:r>
              <w:rPr>
                <w:rFonts w:ascii="Arial" w:cs="Arial" w:eastAsia="Arial" w:hAnsi="Arial"/>
                <w:sz w:val="18"/>
                <w:szCs w:val="18"/>
                <w:color w:val="51555C"/>
                <w:w w:val="99"/>
              </w:rPr>
              <w:t>X</w:t>
            </w:r>
          </w:p>
        </w:tc>
        <w:tc>
          <w:tcPr>
            <w:tcW w:w="99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gridSpan w:val="20"/>
          </w:tcPr>
          <w:p>
            <w:pPr>
              <w:spacing w:after="0"/>
              <w:rPr>
                <w:sz w:val="20"/>
                <w:szCs w:val="20"/>
                <w:color w:val="auto"/>
              </w:rPr>
            </w:pPr>
            <w:r>
              <w:rPr>
                <w:rFonts w:ascii="Arial" w:cs="Arial" w:eastAsia="Arial" w:hAnsi="Arial"/>
                <w:sz w:val="18"/>
                <w:szCs w:val="18"/>
                <w:color w:val="51555C"/>
              </w:rPr>
              <w:t>not appear in the interactive data file because its XBRL tags are</w:t>
            </w:r>
          </w:p>
        </w:tc>
        <w:tc>
          <w:tcPr>
            <w:tcW w:w="1070" w:type="dxa"/>
            <w:vAlign w:val="bottom"/>
          </w:tcPr>
          <w:p>
            <w:pPr>
              <w:spacing w:after="0"/>
              <w:rPr>
                <w:sz w:val="18"/>
                <w:szCs w:val="18"/>
                <w:color w:val="auto"/>
              </w:rPr>
            </w:pPr>
          </w:p>
        </w:tc>
        <w:tc>
          <w:tcPr>
            <w:tcW w:w="99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gridSpan w:val="20"/>
          </w:tcPr>
          <w:p>
            <w:pPr>
              <w:spacing w:after="0"/>
              <w:rPr>
                <w:sz w:val="20"/>
                <w:szCs w:val="20"/>
                <w:color w:val="auto"/>
              </w:rPr>
            </w:pPr>
            <w:r>
              <w:rPr>
                <w:rFonts w:ascii="Arial" w:cs="Arial" w:eastAsia="Arial" w:hAnsi="Arial"/>
                <w:sz w:val="18"/>
                <w:szCs w:val="18"/>
                <w:color w:val="51555C"/>
              </w:rPr>
              <w:t>embedded within the Inline XBRL Document.</w:t>
            </w:r>
          </w:p>
        </w:tc>
        <w:tc>
          <w:tcPr>
            <w:tcW w:w="1070" w:type="dxa"/>
            <w:vAlign w:val="bottom"/>
          </w:tcPr>
          <w:p>
            <w:pPr>
              <w:spacing w:after="0"/>
              <w:rPr>
                <w:sz w:val="18"/>
                <w:szCs w:val="18"/>
                <w:color w:val="auto"/>
              </w:rPr>
            </w:pPr>
          </w:p>
        </w:tc>
        <w:tc>
          <w:tcPr>
            <w:tcW w:w="99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70" w:type="dxa"/>
            <w:vAlign w:val="bottom"/>
          </w:tcPr>
          <w:p>
            <w:pPr>
              <w:spacing w:after="0"/>
              <w:rPr>
                <w:sz w:val="2"/>
                <w:szCs w:val="2"/>
                <w:color w:val="auto"/>
              </w:rPr>
            </w:pPr>
          </w:p>
        </w:tc>
        <w:tc>
          <w:tcPr>
            <w:tcW w:w="99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EBFBFF"/>
            </w:tcBorders>
            <w:gridSpan w:val="3"/>
            <w:shd w:val="clear" w:color="auto" w:fill="EBFBFF"/>
          </w:tcPr>
          <w:p>
            <w:pPr>
              <w:jc w:val="right"/>
              <w:spacing w:after="0"/>
              <w:rPr>
                <w:sz w:val="20"/>
                <w:szCs w:val="20"/>
                <w:color w:val="auto"/>
              </w:rPr>
            </w:pPr>
            <w:r>
              <w:rPr>
                <w:rFonts w:ascii="Arial" w:cs="Arial" w:eastAsia="Arial" w:hAnsi="Arial"/>
                <w:sz w:val="18"/>
                <w:szCs w:val="18"/>
                <w:color w:val="51555C"/>
              </w:rPr>
              <w:t>101.SCH</w:t>
            </w:r>
          </w:p>
        </w:tc>
        <w:tc>
          <w:tcPr>
            <w:tcW w:w="140" w:type="dxa"/>
            <w:vAlign w:val="bottom"/>
            <w:tcBorders>
              <w:bottom w:val="single" w:sz="8" w:color="EBFBFF"/>
            </w:tcBorders>
            <w:shd w:val="clear" w:color="auto" w:fill="EBFBFF"/>
          </w:tcPr>
          <w:p>
            <w:pPr>
              <w:spacing w:after="0"/>
              <w:rPr>
                <w:sz w:val="21"/>
                <w:szCs w:val="21"/>
                <w:color w:val="auto"/>
              </w:rPr>
            </w:pPr>
          </w:p>
        </w:tc>
        <w:tc>
          <w:tcPr>
            <w:tcW w:w="5380" w:type="dxa"/>
            <w:vAlign w:val="bottom"/>
            <w:tcBorders>
              <w:bottom w:val="single" w:sz="8" w:color="EBFBFF"/>
            </w:tcBorders>
            <w:gridSpan w:val="20"/>
            <w:shd w:val="clear" w:color="auto" w:fill="EBFBFF"/>
          </w:tcPr>
          <w:p>
            <w:pPr>
              <w:spacing w:after="0"/>
              <w:rPr>
                <w:sz w:val="20"/>
                <w:szCs w:val="20"/>
                <w:color w:val="auto"/>
              </w:rPr>
            </w:pPr>
            <w:r>
              <w:rPr>
                <w:rFonts w:ascii="Arial" w:cs="Arial" w:eastAsia="Arial" w:hAnsi="Arial"/>
                <w:sz w:val="18"/>
                <w:szCs w:val="18"/>
                <w:color w:val="51555C"/>
              </w:rPr>
              <w:t>Inline XBRL Taxonomy Extension Schema Document.</w:t>
            </w:r>
          </w:p>
        </w:tc>
        <w:tc>
          <w:tcPr>
            <w:tcW w:w="1070" w:type="dxa"/>
            <w:vAlign w:val="bottom"/>
            <w:tcBorders>
              <w:bottom w:val="single" w:sz="8" w:color="EBFBFF"/>
            </w:tcBorders>
            <w:shd w:val="clear" w:color="auto" w:fill="EBFBFF"/>
          </w:tcPr>
          <w:p>
            <w:pPr>
              <w:jc w:val="center"/>
              <w:ind w:right="63"/>
              <w:spacing w:after="0"/>
              <w:rPr>
                <w:sz w:val="20"/>
                <w:szCs w:val="20"/>
                <w:color w:val="auto"/>
              </w:rPr>
            </w:pPr>
            <w:r>
              <w:rPr>
                <w:rFonts w:ascii="Arial" w:cs="Arial" w:eastAsia="Arial" w:hAnsi="Arial"/>
                <w:sz w:val="18"/>
                <w:szCs w:val="18"/>
                <w:color w:val="51555C"/>
                <w:w w:val="99"/>
              </w:rPr>
              <w:t>X</w:t>
            </w:r>
          </w:p>
        </w:tc>
        <w:tc>
          <w:tcPr>
            <w:tcW w:w="990" w:type="dxa"/>
            <w:vAlign w:val="bottom"/>
            <w:tcBorders>
              <w:bottom w:val="single" w:sz="8" w:color="EBFBFF"/>
            </w:tcBorders>
            <w:shd w:val="clear" w:color="auto" w:fill="EBFBFF"/>
          </w:tcPr>
          <w:p>
            <w:pPr>
              <w:spacing w:after="0"/>
              <w:rPr>
                <w:sz w:val="21"/>
                <w:szCs w:val="21"/>
                <w:color w:val="auto"/>
              </w:rPr>
            </w:pPr>
          </w:p>
        </w:tc>
        <w:tc>
          <w:tcPr>
            <w:tcW w:w="12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080" w:type="dxa"/>
            <w:vAlign w:val="bottom"/>
            <w:gridSpan w:val="3"/>
          </w:tcPr>
          <w:p>
            <w:pPr>
              <w:jc w:val="right"/>
              <w:spacing w:after="0"/>
              <w:rPr>
                <w:sz w:val="20"/>
                <w:szCs w:val="20"/>
                <w:color w:val="auto"/>
              </w:rPr>
            </w:pPr>
            <w:r>
              <w:rPr>
                <w:rFonts w:ascii="Arial" w:cs="Arial" w:eastAsia="Arial" w:hAnsi="Arial"/>
                <w:sz w:val="18"/>
                <w:szCs w:val="18"/>
                <w:color w:val="51555C"/>
              </w:rPr>
              <w:t>101.CAL</w:t>
            </w:r>
          </w:p>
        </w:tc>
        <w:tc>
          <w:tcPr>
            <w:tcW w:w="140" w:type="dxa"/>
            <w:vAlign w:val="bottom"/>
          </w:tcPr>
          <w:p>
            <w:pPr>
              <w:spacing w:after="0"/>
              <w:rPr>
                <w:sz w:val="21"/>
                <w:szCs w:val="21"/>
                <w:color w:val="auto"/>
              </w:rPr>
            </w:pPr>
          </w:p>
        </w:tc>
        <w:tc>
          <w:tcPr>
            <w:tcW w:w="5380" w:type="dxa"/>
            <w:vAlign w:val="bottom"/>
            <w:gridSpan w:val="20"/>
          </w:tcPr>
          <w:p>
            <w:pPr>
              <w:spacing w:after="0"/>
              <w:rPr>
                <w:sz w:val="20"/>
                <w:szCs w:val="20"/>
                <w:color w:val="auto"/>
              </w:rPr>
            </w:pPr>
            <w:r>
              <w:rPr>
                <w:rFonts w:ascii="Arial" w:cs="Arial" w:eastAsia="Arial" w:hAnsi="Arial"/>
                <w:sz w:val="18"/>
                <w:szCs w:val="18"/>
                <w:color w:val="51555C"/>
              </w:rPr>
              <w:t>Inline XBRL Taxonomy Extension Calculation Linkbase</w:t>
            </w:r>
          </w:p>
        </w:tc>
        <w:tc>
          <w:tcPr>
            <w:tcW w:w="1070" w:type="dxa"/>
            <w:vAlign w:val="bottom"/>
          </w:tcPr>
          <w:p>
            <w:pPr>
              <w:jc w:val="center"/>
              <w:ind w:right="63"/>
              <w:spacing w:after="0"/>
              <w:rPr>
                <w:sz w:val="20"/>
                <w:szCs w:val="20"/>
                <w:color w:val="auto"/>
              </w:rPr>
            </w:pPr>
            <w:r>
              <w:rPr>
                <w:rFonts w:ascii="Arial" w:cs="Arial" w:eastAsia="Arial" w:hAnsi="Arial"/>
                <w:sz w:val="18"/>
                <w:szCs w:val="18"/>
                <w:color w:val="51555C"/>
                <w:w w:val="99"/>
              </w:rPr>
              <w:t>X</w:t>
            </w:r>
          </w:p>
        </w:tc>
        <w:tc>
          <w:tcPr>
            <w:tcW w:w="99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gridSpan w:val="20"/>
          </w:tcPr>
          <w:p>
            <w:pPr>
              <w:spacing w:after="0"/>
              <w:rPr>
                <w:sz w:val="20"/>
                <w:szCs w:val="20"/>
                <w:color w:val="auto"/>
              </w:rPr>
            </w:pPr>
            <w:r>
              <w:rPr>
                <w:rFonts w:ascii="Arial" w:cs="Arial" w:eastAsia="Arial" w:hAnsi="Arial"/>
                <w:sz w:val="18"/>
                <w:szCs w:val="18"/>
                <w:color w:val="51555C"/>
              </w:rPr>
              <w:t>Document.</w:t>
            </w:r>
          </w:p>
        </w:tc>
        <w:tc>
          <w:tcPr>
            <w:tcW w:w="1070" w:type="dxa"/>
            <w:vAlign w:val="bottom"/>
          </w:tcPr>
          <w:p>
            <w:pPr>
              <w:spacing w:after="0"/>
              <w:rPr>
                <w:sz w:val="18"/>
                <w:szCs w:val="18"/>
                <w:color w:val="auto"/>
              </w:rPr>
            </w:pPr>
          </w:p>
        </w:tc>
        <w:tc>
          <w:tcPr>
            <w:tcW w:w="99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70" w:type="dxa"/>
            <w:vAlign w:val="bottom"/>
          </w:tcPr>
          <w:p>
            <w:pPr>
              <w:spacing w:after="0"/>
              <w:rPr>
                <w:sz w:val="2"/>
                <w:szCs w:val="2"/>
                <w:color w:val="auto"/>
              </w:rPr>
            </w:pPr>
          </w:p>
        </w:tc>
        <w:tc>
          <w:tcPr>
            <w:tcW w:w="99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EBFBFF"/>
            </w:tcBorders>
            <w:gridSpan w:val="3"/>
            <w:shd w:val="clear" w:color="auto" w:fill="EBFBFF"/>
          </w:tcPr>
          <w:p>
            <w:pPr>
              <w:jc w:val="right"/>
              <w:spacing w:after="0"/>
              <w:rPr>
                <w:sz w:val="20"/>
                <w:szCs w:val="20"/>
                <w:color w:val="auto"/>
              </w:rPr>
            </w:pPr>
            <w:r>
              <w:rPr>
                <w:rFonts w:ascii="Arial" w:cs="Arial" w:eastAsia="Arial" w:hAnsi="Arial"/>
                <w:sz w:val="18"/>
                <w:szCs w:val="18"/>
                <w:color w:val="51555C"/>
              </w:rPr>
              <w:t>101.DEF</w:t>
            </w:r>
          </w:p>
        </w:tc>
        <w:tc>
          <w:tcPr>
            <w:tcW w:w="140" w:type="dxa"/>
            <w:vAlign w:val="bottom"/>
            <w:tcBorders>
              <w:bottom w:val="single" w:sz="8" w:color="EBFBFF"/>
            </w:tcBorders>
            <w:shd w:val="clear" w:color="auto" w:fill="EBFBFF"/>
          </w:tcPr>
          <w:p>
            <w:pPr>
              <w:spacing w:after="0"/>
              <w:rPr>
                <w:sz w:val="21"/>
                <w:szCs w:val="21"/>
                <w:color w:val="auto"/>
              </w:rPr>
            </w:pPr>
          </w:p>
        </w:tc>
        <w:tc>
          <w:tcPr>
            <w:tcW w:w="5380" w:type="dxa"/>
            <w:vAlign w:val="bottom"/>
            <w:tcBorders>
              <w:bottom w:val="single" w:sz="8" w:color="EBFBFF"/>
            </w:tcBorders>
            <w:gridSpan w:val="20"/>
            <w:shd w:val="clear" w:color="auto" w:fill="EBFBFF"/>
          </w:tcPr>
          <w:p>
            <w:pPr>
              <w:spacing w:after="0"/>
              <w:rPr>
                <w:sz w:val="20"/>
                <w:szCs w:val="20"/>
                <w:color w:val="auto"/>
              </w:rPr>
            </w:pPr>
            <w:r>
              <w:rPr>
                <w:rFonts w:ascii="Arial" w:cs="Arial" w:eastAsia="Arial" w:hAnsi="Arial"/>
                <w:sz w:val="18"/>
                <w:szCs w:val="18"/>
                <w:color w:val="51555C"/>
              </w:rPr>
              <w:t>Inline XBRL Taxonomy Extension Definition Linkbase Document.</w:t>
            </w:r>
          </w:p>
        </w:tc>
        <w:tc>
          <w:tcPr>
            <w:tcW w:w="1070" w:type="dxa"/>
            <w:vAlign w:val="bottom"/>
            <w:tcBorders>
              <w:bottom w:val="single" w:sz="8" w:color="EBFBFF"/>
            </w:tcBorders>
            <w:shd w:val="clear" w:color="auto" w:fill="EBFBFF"/>
          </w:tcPr>
          <w:p>
            <w:pPr>
              <w:jc w:val="center"/>
              <w:ind w:right="63"/>
              <w:spacing w:after="0"/>
              <w:rPr>
                <w:sz w:val="20"/>
                <w:szCs w:val="20"/>
                <w:color w:val="auto"/>
              </w:rPr>
            </w:pPr>
            <w:r>
              <w:rPr>
                <w:rFonts w:ascii="Arial" w:cs="Arial" w:eastAsia="Arial" w:hAnsi="Arial"/>
                <w:sz w:val="18"/>
                <w:szCs w:val="18"/>
                <w:color w:val="51555C"/>
                <w:w w:val="99"/>
              </w:rPr>
              <w:t>X</w:t>
            </w:r>
          </w:p>
        </w:tc>
        <w:tc>
          <w:tcPr>
            <w:tcW w:w="990" w:type="dxa"/>
            <w:vAlign w:val="bottom"/>
            <w:tcBorders>
              <w:bottom w:val="single" w:sz="8" w:color="EBFBFF"/>
            </w:tcBorders>
            <w:shd w:val="clear" w:color="auto" w:fill="EBFBFF"/>
          </w:tcPr>
          <w:p>
            <w:pPr>
              <w:spacing w:after="0"/>
              <w:rPr>
                <w:sz w:val="21"/>
                <w:szCs w:val="21"/>
                <w:color w:val="auto"/>
              </w:rPr>
            </w:pPr>
          </w:p>
        </w:tc>
        <w:tc>
          <w:tcPr>
            <w:tcW w:w="122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80" w:type="dxa"/>
            <w:vAlign w:val="bottom"/>
            <w:gridSpan w:val="3"/>
          </w:tcPr>
          <w:p>
            <w:pPr>
              <w:jc w:val="right"/>
              <w:spacing w:after="0"/>
              <w:rPr>
                <w:sz w:val="20"/>
                <w:szCs w:val="20"/>
                <w:color w:val="auto"/>
              </w:rPr>
            </w:pPr>
            <w:r>
              <w:rPr>
                <w:rFonts w:ascii="Arial" w:cs="Arial" w:eastAsia="Arial" w:hAnsi="Arial"/>
                <w:sz w:val="18"/>
                <w:szCs w:val="18"/>
                <w:color w:val="51555C"/>
              </w:rPr>
              <w:t>101.LAB</w:t>
            </w:r>
          </w:p>
        </w:tc>
        <w:tc>
          <w:tcPr>
            <w:tcW w:w="140" w:type="dxa"/>
            <w:vAlign w:val="bottom"/>
          </w:tcPr>
          <w:p>
            <w:pPr>
              <w:spacing w:after="0"/>
              <w:rPr>
                <w:sz w:val="21"/>
                <w:szCs w:val="21"/>
                <w:color w:val="auto"/>
              </w:rPr>
            </w:pPr>
          </w:p>
        </w:tc>
        <w:tc>
          <w:tcPr>
            <w:tcW w:w="5380" w:type="dxa"/>
            <w:vAlign w:val="bottom"/>
            <w:gridSpan w:val="20"/>
          </w:tcPr>
          <w:p>
            <w:pPr>
              <w:spacing w:after="0"/>
              <w:rPr>
                <w:sz w:val="20"/>
                <w:szCs w:val="20"/>
                <w:color w:val="auto"/>
              </w:rPr>
            </w:pPr>
            <w:r>
              <w:rPr>
                <w:rFonts w:ascii="Arial" w:cs="Arial" w:eastAsia="Arial" w:hAnsi="Arial"/>
                <w:sz w:val="18"/>
                <w:szCs w:val="18"/>
                <w:color w:val="51555C"/>
              </w:rPr>
              <w:t>Inline XBRL Taxonomy Extension Label Linkbase Document.</w:t>
            </w:r>
          </w:p>
        </w:tc>
        <w:tc>
          <w:tcPr>
            <w:tcW w:w="1070" w:type="dxa"/>
            <w:vAlign w:val="bottom"/>
          </w:tcPr>
          <w:p>
            <w:pPr>
              <w:jc w:val="center"/>
              <w:ind w:right="63"/>
              <w:spacing w:after="0"/>
              <w:rPr>
                <w:sz w:val="20"/>
                <w:szCs w:val="20"/>
                <w:color w:val="auto"/>
              </w:rPr>
            </w:pPr>
            <w:r>
              <w:rPr>
                <w:rFonts w:ascii="Arial" w:cs="Arial" w:eastAsia="Arial" w:hAnsi="Arial"/>
                <w:sz w:val="18"/>
                <w:szCs w:val="18"/>
                <w:color w:val="51555C"/>
                <w:w w:val="99"/>
              </w:rPr>
              <w:t>X</w:t>
            </w:r>
          </w:p>
        </w:tc>
        <w:tc>
          <w:tcPr>
            <w:tcW w:w="99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70" w:type="dxa"/>
            <w:vAlign w:val="bottom"/>
          </w:tcPr>
          <w:p>
            <w:pPr>
              <w:spacing w:after="0"/>
              <w:rPr>
                <w:sz w:val="2"/>
                <w:szCs w:val="2"/>
                <w:color w:val="auto"/>
              </w:rPr>
            </w:pPr>
          </w:p>
        </w:tc>
        <w:tc>
          <w:tcPr>
            <w:tcW w:w="99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1080" w:type="dxa"/>
            <w:vAlign w:val="bottom"/>
            <w:gridSpan w:val="3"/>
            <w:shd w:val="clear" w:color="auto" w:fill="EBFBFF"/>
          </w:tcPr>
          <w:p>
            <w:pPr>
              <w:jc w:val="right"/>
              <w:spacing w:after="0"/>
              <w:rPr>
                <w:sz w:val="20"/>
                <w:szCs w:val="20"/>
                <w:color w:val="auto"/>
              </w:rPr>
            </w:pPr>
            <w:r>
              <w:rPr>
                <w:rFonts w:ascii="Arial" w:cs="Arial" w:eastAsia="Arial" w:hAnsi="Arial"/>
                <w:sz w:val="18"/>
                <w:szCs w:val="18"/>
                <w:color w:val="51555C"/>
              </w:rPr>
              <w:t>101.PRE</w:t>
            </w:r>
          </w:p>
        </w:tc>
        <w:tc>
          <w:tcPr>
            <w:tcW w:w="140" w:type="dxa"/>
            <w:vAlign w:val="bottom"/>
            <w:shd w:val="clear" w:color="auto" w:fill="EBFBFF"/>
          </w:tcPr>
          <w:p>
            <w:pPr>
              <w:spacing w:after="0"/>
              <w:rPr>
                <w:sz w:val="21"/>
                <w:szCs w:val="21"/>
                <w:color w:val="auto"/>
              </w:rPr>
            </w:pPr>
          </w:p>
        </w:tc>
        <w:tc>
          <w:tcPr>
            <w:tcW w:w="5380" w:type="dxa"/>
            <w:vAlign w:val="bottom"/>
            <w:gridSpan w:val="20"/>
            <w:shd w:val="clear" w:color="auto" w:fill="EBFBFF"/>
          </w:tcPr>
          <w:p>
            <w:pPr>
              <w:spacing w:after="0"/>
              <w:rPr>
                <w:sz w:val="20"/>
                <w:szCs w:val="20"/>
                <w:color w:val="auto"/>
              </w:rPr>
            </w:pPr>
            <w:r>
              <w:rPr>
                <w:rFonts w:ascii="Arial" w:cs="Arial" w:eastAsia="Arial" w:hAnsi="Arial"/>
                <w:sz w:val="18"/>
                <w:szCs w:val="18"/>
                <w:color w:val="51555C"/>
              </w:rPr>
              <w:t>Inline XBRL Taxonomy Extension Presentation Linkbase</w:t>
            </w:r>
          </w:p>
        </w:tc>
        <w:tc>
          <w:tcPr>
            <w:tcW w:w="1070" w:type="dxa"/>
            <w:vAlign w:val="bottom"/>
            <w:shd w:val="clear" w:color="auto" w:fill="EBFBFF"/>
          </w:tcPr>
          <w:p>
            <w:pPr>
              <w:jc w:val="center"/>
              <w:ind w:right="63"/>
              <w:spacing w:after="0"/>
              <w:rPr>
                <w:sz w:val="20"/>
                <w:szCs w:val="20"/>
                <w:color w:val="auto"/>
              </w:rPr>
            </w:pPr>
            <w:r>
              <w:rPr>
                <w:rFonts w:ascii="Arial" w:cs="Arial" w:eastAsia="Arial" w:hAnsi="Arial"/>
                <w:sz w:val="18"/>
                <w:szCs w:val="18"/>
                <w:color w:val="51555C"/>
                <w:w w:val="99"/>
              </w:rPr>
              <w:t>X</w:t>
            </w:r>
          </w:p>
        </w:tc>
        <w:tc>
          <w:tcPr>
            <w:tcW w:w="990" w:type="dxa"/>
            <w:vAlign w:val="bottom"/>
            <w:shd w:val="clear" w:color="auto" w:fill="EBFBFF"/>
          </w:tcPr>
          <w:p>
            <w:pPr>
              <w:spacing w:after="0"/>
              <w:rPr>
                <w:sz w:val="21"/>
                <w:szCs w:val="21"/>
                <w:color w:val="auto"/>
              </w:rPr>
            </w:pPr>
          </w:p>
        </w:tc>
        <w:tc>
          <w:tcPr>
            <w:tcW w:w="1220" w:type="dxa"/>
            <w:vAlign w:val="bottom"/>
            <w:shd w:val="clear" w:color="auto" w:fill="EBFBFF"/>
          </w:tcPr>
          <w:p>
            <w:pPr>
              <w:spacing w:after="0"/>
              <w:rPr>
                <w:sz w:val="21"/>
                <w:szCs w:val="21"/>
                <w:color w:val="auto"/>
              </w:rPr>
            </w:pPr>
          </w:p>
        </w:tc>
        <w:tc>
          <w:tcPr>
            <w:tcW w:w="100" w:type="dxa"/>
            <w:vAlign w:val="bottom"/>
            <w:shd w:val="clear" w:color="auto" w:fill="EBFBFF"/>
          </w:tcPr>
          <w:p>
            <w:pPr>
              <w:spacing w:after="0"/>
              <w:rPr>
                <w:sz w:val="21"/>
                <w:szCs w:val="21"/>
                <w:color w:val="auto"/>
              </w:rPr>
            </w:pPr>
          </w:p>
        </w:tc>
        <w:tc>
          <w:tcPr>
            <w:tcW w:w="1260" w:type="dxa"/>
            <w:vAlign w:val="bottom"/>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20" w:type="dxa"/>
            <w:vAlign w:val="bottom"/>
            <w:tcBorders>
              <w:bottom w:val="single" w:sz="8" w:color="EBFBFF"/>
            </w:tcBorders>
            <w:shd w:val="clear" w:color="auto" w:fill="EBFBFF"/>
          </w:tcPr>
          <w:p>
            <w:pPr>
              <w:spacing w:after="0"/>
              <w:rPr>
                <w:sz w:val="19"/>
                <w:szCs w:val="19"/>
                <w:color w:val="auto"/>
              </w:rPr>
            </w:pPr>
          </w:p>
        </w:tc>
        <w:tc>
          <w:tcPr>
            <w:tcW w:w="100" w:type="dxa"/>
            <w:vAlign w:val="bottom"/>
            <w:tcBorders>
              <w:bottom w:val="single" w:sz="8" w:color="EBFBFF"/>
            </w:tcBorders>
            <w:shd w:val="clear" w:color="auto" w:fill="EBFBFF"/>
          </w:tcPr>
          <w:p>
            <w:pPr>
              <w:spacing w:after="0"/>
              <w:rPr>
                <w:sz w:val="19"/>
                <w:szCs w:val="19"/>
                <w:color w:val="auto"/>
              </w:rPr>
            </w:pPr>
          </w:p>
        </w:tc>
        <w:tc>
          <w:tcPr>
            <w:tcW w:w="260" w:type="dxa"/>
            <w:vAlign w:val="bottom"/>
            <w:tcBorders>
              <w:bottom w:val="single" w:sz="8" w:color="EBFBFF"/>
            </w:tcBorders>
            <w:shd w:val="clear" w:color="auto" w:fill="EBFBFF"/>
          </w:tcPr>
          <w:p>
            <w:pPr>
              <w:spacing w:after="0"/>
              <w:rPr>
                <w:sz w:val="19"/>
                <w:szCs w:val="19"/>
                <w:color w:val="auto"/>
              </w:rPr>
            </w:pPr>
          </w:p>
        </w:tc>
        <w:tc>
          <w:tcPr>
            <w:tcW w:w="140" w:type="dxa"/>
            <w:vAlign w:val="bottom"/>
            <w:tcBorders>
              <w:bottom w:val="single" w:sz="8" w:color="EBFBFF"/>
            </w:tcBorders>
            <w:shd w:val="clear" w:color="auto" w:fill="EBFBFF"/>
          </w:tcPr>
          <w:p>
            <w:pPr>
              <w:spacing w:after="0"/>
              <w:rPr>
                <w:sz w:val="19"/>
                <w:szCs w:val="19"/>
                <w:color w:val="auto"/>
              </w:rPr>
            </w:pPr>
          </w:p>
        </w:tc>
        <w:tc>
          <w:tcPr>
            <w:tcW w:w="5380" w:type="dxa"/>
            <w:vAlign w:val="bottom"/>
            <w:tcBorders>
              <w:bottom w:val="single" w:sz="8" w:color="EBFBFF"/>
            </w:tcBorders>
            <w:gridSpan w:val="20"/>
            <w:shd w:val="clear" w:color="auto" w:fill="EBFBFF"/>
          </w:tcPr>
          <w:p>
            <w:pPr>
              <w:spacing w:after="0"/>
              <w:rPr>
                <w:sz w:val="20"/>
                <w:szCs w:val="20"/>
                <w:color w:val="auto"/>
              </w:rPr>
            </w:pPr>
            <w:r>
              <w:rPr>
                <w:rFonts w:ascii="Arial" w:cs="Arial" w:eastAsia="Arial" w:hAnsi="Arial"/>
                <w:sz w:val="18"/>
                <w:szCs w:val="18"/>
                <w:color w:val="51555C"/>
              </w:rPr>
              <w:t>Document.</w:t>
            </w:r>
          </w:p>
        </w:tc>
        <w:tc>
          <w:tcPr>
            <w:tcW w:w="1070" w:type="dxa"/>
            <w:vAlign w:val="bottom"/>
            <w:tcBorders>
              <w:bottom w:val="single" w:sz="8" w:color="EBFBFF"/>
            </w:tcBorders>
            <w:shd w:val="clear" w:color="auto" w:fill="EBFBFF"/>
          </w:tcPr>
          <w:p>
            <w:pPr>
              <w:spacing w:after="0"/>
              <w:rPr>
                <w:sz w:val="19"/>
                <w:szCs w:val="19"/>
                <w:color w:val="auto"/>
              </w:rPr>
            </w:pPr>
          </w:p>
        </w:tc>
        <w:tc>
          <w:tcPr>
            <w:tcW w:w="990" w:type="dxa"/>
            <w:vAlign w:val="bottom"/>
            <w:tcBorders>
              <w:bottom w:val="single" w:sz="8" w:color="EBFBFF"/>
            </w:tcBorders>
            <w:shd w:val="clear" w:color="auto" w:fill="EBFBFF"/>
          </w:tcPr>
          <w:p>
            <w:pPr>
              <w:spacing w:after="0"/>
              <w:rPr>
                <w:sz w:val="19"/>
                <w:szCs w:val="19"/>
                <w:color w:val="auto"/>
              </w:rPr>
            </w:pPr>
          </w:p>
        </w:tc>
        <w:tc>
          <w:tcPr>
            <w:tcW w:w="1220" w:type="dxa"/>
            <w:vAlign w:val="bottom"/>
            <w:tcBorders>
              <w:bottom w:val="single" w:sz="8" w:color="EBFBFF"/>
            </w:tcBorders>
            <w:shd w:val="clear" w:color="auto" w:fill="EBFBFF"/>
          </w:tcPr>
          <w:p>
            <w:pPr>
              <w:spacing w:after="0"/>
              <w:rPr>
                <w:sz w:val="19"/>
                <w:szCs w:val="19"/>
                <w:color w:val="auto"/>
              </w:rPr>
            </w:pPr>
          </w:p>
        </w:tc>
        <w:tc>
          <w:tcPr>
            <w:tcW w:w="100" w:type="dxa"/>
            <w:vAlign w:val="bottom"/>
            <w:tcBorders>
              <w:bottom w:val="single" w:sz="8" w:color="EBFBFF"/>
            </w:tcBorders>
            <w:shd w:val="clear" w:color="auto" w:fill="EBFBFF"/>
          </w:tcPr>
          <w:p>
            <w:pPr>
              <w:spacing w:after="0"/>
              <w:rPr>
                <w:sz w:val="19"/>
                <w:szCs w:val="19"/>
                <w:color w:val="auto"/>
              </w:rPr>
            </w:pPr>
          </w:p>
        </w:tc>
        <w:tc>
          <w:tcPr>
            <w:tcW w:w="1260" w:type="dxa"/>
            <w:vAlign w:val="bottom"/>
            <w:tcBorders>
              <w:bottom w:val="single" w:sz="8" w:color="EBFBFF"/>
            </w:tcBorders>
            <w:shd w:val="clear" w:color="auto" w:fill="EBFB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080" w:type="dxa"/>
            <w:vAlign w:val="bottom"/>
            <w:gridSpan w:val="3"/>
          </w:tcPr>
          <w:p>
            <w:pPr>
              <w:jc w:val="right"/>
              <w:spacing w:after="0"/>
              <w:rPr>
                <w:sz w:val="20"/>
                <w:szCs w:val="20"/>
                <w:color w:val="auto"/>
              </w:rPr>
            </w:pPr>
            <w:r>
              <w:rPr>
                <w:rFonts w:ascii="Arial" w:cs="Arial" w:eastAsia="Arial" w:hAnsi="Arial"/>
                <w:sz w:val="18"/>
                <w:szCs w:val="18"/>
                <w:color w:val="51555C"/>
              </w:rPr>
              <w:t>104</w:t>
            </w:r>
          </w:p>
        </w:tc>
        <w:tc>
          <w:tcPr>
            <w:tcW w:w="140" w:type="dxa"/>
            <w:vAlign w:val="bottom"/>
          </w:tcPr>
          <w:p>
            <w:pPr>
              <w:spacing w:after="0"/>
              <w:rPr>
                <w:sz w:val="21"/>
                <w:szCs w:val="21"/>
                <w:color w:val="auto"/>
              </w:rPr>
            </w:pPr>
          </w:p>
        </w:tc>
        <w:tc>
          <w:tcPr>
            <w:tcW w:w="5380" w:type="dxa"/>
            <w:vAlign w:val="bottom"/>
            <w:gridSpan w:val="20"/>
          </w:tcPr>
          <w:p>
            <w:pPr>
              <w:spacing w:after="0"/>
              <w:rPr>
                <w:sz w:val="20"/>
                <w:szCs w:val="20"/>
                <w:color w:val="auto"/>
              </w:rPr>
            </w:pPr>
            <w:r>
              <w:rPr>
                <w:rFonts w:ascii="Arial" w:cs="Arial" w:eastAsia="Arial" w:hAnsi="Arial"/>
                <w:sz w:val="18"/>
                <w:szCs w:val="18"/>
                <w:color w:val="51555C"/>
              </w:rPr>
              <w:t>Cover Page Interactive Data File (formatted as Inline XBRL and</w:t>
            </w:r>
          </w:p>
        </w:tc>
        <w:tc>
          <w:tcPr>
            <w:tcW w:w="1070" w:type="dxa"/>
            <w:vAlign w:val="bottom"/>
          </w:tcPr>
          <w:p>
            <w:pPr>
              <w:jc w:val="center"/>
              <w:ind w:right="63"/>
              <w:spacing w:after="0"/>
              <w:rPr>
                <w:sz w:val="20"/>
                <w:szCs w:val="20"/>
                <w:color w:val="auto"/>
              </w:rPr>
            </w:pPr>
            <w:r>
              <w:rPr>
                <w:rFonts w:ascii="Arial" w:cs="Arial" w:eastAsia="Arial" w:hAnsi="Arial"/>
                <w:sz w:val="18"/>
                <w:szCs w:val="18"/>
                <w:color w:val="51555C"/>
                <w:w w:val="99"/>
              </w:rPr>
              <w:t>X</w:t>
            </w:r>
          </w:p>
        </w:tc>
        <w:tc>
          <w:tcPr>
            <w:tcW w:w="99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gridSpan w:val="20"/>
          </w:tcPr>
          <w:p>
            <w:pPr>
              <w:spacing w:after="0"/>
              <w:rPr>
                <w:sz w:val="20"/>
                <w:szCs w:val="20"/>
                <w:color w:val="auto"/>
              </w:rPr>
            </w:pPr>
            <w:r>
              <w:rPr>
                <w:rFonts w:ascii="Arial" w:cs="Arial" w:eastAsia="Arial" w:hAnsi="Arial"/>
                <w:sz w:val="18"/>
                <w:szCs w:val="18"/>
                <w:color w:val="51555C"/>
              </w:rPr>
              <w:t>contained in Exhibit 101).</w:t>
            </w:r>
          </w:p>
        </w:tc>
        <w:tc>
          <w:tcPr>
            <w:tcW w:w="1070" w:type="dxa"/>
            <w:vAlign w:val="bottom"/>
          </w:tcPr>
          <w:p>
            <w:pPr>
              <w:spacing w:after="0"/>
              <w:rPr>
                <w:sz w:val="18"/>
                <w:szCs w:val="18"/>
                <w:color w:val="auto"/>
              </w:rPr>
            </w:pPr>
          </w:p>
        </w:tc>
        <w:tc>
          <w:tcPr>
            <w:tcW w:w="99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260" w:type="dxa"/>
            <w:vAlign w:val="bottom"/>
            <w:tcBorders>
              <w:bottom w:val="single" w:sz="8" w:color="0CD973"/>
            </w:tcBorders>
          </w:tcPr>
          <w:p>
            <w:pPr>
              <w:spacing w:after="0"/>
              <w:rPr>
                <w:sz w:val="2"/>
                <w:szCs w:val="2"/>
                <w:color w:val="auto"/>
              </w:rPr>
            </w:pPr>
          </w:p>
        </w:tc>
        <w:tc>
          <w:tcPr>
            <w:tcW w:w="140" w:type="dxa"/>
            <w:vAlign w:val="bottom"/>
            <w:tcBorders>
              <w:bottom w:val="single" w:sz="8" w:color="0CD973"/>
            </w:tcBorders>
          </w:tcPr>
          <w:p>
            <w:pPr>
              <w:spacing w:after="0"/>
              <w:rPr>
                <w:sz w:val="2"/>
                <w:szCs w:val="2"/>
                <w:color w:val="auto"/>
              </w:rPr>
            </w:pPr>
          </w:p>
        </w:tc>
        <w:tc>
          <w:tcPr>
            <w:tcW w:w="700" w:type="dxa"/>
            <w:vAlign w:val="bottom"/>
            <w:tcBorders>
              <w:bottom w:val="single" w:sz="8" w:color="0CD973"/>
            </w:tcBorders>
          </w:tcPr>
          <w:p>
            <w:pPr>
              <w:spacing w:after="0"/>
              <w:rPr>
                <w:sz w:val="2"/>
                <w:szCs w:val="2"/>
                <w:color w:val="auto"/>
              </w:rPr>
            </w:pPr>
          </w:p>
        </w:tc>
        <w:tc>
          <w:tcPr>
            <w:tcW w:w="260" w:type="dxa"/>
            <w:vAlign w:val="bottom"/>
            <w:tcBorders>
              <w:bottom w:val="single" w:sz="8" w:color="0CD973"/>
            </w:tcBorders>
          </w:tcPr>
          <w:p>
            <w:pPr>
              <w:spacing w:after="0"/>
              <w:rPr>
                <w:sz w:val="2"/>
                <w:szCs w:val="2"/>
                <w:color w:val="auto"/>
              </w:rPr>
            </w:pPr>
          </w:p>
        </w:tc>
        <w:tc>
          <w:tcPr>
            <w:tcW w:w="920" w:type="dxa"/>
            <w:vAlign w:val="bottom"/>
            <w:tcBorders>
              <w:bottom w:val="single" w:sz="8" w:color="0CD973"/>
            </w:tcBorders>
          </w:tcPr>
          <w:p>
            <w:pPr>
              <w:spacing w:after="0"/>
              <w:rPr>
                <w:sz w:val="2"/>
                <w:szCs w:val="2"/>
                <w:color w:val="auto"/>
              </w:rPr>
            </w:pPr>
          </w:p>
        </w:tc>
        <w:tc>
          <w:tcPr>
            <w:tcW w:w="720" w:type="dxa"/>
            <w:vAlign w:val="bottom"/>
            <w:tcBorders>
              <w:bottom w:val="single" w:sz="8" w:color="0CD973"/>
            </w:tcBorders>
          </w:tcPr>
          <w:p>
            <w:pPr>
              <w:spacing w:after="0"/>
              <w:rPr>
                <w:sz w:val="2"/>
                <w:szCs w:val="2"/>
                <w:color w:val="auto"/>
              </w:rPr>
            </w:pPr>
          </w:p>
        </w:tc>
        <w:tc>
          <w:tcPr>
            <w:tcW w:w="120" w:type="dxa"/>
            <w:vAlign w:val="bottom"/>
            <w:tcBorders>
              <w:bottom w:val="single" w:sz="8" w:color="0CD973"/>
            </w:tcBorders>
          </w:tcPr>
          <w:p>
            <w:pPr>
              <w:spacing w:after="0"/>
              <w:rPr>
                <w:sz w:val="2"/>
                <w:szCs w:val="2"/>
                <w:color w:val="auto"/>
              </w:rPr>
            </w:pPr>
          </w:p>
        </w:tc>
        <w:tc>
          <w:tcPr>
            <w:tcW w:w="1080" w:type="dxa"/>
            <w:vAlign w:val="bottom"/>
            <w:tcBorders>
              <w:bottom w:val="single" w:sz="8" w:color="0CD973"/>
            </w:tcBorders>
          </w:tcPr>
          <w:p>
            <w:pPr>
              <w:spacing w:after="0"/>
              <w:rPr>
                <w:sz w:val="2"/>
                <w:szCs w:val="2"/>
                <w:color w:val="auto"/>
              </w:rPr>
            </w:pPr>
          </w:p>
        </w:tc>
        <w:tc>
          <w:tcPr>
            <w:tcW w:w="320" w:type="dxa"/>
            <w:vAlign w:val="bottom"/>
            <w:tcBorders>
              <w:bottom w:val="single" w:sz="8" w:color="0CD973"/>
            </w:tcBorders>
          </w:tcPr>
          <w:p>
            <w:pPr>
              <w:spacing w:after="0"/>
              <w:rPr>
                <w:sz w:val="2"/>
                <w:szCs w:val="2"/>
                <w:color w:val="auto"/>
              </w:rPr>
            </w:pPr>
          </w:p>
        </w:tc>
        <w:tc>
          <w:tcPr>
            <w:tcW w:w="140" w:type="dxa"/>
            <w:vAlign w:val="bottom"/>
            <w:tcBorders>
              <w:bottom w:val="single" w:sz="8" w:color="0CD973"/>
            </w:tcBorders>
          </w:tcPr>
          <w:p>
            <w:pPr>
              <w:spacing w:after="0"/>
              <w:rPr>
                <w:sz w:val="2"/>
                <w:szCs w:val="2"/>
                <w:color w:val="auto"/>
              </w:rPr>
            </w:pPr>
          </w:p>
        </w:tc>
        <w:tc>
          <w:tcPr>
            <w:tcW w:w="60" w:type="dxa"/>
            <w:vAlign w:val="bottom"/>
            <w:tcBorders>
              <w:bottom w:val="single" w:sz="8" w:color="0CD973"/>
            </w:tcBorders>
          </w:tcPr>
          <w:p>
            <w:pPr>
              <w:spacing w:after="0"/>
              <w:rPr>
                <w:sz w:val="2"/>
                <w:szCs w:val="2"/>
                <w:color w:val="auto"/>
              </w:rPr>
            </w:pPr>
          </w:p>
        </w:tc>
        <w:tc>
          <w:tcPr>
            <w:tcW w:w="200" w:type="dxa"/>
            <w:vAlign w:val="bottom"/>
            <w:tcBorders>
              <w:bottom w:val="single" w:sz="8" w:color="0CD973"/>
            </w:tcBorders>
          </w:tcPr>
          <w:p>
            <w:pPr>
              <w:spacing w:after="0"/>
              <w:rPr>
                <w:sz w:val="2"/>
                <w:szCs w:val="2"/>
                <w:color w:val="auto"/>
              </w:rPr>
            </w:pPr>
          </w:p>
        </w:tc>
        <w:tc>
          <w:tcPr>
            <w:tcW w:w="60" w:type="dxa"/>
            <w:vAlign w:val="bottom"/>
            <w:tcBorders>
              <w:bottom w:val="single" w:sz="8" w:color="0CD973"/>
            </w:tcBorders>
          </w:tcPr>
          <w:p>
            <w:pPr>
              <w:spacing w:after="0"/>
              <w:rPr>
                <w:sz w:val="2"/>
                <w:szCs w:val="2"/>
                <w:color w:val="auto"/>
              </w:rPr>
            </w:pPr>
          </w:p>
        </w:tc>
        <w:tc>
          <w:tcPr>
            <w:tcW w:w="200" w:type="dxa"/>
            <w:vAlign w:val="bottom"/>
            <w:tcBorders>
              <w:bottom w:val="single" w:sz="8" w:color="0CD973"/>
            </w:tcBorders>
          </w:tcPr>
          <w:p>
            <w:pPr>
              <w:spacing w:after="0"/>
              <w:rPr>
                <w:sz w:val="2"/>
                <w:szCs w:val="2"/>
                <w:color w:val="auto"/>
              </w:rPr>
            </w:pPr>
          </w:p>
        </w:tc>
        <w:tc>
          <w:tcPr>
            <w:tcW w:w="40" w:type="dxa"/>
            <w:vAlign w:val="bottom"/>
            <w:tcBorders>
              <w:bottom w:val="single" w:sz="8" w:color="0CD973"/>
            </w:tcBorders>
          </w:tcPr>
          <w:p>
            <w:pPr>
              <w:spacing w:after="0"/>
              <w:rPr>
                <w:sz w:val="2"/>
                <w:szCs w:val="2"/>
                <w:color w:val="auto"/>
              </w:rPr>
            </w:pPr>
          </w:p>
        </w:tc>
        <w:tc>
          <w:tcPr>
            <w:tcW w:w="14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20" w:type="dxa"/>
            <w:vAlign w:val="bottom"/>
            <w:tcBorders>
              <w:bottom w:val="single" w:sz="8" w:color="0CD973"/>
            </w:tcBorders>
          </w:tcPr>
          <w:p>
            <w:pPr>
              <w:spacing w:after="0"/>
              <w:rPr>
                <w:sz w:val="2"/>
                <w:szCs w:val="2"/>
                <w:color w:val="auto"/>
              </w:rPr>
            </w:pPr>
          </w:p>
        </w:tc>
        <w:tc>
          <w:tcPr>
            <w:tcW w:w="20" w:type="dxa"/>
            <w:vAlign w:val="bottom"/>
            <w:tcBorders>
              <w:bottom w:val="single" w:sz="8" w:color="0CD973"/>
            </w:tcBorders>
          </w:tcPr>
          <w:p>
            <w:pPr>
              <w:spacing w:after="0"/>
              <w:rPr>
                <w:sz w:val="2"/>
                <w:szCs w:val="2"/>
                <w:color w:val="auto"/>
              </w:rPr>
            </w:pPr>
          </w:p>
        </w:tc>
        <w:tc>
          <w:tcPr>
            <w:tcW w:w="20" w:type="dxa"/>
            <w:vAlign w:val="bottom"/>
            <w:tcBorders>
              <w:bottom w:val="single" w:sz="8" w:color="0CD973"/>
            </w:tcBorders>
          </w:tcPr>
          <w:p>
            <w:pPr>
              <w:spacing w:after="0"/>
              <w:rPr>
                <w:sz w:val="2"/>
                <w:szCs w:val="2"/>
                <w:color w:val="auto"/>
              </w:rPr>
            </w:pPr>
          </w:p>
        </w:tc>
        <w:tc>
          <w:tcPr>
            <w:tcW w:w="20" w:type="dxa"/>
            <w:vAlign w:val="bottom"/>
            <w:tcBorders>
              <w:bottom w:val="single" w:sz="8" w:color="0CD973"/>
            </w:tcBorders>
          </w:tcPr>
          <w:p>
            <w:pPr>
              <w:spacing w:after="0"/>
              <w:rPr>
                <w:sz w:val="2"/>
                <w:szCs w:val="2"/>
                <w:color w:val="auto"/>
              </w:rPr>
            </w:pPr>
          </w:p>
        </w:tc>
        <w:tc>
          <w:tcPr>
            <w:tcW w:w="240" w:type="dxa"/>
            <w:vAlign w:val="bottom"/>
            <w:tcBorders>
              <w:bottom w:val="single" w:sz="8" w:color="0CD973"/>
            </w:tcBorders>
          </w:tcPr>
          <w:p>
            <w:pPr>
              <w:spacing w:after="0"/>
              <w:rPr>
                <w:sz w:val="2"/>
                <w:szCs w:val="2"/>
                <w:color w:val="auto"/>
              </w:rPr>
            </w:pPr>
          </w:p>
        </w:tc>
        <w:tc>
          <w:tcPr>
            <w:tcW w:w="1070" w:type="dxa"/>
            <w:vAlign w:val="bottom"/>
            <w:tcBorders>
              <w:bottom w:val="single" w:sz="8" w:color="0CD973"/>
            </w:tcBorders>
          </w:tcPr>
          <w:p>
            <w:pPr>
              <w:spacing w:after="0"/>
              <w:rPr>
                <w:sz w:val="2"/>
                <w:szCs w:val="2"/>
                <w:color w:val="auto"/>
              </w:rPr>
            </w:pPr>
          </w:p>
        </w:tc>
        <w:tc>
          <w:tcPr>
            <w:tcW w:w="990" w:type="dxa"/>
            <w:vAlign w:val="bottom"/>
            <w:tcBorders>
              <w:bottom w:val="single" w:sz="8" w:color="0CD973"/>
            </w:tcBorders>
          </w:tcPr>
          <w:p>
            <w:pPr>
              <w:spacing w:after="0"/>
              <w:rPr>
                <w:sz w:val="2"/>
                <w:szCs w:val="2"/>
                <w:color w:val="auto"/>
              </w:rPr>
            </w:pPr>
          </w:p>
        </w:tc>
        <w:tc>
          <w:tcPr>
            <w:tcW w:w="122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126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84"/>
        </w:trPr>
        <w:tc>
          <w:tcPr>
            <w:tcW w:w="720" w:type="dxa"/>
            <w:vAlign w:val="bottom"/>
          </w:tcPr>
          <w:p>
            <w:pPr>
              <w:jc w:val="right"/>
              <w:ind w:right="455"/>
              <w:spacing w:after="0"/>
              <w:rPr>
                <w:sz w:val="20"/>
                <w:szCs w:val="20"/>
                <w:color w:val="auto"/>
              </w:rPr>
            </w:pPr>
            <w:r>
              <w:rPr>
                <w:rFonts w:ascii="Arial" w:cs="Arial" w:eastAsia="Arial" w:hAnsi="Arial"/>
                <w:sz w:val="14"/>
                <w:szCs w:val="14"/>
                <w:color w:val="51555C"/>
              </w:rPr>
              <w:t>52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80" w:type="dxa"/>
            <w:vAlign w:val="bottom"/>
            <w:gridSpan w:val="20"/>
          </w:tcPr>
          <w:p>
            <w:pPr>
              <w:ind w:left="420"/>
              <w:spacing w:after="0"/>
              <w:rPr>
                <w:sz w:val="20"/>
                <w:szCs w:val="20"/>
                <w:color w:val="auto"/>
              </w:rPr>
            </w:pPr>
            <w:r>
              <w:rPr>
                <w:rFonts w:ascii="Arial" w:cs="Arial" w:eastAsia="Arial" w:hAnsi="Arial"/>
                <w:sz w:val="14"/>
                <w:szCs w:val="14"/>
                <w:color w:val="51555C"/>
              </w:rPr>
              <w:t>Third Quarter 2022 Form 10-Q</w:t>
            </w:r>
          </w:p>
        </w:tc>
        <w:tc>
          <w:tcPr>
            <w:tcW w:w="1070" w:type="dxa"/>
            <w:vAlign w:val="bottom"/>
          </w:tcPr>
          <w:p>
            <w:pPr>
              <w:spacing w:after="0"/>
              <w:rPr>
                <w:sz w:val="24"/>
                <w:szCs w:val="24"/>
                <w:color w:val="auto"/>
              </w:rPr>
            </w:pPr>
          </w:p>
        </w:tc>
        <w:tc>
          <w:tcPr>
            <w:tcW w:w="99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70" w:type="dxa"/>
            <w:vAlign w:val="bottom"/>
            <w:tcBorders>
              <w:bottom w:val="single" w:sz="8" w:color="9A9A9A"/>
            </w:tcBorders>
          </w:tcPr>
          <w:p>
            <w:pPr>
              <w:spacing w:after="0"/>
              <w:rPr>
                <w:sz w:val="24"/>
                <w:szCs w:val="24"/>
                <w:color w:val="auto"/>
              </w:rPr>
            </w:pPr>
          </w:p>
        </w:tc>
        <w:tc>
          <w:tcPr>
            <w:tcW w:w="99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-6386195</wp:posOffset>
            </wp:positionV>
            <wp:extent cx="29660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296608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-368300</wp:posOffset>
            </wp:positionV>
            <wp:extent cx="65151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7A04DD"/>
        </w:rPr>
        <w:t>Table of Contents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rPr>
          <w:sz w:val="20"/>
          <w:szCs w:val="20"/>
          <w:color w:val="auto"/>
        </w:rPr>
      </w:pPr>
      <w:r>
        <w:rPr>
          <w:sz w:val="1"/>
          <w:szCs w:val="1"/>
          <w:color w:val="auto"/>
        </w:rPr>
        <w:drawing>
          <wp:inline distT="0" distB="0" distL="0" distR="0">
            <wp:extent cx="248285" cy="24892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Arial" w:cs="Arial" w:eastAsia="Arial" w:hAnsi="Arial"/>
          <w:sz w:val="40"/>
          <w:szCs w:val="40"/>
          <w:b w:val="1"/>
          <w:bCs w:val="1"/>
          <w:color w:val="50535A"/>
        </w:rPr>
        <w:t xml:space="preserve"> SIGNATURES</w:t>
      </w:r>
    </w:p>
    <w:p>
      <w:pPr>
        <w:spacing w:after="0" w:line="309" w:lineRule="exact"/>
        <w:rPr>
          <w:sz w:val="20"/>
          <w:szCs w:val="20"/>
          <w:color w:val="auto"/>
        </w:rPr>
      </w:pPr>
    </w:p>
    <w:p>
      <w:pPr>
        <w:spacing w:after="0" w:line="261" w:lineRule="auto"/>
        <w:rPr>
          <w:sz w:val="20"/>
          <w:szCs w:val="20"/>
          <w:color w:val="auto"/>
        </w:rPr>
      </w:pPr>
      <w:r>
        <w:rPr>
          <w:rFonts w:ascii="Arial" w:cs="Arial" w:eastAsia="Arial" w:hAnsi="Arial"/>
          <w:sz w:val="18"/>
          <w:szCs w:val="18"/>
          <w:color w:val="51555C"/>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760" w:type="dxa"/>
            <w:vAlign w:val="bottom"/>
            <w:gridSpan w:val="2"/>
          </w:tcPr>
          <w:p>
            <w:pPr>
              <w:ind w:left="1860"/>
              <w:spacing w:after="0"/>
              <w:rPr>
                <w:sz w:val="20"/>
                <w:szCs w:val="20"/>
                <w:color w:val="auto"/>
              </w:rPr>
            </w:pPr>
            <w:r>
              <w:rPr>
                <w:rFonts w:ascii="Arial" w:cs="Arial" w:eastAsia="Arial" w:hAnsi="Arial"/>
                <w:sz w:val="18"/>
                <w:szCs w:val="18"/>
                <w:b w:val="1"/>
                <w:bCs w:val="1"/>
                <w:color w:val="51555C"/>
              </w:rPr>
              <w:t>BLACKBAUD, INC.</w:t>
            </w:r>
          </w:p>
        </w:tc>
        <w:tc>
          <w:tcPr>
            <w:tcW w:w="440" w:type="dxa"/>
            <w:vAlign w:val="bottom"/>
          </w:tcPr>
          <w:p>
            <w:pPr>
              <w:spacing w:after="0"/>
              <w:rPr>
                <w:sz w:val="20"/>
                <w:szCs w:val="20"/>
                <w:color w:val="auto"/>
              </w:rPr>
            </w:pPr>
          </w:p>
        </w:tc>
      </w:tr>
      <w:tr>
        <w:trPr>
          <w:trHeight w:val="540"/>
        </w:trPr>
        <w:tc>
          <w:tcPr>
            <w:tcW w:w="540" w:type="dxa"/>
            <w:vAlign w:val="bottom"/>
          </w:tcPr>
          <w:p>
            <w:pPr>
              <w:spacing w:after="0"/>
              <w:rPr>
                <w:sz w:val="20"/>
                <w:szCs w:val="20"/>
                <w:color w:val="auto"/>
              </w:rPr>
            </w:pPr>
            <w:r>
              <w:rPr>
                <w:rFonts w:ascii="Arial" w:cs="Arial" w:eastAsia="Arial" w:hAnsi="Arial"/>
                <w:sz w:val="18"/>
                <w:szCs w:val="18"/>
                <w:color w:val="51555C"/>
              </w:rPr>
              <w:t>Date:</w:t>
            </w:r>
          </w:p>
        </w:tc>
        <w:tc>
          <w:tcPr>
            <w:tcW w:w="3440" w:type="dxa"/>
            <w:vAlign w:val="bottom"/>
          </w:tcPr>
          <w:p>
            <w:pPr>
              <w:ind w:left="100"/>
              <w:spacing w:after="0"/>
              <w:rPr>
                <w:sz w:val="20"/>
                <w:szCs w:val="20"/>
                <w:color w:val="auto"/>
              </w:rPr>
            </w:pPr>
            <w:r>
              <w:rPr>
                <w:rFonts w:ascii="Arial" w:cs="Arial" w:eastAsia="Arial" w:hAnsi="Arial"/>
                <w:sz w:val="18"/>
                <w:szCs w:val="18"/>
                <w:color w:val="51555C"/>
              </w:rPr>
              <w:t>November 3, 2022</w:t>
            </w:r>
          </w:p>
        </w:tc>
        <w:tc>
          <w:tcPr>
            <w:tcW w:w="2300" w:type="dxa"/>
            <w:vAlign w:val="bottom"/>
          </w:tcPr>
          <w:p>
            <w:pPr>
              <w:ind w:left="1860"/>
              <w:spacing w:after="0"/>
              <w:rPr>
                <w:sz w:val="20"/>
                <w:szCs w:val="20"/>
                <w:color w:val="auto"/>
              </w:rPr>
            </w:pPr>
            <w:r>
              <w:rPr>
                <w:rFonts w:ascii="Arial" w:cs="Arial" w:eastAsia="Arial" w:hAnsi="Arial"/>
                <w:sz w:val="18"/>
                <w:szCs w:val="18"/>
                <w:color w:val="51555C"/>
              </w:rPr>
              <w:t>By:</w:t>
            </w:r>
          </w:p>
        </w:tc>
        <w:tc>
          <w:tcPr>
            <w:tcW w:w="4460" w:type="dxa"/>
            <w:vAlign w:val="bottom"/>
          </w:tcPr>
          <w:p>
            <w:pPr>
              <w:ind w:left="20"/>
              <w:spacing w:after="0"/>
              <w:rPr>
                <w:sz w:val="20"/>
                <w:szCs w:val="20"/>
                <w:color w:val="auto"/>
              </w:rPr>
            </w:pPr>
            <w:r>
              <w:rPr>
                <w:rFonts w:ascii="Arial" w:cs="Arial" w:eastAsia="Arial" w:hAnsi="Arial"/>
                <w:sz w:val="18"/>
                <w:szCs w:val="18"/>
                <w:color w:val="51555C"/>
              </w:rPr>
              <w:t>/s/ Michael P. Gianoni</w:t>
            </w:r>
          </w:p>
        </w:tc>
        <w:tc>
          <w:tcPr>
            <w:tcW w:w="440" w:type="dxa"/>
            <w:vAlign w:val="bottom"/>
          </w:tcPr>
          <w:p>
            <w:pPr>
              <w:spacing w:after="0"/>
              <w:rPr>
                <w:sz w:val="24"/>
                <w:szCs w:val="24"/>
                <w:color w:val="auto"/>
              </w:rPr>
            </w:pPr>
          </w:p>
        </w:tc>
      </w:tr>
      <w:tr>
        <w:trPr>
          <w:trHeight w:val="27"/>
        </w:trPr>
        <w:tc>
          <w:tcPr>
            <w:tcW w:w="5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460" w:type="dxa"/>
            <w:vAlign w:val="bottom"/>
            <w:tcBorders>
              <w:bottom w:val="single" w:sz="8" w:color="51555C"/>
            </w:tcBorders>
          </w:tcPr>
          <w:p>
            <w:pPr>
              <w:spacing w:after="0"/>
              <w:rPr>
                <w:sz w:val="2"/>
                <w:szCs w:val="2"/>
                <w:color w:val="auto"/>
              </w:rPr>
            </w:pPr>
          </w:p>
        </w:tc>
        <w:tc>
          <w:tcPr>
            <w:tcW w:w="440" w:type="dxa"/>
            <w:vAlign w:val="bottom"/>
            <w:tcBorders>
              <w:bottom w:val="single" w:sz="8" w:color="51555C"/>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51555C"/>
              </w:rPr>
              <w:t>Michael P. Gianoni</w:t>
            </w:r>
          </w:p>
        </w:tc>
        <w:tc>
          <w:tcPr>
            <w:tcW w:w="44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51555C"/>
              </w:rPr>
              <w:t>President and Chief Executive Officer</w:t>
            </w:r>
          </w:p>
        </w:tc>
        <w:tc>
          <w:tcPr>
            <w:tcW w:w="440" w:type="dxa"/>
            <w:vAlign w:val="bottom"/>
          </w:tcPr>
          <w:p>
            <w:pPr>
              <w:spacing w:after="0"/>
              <w:rPr>
                <w:sz w:val="23"/>
                <w:szCs w:val="23"/>
                <w:color w:val="auto"/>
              </w:rPr>
            </w:pPr>
          </w:p>
        </w:tc>
      </w:tr>
      <w:tr>
        <w:trPr>
          <w:trHeight w:val="270"/>
        </w:trPr>
        <w:tc>
          <w:tcPr>
            <w:tcW w:w="5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51555C"/>
              </w:rPr>
              <w:t>(Principal Executive Officer)</w:t>
            </w:r>
          </w:p>
        </w:tc>
        <w:tc>
          <w:tcPr>
            <w:tcW w:w="440" w:type="dxa"/>
            <w:vAlign w:val="bottom"/>
          </w:tcPr>
          <w:p>
            <w:pPr>
              <w:spacing w:after="0"/>
              <w:rPr>
                <w:sz w:val="23"/>
                <w:szCs w:val="23"/>
                <w:color w:val="auto"/>
              </w:rPr>
            </w:pPr>
          </w:p>
        </w:tc>
      </w:tr>
      <w:tr>
        <w:trPr>
          <w:trHeight w:val="540"/>
        </w:trPr>
        <w:tc>
          <w:tcPr>
            <w:tcW w:w="540" w:type="dxa"/>
            <w:vAlign w:val="bottom"/>
          </w:tcPr>
          <w:p>
            <w:pPr>
              <w:spacing w:after="0"/>
              <w:rPr>
                <w:sz w:val="20"/>
                <w:szCs w:val="20"/>
                <w:color w:val="auto"/>
              </w:rPr>
            </w:pPr>
            <w:r>
              <w:rPr>
                <w:rFonts w:ascii="Arial" w:cs="Arial" w:eastAsia="Arial" w:hAnsi="Arial"/>
                <w:sz w:val="18"/>
                <w:szCs w:val="18"/>
                <w:color w:val="51555C"/>
              </w:rPr>
              <w:t>Date:</w:t>
            </w:r>
          </w:p>
        </w:tc>
        <w:tc>
          <w:tcPr>
            <w:tcW w:w="3440" w:type="dxa"/>
            <w:vAlign w:val="bottom"/>
          </w:tcPr>
          <w:p>
            <w:pPr>
              <w:ind w:left="100"/>
              <w:spacing w:after="0"/>
              <w:rPr>
                <w:sz w:val="20"/>
                <w:szCs w:val="20"/>
                <w:color w:val="auto"/>
              </w:rPr>
            </w:pPr>
            <w:r>
              <w:rPr>
                <w:rFonts w:ascii="Arial" w:cs="Arial" w:eastAsia="Arial" w:hAnsi="Arial"/>
                <w:sz w:val="18"/>
                <w:szCs w:val="18"/>
                <w:color w:val="51555C"/>
              </w:rPr>
              <w:t>November 3, 2022</w:t>
            </w:r>
          </w:p>
        </w:tc>
        <w:tc>
          <w:tcPr>
            <w:tcW w:w="2300" w:type="dxa"/>
            <w:vAlign w:val="bottom"/>
          </w:tcPr>
          <w:p>
            <w:pPr>
              <w:ind w:left="1860"/>
              <w:spacing w:after="0"/>
              <w:rPr>
                <w:sz w:val="20"/>
                <w:szCs w:val="20"/>
                <w:color w:val="auto"/>
              </w:rPr>
            </w:pPr>
            <w:r>
              <w:rPr>
                <w:rFonts w:ascii="Arial" w:cs="Arial" w:eastAsia="Arial" w:hAnsi="Arial"/>
                <w:sz w:val="18"/>
                <w:szCs w:val="18"/>
                <w:color w:val="51555C"/>
              </w:rPr>
              <w:t>By:</w:t>
            </w:r>
          </w:p>
        </w:tc>
        <w:tc>
          <w:tcPr>
            <w:tcW w:w="4460" w:type="dxa"/>
            <w:vAlign w:val="bottom"/>
          </w:tcPr>
          <w:p>
            <w:pPr>
              <w:ind w:left="20"/>
              <w:spacing w:after="0"/>
              <w:rPr>
                <w:sz w:val="20"/>
                <w:szCs w:val="20"/>
                <w:color w:val="auto"/>
              </w:rPr>
            </w:pPr>
            <w:r>
              <w:rPr>
                <w:rFonts w:ascii="Arial" w:cs="Arial" w:eastAsia="Arial" w:hAnsi="Arial"/>
                <w:sz w:val="18"/>
                <w:szCs w:val="18"/>
                <w:color w:val="51555C"/>
              </w:rPr>
              <w:t>/s/ Anthony W. Boor</w:t>
            </w:r>
          </w:p>
        </w:tc>
        <w:tc>
          <w:tcPr>
            <w:tcW w:w="440" w:type="dxa"/>
            <w:vAlign w:val="bottom"/>
          </w:tcPr>
          <w:p>
            <w:pPr>
              <w:spacing w:after="0"/>
              <w:rPr>
                <w:sz w:val="24"/>
                <w:szCs w:val="24"/>
                <w:color w:val="auto"/>
              </w:rPr>
            </w:pPr>
          </w:p>
        </w:tc>
      </w:tr>
      <w:tr>
        <w:trPr>
          <w:trHeight w:val="27"/>
        </w:trPr>
        <w:tc>
          <w:tcPr>
            <w:tcW w:w="5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460" w:type="dxa"/>
            <w:vAlign w:val="bottom"/>
            <w:tcBorders>
              <w:bottom w:val="single" w:sz="8" w:color="51555C"/>
            </w:tcBorders>
          </w:tcPr>
          <w:p>
            <w:pPr>
              <w:spacing w:after="0"/>
              <w:rPr>
                <w:sz w:val="2"/>
                <w:szCs w:val="2"/>
                <w:color w:val="auto"/>
              </w:rPr>
            </w:pPr>
          </w:p>
        </w:tc>
        <w:tc>
          <w:tcPr>
            <w:tcW w:w="440" w:type="dxa"/>
            <w:vAlign w:val="bottom"/>
            <w:tcBorders>
              <w:bottom w:val="single" w:sz="8" w:color="51555C"/>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51555C"/>
              </w:rPr>
              <w:t>Anthony W. Boor</w:t>
            </w:r>
          </w:p>
        </w:tc>
        <w:tc>
          <w:tcPr>
            <w:tcW w:w="44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51555C"/>
              </w:rPr>
              <w:t>Executive Vice President and Chief Financial Officer</w:t>
            </w:r>
          </w:p>
        </w:tc>
        <w:tc>
          <w:tcPr>
            <w:tcW w:w="440" w:type="dxa"/>
            <w:vAlign w:val="bottom"/>
          </w:tcPr>
          <w:p>
            <w:pPr>
              <w:spacing w:after="0"/>
              <w:rPr>
                <w:sz w:val="23"/>
                <w:szCs w:val="23"/>
                <w:color w:val="auto"/>
              </w:rPr>
            </w:pPr>
          </w:p>
        </w:tc>
      </w:tr>
      <w:tr>
        <w:trPr>
          <w:trHeight w:val="270"/>
        </w:trPr>
        <w:tc>
          <w:tcPr>
            <w:tcW w:w="5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51555C"/>
              </w:rPr>
              <w:t>(Principal Financial and Accounting Officer)</w:t>
            </w:r>
          </w:p>
        </w:tc>
        <w:tc>
          <w:tcPr>
            <w:tcW w:w="440" w:type="dxa"/>
            <w:vAlign w:val="bottom"/>
          </w:tcPr>
          <w:p>
            <w:pPr>
              <w:spacing w:after="0"/>
              <w:rPr>
                <w:sz w:val="23"/>
                <w:szCs w:val="23"/>
                <w:color w:val="auto"/>
              </w:rPr>
            </w:pPr>
          </w:p>
        </w:tc>
      </w:tr>
      <w:tr>
        <w:trPr>
          <w:trHeight w:val="717"/>
        </w:trPr>
        <w:tc>
          <w:tcPr>
            <w:tcW w:w="5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460" w:type="dxa"/>
            <w:vAlign w:val="bottom"/>
          </w:tcPr>
          <w:p>
            <w:pPr>
              <w:ind w:left="1320"/>
              <w:spacing w:after="0"/>
              <w:rPr>
                <w:sz w:val="20"/>
                <w:szCs w:val="20"/>
                <w:color w:val="auto"/>
              </w:rPr>
            </w:pPr>
            <w:r>
              <w:rPr>
                <w:rFonts w:ascii="Arial" w:cs="Arial" w:eastAsia="Arial" w:hAnsi="Arial"/>
                <w:sz w:val="14"/>
                <w:szCs w:val="14"/>
                <w:color w:val="51555C"/>
              </w:rPr>
              <w:t>Third Quarter 2022 Form 10-Q</w:t>
            </w:r>
          </w:p>
        </w:tc>
        <w:tc>
          <w:tcPr>
            <w:tcW w:w="440" w:type="dxa"/>
            <w:vAlign w:val="bottom"/>
          </w:tcPr>
          <w:p>
            <w:pPr>
              <w:jc w:val="right"/>
              <w:spacing w:after="0"/>
              <w:rPr>
                <w:sz w:val="20"/>
                <w:szCs w:val="20"/>
                <w:color w:val="auto"/>
              </w:rPr>
            </w:pPr>
            <w:r>
              <w:rPr>
                <w:rFonts w:ascii="Arial" w:cs="Arial" w:eastAsia="Arial" w:hAnsi="Arial"/>
                <w:sz w:val="14"/>
                <w:szCs w:val="14"/>
                <w:color w:val="51555C"/>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-154940</wp:posOffset>
            </wp:positionV>
            <wp:extent cx="659765"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Execution Version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LIBOR TRANSITION AMENDMENT</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THIS LIBOR TRANSITION AMENDMENT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August 26, 2022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is entered into between BLACKBAUD,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and BANK OF AMERICA, N.A., as administrative</w:t>
      </w:r>
    </w:p>
    <w:p>
      <w:pPr>
        <w:spacing w:after="0"/>
        <w:rPr>
          <w:sz w:val="20"/>
          <w:szCs w:val="20"/>
          <w:color w:val="auto"/>
        </w:rPr>
      </w:pPr>
      <w:r>
        <w:rPr>
          <w:rFonts w:ascii="Arial" w:cs="Arial" w:eastAsia="Arial" w:hAnsi="Arial"/>
          <w:sz w:val="20"/>
          <w:szCs w:val="20"/>
          <w:color w:val="auto"/>
        </w:rPr>
        <w:t>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WHEREAS, the Borrower, the lenders from time to time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the Administrative Agent have entered into that certain Amended and Restated Credit Agreement, dated as of October 30, 2020 (as amended by that certain LIBOR Transition</w:t>
      </w:r>
    </w:p>
    <w:p>
      <w:pPr>
        <w:jc w:val="both"/>
        <w:spacing w:after="0" w:line="226" w:lineRule="auto"/>
        <w:rPr>
          <w:sz w:val="20"/>
          <w:szCs w:val="20"/>
          <w:color w:val="auto"/>
        </w:rPr>
      </w:pPr>
      <w:r>
        <w:rPr>
          <w:rFonts w:ascii="Arial" w:cs="Arial" w:eastAsia="Arial" w:hAnsi="Arial"/>
          <w:sz w:val="18"/>
          <w:szCs w:val="18"/>
          <w:color w:val="auto"/>
        </w:rPr>
        <w:t>Amendment, dated as of September 20, 2021, as further amended by that certain First Incremental Term Loan Agreement, dated as of December 31, 2021, as further amended by that certain First Amendment to Credit Agreement, dated as of January 31, 2022, and as may be</w:t>
      </w:r>
    </w:p>
    <w:p>
      <w:pPr>
        <w:spacing w:after="0" w:line="2" w:lineRule="exact"/>
        <w:rPr>
          <w:sz w:val="20"/>
          <w:szCs w:val="20"/>
          <w:color w:val="auto"/>
        </w:rPr>
      </w:pPr>
    </w:p>
    <w:p>
      <w:pPr>
        <w:jc w:val="both"/>
        <w:ind w:right="20"/>
        <w:spacing w:after="0" w:line="227" w:lineRule="auto"/>
        <w:rPr>
          <w:sz w:val="20"/>
          <w:szCs w:val="20"/>
          <w:color w:val="auto"/>
        </w:rPr>
      </w:pPr>
      <w:r>
        <w:rPr>
          <w:rFonts w:ascii="Arial" w:cs="Arial" w:eastAsia="Arial" w:hAnsi="Arial"/>
          <w:sz w:val="20"/>
          <w:szCs w:val="20"/>
          <w:color w:val="auto"/>
        </w:rPr>
        <w:t>further amended, restated, amended and restated, modified, extended, restated, replaced, or supplemented from time to time, the “</w:t>
      </w:r>
      <w:r>
        <w:rPr>
          <w:rFonts w:ascii="Arial" w:cs="Arial" w:eastAsia="Arial" w:hAnsi="Arial"/>
          <w:sz w:val="20"/>
          <w:szCs w:val="20"/>
          <w:u w:val="single" w:color="auto"/>
          <w:color w:val="auto"/>
        </w:rPr>
        <w:t>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certain loans and/or other extensions of credit (the “</w:t>
      </w:r>
      <w:r>
        <w:rPr>
          <w:rFonts w:ascii="Arial" w:cs="Arial" w:eastAsia="Arial" w:hAnsi="Arial"/>
          <w:sz w:val="18"/>
          <w:szCs w:val="18"/>
          <w:u w:val="single" w:color="auto"/>
          <w:color w:val="auto"/>
        </w:rPr>
        <w:t>Loans</w:t>
      </w:r>
      <w:r>
        <w:rPr>
          <w:rFonts w:ascii="Arial" w:cs="Arial" w:eastAsia="Arial" w:hAnsi="Arial"/>
          <w:sz w:val="18"/>
          <w:szCs w:val="18"/>
          <w:color w:val="auto"/>
        </w:rPr>
        <w:t>”) under the Credit Agreement denominated in Dollars (the “</w:t>
      </w:r>
      <w:r>
        <w:rPr>
          <w:rFonts w:ascii="Arial" w:cs="Arial" w:eastAsia="Arial" w:hAnsi="Arial"/>
          <w:sz w:val="18"/>
          <w:szCs w:val="18"/>
          <w:u w:val="single" w:color="auto"/>
          <w:color w:val="auto"/>
        </w:rPr>
        <w:t>Impacted Currency</w:t>
      </w:r>
      <w:r>
        <w:rPr>
          <w:rFonts w:ascii="Arial" w:cs="Arial" w:eastAsia="Arial" w:hAnsi="Arial"/>
          <w:sz w:val="18"/>
          <w:szCs w:val="18"/>
          <w:color w:val="auto"/>
        </w:rPr>
        <w:t>”) accrue or are permitted to accrue interest, fees, commissions or other amounts based on the London Interbank Offered Rate as administered by the ICE Benchmark Administration (“</w:t>
      </w:r>
      <w:r>
        <w:rPr>
          <w:rFonts w:ascii="Arial" w:cs="Arial" w:eastAsia="Arial" w:hAnsi="Arial"/>
          <w:sz w:val="18"/>
          <w:szCs w:val="18"/>
          <w:u w:val="single" w:color="auto"/>
          <w:color w:val="auto"/>
        </w:rPr>
        <w:t>LIBOR</w:t>
      </w:r>
      <w:r>
        <w:rPr>
          <w:rFonts w:ascii="Arial" w:cs="Arial" w:eastAsia="Arial" w:hAnsi="Arial"/>
          <w:sz w:val="18"/>
          <w:szCs w:val="18"/>
          <w:color w:val="auto"/>
        </w:rPr>
        <w:t>”) in accordance with the terms of the Credit Agreement; and</w:t>
      </w:r>
    </w:p>
    <w:p>
      <w:pPr>
        <w:spacing w:after="0" w:line="14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WHEREAS, applicable parties under the Credit Agreement have determined in accordance with the Credit Agreement that LIBOR for the Impacted Currency should be replaced with a successor rate in accordance with Section 4.8(c) of the Credit Agreement and, in connection therewith, the Administrative Agent has determined that certain conforming changes are necessary or advisable.</w:t>
      </w:r>
    </w:p>
    <w:p>
      <w:pPr>
        <w:spacing w:after="0" w:line="15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55" w:lineRule="exact"/>
        <w:rPr>
          <w:sz w:val="20"/>
          <w:szCs w:val="20"/>
          <w:color w:val="auto"/>
        </w:rPr>
      </w:pPr>
    </w:p>
    <w:p>
      <w:pPr>
        <w:ind w:right="20" w:firstLine="656"/>
        <w:spacing w:after="0" w:line="236" w:lineRule="auto"/>
        <w:tabs>
          <w:tab w:leader="none" w:pos="1125"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used herein but not otherwise defined herein (including on any Appendix attached hereto) shall have the meanings provided to such terms in the Credit Agreement, as amended by this Agreement.</w:t>
      </w:r>
    </w:p>
    <w:p>
      <w:pPr>
        <w:spacing w:after="0" w:line="168" w:lineRule="exact"/>
        <w:rPr>
          <w:rFonts w:ascii="Arial" w:cs="Arial" w:eastAsia="Arial" w:hAnsi="Arial"/>
          <w:sz w:val="20"/>
          <w:szCs w:val="20"/>
          <w:color w:val="auto"/>
        </w:rPr>
      </w:pPr>
    </w:p>
    <w:p>
      <w:pPr>
        <w:jc w:val="both"/>
        <w:ind w:firstLine="656"/>
        <w:spacing w:after="0" w:line="231" w:lineRule="auto"/>
        <w:tabs>
          <w:tab w:leader="none" w:pos="1062"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Agreement</w:t>
      </w:r>
      <w:r>
        <w:rPr>
          <w:rFonts w:ascii="Arial" w:cs="Arial" w:eastAsia="Arial" w:hAnsi="Arial"/>
          <w:sz w:val="19"/>
          <w:szCs w:val="19"/>
          <w:color w:val="auto"/>
        </w:rPr>
        <w:t>. Notwithstanding any provision of the Credit Agreement or any other Loan Document to the contrary, the parties hereto hereby agree that the terms set forth on Appendix A shall apply solely with respect to the Impacted Currency. For the avoidance of doubt, to the extent provisions in the Credit Agreement apply to the Impacted Currency and such provisions are not specifically addressed by Appendix A, the provisions in the Credit Agreement shall continue to apply to the Impacted Currency.</w:t>
      </w:r>
    </w:p>
    <w:p>
      <w:pPr>
        <w:spacing w:after="0" w:line="157" w:lineRule="exact"/>
        <w:rPr>
          <w:rFonts w:ascii="Arial" w:cs="Arial" w:eastAsia="Arial" w:hAnsi="Arial"/>
          <w:sz w:val="19"/>
          <w:szCs w:val="19"/>
          <w:color w:val="auto"/>
        </w:rPr>
      </w:pPr>
    </w:p>
    <w:p>
      <w:pPr>
        <w:ind w:firstLine="656"/>
        <w:spacing w:after="0" w:line="236" w:lineRule="auto"/>
        <w:tabs>
          <w:tab w:leader="none" w:pos="1048"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Conflict with Loan Documents</w:t>
      </w:r>
      <w:r>
        <w:rPr>
          <w:rFonts w:ascii="Arial" w:cs="Arial" w:eastAsia="Arial" w:hAnsi="Arial"/>
          <w:sz w:val="20"/>
          <w:szCs w:val="20"/>
          <w:color w:val="auto"/>
        </w:rPr>
        <w:t>. In the event of any conflict between the terms of this Agreement and the terms of the Credit Agreement or the other Loan Documents, the terms hereof shall control.</w:t>
      </w:r>
    </w:p>
    <w:p>
      <w:pPr>
        <w:spacing w:after="0" w:line="168" w:lineRule="exact"/>
        <w:rPr>
          <w:rFonts w:ascii="Arial" w:cs="Arial" w:eastAsia="Arial" w:hAnsi="Arial"/>
          <w:sz w:val="20"/>
          <w:szCs w:val="20"/>
          <w:color w:val="auto"/>
        </w:rPr>
      </w:pPr>
    </w:p>
    <w:p>
      <w:pPr>
        <w:jc w:val="both"/>
        <w:ind w:firstLine="656"/>
        <w:spacing w:after="0" w:line="207" w:lineRule="auto"/>
        <w:tabs>
          <w:tab w:leader="none" w:pos="1008"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Conditions Precedent</w:t>
      </w:r>
      <w:r>
        <w:rPr>
          <w:rFonts w:ascii="Arial" w:cs="Arial" w:eastAsia="Arial" w:hAnsi="Arial"/>
          <w:sz w:val="20"/>
          <w:szCs w:val="20"/>
          <w:color w:val="auto"/>
        </w:rPr>
        <w:t>. This Agreement shall become effective on the fifth (5</w:t>
      </w:r>
      <w:r>
        <w:rPr>
          <w:rFonts w:ascii="Arial" w:cs="Arial" w:eastAsia="Arial" w:hAnsi="Arial"/>
          <w:sz w:val="25"/>
          <w:szCs w:val="25"/>
          <w:color w:val="auto"/>
          <w:vertAlign w:val="superscript"/>
        </w:rPr>
        <w:t>th</w:t>
      </w:r>
      <w:r>
        <w:rPr>
          <w:rFonts w:ascii="Arial" w:cs="Arial" w:eastAsia="Arial" w:hAnsi="Arial"/>
          <w:sz w:val="20"/>
          <w:szCs w:val="20"/>
          <w:color w:val="auto"/>
        </w:rPr>
        <w:t>) Business Day after receipt by the Administrative Agent of counterparts of this Agreement, properly executed by the Borrower and the Administrative Agent but only to the extent that Lenders comprising the Required Lenders have not by 5:00 p.m. New York time on such date provided written notice to the Administrative Agent that such Required Lenders object to this Agreement.</w:t>
      </w:r>
    </w:p>
    <w:p>
      <w:pPr>
        <w:sectPr>
          <w:pgSz w:w="11900" w:h="16838" w:orient="portrait"/>
          <w:cols w:equalWidth="0" w:num="1">
            <w:col w:w="11240"/>
          </w:cols>
          <w:pgMar w:left="320" w:top="104" w:right="339" w:bottom="1440" w:gutter="0" w:footer="0" w:header="0"/>
        </w:sectPr>
      </w:pPr>
    </w:p>
    <w:bookmarkStart w:id="55" w:name="page56"/>
    <w:bookmarkEnd w:id="55"/>
    <w:p>
      <w:pPr>
        <w:jc w:val="both"/>
        <w:ind w:firstLine="656"/>
        <w:spacing w:after="0" w:line="220" w:lineRule="auto"/>
        <w:tabs>
          <w:tab w:leader="none" w:pos="1156"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Payment of Expenses</w:t>
      </w:r>
      <w:r>
        <w:rPr>
          <w:rFonts w:ascii="Arial" w:cs="Arial" w:eastAsia="Arial" w:hAnsi="Arial"/>
          <w:sz w:val="20"/>
          <w:szCs w:val="20"/>
          <w:color w:val="auto"/>
        </w:rPr>
        <w:t>. The Borrower agrees to reimburse the Administrative Agent for all reasonable fees, charges and disbursements of the Administrative Agent in connection with the preparation, execution and delivery of this Agreement, including all reasonable fees, charges and disbursements of counsel to the Administrative Agent (paid directly to such counsel if requested by the Administrative Agent).</w:t>
      </w:r>
    </w:p>
    <w:p>
      <w:pPr>
        <w:spacing w:after="0" w:line="169" w:lineRule="exact"/>
        <w:rPr>
          <w:rFonts w:ascii="Arial" w:cs="Arial" w:eastAsia="Arial" w:hAnsi="Arial"/>
          <w:sz w:val="20"/>
          <w:szCs w:val="20"/>
          <w:color w:val="auto"/>
        </w:rPr>
      </w:pPr>
    </w:p>
    <w:p>
      <w:pPr>
        <w:ind w:left="1000" w:hanging="344"/>
        <w:spacing w:after="0"/>
        <w:tabs>
          <w:tab w:leader="none" w:pos="100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660" w:right="20" w:firstLine="644"/>
        <w:spacing w:after="0" w:line="236" w:lineRule="auto"/>
        <w:tabs>
          <w:tab w:leader="none" w:pos="1881" w:val="left"/>
        </w:tabs>
        <w:numPr>
          <w:ilvl w:val="1"/>
          <w:numId w:val="41"/>
        </w:numPr>
        <w:rPr>
          <w:rFonts w:ascii="Arial" w:cs="Arial" w:eastAsia="Arial" w:hAnsi="Arial"/>
          <w:sz w:val="20"/>
          <w:szCs w:val="20"/>
          <w:color w:val="auto"/>
        </w:rPr>
      </w:pPr>
      <w:r>
        <w:rPr>
          <w:rFonts w:ascii="Arial" w:cs="Arial" w:eastAsia="Arial" w:hAnsi="Arial"/>
          <w:sz w:val="20"/>
          <w:szCs w:val="20"/>
          <w:color w:val="auto"/>
        </w:rPr>
        <w:t>The Loan Documents, and the obligations of the Borrower under the Loan Documents, are hereby ratified and confirmed and shall remain in full force and effect according to their terms. This Agreement is a Loan Document.</w:t>
      </w:r>
    </w:p>
    <w:p>
      <w:pPr>
        <w:spacing w:after="0" w:line="168" w:lineRule="exact"/>
        <w:rPr>
          <w:rFonts w:ascii="Arial" w:cs="Arial" w:eastAsia="Arial" w:hAnsi="Arial"/>
          <w:sz w:val="20"/>
          <w:szCs w:val="20"/>
          <w:color w:val="auto"/>
        </w:rPr>
      </w:pPr>
    </w:p>
    <w:p>
      <w:pPr>
        <w:jc w:val="both"/>
        <w:ind w:left="660" w:firstLine="644"/>
        <w:spacing w:after="0" w:line="214" w:lineRule="auto"/>
        <w:tabs>
          <w:tab w:leader="none" w:pos="1755" w:val="left"/>
        </w:tabs>
        <w:numPr>
          <w:ilvl w:val="1"/>
          <w:numId w:val="41"/>
        </w:numPr>
        <w:rPr>
          <w:rFonts w:ascii="Arial" w:cs="Arial" w:eastAsia="Arial" w:hAnsi="Arial"/>
          <w:sz w:val="20"/>
          <w:szCs w:val="20"/>
          <w:color w:val="auto"/>
        </w:rPr>
      </w:pPr>
      <w:r>
        <w:rPr>
          <w:rFonts w:ascii="Arial" w:cs="Arial" w:eastAsia="Arial" w:hAnsi="Arial"/>
          <w:sz w:val="20"/>
          <w:szCs w:val="20"/>
          <w:color w:val="auto"/>
        </w:rPr>
        <w:t>The Borrower (i) acknowledges and consents to all of the terms and conditions of this Agreement, (ii) affirms all of its obligations under the Loan Documents, (iii) agrees that this Agreement and all documents executed in connection herewith do not operate to reduce or discharge its obligations under the Loan Documents, (iv) agrees that the Security Documents continue to be in full force and effect and are not impaired or adversely affected in any manner whatsoever, (v) confirms its grant of security interests pursuant to the Security Documents to which it is a party as Collateral for the Obligations, and (vi) acknowledges that all Liens granted (or purported to be granted) pursuant to the Security Documents remain and continue in full force and effect in respect of, and to secure, the Obligations.</w:t>
      </w:r>
    </w:p>
    <w:p>
      <w:pPr>
        <w:spacing w:after="0" w:line="157" w:lineRule="exact"/>
        <w:rPr>
          <w:rFonts w:ascii="Arial" w:cs="Arial" w:eastAsia="Arial" w:hAnsi="Arial"/>
          <w:sz w:val="20"/>
          <w:szCs w:val="20"/>
          <w:color w:val="auto"/>
        </w:rPr>
      </w:pPr>
    </w:p>
    <w:p>
      <w:pPr>
        <w:ind w:left="1720" w:hanging="416"/>
        <w:spacing w:after="0"/>
        <w:tabs>
          <w:tab w:leader="none" w:pos="1720" w:val="left"/>
        </w:tabs>
        <w:numPr>
          <w:ilvl w:val="1"/>
          <w:numId w:val="41"/>
        </w:numPr>
        <w:rPr>
          <w:rFonts w:ascii="Arial" w:cs="Arial" w:eastAsia="Arial" w:hAnsi="Arial"/>
          <w:sz w:val="20"/>
          <w:szCs w:val="20"/>
          <w:color w:val="auto"/>
        </w:rPr>
      </w:pPr>
      <w:r>
        <w:rPr>
          <w:rFonts w:ascii="Arial" w:cs="Arial" w:eastAsia="Arial" w:hAnsi="Arial"/>
          <w:sz w:val="20"/>
          <w:szCs w:val="20"/>
          <w:color w:val="auto"/>
        </w:rPr>
        <w:t>The Borrower represents and warrants that as of the date hereof:</w:t>
      </w:r>
    </w:p>
    <w:p>
      <w:pPr>
        <w:spacing w:after="0" w:line="188" w:lineRule="exact"/>
        <w:rPr>
          <w:rFonts w:ascii="Arial" w:cs="Arial" w:eastAsia="Arial" w:hAnsi="Arial"/>
          <w:sz w:val="20"/>
          <w:szCs w:val="20"/>
          <w:color w:val="auto"/>
        </w:rPr>
      </w:pPr>
    </w:p>
    <w:p>
      <w:pPr>
        <w:jc w:val="both"/>
        <w:ind w:left="1300" w:firstLine="652"/>
        <w:spacing w:after="0" w:line="223" w:lineRule="auto"/>
        <w:tabs>
          <w:tab w:leader="none" w:pos="2563" w:val="left"/>
        </w:tabs>
        <w:numPr>
          <w:ilvl w:val="2"/>
          <w:numId w:val="41"/>
        </w:numPr>
        <w:rPr>
          <w:rFonts w:ascii="Arial" w:cs="Arial" w:eastAsia="Arial" w:hAnsi="Arial"/>
          <w:sz w:val="20"/>
          <w:szCs w:val="20"/>
          <w:color w:val="auto"/>
        </w:rPr>
      </w:pPr>
      <w:r>
        <w:rPr>
          <w:rFonts w:ascii="Arial" w:cs="Arial" w:eastAsia="Arial" w:hAnsi="Arial"/>
          <w:sz w:val="20"/>
          <w:szCs w:val="20"/>
          <w:color w:val="auto"/>
        </w:rPr>
        <w:t>The execution, delivery and performance by such Person of this Agreement is within such Person’s organizational powers and has been duly authorized by all necessary organizational, partnership, member or other action, as applicable, as may be necessary or required.</w:t>
      </w:r>
    </w:p>
    <w:p>
      <w:pPr>
        <w:spacing w:after="0" w:line="168" w:lineRule="exact"/>
        <w:rPr>
          <w:rFonts w:ascii="Arial" w:cs="Arial" w:eastAsia="Arial" w:hAnsi="Arial"/>
          <w:sz w:val="20"/>
          <w:szCs w:val="20"/>
          <w:color w:val="auto"/>
        </w:rPr>
      </w:pPr>
    </w:p>
    <w:p>
      <w:pPr>
        <w:jc w:val="both"/>
        <w:ind w:left="1300" w:firstLine="652"/>
        <w:spacing w:after="0" w:line="220" w:lineRule="auto"/>
        <w:tabs>
          <w:tab w:leader="none" w:pos="2476" w:val="left"/>
        </w:tabs>
        <w:numPr>
          <w:ilvl w:val="2"/>
          <w:numId w:val="41"/>
        </w:numPr>
        <w:rPr>
          <w:rFonts w:ascii="Arial" w:cs="Arial" w:eastAsia="Arial" w:hAnsi="Arial"/>
          <w:sz w:val="20"/>
          <w:szCs w:val="20"/>
          <w:color w:val="auto"/>
        </w:rPr>
      </w:pPr>
      <w:r>
        <w:rPr>
          <w:rFonts w:ascii="Arial" w:cs="Arial" w:eastAsia="Arial" w:hAnsi="Arial"/>
          <w:sz w:val="20"/>
          <w:szCs w:val="20"/>
          <w:color w:val="auto"/>
        </w:rPr>
        <w:t>This Agreement has been duly executed and delivered by such Person, and constitutes a valid and binding obligation of such Person, enforceable against it in accordance with the terms hereof, except as may be limited by applicable bankruptcy, insolvency, reorganization, moratorium, or similar state or federal debtor relief laws affecting the enforcement of creditors’ rights generally and by general principles of equity.</w:t>
      </w:r>
    </w:p>
    <w:p>
      <w:pPr>
        <w:spacing w:after="0" w:line="155" w:lineRule="exact"/>
        <w:rPr>
          <w:rFonts w:ascii="Arial" w:cs="Arial" w:eastAsia="Arial" w:hAnsi="Arial"/>
          <w:sz w:val="20"/>
          <w:szCs w:val="20"/>
          <w:color w:val="auto"/>
        </w:rPr>
      </w:pPr>
    </w:p>
    <w:p>
      <w:pPr>
        <w:jc w:val="both"/>
        <w:ind w:left="1300" w:firstLine="652"/>
        <w:spacing w:after="0" w:line="244" w:lineRule="auto"/>
        <w:tabs>
          <w:tab w:leader="none" w:pos="2585"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execution and delivery by such Person of this Agreement and performance by such Person of this Agreement have been duly authorized by all necessary corporate or other organizational action, and do not and will not</w:t>
      </w:r>
    </w:p>
    <w:p>
      <w:pPr>
        <w:jc w:val="both"/>
        <w:ind w:left="1300" w:firstLine="4"/>
        <w:spacing w:after="0" w:line="235" w:lineRule="auto"/>
        <w:tabs>
          <w:tab w:leader="none" w:pos="1589"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contravene the terms of its certificate or articles of incorporation or organization or other applicable constitutive documents, (ii) conflict with or result in any breach or contravention of, or the creation of any lien under, or require any payment to be made under (x) any contractual obligation to which such Person is a party or affecting such Person or the properties of such Person or any subsidiary thereof or (y) any order, injunction, writ or decree of any governmental authority or any arbitral award to which such Person or any subsidiary thereof or its property is subject or (c) violate any law.</w:t>
      </w:r>
    </w:p>
    <w:p>
      <w:pPr>
        <w:spacing w:after="0" w:line="172" w:lineRule="exact"/>
        <w:rPr>
          <w:rFonts w:ascii="Arial" w:cs="Arial" w:eastAsia="Arial" w:hAnsi="Arial"/>
          <w:sz w:val="18"/>
          <w:szCs w:val="18"/>
          <w:color w:val="auto"/>
        </w:rPr>
      </w:pPr>
    </w:p>
    <w:p>
      <w:pPr>
        <w:jc w:val="both"/>
        <w:ind w:left="1300" w:firstLine="652"/>
        <w:spacing w:after="0" w:line="223" w:lineRule="auto"/>
        <w:tabs>
          <w:tab w:leader="none" w:pos="2606" w:val="left"/>
        </w:tabs>
        <w:numPr>
          <w:ilvl w:val="2"/>
          <w:numId w:val="42"/>
        </w:numPr>
        <w:rPr>
          <w:rFonts w:ascii="Arial" w:cs="Arial" w:eastAsia="Arial" w:hAnsi="Arial"/>
          <w:sz w:val="20"/>
          <w:szCs w:val="20"/>
          <w:color w:val="auto"/>
        </w:rPr>
      </w:pPr>
      <w:r>
        <w:rPr>
          <w:rFonts w:ascii="Arial" w:cs="Arial" w:eastAsia="Arial" w:hAnsi="Arial"/>
          <w:sz w:val="20"/>
          <w:szCs w:val="20"/>
          <w:color w:val="auto"/>
        </w:rPr>
        <w:t>Immediately before and immediately after giving effect to this Agreement, (A) all representations and warranties of such Person set forth in the Loan Documents are true and correct in all material respects (and in all respects if any such representation or warranty is already qualified by materiality (after giving effect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405" w:right="339" w:bottom="1440" w:gutter="0" w:footer="0" w:header="0"/>
        </w:sectPr>
      </w:pPr>
    </w:p>
    <w:bookmarkStart w:id="56" w:name="page57"/>
    <w:bookmarkEnd w:id="56"/>
    <w:p>
      <w:pPr>
        <w:ind w:left="180"/>
        <w:spacing w:after="0"/>
        <w:rPr>
          <w:sz w:val="20"/>
          <w:szCs w:val="20"/>
          <w:color w:val="auto"/>
        </w:rPr>
      </w:pPr>
      <w:r>
        <w:rPr>
          <w:rFonts w:ascii="Arial" w:cs="Arial" w:eastAsia="Arial" w:hAnsi="Arial"/>
          <w:sz w:val="18"/>
          <w:szCs w:val="18"/>
          <w:color w:val="auto"/>
        </w:rPr>
        <w:t>materiality qualification)) on and as of the Amendment Effective Date (except to the extent that such representations and</w:t>
      </w:r>
    </w:p>
    <w:p>
      <w:pPr>
        <w:spacing w:after="0" w:line="12" w:lineRule="exact"/>
        <w:rPr>
          <w:sz w:val="20"/>
          <w:szCs w:val="20"/>
          <w:color w:val="auto"/>
        </w:rPr>
      </w:pPr>
    </w:p>
    <w:p>
      <w:pPr>
        <w:ind w:left="180"/>
        <w:spacing w:after="0" w:line="226" w:lineRule="auto"/>
        <w:rPr>
          <w:sz w:val="20"/>
          <w:szCs w:val="20"/>
          <w:color w:val="auto"/>
        </w:rPr>
      </w:pPr>
      <w:r>
        <w:rPr>
          <w:rFonts w:ascii="Arial" w:cs="Arial" w:eastAsia="Arial" w:hAnsi="Arial"/>
          <w:sz w:val="18"/>
          <w:szCs w:val="18"/>
          <w:color w:val="auto"/>
        </w:rPr>
        <w:t>warranties specifically refer to an earlier date, in which case they were true and correct in all material respects (and in all respects if any such representation or warranty is already qualified by materiality (after giving effect to such materiality</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qualification)) as of such earlier date), and (B) no Event of Default exists.</w:t>
      </w:r>
    </w:p>
    <w:p>
      <w:pPr>
        <w:spacing w:after="0" w:line="173" w:lineRule="exact"/>
        <w:rPr>
          <w:sz w:val="20"/>
          <w:szCs w:val="20"/>
          <w:color w:val="auto"/>
        </w:rPr>
      </w:pPr>
    </w:p>
    <w:p>
      <w:pPr>
        <w:jc w:val="both"/>
        <w:ind w:left="-460" w:firstLine="644"/>
        <w:spacing w:after="0" w:line="238" w:lineRule="auto"/>
        <w:tabs>
          <w:tab w:leader="none" w:pos="6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Agreement may be in the form of an electronic record (in “.pdf” form or otherwise) and may be executed using electronic signatures, which shall be considered as originals and shall have the same legal effect, validity and enforceability as a paper record. This Agreement may be executed in as many counterparts as necessary or convenient, including both paper and electronic counterparts, but all such counterparts shall be one and the same Agreement. For the avoidance of doubt, the authorization under this paragraph may include, without limitation, use or acceptance by the Administrative Agent of a manually signed Agreement which has been converted into electronic form (such as scanned into “.pdf” format), or an electronically signed Agreement converted into another format, for transmission, delivery and/or retention.</w:t>
      </w:r>
    </w:p>
    <w:p>
      <w:pPr>
        <w:spacing w:after="0" w:line="156" w:lineRule="exact"/>
        <w:rPr>
          <w:rFonts w:ascii="Arial" w:cs="Arial" w:eastAsia="Arial" w:hAnsi="Arial"/>
          <w:sz w:val="18"/>
          <w:szCs w:val="18"/>
          <w:color w:val="auto"/>
        </w:rPr>
      </w:pPr>
    </w:p>
    <w:p>
      <w:pPr>
        <w:jc w:val="both"/>
        <w:ind w:left="-460" w:firstLine="644"/>
        <w:spacing w:after="0" w:line="220" w:lineRule="auto"/>
        <w:tabs>
          <w:tab w:leader="none" w:pos="715"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provision of this Agreement held to be illegal, invalid or unenforceable in any jurisdiction, shall, as to such jurisdiction, be ineffective to the extent of such illegality, invalidity or unenforceability without affecting the legality, validity or enforceability of the remaining provisions hereof and the illegality, invalidity or unenforceability of a particular provision in a particular jurisdiction shall not invalidate or render unenforceable such provision in any other jurisdiction.</w:t>
      </w:r>
    </w:p>
    <w:p>
      <w:pPr>
        <w:spacing w:after="0" w:line="169" w:lineRule="exact"/>
        <w:rPr>
          <w:rFonts w:ascii="Arial" w:cs="Arial" w:eastAsia="Arial" w:hAnsi="Arial"/>
          <w:sz w:val="20"/>
          <w:szCs w:val="20"/>
          <w:color w:val="auto"/>
        </w:rPr>
      </w:pPr>
    </w:p>
    <w:p>
      <w:pPr>
        <w:ind w:left="-460" w:firstLine="644"/>
        <w:spacing w:after="0" w:line="257" w:lineRule="auto"/>
        <w:tabs>
          <w:tab w:leader="none" w:pos="680"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The terms of the Credit Agreement with respect to governing law, submission to jurisdiction, waiver of venue and waiver of jury trial are incorporated herein by reference, </w:t>
      </w:r>
      <w:r>
        <w:rPr>
          <w:rFonts w:ascii="Arial" w:cs="Arial" w:eastAsia="Arial" w:hAnsi="Arial"/>
          <w:sz w:val="19"/>
          <w:szCs w:val="19"/>
          <w:i w:val="1"/>
          <w:iCs w:val="1"/>
          <w:color w:val="auto"/>
        </w:rPr>
        <w:t>mutatis mutandis</w:t>
      </w:r>
      <w:r>
        <w:rPr>
          <w:rFonts w:ascii="Arial" w:cs="Arial" w:eastAsia="Arial" w:hAnsi="Arial"/>
          <w:sz w:val="19"/>
          <w:szCs w:val="19"/>
          <w:color w:val="auto"/>
        </w:rPr>
        <w:t>, and the parties hereto agree to such terms.</w:t>
      </w:r>
    </w:p>
    <w:p>
      <w:pPr>
        <w:spacing w:after="0" w:line="140"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120"/>
          </w:cols>
          <w:pgMar w:left="1440" w:top="1405"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Each of the parties hereto has caused a counterpart of this Agreement to be duly executed and delivered as of the date first above</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20" w:type="dxa"/>
            <w:vAlign w:val="bottom"/>
            <w:gridSpan w:val="2"/>
          </w:tcPr>
          <w:p>
            <w:pPr>
              <w:spacing w:after="0"/>
              <w:rPr>
                <w:sz w:val="20"/>
                <w:szCs w:val="20"/>
                <w:color w:val="auto"/>
              </w:rPr>
            </w:pPr>
            <w:r>
              <w:rPr>
                <w:rFonts w:ascii="Arial" w:cs="Arial" w:eastAsia="Arial" w:hAnsi="Arial"/>
                <w:sz w:val="20"/>
                <w:szCs w:val="20"/>
                <w:color w:val="auto"/>
              </w:rPr>
              <w:t>BORROWER:</w:t>
            </w:r>
          </w:p>
        </w:tc>
        <w:tc>
          <w:tcPr>
            <w:tcW w:w="8100" w:type="dxa"/>
            <w:vAlign w:val="bottom"/>
            <w:gridSpan w:val="3"/>
          </w:tcPr>
          <w:p>
            <w:pPr>
              <w:ind w:left="1940"/>
              <w:spacing w:after="0"/>
              <w:rPr>
                <w:sz w:val="20"/>
                <w:szCs w:val="20"/>
                <w:color w:val="auto"/>
              </w:rPr>
            </w:pPr>
            <w:r>
              <w:rPr>
                <w:rFonts w:ascii="Arial" w:cs="Arial" w:eastAsia="Arial" w:hAnsi="Arial"/>
                <w:sz w:val="20"/>
                <w:szCs w:val="20"/>
                <w:b w:val="1"/>
                <w:bCs w:val="1"/>
                <w:color w:val="auto"/>
              </w:rPr>
              <w:t xml:space="preserve">BLACKBAUD, INC., </w:t>
            </w:r>
            <w:r>
              <w:rPr>
                <w:rFonts w:ascii="Arial" w:cs="Arial" w:eastAsia="Arial" w:hAnsi="Arial"/>
                <w:sz w:val="20"/>
                <w:szCs w:val="20"/>
                <w:color w:val="auto"/>
              </w:rPr>
              <w:t>as a Borrower</w:t>
            </w:r>
          </w:p>
        </w:tc>
      </w:tr>
      <w:tr>
        <w:trPr>
          <w:trHeight w:val="572"/>
        </w:trPr>
        <w:tc>
          <w:tcPr>
            <w:tcW w:w="1120" w:type="dxa"/>
            <w:vAlign w:val="bottom"/>
            <w:tcBorders>
              <w:top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2660" w:type="dxa"/>
            <w:vAlign w:val="bottom"/>
            <w:gridSpan w:val="2"/>
          </w:tcPr>
          <w:p>
            <w:pPr>
              <w:ind w:left="1940"/>
              <w:spacing w:after="0"/>
              <w:rPr>
                <w:sz w:val="20"/>
                <w:szCs w:val="20"/>
                <w:color w:val="auto"/>
              </w:rPr>
            </w:pPr>
            <w:r>
              <w:rPr>
                <w:rFonts w:ascii="Arial" w:cs="Arial" w:eastAsia="Arial" w:hAnsi="Arial"/>
                <w:sz w:val="22"/>
                <w:szCs w:val="22"/>
                <w:color w:val="auto"/>
              </w:rPr>
              <w:t>By:</w:t>
            </w:r>
          </w:p>
        </w:tc>
        <w:tc>
          <w:tcPr>
            <w:tcW w:w="5440" w:type="dxa"/>
            <w:vAlign w:val="bottom"/>
          </w:tcPr>
          <w:p>
            <w:pPr>
              <w:ind w:left="160"/>
              <w:spacing w:after="0"/>
              <w:rPr>
                <w:sz w:val="20"/>
                <w:szCs w:val="20"/>
                <w:color w:val="auto"/>
              </w:rPr>
            </w:pPr>
            <w:r>
              <w:rPr>
                <w:rFonts w:ascii="Arial" w:cs="Arial" w:eastAsia="Arial" w:hAnsi="Arial"/>
                <w:sz w:val="22"/>
                <w:szCs w:val="22"/>
                <w:color w:val="auto"/>
              </w:rPr>
              <w:t>/s/ Tom E. Griffin</w:t>
            </w:r>
          </w:p>
        </w:tc>
      </w:tr>
      <w:tr>
        <w:trPr>
          <w:trHeight w:val="257"/>
        </w:trPr>
        <w:tc>
          <w:tcPr>
            <w:tcW w:w="11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500" w:type="dxa"/>
            <w:vAlign w:val="bottom"/>
          </w:tcPr>
          <w:p>
            <w:pPr>
              <w:ind w:left="1940"/>
              <w:spacing w:after="0"/>
              <w:rPr>
                <w:sz w:val="20"/>
                <w:szCs w:val="20"/>
                <w:color w:val="auto"/>
              </w:rPr>
            </w:pPr>
            <w:r>
              <w:rPr>
                <w:rFonts w:ascii="Arial" w:cs="Arial" w:eastAsia="Arial" w:hAnsi="Arial"/>
                <w:sz w:val="22"/>
                <w:szCs w:val="22"/>
                <w:color w:val="auto"/>
                <w:w w:val="83"/>
              </w:rPr>
              <w:t>Name:</w:t>
            </w:r>
          </w:p>
        </w:tc>
        <w:tc>
          <w:tcPr>
            <w:tcW w:w="160" w:type="dxa"/>
            <w:vAlign w:val="bottom"/>
            <w:tcBorders>
              <w:top w:val="single" w:sz="8" w:color="auto"/>
            </w:tcBorders>
          </w:tcPr>
          <w:p>
            <w:pPr>
              <w:spacing w:after="0"/>
              <w:rPr>
                <w:sz w:val="22"/>
                <w:szCs w:val="22"/>
                <w:color w:val="auto"/>
              </w:rPr>
            </w:pPr>
          </w:p>
        </w:tc>
        <w:tc>
          <w:tcPr>
            <w:tcW w:w="544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Tom E. Griffin</w:t>
            </w:r>
          </w:p>
        </w:tc>
      </w:tr>
      <w:tr>
        <w:trPr>
          <w:trHeight w:val="274"/>
        </w:trPr>
        <w:tc>
          <w:tcPr>
            <w:tcW w:w="1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2660" w:type="dxa"/>
            <w:vAlign w:val="bottom"/>
            <w:gridSpan w:val="2"/>
          </w:tcPr>
          <w:p>
            <w:pPr>
              <w:ind w:left="1940"/>
              <w:spacing w:after="0"/>
              <w:rPr>
                <w:sz w:val="20"/>
                <w:szCs w:val="20"/>
                <w:color w:val="auto"/>
              </w:rPr>
            </w:pPr>
            <w:r>
              <w:rPr>
                <w:rFonts w:ascii="Arial" w:cs="Arial" w:eastAsia="Arial" w:hAnsi="Arial"/>
                <w:sz w:val="22"/>
                <w:szCs w:val="22"/>
                <w:color w:val="auto"/>
              </w:rPr>
              <w:t>Title:</w:t>
            </w:r>
          </w:p>
        </w:tc>
        <w:tc>
          <w:tcPr>
            <w:tcW w:w="5440" w:type="dxa"/>
            <w:vAlign w:val="bottom"/>
          </w:tcPr>
          <w:p>
            <w:pPr>
              <w:ind w:left="160"/>
              <w:spacing w:after="0"/>
              <w:rPr>
                <w:sz w:val="20"/>
                <w:szCs w:val="20"/>
                <w:color w:val="auto"/>
              </w:rPr>
            </w:pPr>
            <w:r>
              <w:rPr>
                <w:rFonts w:ascii="Arial" w:cs="Arial" w:eastAsia="Arial" w:hAnsi="Arial"/>
                <w:sz w:val="22"/>
                <w:szCs w:val="22"/>
                <w:color w:val="auto"/>
              </w:rPr>
              <w:t>Vice President, Corporate Treasurer</w:t>
            </w:r>
          </w:p>
        </w:tc>
      </w:tr>
    </w:tbl>
    <w:p>
      <w:pPr>
        <w:sectPr>
          <w:pgSz w:w="11900" w:h="16838" w:orient="portrait"/>
          <w:cols w:equalWidth="0" w:num="1">
            <w:col w:w="11240"/>
          </w:cols>
          <w:pgMar w:left="320" w:top="1405" w:right="339" w:bottom="1440" w:gutter="0" w:footer="0" w:header="0"/>
        </w:sectPr>
      </w:pPr>
    </w:p>
    <w:bookmarkStart w:id="58" w:name="page59"/>
    <w:bookmarkEnd w:id="58"/>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spacing w:after="0"/>
              <w:rPr>
                <w:sz w:val="20"/>
                <w:szCs w:val="20"/>
                <w:color w:val="auto"/>
              </w:rPr>
            </w:pPr>
            <w:r>
              <w:rPr>
                <w:rFonts w:ascii="Arial" w:cs="Arial" w:eastAsia="Arial" w:hAnsi="Arial"/>
                <w:sz w:val="20"/>
                <w:szCs w:val="20"/>
                <w:color w:val="auto"/>
              </w:rPr>
              <w:t>ADMINISTRATIVE AGENT:</w:t>
            </w:r>
          </w:p>
        </w:tc>
        <w:tc>
          <w:tcPr>
            <w:tcW w:w="7260" w:type="dxa"/>
            <w:vAlign w:val="bottom"/>
            <w:gridSpan w:val="3"/>
          </w:tcPr>
          <w:p>
            <w:pPr>
              <w:ind w:left="1500"/>
              <w:spacing w:after="0"/>
              <w:rPr>
                <w:sz w:val="20"/>
                <w:szCs w:val="20"/>
                <w:color w:val="auto"/>
              </w:rPr>
            </w:pPr>
            <w:r>
              <w:rPr>
                <w:rFonts w:ascii="Arial" w:cs="Arial" w:eastAsia="Arial" w:hAnsi="Arial"/>
                <w:sz w:val="20"/>
                <w:szCs w:val="20"/>
                <w:color w:val="auto"/>
              </w:rPr>
              <w:t>BANK OF AMERICA, N.A.,</w:t>
            </w:r>
          </w:p>
        </w:tc>
      </w:tr>
      <w:tr>
        <w:trPr>
          <w:trHeight w:val="301"/>
        </w:trPr>
        <w:tc>
          <w:tcPr>
            <w:tcW w:w="244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7260" w:type="dxa"/>
            <w:vAlign w:val="bottom"/>
            <w:gridSpan w:val="3"/>
          </w:tcPr>
          <w:p>
            <w:pPr>
              <w:ind w:left="1500"/>
              <w:spacing w:after="0"/>
              <w:rPr>
                <w:sz w:val="20"/>
                <w:szCs w:val="20"/>
                <w:color w:val="auto"/>
              </w:rPr>
            </w:pPr>
            <w:r>
              <w:rPr>
                <w:rFonts w:ascii="Arial" w:cs="Arial" w:eastAsia="Arial" w:hAnsi="Arial"/>
                <w:sz w:val="22"/>
                <w:szCs w:val="22"/>
                <w:color w:val="auto"/>
              </w:rPr>
              <w:t>as Administrative Agent</w:t>
            </w:r>
          </w:p>
        </w:tc>
      </w:tr>
      <w:tr>
        <w:trPr>
          <w:trHeight w:val="542"/>
        </w:trPr>
        <w:tc>
          <w:tcPr>
            <w:tcW w:w="2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0" w:type="dxa"/>
            <w:vAlign w:val="bottom"/>
            <w:gridSpan w:val="2"/>
          </w:tcPr>
          <w:p>
            <w:pPr>
              <w:ind w:left="1500"/>
              <w:spacing w:after="0"/>
              <w:rPr>
                <w:sz w:val="20"/>
                <w:szCs w:val="20"/>
                <w:color w:val="auto"/>
              </w:rPr>
            </w:pPr>
            <w:r>
              <w:rPr>
                <w:rFonts w:ascii="Arial" w:cs="Arial" w:eastAsia="Arial" w:hAnsi="Arial"/>
                <w:sz w:val="22"/>
                <w:szCs w:val="22"/>
                <w:color w:val="auto"/>
              </w:rPr>
              <w:t>By:</w:t>
            </w:r>
          </w:p>
        </w:tc>
        <w:tc>
          <w:tcPr>
            <w:tcW w:w="5060" w:type="dxa"/>
            <w:vAlign w:val="bottom"/>
          </w:tcPr>
          <w:p>
            <w:pPr>
              <w:ind w:left="140"/>
              <w:spacing w:after="0"/>
              <w:rPr>
                <w:sz w:val="20"/>
                <w:szCs w:val="20"/>
                <w:color w:val="auto"/>
              </w:rPr>
            </w:pPr>
            <w:r>
              <w:rPr>
                <w:rFonts w:ascii="Arial" w:cs="Arial" w:eastAsia="Arial" w:hAnsi="Arial"/>
                <w:sz w:val="22"/>
                <w:szCs w:val="22"/>
                <w:color w:val="auto"/>
              </w:rPr>
              <w:t>/s/ Liliana Claar</w:t>
            </w:r>
          </w:p>
        </w:tc>
      </w:tr>
      <w:tr>
        <w:trPr>
          <w:trHeight w:val="257"/>
        </w:trPr>
        <w:tc>
          <w:tcPr>
            <w:tcW w:w="24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40" w:type="dxa"/>
            <w:vAlign w:val="bottom"/>
          </w:tcPr>
          <w:p>
            <w:pPr>
              <w:ind w:left="1500"/>
              <w:spacing w:after="0"/>
              <w:rPr>
                <w:sz w:val="20"/>
                <w:szCs w:val="20"/>
                <w:color w:val="auto"/>
              </w:rPr>
            </w:pPr>
            <w:r>
              <w:rPr>
                <w:rFonts w:ascii="Arial" w:cs="Arial" w:eastAsia="Arial" w:hAnsi="Arial"/>
                <w:sz w:val="22"/>
                <w:szCs w:val="22"/>
                <w:color w:val="auto"/>
                <w:w w:val="80"/>
              </w:rPr>
              <w:t>Name:</w:t>
            </w:r>
          </w:p>
        </w:tc>
        <w:tc>
          <w:tcPr>
            <w:tcW w:w="160" w:type="dxa"/>
            <w:vAlign w:val="bottom"/>
            <w:tcBorders>
              <w:top w:val="single" w:sz="8" w:color="auto"/>
            </w:tcBorders>
          </w:tcPr>
          <w:p>
            <w:pPr>
              <w:spacing w:after="0"/>
              <w:rPr>
                <w:sz w:val="22"/>
                <w:szCs w:val="22"/>
                <w:color w:val="auto"/>
              </w:rPr>
            </w:pPr>
          </w:p>
        </w:tc>
        <w:tc>
          <w:tcPr>
            <w:tcW w:w="5060" w:type="dxa"/>
            <w:vAlign w:val="bottom"/>
            <w:tcBorders>
              <w:top w:val="single" w:sz="8" w:color="auto"/>
            </w:tcBorders>
          </w:tcPr>
          <w:p>
            <w:pPr>
              <w:ind w:left="140"/>
              <w:spacing w:after="0"/>
              <w:rPr>
                <w:sz w:val="20"/>
                <w:szCs w:val="20"/>
                <w:color w:val="auto"/>
              </w:rPr>
            </w:pPr>
            <w:r>
              <w:rPr>
                <w:rFonts w:ascii="Arial" w:cs="Arial" w:eastAsia="Arial" w:hAnsi="Arial"/>
                <w:sz w:val="22"/>
                <w:szCs w:val="22"/>
                <w:color w:val="auto"/>
              </w:rPr>
              <w:t>Liliana Claar</w:t>
            </w:r>
          </w:p>
        </w:tc>
      </w:tr>
      <w:tr>
        <w:trPr>
          <w:trHeight w:val="274"/>
        </w:trPr>
        <w:tc>
          <w:tcPr>
            <w:tcW w:w="24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200" w:type="dxa"/>
            <w:vAlign w:val="bottom"/>
            <w:gridSpan w:val="2"/>
          </w:tcPr>
          <w:p>
            <w:pPr>
              <w:ind w:left="1500"/>
              <w:spacing w:after="0"/>
              <w:rPr>
                <w:sz w:val="20"/>
                <w:szCs w:val="20"/>
                <w:color w:val="auto"/>
              </w:rPr>
            </w:pPr>
            <w:r>
              <w:rPr>
                <w:rFonts w:ascii="Arial" w:cs="Arial" w:eastAsia="Arial" w:hAnsi="Arial"/>
                <w:sz w:val="22"/>
                <w:szCs w:val="22"/>
                <w:color w:val="auto"/>
              </w:rPr>
              <w:t>Title:</w:t>
            </w:r>
          </w:p>
        </w:tc>
        <w:tc>
          <w:tcPr>
            <w:tcW w:w="5060" w:type="dxa"/>
            <w:vAlign w:val="bottom"/>
          </w:tcPr>
          <w:p>
            <w:pPr>
              <w:ind w:left="140"/>
              <w:spacing w:after="0"/>
              <w:rPr>
                <w:sz w:val="20"/>
                <w:szCs w:val="20"/>
                <w:color w:val="auto"/>
              </w:rPr>
            </w:pPr>
            <w:r>
              <w:rPr>
                <w:rFonts w:ascii="Arial" w:cs="Arial" w:eastAsia="Arial" w:hAnsi="Arial"/>
                <w:sz w:val="22"/>
                <w:szCs w:val="22"/>
                <w:color w:val="auto"/>
              </w:rPr>
              <w:t>Vice President</w:t>
            </w:r>
          </w:p>
        </w:tc>
      </w:tr>
    </w:tbl>
    <w:p>
      <w:pPr>
        <w:sectPr>
          <w:pgSz w:w="11900" w:h="16838" w:orient="portrait"/>
          <w:cols w:equalWidth="0" w:num="1">
            <w:col w:w="11220"/>
          </w:cols>
          <w:pgMar w:left="340" w:top="1440" w:right="339" w:bottom="1440" w:gutter="0" w:footer="0" w:header="0"/>
        </w:sectPr>
      </w:pPr>
    </w:p>
    <w:bookmarkStart w:id="59" w:name="page60"/>
    <w:bookmarkEnd w:id="59"/>
    <w:p>
      <w:pPr>
        <w:spacing w:after="0" w:line="200" w:lineRule="exact"/>
        <w:rPr>
          <w:sz w:val="20"/>
          <w:szCs w:val="20"/>
          <w:color w:val="auto"/>
        </w:rPr>
      </w:pPr>
    </w:p>
    <w:p>
      <w:pPr>
        <w:spacing w:after="0" w:line="252" w:lineRule="exact"/>
        <w:rPr>
          <w:sz w:val="20"/>
          <w:szCs w:val="20"/>
          <w:color w:val="auto"/>
        </w:rPr>
      </w:pPr>
    </w:p>
    <w:p>
      <w:pPr>
        <w:jc w:val="center"/>
        <w:ind w:right="640"/>
        <w:spacing w:after="0"/>
        <w:rPr>
          <w:sz w:val="20"/>
          <w:szCs w:val="20"/>
          <w:color w:val="auto"/>
        </w:rPr>
      </w:pPr>
      <w:r>
        <w:rPr>
          <w:rFonts w:ascii="Arial" w:cs="Arial" w:eastAsia="Arial" w:hAnsi="Arial"/>
          <w:sz w:val="20"/>
          <w:szCs w:val="20"/>
          <w:u w:val="single" w:color="auto"/>
          <w:color w:val="auto"/>
        </w:rPr>
        <w:t>Appendix A</w:t>
      </w:r>
    </w:p>
    <w:p>
      <w:pPr>
        <w:spacing w:after="0" w:line="216" w:lineRule="exact"/>
        <w:rPr>
          <w:sz w:val="20"/>
          <w:szCs w:val="20"/>
          <w:color w:val="auto"/>
        </w:rPr>
      </w:pPr>
    </w:p>
    <w:p>
      <w:pPr>
        <w:ind w:right="3580" w:firstLine="2933"/>
        <w:spacing w:after="0" w:line="467" w:lineRule="auto"/>
        <w:rPr>
          <w:sz w:val="20"/>
          <w:szCs w:val="20"/>
          <w:color w:val="auto"/>
        </w:rPr>
      </w:pPr>
      <w:r>
        <w:rPr>
          <w:rFonts w:ascii="Arial" w:cs="Arial" w:eastAsia="Arial" w:hAnsi="Arial"/>
          <w:sz w:val="19"/>
          <w:szCs w:val="19"/>
          <w:color w:val="auto"/>
        </w:rPr>
        <w:t xml:space="preserve">TERMS APPLICABLE TO TERM SOFR LOANS 1. </w:t>
      </w:r>
      <w:r>
        <w:rPr>
          <w:rFonts w:ascii="Arial" w:cs="Arial" w:eastAsia="Arial" w:hAnsi="Arial"/>
          <w:sz w:val="19"/>
          <w:szCs w:val="19"/>
          <w:u w:val="single" w:color="auto"/>
          <w:color w:val="auto"/>
        </w:rPr>
        <w:t>Defined Terms</w:t>
      </w:r>
      <w:r>
        <w:rPr>
          <w:rFonts w:ascii="Arial" w:cs="Arial" w:eastAsia="Arial" w:hAnsi="Arial"/>
          <w:sz w:val="19"/>
          <w:szCs w:val="19"/>
          <w:color w:val="auto"/>
        </w:rPr>
        <w:t>. The following terms shall have the meanings set forth below:</w:t>
      </w: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Agent’s Office</w:t>
      </w:r>
      <w:r>
        <w:rPr>
          <w:rFonts w:ascii="Arial" w:cs="Arial" w:eastAsia="Arial" w:hAnsi="Arial"/>
          <w:sz w:val="19"/>
          <w:szCs w:val="19"/>
          <w:color w:val="auto"/>
        </w:rPr>
        <w:t>” means, with respect to Dollars, the Administrative Agent’s address and, as appropriate,</w:t>
      </w:r>
    </w:p>
    <w:p>
      <w:pPr>
        <w:spacing w:after="0" w:line="220" w:lineRule="auto"/>
        <w:rPr>
          <w:sz w:val="20"/>
          <w:szCs w:val="20"/>
          <w:color w:val="auto"/>
        </w:rPr>
      </w:pPr>
      <w:r>
        <w:rPr>
          <w:rFonts w:ascii="Arial" w:cs="Arial" w:eastAsia="Arial" w:hAnsi="Arial"/>
          <w:sz w:val="20"/>
          <w:szCs w:val="20"/>
          <w:color w:val="auto"/>
        </w:rPr>
        <w:t>account specified in the Credit Agreement with respect to Dollars, or such other address or account with respect to Dollars as the Administrative Agent may from time to time notify the Borrower and the Lenders.</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means the Applicable Rate, Applicable Margin or any similar or analogous definition in the Credit Agreement.</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w:t>
      </w:r>
      <w:r>
        <w:rPr>
          <w:rFonts w:ascii="Arial" w:cs="Arial" w:eastAsia="Arial" w:hAnsi="Arial"/>
          <w:sz w:val="20"/>
          <w:szCs w:val="20"/>
          <w:color w:val="auto"/>
        </w:rPr>
        <w:t>” means the Base Rate, Alternative Base Rate, ABR or any similar or analogous definition in the Credit Agreement.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Loans</w:t>
      </w:r>
      <w:r>
        <w:rPr>
          <w:rFonts w:ascii="Arial" w:cs="Arial" w:eastAsia="Arial" w:hAnsi="Arial"/>
          <w:sz w:val="20"/>
          <w:szCs w:val="20"/>
          <w:color w:val="auto"/>
        </w:rPr>
        <w:t>” means a Loan that bears interest at a rate based on the Base Rate.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means a Committed Borrowing, Borrowing, or any similar or analogous definition in the Credit Agreement.</w:t>
      </w:r>
    </w:p>
    <w:p>
      <w:pPr>
        <w:spacing w:after="0" w:line="200"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other than a Saturday, Sunday or other day on which commercial banks are authorized to close under the laws of, or are in fact closed in, the state where the Administrative Agent’s Office is located.</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CME</w:t>
      </w:r>
      <w:r>
        <w:rPr>
          <w:rFonts w:ascii="Arial" w:cs="Arial" w:eastAsia="Arial" w:hAnsi="Arial"/>
          <w:sz w:val="20"/>
          <w:szCs w:val="20"/>
          <w:color w:val="auto"/>
        </w:rPr>
        <w:t>” means CME Group Benchmark Administration Limited.</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Committed Loan Notice</w:t>
      </w:r>
      <w:r>
        <w:rPr>
          <w:rFonts w:ascii="Arial" w:cs="Arial" w:eastAsia="Arial" w:hAnsi="Arial"/>
          <w:sz w:val="19"/>
          <w:szCs w:val="19"/>
          <w:color w:val="auto"/>
        </w:rPr>
        <w:t>” means a Committed Loan Notice, Loan Notice, Borrowing Notice, Continuation/Conversion</w:t>
      </w:r>
    </w:p>
    <w:p>
      <w:pPr>
        <w:spacing w:after="0" w:line="220" w:lineRule="auto"/>
        <w:rPr>
          <w:sz w:val="20"/>
          <w:szCs w:val="20"/>
          <w:color w:val="auto"/>
        </w:rPr>
      </w:pPr>
      <w:r>
        <w:rPr>
          <w:rFonts w:ascii="Arial" w:cs="Arial" w:eastAsia="Arial" w:hAnsi="Arial"/>
          <w:sz w:val="20"/>
          <w:szCs w:val="20"/>
          <w:color w:val="auto"/>
        </w:rPr>
        <w:t>Notice, or any similar or analogous definition in the Credit Agreement, and such term shall be deemed to include the Committed Loan Notice attached hereto as Exhibit A.</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Conforming Changes</w:t>
      </w:r>
      <w:r>
        <w:rPr>
          <w:rFonts w:ascii="Arial" w:cs="Arial" w:eastAsia="Arial" w:hAnsi="Arial"/>
          <w:sz w:val="18"/>
          <w:szCs w:val="18"/>
          <w:color w:val="auto"/>
        </w:rPr>
        <w:t>” means, with respect to the use, administration of or any conventions associated with SOFR or any proposed Successor Rate or Term SOFR, as applicable, any conforming changes to the definitions of “Base Rate”, “SOFR”, “Term</w:t>
      </w:r>
    </w:p>
    <w:p>
      <w:pPr>
        <w:spacing w:after="0" w:line="222" w:lineRule="auto"/>
        <w:rPr>
          <w:sz w:val="20"/>
          <w:szCs w:val="20"/>
          <w:color w:val="auto"/>
        </w:rPr>
      </w:pPr>
      <w:r>
        <w:rPr>
          <w:rFonts w:ascii="Arial" w:cs="Arial" w:eastAsia="Arial" w:hAnsi="Arial"/>
          <w:sz w:val="19"/>
          <w:szCs w:val="19"/>
          <w:color w:val="auto"/>
        </w:rPr>
        <w:t>SOFR” and “Interest Period”, timing and frequency of determining rates and making payments of interest and other technical,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administrative or operational matters (including, for the avoidance of doubt, the definitions of “Business Day” and “U.S. Government Securities Business Day”, timing of borrowing requests or prepayment, conversion or continuation notices and length of</w:t>
      </w:r>
    </w:p>
    <w:p>
      <w:pPr>
        <w:spacing w:after="0" w:line="236" w:lineRule="auto"/>
        <w:rPr>
          <w:sz w:val="20"/>
          <w:szCs w:val="20"/>
          <w:color w:val="auto"/>
        </w:rPr>
      </w:pPr>
      <w:r>
        <w:rPr>
          <w:rFonts w:ascii="Arial" w:cs="Arial" w:eastAsia="Arial" w:hAnsi="Arial"/>
          <w:sz w:val="18"/>
          <w:szCs w:val="18"/>
          <w:color w:val="auto"/>
        </w:rPr>
        <w:t>lookback periods) as may be appropriate, in the discretion of the Administrative Agent, to reflect the adoption and implementation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such applicable rate(s) and to permit the administration thereof by the Administrative Agent in a manner substantially consistent with market practice (or, if the Administrative Agent determines that adoption of any portion of such market practice is not</w:t>
      </w:r>
    </w:p>
    <w:p>
      <w:pPr>
        <w:spacing w:after="0" w:line="236" w:lineRule="auto"/>
        <w:rPr>
          <w:sz w:val="20"/>
          <w:szCs w:val="20"/>
          <w:color w:val="auto"/>
        </w:rPr>
      </w:pPr>
      <w:r>
        <w:rPr>
          <w:rFonts w:ascii="Arial" w:cs="Arial" w:eastAsia="Arial" w:hAnsi="Arial"/>
          <w:sz w:val="18"/>
          <w:szCs w:val="18"/>
          <w:color w:val="auto"/>
        </w:rPr>
        <w:t>administratively feasible or that no market practice for the administration of such rate exists, in such other manner of administration</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as the Administrative Agent determines is reasonably necessary in connection with the administration of this Agreement and any other Loan Document).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ectPr>
          <w:pgSz w:w="11900" w:h="16838" w:orient="portrait"/>
          <w:cols w:equalWidth="0" w:num="1">
            <w:col w:w="10580"/>
          </w:cols>
          <w:pgMar w:left="980" w:top="1440" w:right="339" w:bottom="1440" w:gutter="0" w:footer="0" w:header="0"/>
        </w:sectPr>
      </w:pPr>
    </w:p>
    <w:bookmarkStart w:id="60" w:name="page61"/>
    <w:bookmarkEnd w:id="60"/>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w:t>
      </w:r>
      <w:r>
        <w:rPr>
          <w:rFonts w:ascii="Arial" w:cs="Arial" w:eastAsia="Arial" w:hAnsi="Arial"/>
          <w:sz w:val="20"/>
          <w:szCs w:val="20"/>
          <w:color w:val="auto"/>
        </w:rPr>
        <w:t>” means Eurocurrency Rate, LIBOR, Adjusted LIBOR Rate, LIBOR Rate or any similar or analogous definition in the Credit Agreement.</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 Loans</w:t>
      </w:r>
      <w:r>
        <w:rPr>
          <w:rFonts w:ascii="Arial" w:cs="Arial" w:eastAsia="Arial" w:hAnsi="Arial"/>
          <w:sz w:val="20"/>
          <w:szCs w:val="20"/>
          <w:color w:val="auto"/>
        </w:rPr>
        <w:t>” means a Loan that bears interest at a rate based on the Eurocurrency Rate.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as to any Term SOFR Loan, the last day of each Interest Period applicable to such Loan and</w:t>
      </w:r>
    </w:p>
    <w:p>
      <w:pPr>
        <w:spacing w:after="0" w:line="3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the applicable maturity date set forth in the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Term SOFR Loan exceeds three months, the respective dates that fall every three months after the beginning of such Interest Period shall also be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Interest Payment Dates.</w:t>
      </w:r>
    </w:p>
    <w:p>
      <w:pPr>
        <w:spacing w:after="0" w:line="173"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means as to each Term SOFR Loan, the period commencing on the date such Term SOFR Loan is disbursed or converted to or continued as a Term SOFR Loan and ending on the date one, three or six months thereafter, as selected by the</w:t>
      </w:r>
    </w:p>
    <w:p>
      <w:pPr>
        <w:spacing w:after="0" w:line="236" w:lineRule="auto"/>
        <w:rPr>
          <w:sz w:val="20"/>
          <w:szCs w:val="20"/>
          <w:color w:val="auto"/>
        </w:rPr>
      </w:pPr>
      <w:r>
        <w:rPr>
          <w:rFonts w:ascii="Arial" w:cs="Arial" w:eastAsia="Arial" w:hAnsi="Arial"/>
          <w:sz w:val="18"/>
          <w:szCs w:val="18"/>
          <w:color w:val="auto"/>
        </w:rPr>
        <w:t>Borrower in its Committed Loan Notice, or such other period that is twelve months or less requested by the Borrower and consented</w:t>
      </w:r>
    </w:p>
    <w:p>
      <w:pPr>
        <w:spacing w:after="0" w:line="220" w:lineRule="auto"/>
        <w:rPr>
          <w:sz w:val="20"/>
          <w:szCs w:val="20"/>
          <w:color w:val="auto"/>
        </w:rPr>
      </w:pPr>
      <w:r>
        <w:rPr>
          <w:rFonts w:ascii="Arial" w:cs="Arial" w:eastAsia="Arial" w:hAnsi="Arial"/>
          <w:sz w:val="20"/>
          <w:szCs w:val="20"/>
          <w:color w:val="auto"/>
        </w:rPr>
        <w:t xml:space="preserve">to by all the Appropriate Lenders and the Administrative Agent (in the case of each requested Interest Period, subject to availability);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70" w:lineRule="exact"/>
        <w:rPr>
          <w:sz w:val="20"/>
          <w:szCs w:val="20"/>
          <w:color w:val="auto"/>
        </w:rPr>
      </w:pPr>
    </w:p>
    <w:p>
      <w:pPr>
        <w:jc w:val="both"/>
        <w:ind w:left="640" w:firstLine="291"/>
        <w:spacing w:after="0" w:line="223" w:lineRule="auto"/>
        <w:tabs>
          <w:tab w:leader="none" w:pos="1434" w:val="left"/>
        </w:tabs>
        <w:numPr>
          <w:ilvl w:val="2"/>
          <w:numId w:val="44"/>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spacing w:after="0" w:line="168" w:lineRule="exact"/>
        <w:rPr>
          <w:rFonts w:ascii="Arial" w:cs="Arial" w:eastAsia="Arial" w:hAnsi="Arial"/>
          <w:sz w:val="20"/>
          <w:szCs w:val="20"/>
          <w:color w:val="auto"/>
        </w:rPr>
      </w:pPr>
    </w:p>
    <w:p>
      <w:pPr>
        <w:jc w:val="both"/>
        <w:ind w:left="640" w:firstLine="215"/>
        <w:spacing w:after="0" w:line="223" w:lineRule="auto"/>
        <w:tabs>
          <w:tab w:leader="none" w:pos="1292" w:val="left"/>
        </w:tabs>
        <w:numPr>
          <w:ilvl w:val="1"/>
          <w:numId w:val="45"/>
        </w:numPr>
        <w:rPr>
          <w:rFonts w:ascii="Arial" w:cs="Arial" w:eastAsia="Arial" w:hAnsi="Arial"/>
          <w:sz w:val="20"/>
          <w:szCs w:val="20"/>
          <w:color w:val="auto"/>
        </w:rPr>
      </w:pPr>
      <w:r>
        <w:rPr>
          <w:rFonts w:ascii="Arial" w:cs="Arial" w:eastAsia="Arial" w:hAnsi="Arial"/>
          <w:sz w:val="20"/>
          <w:szCs w:val="20"/>
          <w:color w:val="auto"/>
        </w:rPr>
        <w:t>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68" w:lineRule="exact"/>
        <w:rPr>
          <w:rFonts w:ascii="Arial" w:cs="Arial" w:eastAsia="Arial" w:hAnsi="Arial"/>
          <w:sz w:val="20"/>
          <w:szCs w:val="20"/>
          <w:color w:val="auto"/>
        </w:rPr>
      </w:pPr>
    </w:p>
    <w:p>
      <w:pPr>
        <w:ind w:left="1300" w:hanging="458"/>
        <w:spacing w:after="0"/>
        <w:tabs>
          <w:tab w:leader="none" w:pos="13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no Interest Period shall extend beyond the Maturity Date.</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means the Required Lenders, Requisite Lenders, Majority Lenders or any similar or analogous definition in the Credit Agreement.</w:t>
      </w:r>
    </w:p>
    <w:p>
      <w:pPr>
        <w:spacing w:after="0" w:line="16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means the Secured Overnight Financing Rate as administered by the Federal Reserve Bank of New York (or a successor administrator).</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Adjustment</w:t>
      </w:r>
      <w:r>
        <w:rPr>
          <w:rFonts w:ascii="Arial" w:cs="Arial" w:eastAsia="Arial" w:hAnsi="Arial"/>
          <w:sz w:val="19"/>
          <w:szCs w:val="19"/>
          <w:color w:val="auto"/>
        </w:rPr>
        <w:t>” with respect to Term SOFR means 0.11448% (11.448 basis points) for an Interest Period of one-</w:t>
      </w:r>
    </w:p>
    <w:p>
      <w:pPr>
        <w:ind w:right="20"/>
        <w:spacing w:after="0" w:line="220" w:lineRule="auto"/>
        <w:rPr>
          <w:sz w:val="20"/>
          <w:szCs w:val="20"/>
          <w:color w:val="auto"/>
        </w:rPr>
      </w:pPr>
      <w:r>
        <w:rPr>
          <w:rFonts w:ascii="Arial" w:cs="Arial" w:eastAsia="Arial" w:hAnsi="Arial"/>
          <w:sz w:val="20"/>
          <w:szCs w:val="20"/>
          <w:color w:val="auto"/>
        </w:rPr>
        <w:t>month’s duration, 0.26161% (26.161 basis points) for an Interest Period of three-month’s duration, and 0.42826% (42.826 basis points) for an Interest Period of six-months’ duration.</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Successor Rate</w:t>
      </w:r>
      <w:r>
        <w:rPr>
          <w:rFonts w:ascii="Arial" w:cs="Arial" w:eastAsia="Arial" w:hAnsi="Arial"/>
          <w:sz w:val="20"/>
          <w:szCs w:val="20"/>
          <w:color w:val="auto"/>
        </w:rPr>
        <w:t>” means the Successor Rate, LIBOR Successor Rate or any similar or analogous definition in the Credit Agreement.</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w:t>
      </w:r>
    </w:p>
    <w:p>
      <w:pPr>
        <w:spacing w:after="0" w:line="189" w:lineRule="exact"/>
        <w:rPr>
          <w:sz w:val="20"/>
          <w:szCs w:val="20"/>
          <w:color w:val="auto"/>
        </w:rPr>
      </w:pPr>
    </w:p>
    <w:p>
      <w:pPr>
        <w:jc w:val="both"/>
        <w:ind w:left="640" w:right="20" w:firstLine="224"/>
        <w:spacing w:after="0" w:line="235" w:lineRule="auto"/>
        <w:tabs>
          <w:tab w:leader="none" w:pos="13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w:t>
      </w:r>
    </w:p>
    <w:p>
      <w:pPr>
        <w:sectPr>
          <w:pgSz w:w="11900" w:h="16838" w:orient="portrait"/>
          <w:cols w:equalWidth="0" w:num="1">
            <w:col w:w="10580"/>
          </w:cols>
          <w:pgMar w:left="980" w:top="1405" w:right="339" w:bottom="1440" w:gutter="0" w:footer="0" w:header="0"/>
        </w:sectPr>
      </w:pPr>
    </w:p>
    <w:bookmarkStart w:id="61" w:name="page62"/>
    <w:bookmarkEnd w:id="61"/>
    <w:p>
      <w:pPr>
        <w:ind w:left="644"/>
        <w:spacing w:after="0" w:line="257" w:lineRule="auto"/>
        <w:rPr>
          <w:sz w:val="20"/>
          <w:szCs w:val="20"/>
          <w:color w:val="auto"/>
        </w:rPr>
      </w:pPr>
      <w:r>
        <w:rPr>
          <w:rFonts w:ascii="Arial" w:cs="Arial" w:eastAsia="Arial" w:hAnsi="Arial"/>
          <w:sz w:val="19"/>
          <w:szCs w:val="19"/>
          <w:color w:val="auto"/>
        </w:rPr>
        <w:t xml:space="preserve">determination date then Term SOFR means the Term SOFR Screen Rate on the first U.S. Government Securities Business Day immediately prior thereto, in each case,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SOFR Adjustment for such Interest Period; and</w:t>
      </w:r>
    </w:p>
    <w:p>
      <w:pPr>
        <w:spacing w:after="0" w:line="140" w:lineRule="exact"/>
        <w:rPr>
          <w:sz w:val="20"/>
          <w:szCs w:val="20"/>
          <w:color w:val="auto"/>
        </w:rPr>
      </w:pPr>
    </w:p>
    <w:p>
      <w:pPr>
        <w:ind w:left="644" w:firstLine="204"/>
        <w:spacing w:after="0" w:line="236" w:lineRule="auto"/>
        <w:tabs>
          <w:tab w:leader="none" w:pos="1274" w:val="left"/>
        </w:tabs>
        <w:numPr>
          <w:ilvl w:val="0"/>
          <w:numId w:val="48"/>
        </w:numPr>
        <w:rPr>
          <w:rFonts w:ascii="Arial" w:cs="Arial" w:eastAsia="Arial" w:hAnsi="Arial"/>
          <w:sz w:val="20"/>
          <w:szCs w:val="20"/>
          <w:color w:val="auto"/>
        </w:rPr>
      </w:pPr>
      <w:r>
        <w:rPr>
          <w:rFonts w:ascii="Arial" w:cs="Arial" w:eastAsia="Arial" w:hAnsi="Arial"/>
          <w:sz w:val="20"/>
          <w:szCs w:val="20"/>
          <w:color w:val="auto"/>
        </w:rPr>
        <w:t>for any interest calculation with respect to a Base Rate Loan on any date, the rate per annum equal to the Term SOFR Screen Rate with a term of one month commencing that day;</w:t>
      </w:r>
    </w:p>
    <w:p>
      <w:pPr>
        <w:spacing w:after="0" w:line="169" w:lineRule="exact"/>
        <w:rPr>
          <w:sz w:val="20"/>
          <w:szCs w:val="20"/>
          <w:color w:val="auto"/>
        </w:rPr>
      </w:pPr>
    </w:p>
    <w:p>
      <w:pPr>
        <w:ind w:left="644"/>
        <w:spacing w:after="0" w:line="229"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Term SOFR determined in accordance with either of the foregoing provisions (a) or (b) of this definition would otherwise be less than zero, Term SOFR shall be deemed zero for purposes of this Agreement.</w:t>
      </w:r>
    </w:p>
    <w:p>
      <w:pPr>
        <w:spacing w:after="0" w:line="16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Loan</w:t>
      </w:r>
      <w:r>
        <w:rPr>
          <w:rFonts w:ascii="Arial" w:cs="Arial" w:eastAsia="Arial" w:hAnsi="Arial"/>
          <w:sz w:val="18"/>
          <w:szCs w:val="18"/>
          <w:color w:val="auto"/>
        </w:rPr>
        <w:t>” means a Committed Loan that bears interest at a rate based on clause (a) of the definition of Term</w:t>
      </w:r>
    </w:p>
    <w:p>
      <w:pPr>
        <w:spacing w:after="0" w:line="12" w:lineRule="exact"/>
        <w:rPr>
          <w:sz w:val="20"/>
          <w:szCs w:val="20"/>
          <w:color w:val="auto"/>
        </w:rPr>
      </w:pPr>
    </w:p>
    <w:p>
      <w:pPr>
        <w:ind w:left="4"/>
        <w:spacing w:after="0"/>
        <w:rPr>
          <w:sz w:val="20"/>
          <w:szCs w:val="20"/>
          <w:color w:val="auto"/>
        </w:rPr>
      </w:pPr>
      <w:r>
        <w:rPr>
          <w:rFonts w:ascii="Arial" w:cs="Arial" w:eastAsia="Arial" w:hAnsi="Arial"/>
          <w:sz w:val="20"/>
          <w:szCs w:val="20"/>
          <w:color w:val="auto"/>
        </w:rPr>
        <w:t>SOFR.</w:t>
      </w:r>
    </w:p>
    <w:p>
      <w:pPr>
        <w:spacing w:after="0" w:line="159" w:lineRule="exact"/>
        <w:rPr>
          <w:sz w:val="20"/>
          <w:szCs w:val="20"/>
          <w:color w:val="auto"/>
        </w:rPr>
      </w:pPr>
    </w:p>
    <w:p>
      <w:pPr>
        <w:jc w:val="both"/>
        <w:ind w:left="4"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Screen Rate</w:t>
      </w:r>
      <w:r>
        <w:rPr>
          <w:rFonts w:ascii="Arial" w:cs="Arial" w:eastAsia="Arial" w:hAnsi="Arial"/>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40" w:lineRule="exact"/>
        <w:rPr>
          <w:sz w:val="20"/>
          <w:szCs w:val="20"/>
          <w:color w:val="auto"/>
        </w:rPr>
      </w:pPr>
    </w:p>
    <w:p>
      <w:pPr>
        <w:ind w:left="64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Loan, its character as a Base Rate Loan or a Term SOFR Loan.</w:t>
      </w:r>
    </w:p>
    <w:p>
      <w:pPr>
        <w:spacing w:after="0" w:line="189" w:lineRule="exact"/>
        <w:rPr>
          <w:sz w:val="20"/>
          <w:szCs w:val="20"/>
          <w:color w:val="auto"/>
        </w:rPr>
      </w:pPr>
    </w:p>
    <w:p>
      <w:pPr>
        <w:ind w:left="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Government Securities Business Day</w:t>
      </w:r>
      <w:r>
        <w:rPr>
          <w:rFonts w:ascii="Arial" w:cs="Arial" w:eastAsia="Arial" w:hAnsi="Arial"/>
          <w:sz w:val="19"/>
          <w:szCs w:val="19"/>
          <w:color w:val="auto"/>
        </w:rPr>
        <w:t>” means any Business Day, except any Business Day on which any of the</w:t>
      </w:r>
    </w:p>
    <w:p>
      <w:pPr>
        <w:jc w:val="both"/>
        <w:ind w:left="4"/>
        <w:spacing w:after="0" w:line="226" w:lineRule="auto"/>
        <w:rPr>
          <w:sz w:val="20"/>
          <w:szCs w:val="20"/>
          <w:color w:val="auto"/>
        </w:rPr>
      </w:pPr>
      <w:r>
        <w:rPr>
          <w:rFonts w:ascii="Arial" w:cs="Arial" w:eastAsia="Arial" w:hAnsi="Arial"/>
          <w:sz w:val="18"/>
          <w:szCs w:val="18"/>
          <w:color w:val="auto"/>
        </w:rPr>
        <w:t>Securities Industry and Financial Markets Association, the New York Stock Exchange or the Federal Reserve Bank of New York is not open for business because such day is a legal holiday under the federal laws of the United States or the laws of the State of New</w:t>
      </w:r>
    </w:p>
    <w:p>
      <w:pPr>
        <w:spacing w:after="0" w:line="2" w:lineRule="exact"/>
        <w:rPr>
          <w:sz w:val="20"/>
          <w:szCs w:val="20"/>
          <w:color w:val="auto"/>
        </w:rPr>
      </w:pPr>
    </w:p>
    <w:p>
      <w:pPr>
        <w:ind w:left="4"/>
        <w:spacing w:after="0"/>
        <w:rPr>
          <w:sz w:val="20"/>
          <w:szCs w:val="20"/>
          <w:color w:val="auto"/>
        </w:rPr>
      </w:pPr>
      <w:r>
        <w:rPr>
          <w:rFonts w:ascii="Arial" w:cs="Arial" w:eastAsia="Arial" w:hAnsi="Arial"/>
          <w:sz w:val="20"/>
          <w:szCs w:val="20"/>
          <w:color w:val="auto"/>
        </w:rPr>
        <w:t>York, as applicable.</w:t>
      </w:r>
    </w:p>
    <w:p>
      <w:pPr>
        <w:spacing w:after="0" w:line="173" w:lineRule="exact"/>
        <w:rPr>
          <w:sz w:val="20"/>
          <w:szCs w:val="20"/>
          <w:color w:val="auto"/>
        </w:rPr>
      </w:pPr>
    </w:p>
    <w:p>
      <w:pPr>
        <w:ind w:left="344" w:hanging="344"/>
        <w:spacing w:after="0"/>
        <w:tabs>
          <w:tab w:leader="none" w:pos="34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Terms Applicable to Term SOFR Loans</w:t>
      </w:r>
      <w:r>
        <w:rPr>
          <w:rFonts w:ascii="Arial" w:cs="Arial" w:eastAsia="Arial" w:hAnsi="Arial"/>
          <w:sz w:val="18"/>
          <w:szCs w:val="18"/>
          <w:color w:val="auto"/>
        </w:rPr>
        <w:t>. From and after the Amendment Effective Date, the parties hereto agree as follows:</w:t>
      </w:r>
    </w:p>
    <w:p>
      <w:pPr>
        <w:spacing w:after="0" w:line="198" w:lineRule="exact"/>
        <w:rPr>
          <w:rFonts w:ascii="Arial" w:cs="Arial" w:eastAsia="Arial" w:hAnsi="Arial"/>
          <w:sz w:val="18"/>
          <w:szCs w:val="18"/>
          <w:color w:val="auto"/>
        </w:rPr>
      </w:pPr>
    </w:p>
    <w:p>
      <w:pPr>
        <w:jc w:val="both"/>
        <w:ind w:left="4" w:firstLine="644"/>
        <w:spacing w:after="0" w:line="243" w:lineRule="auto"/>
        <w:tabs>
          <w:tab w:leader="none" w:pos="1096"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Impacted Currencies</w:t>
      </w:r>
      <w:r>
        <w:rPr>
          <w:rFonts w:ascii="Arial" w:cs="Arial" w:eastAsia="Arial" w:hAnsi="Arial"/>
          <w:sz w:val="18"/>
          <w:szCs w:val="18"/>
          <w:color w:val="auto"/>
        </w:rPr>
        <w:t xml:space="preserve">. (i) Dollars shall not be considered a currency for which there is a published LIBOR rate and (ii) any request for a new Eurocurrency Rate Loan denominated in Dollars, or to continue an existing Eurocurrency Rate Loan denominated in Dollars, shall be deemed to be a request for a new Loan bearing interest at Term SOFR;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to the extent any Loan bearing interest at the Eurocurrency Rate is outstanding on the Amendment Effective Date, such Loan shall continue to bear interest at the Eurocurrency Rate until the end of the current Interest Period or payment period applicable to such Loan.</w:t>
      </w:r>
    </w:p>
    <w:p>
      <w:pPr>
        <w:spacing w:after="0" w:line="153" w:lineRule="exact"/>
        <w:rPr>
          <w:rFonts w:ascii="Arial" w:cs="Arial" w:eastAsia="Arial" w:hAnsi="Arial"/>
          <w:sz w:val="18"/>
          <w:szCs w:val="18"/>
          <w:color w:val="auto"/>
        </w:rPr>
      </w:pPr>
    </w:p>
    <w:p>
      <w:pPr>
        <w:ind w:left="1124" w:hanging="476"/>
        <w:spacing w:after="0"/>
        <w:tabs>
          <w:tab w:leader="none" w:pos="1124"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References to Eurocurrency Rate and Eurocurrency Rate Loans in the Credit Agreement and Loan Documents</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left="644" w:firstLine="652"/>
        <w:spacing w:after="0" w:line="218" w:lineRule="auto"/>
        <w:tabs>
          <w:tab w:leader="none" w:pos="1760" w:val="left"/>
        </w:tabs>
        <w:numPr>
          <w:ilvl w:val="2"/>
          <w:numId w:val="49"/>
        </w:numPr>
        <w:rPr>
          <w:rFonts w:ascii="Arial" w:cs="Arial" w:eastAsia="Arial" w:hAnsi="Arial"/>
          <w:sz w:val="20"/>
          <w:szCs w:val="20"/>
          <w:color w:val="auto"/>
        </w:rPr>
      </w:pPr>
      <w:r>
        <w:rPr>
          <w:rFonts w:ascii="Arial" w:cs="Arial" w:eastAsia="Arial" w:hAnsi="Arial"/>
          <w:sz w:val="20"/>
          <w:szCs w:val="20"/>
          <w:color w:val="auto"/>
        </w:rPr>
        <w:t>References to the Eurocurrency Rate and Eurocurrency Rate Loans in provisions of the Credit Agreement and the other Loan Documents that are not specifically addressed herein (other than the definitions of Eurocurrency Rate and Eurocurrency Rate Loan) shall be deemed to include Term SOFR and Term SOFR Loans, as applicable. In addition, references to the Eurocurrency Rate in the definition of Base Rate in the Credit Agreement shall be deemed to refer to Term SOFR.</w:t>
      </w:r>
    </w:p>
    <w:p>
      <w:pPr>
        <w:sectPr>
          <w:pgSz w:w="11900" w:h="16838" w:orient="portrait"/>
          <w:cols w:equalWidth="0" w:num="1">
            <w:col w:w="10584"/>
          </w:cols>
          <w:pgMar w:left="976" w:top="1405" w:right="339" w:bottom="1440" w:gutter="0" w:footer="0" w:header="0"/>
        </w:sectPr>
      </w:pPr>
    </w:p>
    <w:bookmarkStart w:id="62" w:name="page63"/>
    <w:bookmarkEnd w:id="62"/>
    <w:p>
      <w:pPr>
        <w:jc w:val="both"/>
        <w:ind w:left="180" w:firstLine="652"/>
        <w:spacing w:after="0" w:line="246" w:lineRule="auto"/>
        <w:tabs>
          <w:tab w:leader="none" w:pos="1362" w:val="left"/>
        </w:tabs>
        <w:numPr>
          <w:ilvl w:val="1"/>
          <w:numId w:val="50"/>
        </w:numPr>
        <w:rPr>
          <w:rFonts w:ascii="Arial" w:cs="Arial" w:eastAsia="Arial" w:hAnsi="Arial"/>
          <w:sz w:val="18"/>
          <w:szCs w:val="18"/>
          <w:color w:val="auto"/>
        </w:rPr>
      </w:pPr>
      <w:r>
        <w:rPr>
          <w:rFonts w:ascii="Arial" w:cs="Arial" w:eastAsia="Arial" w:hAnsi="Arial"/>
          <w:sz w:val="18"/>
          <w:szCs w:val="18"/>
          <w:color w:val="auto"/>
        </w:rPr>
        <w:t>For purposes of any requirement for the Borrower to compensate Lenders for losses in the Credit Agreement resulting from any continuation, conversion, payment or prepayment of any Loan on a day other than the last day of any Interest Period (as defined in the Credit Agreement), references to the Interest Period (as defined in the Credit Agreement) shall be deemed to include any relevant interest payment date or payment period for a Term SOFR Loan.</w:t>
      </w:r>
    </w:p>
    <w:p>
      <w:pPr>
        <w:spacing w:after="0" w:line="163" w:lineRule="exact"/>
        <w:rPr>
          <w:rFonts w:ascii="Arial" w:cs="Arial" w:eastAsia="Arial" w:hAnsi="Arial"/>
          <w:sz w:val="18"/>
          <w:szCs w:val="18"/>
          <w:color w:val="auto"/>
        </w:rPr>
      </w:pPr>
    </w:p>
    <w:p>
      <w:pPr>
        <w:jc w:val="both"/>
        <w:ind w:left="-460" w:firstLine="644"/>
        <w:spacing w:after="0" w:line="233" w:lineRule="auto"/>
        <w:tabs>
          <w:tab w:leader="none" w:pos="76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Interest Rates</w:t>
      </w:r>
      <w:r>
        <w:rPr>
          <w:rFonts w:ascii="Arial" w:cs="Arial" w:eastAsia="Arial" w:hAnsi="Arial"/>
          <w:sz w:val="18"/>
          <w:szCs w:val="18"/>
          <w:color w:val="auto"/>
        </w:rPr>
        <w:t>.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58" w:lineRule="exact"/>
        <w:rPr>
          <w:rFonts w:ascii="Arial" w:cs="Arial" w:eastAsia="Arial" w:hAnsi="Arial"/>
          <w:sz w:val="18"/>
          <w:szCs w:val="18"/>
          <w:color w:val="auto"/>
        </w:rPr>
      </w:pPr>
    </w:p>
    <w:p>
      <w:pPr>
        <w:ind w:left="-460" w:firstLine="644"/>
        <w:spacing w:after="0" w:line="236" w:lineRule="auto"/>
        <w:tabs>
          <w:tab w:leader="none" w:pos="63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Borrowings, Conversions, Continuations and Prepayments of Term SOFR Loans</w:t>
      </w:r>
      <w:r>
        <w:rPr>
          <w:rFonts w:ascii="Arial" w:cs="Arial" w:eastAsia="Arial" w:hAnsi="Arial"/>
          <w:sz w:val="20"/>
          <w:szCs w:val="20"/>
          <w:color w:val="auto"/>
        </w:rPr>
        <w:t>. In addition to any other borrowing or prepayment requirements set forth in the Credit Agreement:</w:t>
      </w:r>
    </w:p>
    <w:p>
      <w:pPr>
        <w:spacing w:after="0" w:line="168" w:lineRule="exact"/>
        <w:rPr>
          <w:rFonts w:ascii="Arial" w:cs="Arial" w:eastAsia="Arial" w:hAnsi="Arial"/>
          <w:sz w:val="20"/>
          <w:szCs w:val="20"/>
          <w:color w:val="auto"/>
        </w:rPr>
      </w:pPr>
    </w:p>
    <w:p>
      <w:pPr>
        <w:jc w:val="both"/>
        <w:ind w:left="180" w:firstLine="652"/>
        <w:spacing w:after="0" w:line="234" w:lineRule="auto"/>
        <w:tabs>
          <w:tab w:leader="none" w:pos="1388"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Term SOFR Loans</w:t>
      </w:r>
      <w:r>
        <w:rPr>
          <w:rFonts w:ascii="Arial" w:cs="Arial" w:eastAsia="Arial" w:hAnsi="Arial"/>
          <w:sz w:val="18"/>
          <w:szCs w:val="18"/>
          <w:color w:val="auto"/>
        </w:rPr>
        <w:t xml:space="preserve">. Each Borrowing, each conversion of Loans from one Type to the other, and each continuation of Term SOFR Loans shall be made upon the Borrower’s irrevocable notice to the Administrative Agent, which may be given by (A) telephone or (B) a Committed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immediately by delivery to the Administrative Agent of a Committed Loan Notice. Each such Committed Loan Notice must be received by the Administrative Agent not later than 11:00 a.m. (Eastern time) (1) two Business Days prior to the requested date of any Borrowing of, conversion to or continuation of Term SOFR Loans or of any conversion of Term SOFR Loans to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Borrower wishes to request Term SOFR Loans having an Interest Period other than one, three or six months in duration as provided in the definition of “Interest Period,” the applicable notice must be received by the Administrative Agent not later than 11:00 a.m. four Business Days prior to the requested date of such Borrowing, conversion or continuation, whereupon the Administrative Agent shall give prompt notice to the Appropriate Lenders of such request and determine whether the requested Interest Period is acceptable to all of them. Not later than 11:00 a.m., three Business Days before the requested date of such Borrowing, conversion or continuation, the Administrative Agent shall notify the Borrower (which notice may be by telephone) whether or not the</w:t>
      </w:r>
    </w:p>
    <w:p>
      <w:pPr>
        <w:sectPr>
          <w:pgSz w:w="11900" w:h="16838" w:orient="portrait"/>
          <w:cols w:equalWidth="0" w:num="1">
            <w:col w:w="10120"/>
          </w:cols>
          <w:pgMar w:left="1440" w:top="1405" w:right="339" w:bottom="1440" w:gutter="0" w:footer="0" w:header="0"/>
        </w:sectPr>
      </w:pPr>
    </w:p>
    <w:bookmarkStart w:id="63" w:name="page64"/>
    <w:bookmarkEnd w:id="63"/>
    <w:p>
      <w:pPr>
        <w:ind w:left="180"/>
        <w:spacing w:after="0"/>
        <w:rPr>
          <w:sz w:val="20"/>
          <w:szCs w:val="20"/>
          <w:color w:val="auto"/>
        </w:rPr>
      </w:pPr>
      <w:r>
        <w:rPr>
          <w:rFonts w:ascii="Arial" w:cs="Arial" w:eastAsia="Arial" w:hAnsi="Arial"/>
          <w:sz w:val="19"/>
          <w:szCs w:val="19"/>
          <w:color w:val="auto"/>
        </w:rPr>
        <w:t>requested Interest Period has been consented to by all the Lenders and the Administrative Agent. Each Borrowing of,</w:t>
      </w:r>
    </w:p>
    <w:p>
      <w:pPr>
        <w:jc w:val="both"/>
        <w:ind w:left="180" w:right="20"/>
        <w:spacing w:after="0" w:line="226" w:lineRule="auto"/>
        <w:rPr>
          <w:sz w:val="20"/>
          <w:szCs w:val="20"/>
          <w:color w:val="auto"/>
        </w:rPr>
      </w:pPr>
      <w:r>
        <w:rPr>
          <w:rFonts w:ascii="Arial" w:cs="Arial" w:eastAsia="Arial" w:hAnsi="Arial"/>
          <w:sz w:val="18"/>
          <w:szCs w:val="18"/>
          <w:color w:val="auto"/>
        </w:rPr>
        <w:t>conversion to or continuation of Term SOFR Loans shall be in a principal amount of $2,500,000 or a whole multiple of $100,000 in excess thereof. Each Committed Loan Notice shall specify (i) whether the Borrower is requesting a Borrowing,</w:t>
      </w:r>
    </w:p>
    <w:p>
      <w:pPr>
        <w:ind w:left="180"/>
        <w:spacing w:after="0" w:line="236" w:lineRule="auto"/>
        <w:rPr>
          <w:sz w:val="20"/>
          <w:szCs w:val="20"/>
          <w:color w:val="auto"/>
        </w:rPr>
      </w:pPr>
      <w:r>
        <w:rPr>
          <w:rFonts w:ascii="Arial" w:cs="Arial" w:eastAsia="Arial" w:hAnsi="Arial"/>
          <w:sz w:val="18"/>
          <w:szCs w:val="18"/>
          <w:color w:val="auto"/>
        </w:rPr>
        <w:t>a conversion of Loans from one Type to the other, or a continuation of Term SOFR Loans, (ii) the requested date of the</w:t>
      </w:r>
    </w:p>
    <w:p>
      <w:pPr>
        <w:spacing w:after="0" w:line="1" w:lineRule="exact"/>
        <w:rPr>
          <w:sz w:val="20"/>
          <w:szCs w:val="20"/>
          <w:color w:val="auto"/>
        </w:rPr>
      </w:pPr>
    </w:p>
    <w:p>
      <w:pPr>
        <w:ind w:left="180"/>
        <w:spacing w:after="0" w:line="226" w:lineRule="auto"/>
        <w:rPr>
          <w:sz w:val="20"/>
          <w:szCs w:val="20"/>
          <w:color w:val="auto"/>
        </w:rPr>
      </w:pPr>
      <w:r>
        <w:rPr>
          <w:rFonts w:ascii="Arial" w:cs="Arial" w:eastAsia="Arial" w:hAnsi="Arial"/>
          <w:sz w:val="18"/>
          <w:szCs w:val="18"/>
          <w:color w:val="auto"/>
        </w:rPr>
        <w:t>Borrowing, conversion or continuation, as the case may be (which shall be a Business Day), (iii) the principal amount of Loans to be borrowed, converted or continued, (iv) the Type of Loans to be borrowed or to which existing Loans are to be</w:t>
      </w:r>
    </w:p>
    <w:p>
      <w:pPr>
        <w:ind w:left="180"/>
        <w:spacing w:after="0" w:line="236" w:lineRule="auto"/>
        <w:rPr>
          <w:sz w:val="20"/>
          <w:szCs w:val="20"/>
          <w:color w:val="auto"/>
        </w:rPr>
      </w:pPr>
      <w:r>
        <w:rPr>
          <w:rFonts w:ascii="Arial" w:cs="Arial" w:eastAsia="Arial" w:hAnsi="Arial"/>
          <w:sz w:val="18"/>
          <w:szCs w:val="18"/>
          <w:color w:val="auto"/>
        </w:rPr>
        <w:t>converted, and (v) if applicable, the duration of the Interest Period with respect thereto. If the Borrower fails to specify a</w:t>
      </w:r>
    </w:p>
    <w:p>
      <w:pPr>
        <w:spacing w:after="0" w:line="1" w:lineRule="exact"/>
        <w:rPr>
          <w:sz w:val="20"/>
          <w:szCs w:val="20"/>
          <w:color w:val="auto"/>
        </w:rPr>
      </w:pPr>
    </w:p>
    <w:p>
      <w:pPr>
        <w:ind w:left="180"/>
        <w:spacing w:after="0" w:line="226" w:lineRule="auto"/>
        <w:rPr>
          <w:sz w:val="20"/>
          <w:szCs w:val="20"/>
          <w:color w:val="auto"/>
        </w:rPr>
      </w:pPr>
      <w:r>
        <w:rPr>
          <w:rFonts w:ascii="Arial" w:cs="Arial" w:eastAsia="Arial" w:hAnsi="Arial"/>
          <w:sz w:val="18"/>
          <w:szCs w:val="18"/>
          <w:color w:val="auto"/>
        </w:rPr>
        <w:t>Type of Loan in a Committed Loan Notice or if the Borrower fails to give a timely notice requesting a conversion or continuation, then the applicable Loans shall be made as, or converted to, Base Rate Loans. Any such automatic conversion</w:t>
      </w:r>
    </w:p>
    <w:p>
      <w:pPr>
        <w:ind w:left="180"/>
        <w:spacing w:after="0" w:line="236" w:lineRule="auto"/>
        <w:rPr>
          <w:sz w:val="20"/>
          <w:szCs w:val="20"/>
          <w:color w:val="auto"/>
        </w:rPr>
      </w:pPr>
      <w:r>
        <w:rPr>
          <w:rFonts w:ascii="Arial" w:cs="Arial" w:eastAsia="Arial" w:hAnsi="Arial"/>
          <w:sz w:val="18"/>
          <w:szCs w:val="18"/>
          <w:color w:val="auto"/>
        </w:rPr>
        <w:t>to Base Rate Loans shall be effective as of the last day of the Interest Period then in effect with respect to the applicable</w:t>
      </w:r>
    </w:p>
    <w:p>
      <w:pPr>
        <w:spacing w:after="0" w:line="1" w:lineRule="exact"/>
        <w:rPr>
          <w:sz w:val="20"/>
          <w:szCs w:val="20"/>
          <w:color w:val="auto"/>
        </w:rPr>
      </w:pPr>
    </w:p>
    <w:p>
      <w:pPr>
        <w:ind w:left="180"/>
        <w:spacing w:after="0" w:line="226" w:lineRule="auto"/>
        <w:rPr>
          <w:sz w:val="20"/>
          <w:szCs w:val="20"/>
          <w:color w:val="auto"/>
        </w:rPr>
      </w:pPr>
      <w:r>
        <w:rPr>
          <w:rFonts w:ascii="Arial" w:cs="Arial" w:eastAsia="Arial" w:hAnsi="Arial"/>
          <w:sz w:val="18"/>
          <w:szCs w:val="18"/>
          <w:color w:val="auto"/>
        </w:rPr>
        <w:t>Term SOFR Loans. If the Borrower requests a Borrowing of, conversion to, or continuation of Term SOFR Loans in any such Committed Loan Notice, but fails to specify an Interest Period, it will be deemed to have specified an Interest Period of</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one month.</w:t>
      </w:r>
    </w:p>
    <w:p>
      <w:pPr>
        <w:spacing w:after="0" w:line="173" w:lineRule="exact"/>
        <w:rPr>
          <w:sz w:val="20"/>
          <w:szCs w:val="20"/>
          <w:color w:val="auto"/>
        </w:rPr>
      </w:pPr>
    </w:p>
    <w:p>
      <w:pPr>
        <w:jc w:val="both"/>
        <w:ind w:left="180" w:firstLine="652"/>
        <w:spacing w:after="0" w:line="226" w:lineRule="auto"/>
        <w:tabs>
          <w:tab w:leader="none" w:pos="1321" w:val="left"/>
        </w:tabs>
        <w:numPr>
          <w:ilvl w:val="3"/>
          <w:numId w:val="52"/>
        </w:numPr>
        <w:rPr>
          <w:rFonts w:ascii="Arial" w:cs="Arial" w:eastAsia="Arial" w:hAnsi="Arial"/>
          <w:sz w:val="19"/>
          <w:szCs w:val="19"/>
          <w:color w:val="auto"/>
        </w:rPr>
      </w:pPr>
      <w:r>
        <w:rPr>
          <w:rFonts w:ascii="Arial" w:cs="Arial" w:eastAsia="Arial" w:hAnsi="Arial"/>
          <w:sz w:val="19"/>
          <w:szCs w:val="19"/>
          <w:u w:val="single" w:color="auto"/>
          <w:color w:val="auto"/>
        </w:rPr>
        <w:t>Conforming Changes</w:t>
      </w:r>
      <w:r>
        <w:rPr>
          <w:rFonts w:ascii="Arial" w:cs="Arial" w:eastAsia="Arial" w:hAnsi="Arial"/>
          <w:sz w:val="19"/>
          <w:szCs w:val="19"/>
          <w:color w:val="auto"/>
        </w:rPr>
        <w:t xml:space="preserve">. 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3" w:lineRule="exact"/>
        <w:rPr>
          <w:rFonts w:ascii="Arial" w:cs="Arial" w:eastAsia="Arial" w:hAnsi="Arial"/>
          <w:sz w:val="19"/>
          <w:szCs w:val="19"/>
          <w:color w:val="auto"/>
        </w:rPr>
      </w:pPr>
    </w:p>
    <w:p>
      <w:pPr>
        <w:ind w:left="180" w:firstLine="652"/>
        <w:spacing w:after="0" w:line="236" w:lineRule="auto"/>
        <w:tabs>
          <w:tab w:leader="none" w:pos="1403" w:val="left"/>
        </w:tabs>
        <w:numPr>
          <w:ilvl w:val="3"/>
          <w:numId w:val="52"/>
        </w:numPr>
        <w:rPr>
          <w:rFonts w:ascii="Arial" w:cs="Arial" w:eastAsia="Arial" w:hAnsi="Arial"/>
          <w:sz w:val="20"/>
          <w:szCs w:val="20"/>
          <w:color w:val="auto"/>
        </w:rPr>
      </w:pPr>
      <w:r>
        <w:rPr>
          <w:rFonts w:ascii="Arial" w:cs="Arial" w:eastAsia="Arial" w:hAnsi="Arial"/>
          <w:sz w:val="20"/>
          <w:szCs w:val="20"/>
          <w:u w:val="single" w:color="auto"/>
          <w:color w:val="auto"/>
        </w:rPr>
        <w:t>Committed Loan Notice</w:t>
      </w:r>
      <w:r>
        <w:rPr>
          <w:rFonts w:ascii="Arial" w:cs="Arial" w:eastAsia="Arial" w:hAnsi="Arial"/>
          <w:sz w:val="20"/>
          <w:szCs w:val="20"/>
          <w:color w:val="auto"/>
        </w:rPr>
        <w:t>. For purposes of a Borrowing of Term SOFR Loans, or a continuation of a Term SOFR Loan, the Borrower shall use the Committed Loan Notice attached hereto as Exhibit A.</w:t>
      </w:r>
    </w:p>
    <w:p>
      <w:pPr>
        <w:spacing w:after="0" w:line="168" w:lineRule="exact"/>
        <w:rPr>
          <w:rFonts w:ascii="Arial" w:cs="Arial" w:eastAsia="Arial" w:hAnsi="Arial"/>
          <w:sz w:val="20"/>
          <w:szCs w:val="20"/>
          <w:color w:val="auto"/>
        </w:rPr>
      </w:pPr>
    </w:p>
    <w:p>
      <w:pPr>
        <w:jc w:val="both"/>
        <w:ind w:left="180" w:firstLine="652"/>
        <w:spacing w:after="0" w:line="227" w:lineRule="auto"/>
        <w:tabs>
          <w:tab w:leader="none" w:pos="1379" w:val="left"/>
        </w:tabs>
        <w:numPr>
          <w:ilvl w:val="3"/>
          <w:numId w:val="52"/>
        </w:numPr>
        <w:rPr>
          <w:rFonts w:ascii="Arial" w:cs="Arial" w:eastAsia="Arial" w:hAnsi="Arial"/>
          <w:sz w:val="19"/>
          <w:szCs w:val="19"/>
          <w:color w:val="auto"/>
        </w:rPr>
      </w:pPr>
      <w:r>
        <w:rPr>
          <w:rFonts w:ascii="Arial" w:cs="Arial" w:eastAsia="Arial" w:hAnsi="Arial"/>
          <w:sz w:val="19"/>
          <w:szCs w:val="19"/>
          <w:u w:val="single" w:color="auto"/>
          <w:color w:val="auto"/>
        </w:rPr>
        <w:t>Voluntary Prepayments of Term SOFR Loans</w:t>
      </w:r>
      <w:r>
        <w:rPr>
          <w:rFonts w:ascii="Arial" w:cs="Arial" w:eastAsia="Arial" w:hAnsi="Arial"/>
          <w:sz w:val="19"/>
          <w:szCs w:val="19"/>
          <w:color w:val="auto"/>
        </w:rPr>
        <w:t xml:space="preserve">. The Borrower may, upon notice to the Administrative Agent pursuant to delivery to the Administrative Agent of a Notice of Loan Prepayment, at any time or from time to time voluntarily prepay the Term SOFR Loans in whole or in part without premium or penalty (except as otherwise specified in the Credit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notice must be received by the Administrative Agent not later than 11:00 a.m. (Eastern time) two (2) Business Days prior to any date of prepayment of Term SOFR Loans.</w:t>
      </w:r>
    </w:p>
    <w:p>
      <w:pPr>
        <w:spacing w:after="0" w:line="168" w:lineRule="exact"/>
        <w:rPr>
          <w:rFonts w:ascii="Arial" w:cs="Arial" w:eastAsia="Arial" w:hAnsi="Arial"/>
          <w:sz w:val="19"/>
          <w:szCs w:val="19"/>
          <w:color w:val="auto"/>
        </w:rPr>
      </w:pPr>
    </w:p>
    <w:p>
      <w:pPr>
        <w:ind w:left="600" w:hanging="416"/>
        <w:spacing w:after="0"/>
        <w:tabs>
          <w:tab w:leader="none" w:pos="60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Interest</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180" w:firstLine="237"/>
        <w:spacing w:after="0" w:line="223" w:lineRule="auto"/>
        <w:tabs>
          <w:tab w:leader="none" w:pos="833" w:val="left"/>
        </w:tabs>
        <w:numPr>
          <w:ilvl w:val="1"/>
          <w:numId w:val="53"/>
        </w:numPr>
        <w:rPr>
          <w:rFonts w:ascii="Arial" w:cs="Arial" w:eastAsia="Arial" w:hAnsi="Arial"/>
          <w:sz w:val="20"/>
          <w:szCs w:val="20"/>
          <w:color w:val="auto"/>
        </w:rPr>
      </w:pPr>
      <w:r>
        <w:rPr>
          <w:rFonts w:ascii="Arial" w:cs="Arial" w:eastAsia="Arial" w:hAnsi="Arial"/>
          <w:sz w:val="20"/>
          <w:szCs w:val="20"/>
          <w:color w:val="auto"/>
        </w:rPr>
        <w:t xml:space="preserve">Subject to the provisions of the Credit Agreement with respect to default interest, each Term SOFR Loan shall bear interest on the outstanding principal amount thereof from the applicable borrowing date at a rate per annum equal to the sum of Term SOFR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w:t>
      </w:r>
    </w:p>
    <w:p>
      <w:pPr>
        <w:spacing w:after="0" w:line="168" w:lineRule="exact"/>
        <w:rPr>
          <w:rFonts w:ascii="Arial" w:cs="Arial" w:eastAsia="Arial" w:hAnsi="Arial"/>
          <w:sz w:val="20"/>
          <w:szCs w:val="20"/>
          <w:color w:val="auto"/>
        </w:rPr>
      </w:pPr>
    </w:p>
    <w:p>
      <w:pPr>
        <w:jc w:val="both"/>
        <w:ind w:left="180" w:firstLine="272"/>
        <w:spacing w:after="0" w:line="252" w:lineRule="auto"/>
        <w:tabs>
          <w:tab w:leader="none" w:pos="959" w:val="left"/>
        </w:tabs>
        <w:numPr>
          <w:ilvl w:val="2"/>
          <w:numId w:val="53"/>
        </w:numPr>
        <w:rPr>
          <w:rFonts w:ascii="Arial" w:cs="Arial" w:eastAsia="Arial" w:hAnsi="Arial"/>
          <w:sz w:val="18"/>
          <w:szCs w:val="18"/>
          <w:color w:val="auto"/>
        </w:rPr>
      </w:pPr>
      <w:r>
        <w:rPr>
          <w:rFonts w:ascii="Arial" w:cs="Arial" w:eastAsia="Arial" w:hAnsi="Arial"/>
          <w:sz w:val="18"/>
          <w:szCs w:val="18"/>
          <w:color w:val="auto"/>
        </w:rPr>
        <w:t xml:space="preserve">Interest on each Term SOFR Loan shall be due and payable in arrears on each Interest Payment Date applicable thereto and at such other times as may be specified in the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any prepayment of any Term SOFR Loan shall be accompanied by all accrued interest on the amount prepaid, together with any</w:t>
      </w:r>
    </w:p>
    <w:p>
      <w:pPr>
        <w:sectPr>
          <w:pgSz w:w="11900" w:h="16838" w:orient="portrait"/>
          <w:cols w:equalWidth="0" w:num="1">
            <w:col w:w="10120"/>
          </w:cols>
          <w:pgMar w:left="1440" w:top="1405" w:right="339" w:bottom="1440" w:gutter="0" w:footer="0" w:header="0"/>
        </w:sectPr>
      </w:pPr>
    </w:p>
    <w:bookmarkStart w:id="64" w:name="page65"/>
    <w:bookmarkEnd w:id="64"/>
    <w:p>
      <w:pPr>
        <w:ind w:left="180"/>
        <w:spacing w:after="0"/>
        <w:rPr>
          <w:sz w:val="20"/>
          <w:szCs w:val="20"/>
          <w:color w:val="auto"/>
        </w:rPr>
      </w:pPr>
      <w:r>
        <w:rPr>
          <w:rFonts w:ascii="Arial" w:cs="Arial" w:eastAsia="Arial" w:hAnsi="Arial"/>
          <w:sz w:val="18"/>
          <w:szCs w:val="18"/>
          <w:color w:val="auto"/>
        </w:rPr>
        <w:t xml:space="preserve">additional amounts required pursuant to </w:t>
      </w:r>
      <w:r>
        <w:rPr>
          <w:rFonts w:ascii="Arial" w:cs="Arial" w:eastAsia="Arial" w:hAnsi="Arial"/>
          <w:sz w:val="18"/>
          <w:szCs w:val="18"/>
          <w:u w:val="single" w:color="auto"/>
          <w:color w:val="auto"/>
        </w:rPr>
        <w:t>Section 4.9</w:t>
      </w:r>
      <w:r>
        <w:rPr>
          <w:rFonts w:ascii="Arial" w:cs="Arial" w:eastAsia="Arial" w:hAnsi="Arial"/>
          <w:sz w:val="18"/>
          <w:szCs w:val="18"/>
          <w:color w:val="auto"/>
        </w:rPr>
        <w:t>. Interest hereunder shall be due and payable in accordance with the</w:t>
      </w:r>
    </w:p>
    <w:p>
      <w:pPr>
        <w:spacing w:after="0" w:line="12" w:lineRule="exact"/>
        <w:rPr>
          <w:sz w:val="20"/>
          <w:szCs w:val="20"/>
          <w:color w:val="auto"/>
        </w:rPr>
      </w:pPr>
    </w:p>
    <w:p>
      <w:pPr>
        <w:ind w:left="180" w:right="20"/>
        <w:spacing w:after="0" w:line="220" w:lineRule="auto"/>
        <w:rPr>
          <w:sz w:val="20"/>
          <w:szCs w:val="20"/>
          <w:color w:val="auto"/>
        </w:rPr>
      </w:pPr>
      <w:r>
        <w:rPr>
          <w:rFonts w:ascii="Arial" w:cs="Arial" w:eastAsia="Arial" w:hAnsi="Arial"/>
          <w:sz w:val="20"/>
          <w:szCs w:val="20"/>
          <w:color w:val="auto"/>
        </w:rPr>
        <w:t>terms hereof before and after judgment, and before and after the commencement of any proceeding under any debtor relief law.</w:t>
      </w:r>
    </w:p>
    <w:p>
      <w:pPr>
        <w:spacing w:after="0" w:line="170" w:lineRule="exact"/>
        <w:rPr>
          <w:sz w:val="20"/>
          <w:szCs w:val="20"/>
          <w:color w:val="auto"/>
        </w:rPr>
      </w:pPr>
    </w:p>
    <w:p>
      <w:pPr>
        <w:jc w:val="both"/>
        <w:ind w:left="-460" w:firstLine="644"/>
        <w:spacing w:after="0" w:line="237" w:lineRule="auto"/>
        <w:tabs>
          <w:tab w:leader="none" w:pos="67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Computations</w:t>
      </w:r>
      <w:r>
        <w:rPr>
          <w:rFonts w:ascii="Arial" w:cs="Arial" w:eastAsia="Arial" w:hAnsi="Arial"/>
          <w:sz w:val="18"/>
          <w:szCs w:val="18"/>
          <w:color w:val="auto"/>
        </w:rPr>
        <w:t xml:space="preserve">. All computations of interest for Base Rate Loans (including Base Rate Loans determined by reference to Term SOFR) shall be made on the basis of a year of 365 or 366 days, as the case may be, and actual days elapsed. All other computations of fees and interest with respect to Term SOFR Loans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the provisions in the Credit Agreement addressing payments generally, bear interest for one day. Each determination by the Administrative Agent of an interest rate or fee hereunder shall be conclusive and binding for all purposes, absent manifest error.</w:t>
      </w:r>
    </w:p>
    <w:p>
      <w:pPr>
        <w:spacing w:after="0" w:line="160" w:lineRule="exact"/>
        <w:rPr>
          <w:rFonts w:ascii="Arial" w:cs="Arial" w:eastAsia="Arial" w:hAnsi="Arial"/>
          <w:sz w:val="18"/>
          <w:szCs w:val="18"/>
          <w:color w:val="auto"/>
        </w:rPr>
      </w:pPr>
    </w:p>
    <w:p>
      <w:pPr>
        <w:jc w:val="both"/>
        <w:ind w:left="-460" w:right="20" w:firstLine="644"/>
        <w:spacing w:after="0" w:line="227" w:lineRule="auto"/>
        <w:tabs>
          <w:tab w:leader="none" w:pos="67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Successor Rates</w:t>
      </w:r>
      <w:r>
        <w:rPr>
          <w:rFonts w:ascii="Arial" w:cs="Arial" w:eastAsia="Arial" w:hAnsi="Arial"/>
          <w:sz w:val="20"/>
          <w:szCs w:val="20"/>
          <w:color w:val="auto"/>
        </w:rPr>
        <w:t>. The provisions in the Credit Agreement addressing the replacement of a current Successor Rate for Dollars shall be deemed to apply to Term SOFR Loans and Term SOFR, as applicable, and the related defined terms shall be deemed to include Dollars and Term SOFR, as applicable.</w:t>
      </w:r>
    </w:p>
    <w:p>
      <w:pPr>
        <w:sectPr>
          <w:pgSz w:w="11900" w:h="16838" w:orient="portrait"/>
          <w:cols w:equalWidth="0" w:num="1">
            <w:col w:w="10120"/>
          </w:cols>
          <w:pgMar w:left="1440" w:top="1405"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20"/>
          <w:szCs w:val="20"/>
          <w:u w:val="single" w:color="auto"/>
          <w:color w:val="auto"/>
        </w:rPr>
        <w:t>Exhibit 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COMMITTED LOAN NOTICE</w:t>
      </w:r>
    </w:p>
    <w:p>
      <w:pPr>
        <w:jc w:val="center"/>
        <w:spacing w:after="0"/>
        <w:rPr>
          <w:sz w:val="20"/>
          <w:szCs w:val="20"/>
          <w:color w:val="auto"/>
        </w:rPr>
      </w:pPr>
      <w:r>
        <w:rPr>
          <w:rFonts w:ascii="Arial" w:cs="Arial" w:eastAsia="Arial" w:hAnsi="Arial"/>
          <w:sz w:val="20"/>
          <w:szCs w:val="20"/>
          <w:color w:val="auto"/>
        </w:rPr>
        <w:t>(Term SOFR Loans)</w:t>
      </w:r>
    </w:p>
    <w:p>
      <w:pPr>
        <w:spacing w:after="0" w:line="200"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Bank of America, N.A., as Administrative Agent</w:t>
      </w:r>
    </w:p>
    <w:p>
      <w:pPr>
        <w:spacing w:after="0" w:line="216" w:lineRule="exact"/>
        <w:rPr>
          <w:sz w:val="20"/>
          <w:szCs w:val="20"/>
          <w:color w:val="auto"/>
        </w:rPr>
      </w:pPr>
    </w:p>
    <w:p>
      <w:pPr>
        <w:jc w:val="right"/>
        <w:spacing w:after="0" w:line="236" w:lineRule="auto"/>
        <w:rPr>
          <w:sz w:val="20"/>
          <w:szCs w:val="20"/>
          <w:color w:val="auto"/>
        </w:rPr>
      </w:pPr>
      <w:r>
        <w:rPr>
          <w:rFonts w:ascii="Arial" w:cs="Arial" w:eastAsia="Arial" w:hAnsi="Arial"/>
          <w:sz w:val="18"/>
          <w:szCs w:val="18"/>
          <w:color w:val="auto"/>
        </w:rPr>
        <w:t>RE:  Amended and Restated Credit Agreement, dated as of October 30, 2020, by and among Blackbaud,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certain Subsidiaries of the Company from time to time party thereto as subsidiary borrowers (the “</w:t>
      </w:r>
      <w:r>
        <w:rPr>
          <w:rFonts w:ascii="Arial" w:cs="Arial" w:eastAsia="Arial" w:hAnsi="Arial"/>
          <w:sz w:val="18"/>
          <w:szCs w:val="18"/>
          <w:u w:val="single" w:color="auto"/>
          <w:color w:val="auto"/>
        </w:rPr>
        <w:t>Subsidiary</w:t>
      </w:r>
    </w:p>
    <w:p>
      <w:pPr>
        <w:ind w:left="1300"/>
        <w:spacing w:after="0" w:line="235" w:lineRule="auto"/>
        <w:rPr>
          <w:sz w:val="20"/>
          <w:szCs w:val="20"/>
          <w:color w:val="auto"/>
        </w:rPr>
      </w:pPr>
      <w:r>
        <w:rPr>
          <w:rFonts w:ascii="Arial" w:cs="Arial" w:eastAsia="Arial" w:hAnsi="Arial"/>
          <w:sz w:val="18"/>
          <w:szCs w:val="18"/>
          <w:u w:val="single" w:color="auto"/>
          <w:color w:val="auto"/>
        </w:rPr>
        <w:t>Borrowers</w:t>
      </w:r>
      <w:r>
        <w:rPr>
          <w:rFonts w:ascii="Arial" w:cs="Arial" w:eastAsia="Arial" w:hAnsi="Arial"/>
          <w:sz w:val="18"/>
          <w:szCs w:val="18"/>
          <w:color w:val="auto"/>
        </w:rPr>
        <w:t>” and, together with the Company, each a “</w:t>
      </w:r>
      <w:r>
        <w:rPr>
          <w:rFonts w:ascii="Arial" w:cs="Arial" w:eastAsia="Arial" w:hAnsi="Arial"/>
          <w:sz w:val="18"/>
          <w:szCs w:val="18"/>
          <w:u w:val="single" w:color="auto"/>
          <w:color w:val="auto"/>
        </w:rPr>
        <w:t>Borrower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Borrowers</w:t>
      </w:r>
      <w:r>
        <w:rPr>
          <w:rFonts w:ascii="Arial" w:cs="Arial" w:eastAsia="Arial" w:hAnsi="Arial"/>
          <w:sz w:val="18"/>
          <w:szCs w:val="18"/>
          <w:color w:val="auto"/>
        </w:rPr>
        <w:t>”), the Lenders and Bank of</w:t>
      </w:r>
    </w:p>
    <w:p>
      <w:pPr>
        <w:ind w:left="1300"/>
        <w:spacing w:after="0" w:line="226" w:lineRule="auto"/>
        <w:rPr>
          <w:sz w:val="20"/>
          <w:szCs w:val="20"/>
          <w:color w:val="auto"/>
        </w:rPr>
      </w:pPr>
      <w:r>
        <w:rPr>
          <w:rFonts w:ascii="Arial" w:cs="Arial" w:eastAsia="Arial" w:hAnsi="Arial"/>
          <w:sz w:val="18"/>
          <w:szCs w:val="18"/>
          <w:color w:val="auto"/>
        </w:rPr>
        <w:t>America, N.A., as Administrative Agent, Swingline Lender and an Issuing Lender (as amended, restated, amended and restated, modified, extended, restated, replaced, or supplemented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terms used herein and not otherwise defined shall have the meanings set forth in the Credit Agreement)</w:t>
      </w:r>
    </w:p>
    <w:p>
      <w:pPr>
        <w:spacing w:after="0" w:line="200"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undersigned hereby requests (select one):</w:t>
      </w:r>
    </w:p>
    <w:p>
      <w:pPr>
        <w:spacing w:after="0" w:line="216" w:lineRule="exact"/>
        <w:rPr>
          <w:sz w:val="20"/>
          <w:szCs w:val="20"/>
          <w:color w:val="auto"/>
        </w:rPr>
      </w:pPr>
    </w:p>
    <w:p>
      <w:pPr>
        <w:ind w:left="240" w:hanging="232"/>
        <w:spacing w:after="0"/>
        <w:tabs>
          <w:tab w:leader="none" w:pos="240" w:val="left"/>
        </w:tabs>
        <w:numPr>
          <w:ilvl w:val="0"/>
          <w:numId w:val="55"/>
        </w:numPr>
        <w:rPr>
          <w:rFonts w:ascii="MS PGothic" w:cs="MS PGothic" w:eastAsia="MS PGothic" w:hAnsi="MS PGothic"/>
          <w:sz w:val="19"/>
          <w:szCs w:val="19"/>
          <w:color w:val="auto"/>
        </w:rPr>
      </w:pPr>
      <w:r>
        <w:rPr>
          <w:rFonts w:ascii="Arial" w:cs="Arial" w:eastAsia="Arial" w:hAnsi="Arial"/>
          <w:sz w:val="19"/>
          <w:szCs w:val="19"/>
          <w:color w:val="auto"/>
        </w:rPr>
        <w:t>A Borrowing of [Dollar Tranche Revolving Credit][Designated Currency Tranche Revolving Credit][Term][Incremental Term] Loans</w:t>
      </w:r>
    </w:p>
    <w:p>
      <w:pPr>
        <w:spacing w:after="0" w:line="213" w:lineRule="exact"/>
        <w:rPr>
          <w:rFonts w:ascii="MS PGothic" w:cs="MS PGothic" w:eastAsia="MS PGothic" w:hAnsi="MS PGothic"/>
          <w:sz w:val="19"/>
          <w:szCs w:val="19"/>
          <w:color w:val="auto"/>
        </w:rPr>
      </w:pPr>
    </w:p>
    <w:p>
      <w:pPr>
        <w:ind w:firstLine="8"/>
        <w:spacing w:after="0" w:line="236" w:lineRule="auto"/>
        <w:tabs>
          <w:tab w:leader="none" w:pos="292" w:val="left"/>
        </w:tabs>
        <w:numPr>
          <w:ilvl w:val="0"/>
          <w:numId w:val="55"/>
        </w:numPr>
        <w:rPr>
          <w:rFonts w:ascii="MS PGothic" w:cs="MS PGothic" w:eastAsia="MS PGothic" w:hAnsi="MS PGothic"/>
          <w:sz w:val="20"/>
          <w:szCs w:val="20"/>
          <w:color w:val="auto"/>
        </w:rPr>
      </w:pPr>
      <w:r>
        <w:rPr>
          <w:rFonts w:ascii="Arial" w:cs="Arial" w:eastAsia="Arial" w:hAnsi="Arial"/>
          <w:sz w:val="20"/>
          <w:szCs w:val="20"/>
          <w:color w:val="auto"/>
        </w:rPr>
        <w:t>A [conversion] or [continuation] of [Dollar Tranche Revolving Credit][Designated Currency Tranche Revolving Credit][Term] [Incremental Term] Loans</w:t>
      </w:r>
    </w:p>
    <w:p>
      <w:pPr>
        <w:spacing w:after="0" w:line="196" w:lineRule="exact"/>
        <w:rPr>
          <w:sz w:val="20"/>
          <w:szCs w:val="20"/>
          <w:color w:val="auto"/>
        </w:rPr>
      </w:pPr>
    </w:p>
    <w:p>
      <w:pPr>
        <w:spacing w:after="0"/>
        <w:tabs>
          <w:tab w:leader="none" w:pos="340" w:val="left"/>
          <w:tab w:leader="none" w:pos="1260" w:val="left"/>
        </w:tabs>
        <w:rPr>
          <w:sz w:val="20"/>
          <w:szCs w:val="20"/>
          <w:color w:val="auto"/>
        </w:rPr>
      </w:pPr>
      <w:r>
        <w:rPr>
          <w:rFonts w:ascii="Arial" w:cs="Arial" w:eastAsia="Arial" w:hAnsi="Arial"/>
          <w:sz w:val="20"/>
          <w:szCs w:val="20"/>
          <w:color w:val="auto"/>
        </w:rPr>
        <w:t>1.</w:t>
        <w:tab/>
        <w:t>On</w:t>
      </w:r>
      <w:r>
        <w:rPr>
          <w:sz w:val="20"/>
          <w:szCs w:val="20"/>
          <w:color w:val="auto"/>
        </w:rPr>
        <w:tab/>
      </w:r>
      <w:r>
        <w:rPr>
          <w:rFonts w:ascii="Arial" w:cs="Arial" w:eastAsia="Arial" w:hAnsi="Arial"/>
          <w:sz w:val="18"/>
          <w:szCs w:val="18"/>
          <w:color w:val="auto"/>
        </w:rPr>
        <w:t>(the “</w:t>
      </w:r>
      <w:r>
        <w:rPr>
          <w:rFonts w:ascii="Arial" w:cs="Arial" w:eastAsia="Arial" w:hAnsi="Arial"/>
          <w:sz w:val="18"/>
          <w:szCs w:val="18"/>
          <w:u w:val="single" w:color="auto"/>
          <w:color w:val="auto"/>
        </w:rPr>
        <w:t>Credit Extension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-14605</wp:posOffset>
            </wp:positionV>
            <wp:extent cx="3771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182" w:lineRule="exact"/>
        <w:rPr>
          <w:sz w:val="20"/>
          <w:szCs w:val="20"/>
          <w:color w:val="auto"/>
        </w:rPr>
      </w:pPr>
    </w:p>
    <w:p>
      <w:pPr>
        <w:spacing w:after="0"/>
        <w:tabs>
          <w:tab w:leader="none" w:pos="340" w:val="left"/>
          <w:tab w:leader="none" w:pos="2440" w:val="left"/>
        </w:tabs>
        <w:rPr>
          <w:sz w:val="20"/>
          <w:szCs w:val="20"/>
          <w:color w:val="auto"/>
        </w:rPr>
      </w:pPr>
      <w:r>
        <w:rPr>
          <w:rFonts w:ascii="Arial" w:cs="Arial" w:eastAsia="Arial" w:hAnsi="Arial"/>
          <w:sz w:val="20"/>
          <w:szCs w:val="20"/>
          <w:color w:val="auto"/>
        </w:rPr>
        <w:t>2.</w:t>
        <w:tab/>
        <w:t>In the amount of $</w:t>
      </w:r>
      <w:r>
        <w:rPr>
          <w:sz w:val="20"/>
          <w:szCs w:val="20"/>
          <w:color w:val="auto"/>
        </w:rPr>
        <w:tab/>
      </w:r>
      <w:r>
        <w:rPr>
          <w:rFonts w:ascii="Arial" w:cs="Arial" w:eastAsia="Arial" w:hAnsi="Arial"/>
          <w:sz w:val="18"/>
          <w:szCs w:val="18"/>
          <w:color w:val="auto"/>
        </w:rPr>
        <w:t>in the following currency: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-14605</wp:posOffset>
            </wp:positionV>
            <wp:extent cx="3771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158" w:lineRule="exact"/>
        <w:rPr>
          <w:sz w:val="20"/>
          <w:szCs w:val="20"/>
          <w:color w:val="auto"/>
        </w:rPr>
      </w:pPr>
    </w:p>
    <w:p>
      <w:pPr>
        <w:ind w:left="360" w:hanging="352"/>
        <w:spacing w:after="0" w:line="230" w:lineRule="exact"/>
        <w:tabs>
          <w:tab w:leader="none" w:pos="3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Comprised of:  </w:t>
      </w:r>
      <w:r>
        <w:rPr>
          <w:rFonts w:ascii="MS PGothic" w:cs="MS PGothic" w:eastAsia="MS PGothic" w:hAnsi="MS PGothic"/>
          <w:sz w:val="20"/>
          <w:szCs w:val="20"/>
          <w:color w:val="auto"/>
        </w:rPr>
        <w:t>☐</w:t>
      </w:r>
      <w:r>
        <w:rPr>
          <w:rFonts w:ascii="Arial" w:cs="Arial" w:eastAsia="Arial" w:hAnsi="Arial"/>
          <w:sz w:val="20"/>
          <w:szCs w:val="20"/>
          <w:color w:val="auto"/>
        </w:rPr>
        <w:t xml:space="preserve"> Base Rate Loans</w:t>
      </w:r>
    </w:p>
    <w:p>
      <w:pPr>
        <w:spacing w:after="0" w:line="12" w:lineRule="exact"/>
        <w:rPr>
          <w:rFonts w:ascii="Arial" w:cs="Arial" w:eastAsia="Arial" w:hAnsi="Arial"/>
          <w:sz w:val="20"/>
          <w:szCs w:val="20"/>
          <w:color w:val="auto"/>
        </w:rPr>
      </w:pPr>
    </w:p>
    <w:p>
      <w:pPr>
        <w:ind w:left="2180" w:hanging="228"/>
        <w:spacing w:after="0"/>
        <w:tabs>
          <w:tab w:leader="none" w:pos="2180" w:val="left"/>
        </w:tabs>
        <w:numPr>
          <w:ilvl w:val="1"/>
          <w:numId w:val="56"/>
        </w:numPr>
        <w:rPr>
          <w:rFonts w:ascii="MS PGothic" w:cs="MS PGothic" w:eastAsia="MS PGothic" w:hAnsi="MS PGothic"/>
          <w:sz w:val="20"/>
          <w:szCs w:val="20"/>
          <w:color w:val="auto"/>
        </w:rPr>
      </w:pPr>
      <w:r>
        <w:rPr>
          <w:rFonts w:ascii="Arial" w:cs="Arial" w:eastAsia="Arial" w:hAnsi="Arial"/>
          <w:sz w:val="20"/>
          <w:szCs w:val="20"/>
          <w:color w:val="auto"/>
        </w:rPr>
        <w:t>Term SOFR Loans</w:t>
      </w:r>
    </w:p>
    <w:p>
      <w:pPr>
        <w:spacing w:after="0" w:line="199" w:lineRule="exact"/>
        <w:rPr>
          <w:rFonts w:ascii="MS PGothic" w:cs="MS PGothic" w:eastAsia="MS PGothic" w:hAnsi="MS PGothic"/>
          <w:sz w:val="20"/>
          <w:szCs w:val="20"/>
          <w:color w:val="auto"/>
        </w:rPr>
      </w:pPr>
    </w:p>
    <w:p>
      <w:pPr>
        <w:ind w:left="360" w:hanging="352"/>
        <w:spacing w:after="0"/>
        <w:tabs>
          <w:tab w:leader="none" w:pos="3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For Term SOFR Loans: with an Interest Period of __ months.</w:t>
      </w:r>
    </w:p>
    <w:p>
      <w:pPr>
        <w:spacing w:after="0" w:line="216" w:lineRule="exact"/>
        <w:rPr>
          <w:sz w:val="20"/>
          <w:szCs w:val="20"/>
          <w:color w:val="auto"/>
        </w:rPr>
      </w:pPr>
    </w:p>
    <w:p>
      <w:pPr>
        <w:ind w:firstLine="648"/>
        <w:spacing w:after="0" w:line="245" w:lineRule="auto"/>
        <w:rPr>
          <w:sz w:val="20"/>
          <w:szCs w:val="20"/>
          <w:color w:val="auto"/>
        </w:rPr>
      </w:pPr>
      <w:r>
        <w:rPr>
          <w:rFonts w:ascii="Arial" w:cs="Arial" w:eastAsia="Arial" w:hAnsi="Arial"/>
          <w:sz w:val="20"/>
          <w:szCs w:val="20"/>
          <w:color w:val="auto"/>
        </w:rPr>
        <w:t>[The Revolving Credit Loan(s) requested herein complies with the proviso to the first sentence of Section [2.1(a)/2.1(b)] of the Credit Agreement.]</w:t>
      </w:r>
      <w:r>
        <w:rPr>
          <w:rFonts w:ascii="Arial" w:cs="Arial" w:eastAsia="Arial" w:hAnsi="Arial"/>
          <w:sz w:val="25"/>
          <w:szCs w:val="25"/>
          <w:color w:val="auto"/>
          <w:vertAlign w:val="superscript"/>
        </w:rPr>
        <w:t>1</w:t>
      </w:r>
    </w:p>
    <w:p>
      <w:pPr>
        <w:spacing w:after="0" w:line="106" w:lineRule="exact"/>
        <w:rPr>
          <w:sz w:val="20"/>
          <w:szCs w:val="20"/>
          <w:color w:val="auto"/>
        </w:rPr>
      </w:pPr>
    </w:p>
    <w:p>
      <w:pPr>
        <w:ind w:firstLine="648"/>
        <w:spacing w:after="0" w:line="256" w:lineRule="auto"/>
        <w:rPr>
          <w:sz w:val="20"/>
          <w:szCs w:val="20"/>
          <w:color w:val="auto"/>
        </w:rPr>
      </w:pPr>
      <w:r>
        <w:rPr>
          <w:rFonts w:ascii="Arial" w:cs="Arial" w:eastAsia="Arial" w:hAnsi="Arial"/>
          <w:sz w:val="20"/>
          <w:szCs w:val="20"/>
          <w:color w:val="auto"/>
        </w:rPr>
        <w:t>[The undersigned Borrower hereby represents and warrants that the conditions specified in Section 5.2 of the Credit Agreement shall be satisfied on and as of the date of the Credit Extension Date.]</w:t>
      </w:r>
      <w:r>
        <w:rPr>
          <w:rFonts w:ascii="Arial" w:cs="Arial" w:eastAsia="Arial" w:hAnsi="Arial"/>
          <w:sz w:val="25"/>
          <w:szCs w:val="25"/>
          <w:color w:val="auto"/>
          <w:vertAlign w:val="superscript"/>
        </w:rPr>
        <w:t>2</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Delivery of an executed counterpart of a signature page of this notice by fax transmission or other electronic mail transmission (e.g.</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“pdf” or “tif”) shall be effective as delivery of a manually executed counterpart of this notice.</w:t>
      </w:r>
    </w:p>
    <w:p>
      <w:pPr>
        <w:sectPr>
          <w:pgSz w:w="11900" w:h="16838" w:orient="portrait"/>
          <w:cols w:equalWidth="0" w:num="1">
            <w:col w:w="11240"/>
          </w:cols>
          <w:pgMar w:left="320" w:top="1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72"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120650</wp:posOffset>
            </wp:positionV>
            <wp:extent cx="17145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Include this sentence in the case of a Revolving Credit Loan.</w:t>
      </w:r>
    </w:p>
    <w:p>
      <w:pPr>
        <w:spacing w:after="0"/>
        <w:rPr>
          <w:sz w:val="20"/>
          <w:szCs w:val="20"/>
          <w:color w:val="auto"/>
        </w:rPr>
      </w:pPr>
      <w:r>
        <w:rPr>
          <w:rFonts w:ascii="Arial" w:cs="Arial" w:eastAsia="Arial" w:hAnsi="Arial"/>
          <w:sz w:val="18"/>
          <w:szCs w:val="18"/>
          <w:color w:val="auto"/>
        </w:rPr>
        <w:t>Include this sentence in the case of request for an Extension of Credit.</w:t>
      </w:r>
    </w:p>
    <w:p>
      <w:pPr>
        <w:sectPr>
          <w:pgSz w:w="11900" w:h="16838" w:orient="portrait"/>
          <w:cols w:equalWidth="0" w:num="2">
            <w:col w:w="60" w:space="240"/>
            <w:col w:w="10940"/>
          </w:cols>
          <w:pgMar w:left="320" w:top="1405" w:right="339" w:bottom="1440" w:gutter="0" w:footer="0" w:header="0"/>
          <w:type w:val="continuous"/>
        </w:sectPr>
      </w:pPr>
    </w:p>
    <w:bookmarkStart w:id="66" w:name="page67"/>
    <w:bookmarkEnd w:id="66"/>
    <w:p>
      <w:pPr>
        <w:spacing w:after="0" w:line="290" w:lineRule="exact"/>
        <w:rPr>
          <w:sz w:val="20"/>
          <w:szCs w:val="20"/>
          <w:color w:val="auto"/>
        </w:rPr>
      </w:pPr>
    </w:p>
    <w:p>
      <w:pPr>
        <w:ind w:left="4080" w:hanging="125"/>
        <w:spacing w:after="0"/>
        <w:tabs>
          <w:tab w:leader="none" w:pos="4080" w:val="left"/>
        </w:tabs>
        <w:numPr>
          <w:ilvl w:val="0"/>
          <w:numId w:val="57"/>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w:t>
      </w:r>
    </w:p>
    <w:p>
      <w:pPr>
        <w:spacing w:after="0" w:line="21" w:lineRule="exact"/>
        <w:rPr>
          <w:rFonts w:ascii="Arial" w:cs="Arial" w:eastAsia="Arial" w:hAnsi="Arial"/>
          <w:sz w:val="20"/>
          <w:szCs w:val="20"/>
          <w:u w:val="single" w:color="auto"/>
          <w:color w:val="auto"/>
        </w:rPr>
      </w:pPr>
    </w:p>
    <w:p>
      <w:pPr>
        <w:ind w:left="3960"/>
        <w:spacing w:after="0"/>
        <w:rPr>
          <w:rFonts w:ascii="Arial" w:cs="Arial" w:eastAsia="Arial" w:hAnsi="Arial"/>
          <w:sz w:val="20"/>
          <w:szCs w:val="20"/>
          <w:u w:val="single" w:color="auto"/>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 ]</w:t>
      </w:r>
    </w:p>
    <w:p>
      <w:pPr>
        <w:spacing w:after="0" w:line="287"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-135890</wp:posOffset>
            </wp:positionV>
            <wp:extent cx="35572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13335</wp:posOffset>
            </wp:positionV>
            <wp:extent cx="33686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336867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-157480</wp:posOffset>
            </wp:positionV>
            <wp:extent cx="33686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Michael P. Gianoni, certify that:</w:t>
      </w:r>
    </w:p>
    <w:p>
      <w:pPr>
        <w:spacing w:after="0" w:line="171" w:lineRule="exact"/>
        <w:rPr>
          <w:sz w:val="20"/>
          <w:szCs w:val="20"/>
          <w:color w:val="auto"/>
        </w:rPr>
      </w:pPr>
    </w:p>
    <w:p>
      <w:pPr>
        <w:ind w:left="640" w:hanging="308"/>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Blackbaud,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1"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60" w:hanging="324"/>
        <w:spacing w:after="0" w:line="256" w:lineRule="auto"/>
        <w:tabs>
          <w:tab w:leader="none" w:pos="96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60" w:hanging="324"/>
        <w:spacing w:after="0" w:line="256" w:lineRule="auto"/>
        <w:tabs>
          <w:tab w:leader="none" w:pos="985"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100" w:hanging="324"/>
        <w:spacing w:after="0" w:line="256" w:lineRule="auto"/>
        <w:tabs>
          <w:tab w:leader="none" w:pos="96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980" w:right="260" w:hanging="324"/>
        <w:spacing w:after="0" w:line="256" w:lineRule="auto"/>
        <w:tabs>
          <w:tab w:leader="none" w:pos="981"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200" w:hanging="324"/>
        <w:spacing w:after="0" w:line="261" w:lineRule="auto"/>
        <w:tabs>
          <w:tab w:leader="none" w:pos="968"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940" w:type="dxa"/>
            <w:vAlign w:val="bottom"/>
          </w:tcPr>
          <w:p>
            <w:pPr>
              <w:spacing w:after="0"/>
              <w:rPr>
                <w:sz w:val="20"/>
                <w:szCs w:val="20"/>
                <w:color w:val="auto"/>
              </w:rPr>
            </w:pPr>
            <w:r>
              <w:rPr>
                <w:rFonts w:ascii="Arial" w:cs="Arial" w:eastAsia="Arial" w:hAnsi="Arial"/>
                <w:sz w:val="18"/>
                <w:szCs w:val="18"/>
                <w:color w:val="auto"/>
              </w:rPr>
              <w:t>Date:  November 3, 2022</w:t>
            </w:r>
          </w:p>
        </w:tc>
        <w:tc>
          <w:tcPr>
            <w:tcW w:w="7240" w:type="dxa"/>
            <w:vAlign w:val="bottom"/>
            <w:gridSpan w:val="2"/>
          </w:tcPr>
          <w:p>
            <w:pPr>
              <w:ind w:left="1840"/>
              <w:spacing w:after="0"/>
              <w:rPr>
                <w:sz w:val="20"/>
                <w:szCs w:val="20"/>
                <w:color w:val="auto"/>
              </w:rPr>
            </w:pPr>
            <w:r>
              <w:rPr>
                <w:rFonts w:ascii="Arial" w:cs="Arial" w:eastAsia="Arial" w:hAnsi="Arial"/>
                <w:sz w:val="18"/>
                <w:szCs w:val="18"/>
                <w:color w:val="auto"/>
              </w:rPr>
              <w:t>By:   /s/ Michael P. Gianoni</w:t>
            </w:r>
          </w:p>
        </w:tc>
      </w:tr>
      <w:tr>
        <w:trPr>
          <w:trHeight w:val="223"/>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P. Gianoni</w:t>
            </w:r>
          </w:p>
        </w:tc>
      </w:tr>
      <w:tr>
        <w:trPr>
          <w:trHeight w:val="230"/>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6"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Anthony W. Boor, certify that:</w:t>
      </w:r>
    </w:p>
    <w:p>
      <w:pPr>
        <w:spacing w:after="0" w:line="171" w:lineRule="exact"/>
        <w:rPr>
          <w:sz w:val="20"/>
          <w:szCs w:val="20"/>
          <w:color w:val="auto"/>
        </w:rPr>
      </w:pPr>
    </w:p>
    <w:p>
      <w:pPr>
        <w:ind w:left="640" w:hanging="308"/>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Blackbaud,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1"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60" w:hanging="324"/>
        <w:spacing w:after="0" w:line="256" w:lineRule="auto"/>
        <w:tabs>
          <w:tab w:leader="none" w:pos="96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60" w:hanging="324"/>
        <w:spacing w:after="0" w:line="256" w:lineRule="auto"/>
        <w:tabs>
          <w:tab w:leader="none" w:pos="985"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100" w:hanging="324"/>
        <w:spacing w:after="0" w:line="256" w:lineRule="auto"/>
        <w:tabs>
          <w:tab w:leader="none" w:pos="96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980" w:right="260" w:hanging="324"/>
        <w:spacing w:after="0" w:line="256" w:lineRule="auto"/>
        <w:tabs>
          <w:tab w:leader="none" w:pos="981"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200" w:hanging="324"/>
        <w:spacing w:after="0" w:line="261" w:lineRule="auto"/>
        <w:tabs>
          <w:tab w:leader="none" w:pos="96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940" w:type="dxa"/>
            <w:vAlign w:val="bottom"/>
          </w:tcPr>
          <w:p>
            <w:pPr>
              <w:spacing w:after="0"/>
              <w:rPr>
                <w:sz w:val="20"/>
                <w:szCs w:val="20"/>
                <w:color w:val="auto"/>
              </w:rPr>
            </w:pPr>
            <w:r>
              <w:rPr>
                <w:rFonts w:ascii="Arial" w:cs="Arial" w:eastAsia="Arial" w:hAnsi="Arial"/>
                <w:sz w:val="18"/>
                <w:szCs w:val="18"/>
                <w:color w:val="auto"/>
              </w:rPr>
              <w:t>Date:  November 3, 2022</w:t>
            </w:r>
          </w:p>
        </w:tc>
        <w:tc>
          <w:tcPr>
            <w:tcW w:w="7240" w:type="dxa"/>
            <w:vAlign w:val="bottom"/>
            <w:gridSpan w:val="2"/>
          </w:tcPr>
          <w:p>
            <w:pPr>
              <w:ind w:left="1840"/>
              <w:spacing w:after="0"/>
              <w:rPr>
                <w:sz w:val="20"/>
                <w:szCs w:val="20"/>
                <w:color w:val="auto"/>
              </w:rPr>
            </w:pPr>
            <w:r>
              <w:rPr>
                <w:rFonts w:ascii="Arial" w:cs="Arial" w:eastAsia="Arial" w:hAnsi="Arial"/>
                <w:sz w:val="18"/>
                <w:szCs w:val="18"/>
                <w:color w:val="auto"/>
              </w:rPr>
              <w:t>By:   /s/ Anthony W. Boor</w:t>
            </w:r>
          </w:p>
        </w:tc>
      </w:tr>
      <w:tr>
        <w:trPr>
          <w:trHeight w:val="223"/>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Anthony W. Boor</w:t>
            </w:r>
          </w:p>
        </w:tc>
      </w:tr>
      <w:tr>
        <w:trPr>
          <w:trHeight w:val="230"/>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886"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Blackbaud, Inc. (the “Company”) for the period ended September 30, 2022 as filed with the Securities and Exchange Commission on or about the date hereof (the “Report”), I, Michael P. Gianoni, President and Chief Executive Officer, hereby certify, pursuant to 18 U.S.C. 1350, as adopted pursuant to Section 906 of the Sarbanes-Oxley Act of 2002, that, to my knowledge:</w:t>
      </w:r>
    </w:p>
    <w:p>
      <w:pPr>
        <w:spacing w:after="0" w:line="150" w:lineRule="exact"/>
        <w:rPr>
          <w:sz w:val="20"/>
          <w:szCs w:val="20"/>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Date:  November 3, 2022</w:t>
            </w:r>
          </w:p>
        </w:tc>
        <w:tc>
          <w:tcPr>
            <w:tcW w:w="7240" w:type="dxa"/>
            <w:vAlign w:val="bottom"/>
            <w:gridSpan w:val="2"/>
          </w:tcPr>
          <w:p>
            <w:pPr>
              <w:ind w:left="1820"/>
              <w:spacing w:after="0"/>
              <w:rPr>
                <w:sz w:val="20"/>
                <w:szCs w:val="20"/>
                <w:color w:val="auto"/>
              </w:rPr>
            </w:pPr>
            <w:r>
              <w:rPr>
                <w:rFonts w:ascii="Arial" w:cs="Arial" w:eastAsia="Arial" w:hAnsi="Arial"/>
                <w:sz w:val="18"/>
                <w:szCs w:val="18"/>
                <w:color w:val="auto"/>
              </w:rPr>
              <w:t>By:   /s/ Michael P. Gianoni</w:t>
            </w:r>
          </w:p>
        </w:tc>
      </w:tr>
      <w:tr>
        <w:trPr>
          <w:trHeight w:val="223"/>
        </w:trPr>
        <w:tc>
          <w:tcPr>
            <w:tcW w:w="3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P. Gianoni</w:t>
            </w:r>
          </w:p>
        </w:tc>
      </w:tr>
      <w:tr>
        <w:trPr>
          <w:trHeight w:val="229"/>
        </w:trPr>
        <w:tc>
          <w:tcPr>
            <w:tcW w:w="3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3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6"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Blackbaud, Inc. (the “Company”) for the period ended September 30, 2022 as filed with the Securities and Exchange Commission on or about the date hereof (the “Report”), I, Anthony W. Boor, Executive Vice President and Chief Financial Officer, hereby certify, pursuant to 18 U.S.C. 1350, as adopted pursuant to Section 906 of the Sarbanes-Oxley Act of 2002, that, to my knowledge:</w:t>
      </w:r>
    </w:p>
    <w:p>
      <w:pPr>
        <w:spacing w:after="0" w:line="150" w:lineRule="exact"/>
        <w:rPr>
          <w:sz w:val="20"/>
          <w:szCs w:val="20"/>
          <w:color w:val="auto"/>
        </w:rPr>
      </w:pPr>
    </w:p>
    <w:p>
      <w:pPr>
        <w:ind w:left="640" w:hanging="308"/>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Date:  November 3, 2022</w:t>
            </w:r>
          </w:p>
        </w:tc>
        <w:tc>
          <w:tcPr>
            <w:tcW w:w="7240" w:type="dxa"/>
            <w:vAlign w:val="bottom"/>
            <w:gridSpan w:val="2"/>
          </w:tcPr>
          <w:p>
            <w:pPr>
              <w:ind w:left="1820"/>
              <w:spacing w:after="0"/>
              <w:rPr>
                <w:sz w:val="20"/>
                <w:szCs w:val="20"/>
                <w:color w:val="auto"/>
              </w:rPr>
            </w:pPr>
            <w:r>
              <w:rPr>
                <w:rFonts w:ascii="Arial" w:cs="Arial" w:eastAsia="Arial" w:hAnsi="Arial"/>
                <w:sz w:val="18"/>
                <w:szCs w:val="18"/>
                <w:color w:val="auto"/>
              </w:rPr>
              <w:t>By:   /s/ Anthony W. Boor</w:t>
            </w:r>
          </w:p>
        </w:tc>
      </w:tr>
      <w:tr>
        <w:trPr>
          <w:trHeight w:val="223"/>
        </w:trPr>
        <w:tc>
          <w:tcPr>
            <w:tcW w:w="3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Anthony W. Boor</w:t>
            </w:r>
          </w:p>
        </w:tc>
      </w:tr>
      <w:tr>
        <w:trPr>
          <w:trHeight w:val="229"/>
        </w:trPr>
        <w:tc>
          <w:tcPr>
            <w:tcW w:w="3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9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emdash "/>
      <w:numFmt w:val="bullet"/>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6"/>
      <w:numFmt w:val="bullet"/>
      <w:start w:val="1"/>
    </w:lvl>
  </w:abstractNum>
  <w:abstractNum w:abstractNumId="5">
    <w:nsid w:val="3006C83E"/>
    <w:multiLevelType w:val="hybridMultilevel"/>
    <w:lvl w:ilvl="0">
      <w:lvlJc w:val="left"/>
      <w:lvlText w:val="(%1)"/>
      <w:numFmt w:val="decimal"/>
      <w:start w:val="1"/>
    </w:lvl>
    <w:lvl w:ilvl="1">
      <w:lvlJc w:val="left"/>
      <w:lvlText w:val="%2."/>
      <w:numFmt w:val="decimal"/>
      <w:start w:val="5"/>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1"/>
      <w:numFmt w:val="bullet"/>
      <w:start w:val="1"/>
    </w:lvl>
  </w:abstractNum>
  <w:abstractNum w:abstractNumId="13">
    <w:nsid w:val="7724C67E"/>
    <w:multiLevelType w:val="hybridMultilevel"/>
    <w:lvl w:ilvl="0">
      <w:lvlJc w:val="left"/>
      <w:lvlText w:val="2"/>
      <w:numFmt w:val="bullet"/>
      <w:start w:val="1"/>
    </w:lvl>
  </w:abstractNum>
  <w:abstractNum w:abstractNumId="14">
    <w:nsid w:val="5C482A97"/>
    <w:multiLevelType w:val="hybridMultilevel"/>
    <w:lvl w:ilvl="0">
      <w:lvlJc w:val="left"/>
      <w:lvlText w:val="%1."/>
      <w:numFmt w:val="decimal"/>
    </w:lvl>
    <w:lvl w:ilvl="1">
      <w:lvlJc w:val="left"/>
      <w:lvlText w:val="3"/>
      <w:numFmt w:val="bullet"/>
      <w:start w:val="1"/>
    </w:lvl>
  </w:abstractNum>
  <w:abstractNum w:abstractNumId="15">
    <w:nsid w:val="2463B9EA"/>
    <w:multiLevelType w:val="hybridMultilevel"/>
    <w:lvl w:ilvl="0">
      <w:lvlJc w:val="left"/>
      <w:lvlText w:val="%1."/>
      <w:numFmt w:val="decimal"/>
      <w:start w:val="2"/>
    </w:lvl>
  </w:abstractNum>
  <w:abstractNum w:abstractNumId="16">
    <w:nsid w:val="5E884ADC"/>
    <w:multiLevelType w:val="hybridMultilevel"/>
    <w:lvl w:ilvl="0">
      <w:lvlJc w:val="left"/>
      <w:lvlText w:val="+"/>
      <w:numFmt w:val="bullet"/>
      <w:start w:val="1"/>
    </w:lvl>
    <w:lvl w:ilvl="1">
      <w:lvlJc w:val="left"/>
      <w:lvlText w:val="•"/>
      <w:numFmt w:val="bullet"/>
      <w:start w:val="1"/>
    </w:lvl>
  </w:abstractNum>
  <w:abstractNum w:abstractNumId="17">
    <w:nsid w:val="51EAD36B"/>
    <w:multiLevelType w:val="hybridMultilevel"/>
    <w:lvl w:ilvl="0">
      <w:lvlJc w:val="left"/>
      <w:lvlText w:val="-"/>
      <w:numFmt w:val="bullet"/>
      <w:start w:val="1"/>
    </w:lvl>
    <w:lvl w:ilvl="1">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lvl w:ilvl="1">
      <w:lvlJc w:val="left"/>
      <w:lvlText w:val="•"/>
      <w:numFmt w:val="bullet"/>
      <w:start w:val="1"/>
    </w:lvl>
  </w:abstractNum>
  <w:abstractNum w:abstractNumId="20">
    <w:nsid w:val="153EA438"/>
    <w:multiLevelType w:val="hybridMultilevel"/>
    <w:lvl w:ilvl="0">
      <w:lvlJc w:val="left"/>
      <w:lvlText w:val="+"/>
      <w:numFmt w:val="bullet"/>
      <w:start w:val="1"/>
    </w:lvl>
    <w:lvl w:ilvl="1">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1">
    <w:nsid w:val="79A1DEAA"/>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4"/>
    </w:lvl>
  </w:abstractNum>
  <w:abstractNum w:abstractNumId="42">
    <w:nsid w:val="75C6C33A"/>
    <w:multiLevelType w:val="hybridMultilevel"/>
    <w:lvl w:ilvl="0">
      <w:lvlJc w:val="left"/>
      <w:lvlText w:val="(%1)"/>
      <w:numFmt w:val="lowerLetter"/>
      <w:start w:val="4"/>
    </w:lvl>
  </w:abstractNum>
  <w:abstractNum w:abstractNumId="43">
    <w:nsid w:val="12E685F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4">
    <w:nsid w:val="70C6A52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5">
    <w:nsid w:val="520EEDD1"/>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46">
    <w:nsid w:val="374A3FE6"/>
    <w:multiLevelType w:val="hybridMultilevel"/>
    <w:lvl w:ilvl="0">
      <w:lvlJc w:val="left"/>
      <w:lvlText w:val="(%1)"/>
      <w:numFmt w:val="lowerLetter"/>
      <w:start w:val="1"/>
    </w:lvl>
  </w:abstractNum>
  <w:abstractNum w:abstractNumId="47">
    <w:nsid w:val="4F4EF005"/>
    <w:multiLevelType w:val="hybridMultilevel"/>
    <w:lvl w:ilvl="0">
      <w:lvlJc w:val="left"/>
      <w:lvlText w:val="(%1)"/>
      <w:numFmt w:val="lowerLetter"/>
      <w:start w:val="2"/>
    </w:lvl>
  </w:abstractNum>
  <w:abstractNum w:abstractNumId="48">
    <w:nsid w:val="23F9C13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49">
    <w:nsid w:val="649BB77C"/>
    <w:multiLevelType w:val="hybridMultilevel"/>
    <w:lvl w:ilvl="0">
      <w:lvlJc w:val="left"/>
      <w:lvlText w:val="%1"/>
      <w:numFmt w:val="lowerLetter"/>
      <w:start w:val="1"/>
    </w:lvl>
    <w:lvl w:ilvl="1">
      <w:lvlJc w:val="left"/>
      <w:lvlText w:val="(%2)"/>
      <w:numFmt w:val="lowerLetter"/>
      <w:start w:val="35"/>
    </w:lvl>
  </w:abstractNum>
  <w:abstractNum w:abstractNumId="50">
    <w:nsid w:val="275AC794"/>
    <w:multiLevelType w:val="hybridMultilevel"/>
    <w:lvl w:ilvl="0">
      <w:lvlJc w:val="left"/>
      <w:lvlText w:val="(%1)"/>
      <w:numFmt w:val="lowerLetter"/>
      <w:start w:val="3"/>
    </w:lvl>
    <w:lvl w:ilvl="1">
      <w:lvlJc w:val="left"/>
      <w:lvlText w:val="(%2)"/>
      <w:numFmt w:val="lowerLetter"/>
      <w:start w:val="9"/>
    </w:lvl>
  </w:abstractNum>
  <w:abstractNum w:abstractNumId="51">
    <w:nsid w:val="3938657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2"/>
    </w:lvl>
  </w:abstractNum>
  <w:abstractNum w:abstractNumId="52">
    <w:nsid w:val="1CF10FD8"/>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2"/>
    </w:lvl>
    <w:lvl w:ilvl="3">
      <w:lvlJc w:val="left"/>
      <w:lvlText w:val="%4"/>
      <w:numFmt w:val="lowerRoman"/>
      <w:start w:val="1"/>
    </w:lvl>
  </w:abstractNum>
  <w:abstractNum w:abstractNumId="53">
    <w:nsid w:val="180115BE"/>
    <w:multiLevelType w:val="hybridMultilevel"/>
    <w:lvl w:ilvl="0">
      <w:lvlJc w:val="left"/>
      <w:lvlText w:val="(%1)"/>
      <w:numFmt w:val="lowerLetter"/>
      <w:start w:val="6"/>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1."/>
      <w:numFmt w:val="decimal"/>
      <w:start w:val="3"/>
    </w:lvl>
    <w:lvl w:ilvl="1">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jpeg"/><Relationship Id="rId236" Type="http://schemas.openxmlformats.org/officeDocument/2006/relationships/image" Target="media/image225.jpeg"/><Relationship Id="rId237" Type="http://schemas.openxmlformats.org/officeDocument/2006/relationships/image" Target="media/image226.jpe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28" Type="http://schemas.openxmlformats.org/officeDocument/2006/relationships/hyperlink" Target="https://www.sec.gov/Archives/edgar/data/1280058/000114036122036751/brhc10042812_ex3-1.htm" TargetMode="External"/><Relationship Id="rId229" Type="http://schemas.openxmlformats.org/officeDocument/2006/relationships/hyperlink" Target="https://www.sec.gov/Archives/edgar/data/1280058/000128005822000047/exhibit31bylawsaug2022.htm" TargetMode="External"/><Relationship Id="rId230" Type="http://schemas.openxmlformats.org/officeDocument/2006/relationships/hyperlink" Target="https://www.sec.gov/Archives/edgar/data/1280058/000114036122036751/brhc10042812_ex4-1.htm" TargetMode="External"/><Relationship Id="rId231" Type="http://schemas.openxmlformats.org/officeDocument/2006/relationships/hyperlink" Target="https://www.sec.gov/Archives/edgar/data/1280058/000128005822000050/exhibit101sep21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2022-11-03T15:46:36Z</dcterms:created>
  <dcterms:modified xsi:type="dcterms:W3CDTF">2022-11-03T15:46:36Z</dcterms:modified>
</cp:coreProperties>
</file>