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57"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 the quarterly period ended September 30, 2020</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60"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1100" w:type="dxa"/>
            <w:vAlign w:val="bottom"/>
            <w:gridSpan w:val="2"/>
          </w:tcPr>
          <w:p>
            <w:pPr>
              <w:ind w:left="900"/>
              <w:spacing w:after="0"/>
              <w:rPr>
                <w:sz w:val="20"/>
                <w:szCs w:val="20"/>
                <w:color w:val="auto"/>
              </w:rPr>
            </w:pPr>
            <w:r>
              <w:rPr>
                <w:rFonts w:ascii="Arial" w:cs="Arial" w:eastAsia="Arial" w:hAnsi="Arial"/>
                <w:sz w:val="16"/>
                <w:szCs w:val="16"/>
                <w:b w:val="1"/>
                <w:bCs w:val="1"/>
                <w:color w:val="auto"/>
              </w:rPr>
              <w:t>to</w:t>
            </w:r>
          </w:p>
        </w:tc>
        <w:tc>
          <w:tcPr>
            <w:tcW w:w="2840" w:type="dxa"/>
            <w:vAlign w:val="bottom"/>
            <w:gridSpan w:val="2"/>
          </w:tcPr>
          <w:p>
            <w:pPr>
              <w:jc w:val="right"/>
              <w:ind w:right="1900"/>
              <w:spacing w:after="0"/>
              <w:rPr>
                <w:sz w:val="20"/>
                <w:szCs w:val="20"/>
                <w:color w:val="auto"/>
              </w:rPr>
            </w:pPr>
            <w:r>
              <w:rPr>
                <w:rFonts w:ascii="Arial" w:cs="Arial" w:eastAsia="Arial" w:hAnsi="Arial"/>
                <w:sz w:val="16"/>
                <w:szCs w:val="16"/>
                <w:b w:val="1"/>
                <w:bCs w:val="1"/>
                <w:color w:val="auto"/>
              </w:rPr>
              <w:t>.</w:t>
            </w:r>
          </w:p>
        </w:tc>
      </w:tr>
      <w:tr>
        <w:trPr>
          <w:trHeight w:val="20"/>
        </w:trPr>
        <w:tc>
          <w:tcPr>
            <w:tcW w:w="2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8"/>
        </w:trPr>
        <w:tc>
          <w:tcPr>
            <w:tcW w:w="2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106680</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6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52" w:lineRule="exact"/>
        <w:rPr>
          <w:sz w:val="24"/>
          <w:szCs w:val="24"/>
          <w:color w:val="auto"/>
        </w:rPr>
      </w:pPr>
    </w:p>
    <w:p>
      <w:pPr>
        <w:sectPr>
          <w:pgSz w:w="11900" w:h="16838" w:orient="portrait"/>
          <w:cols w:equalWidth="0" w:num="2">
            <w:col w:w="7320" w:space="720"/>
            <w:col w:w="3200"/>
          </w:cols>
          <w:pgMar w:left="320" w:top="908"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93" w:lineRule="exact"/>
        <w:rPr>
          <w:sz w:val="24"/>
          <w:szCs w:val="24"/>
          <w:color w:val="auto"/>
        </w:rPr>
      </w:pPr>
    </w:p>
    <w:p>
      <w:pPr>
        <w:sectPr>
          <w:pgSz w:w="11900" w:h="16838" w:orient="portrait"/>
          <w:cols w:equalWidth="0" w:num="2">
            <w:col w:w="6520" w:space="720"/>
            <w:col w:w="4000"/>
          </w:cols>
          <w:pgMar w:left="320" w:top="908"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jc w:val="center"/>
              <w:spacing w:after="0" w:line="181" w:lineRule="exact"/>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5"/>
                <w:szCs w:val="15"/>
                <w:color w:val="auto"/>
              </w:rPr>
            </w:pPr>
          </w:p>
        </w:tc>
        <w:tc>
          <w:tcPr>
            <w:tcW w:w="1720" w:type="dxa"/>
            <w:vAlign w:val="bottom"/>
            <w:gridSpan w:val="2"/>
          </w:tcPr>
          <w:p>
            <w:pPr>
              <w:jc w:val="center"/>
              <w:ind w:left="319"/>
              <w:spacing w:after="0" w:line="181" w:lineRule="exact"/>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5"/>
                <w:szCs w:val="15"/>
                <w:color w:val="auto"/>
              </w:rPr>
            </w:pPr>
          </w:p>
        </w:tc>
        <w:tc>
          <w:tcPr>
            <w:tcW w:w="3740" w:type="dxa"/>
            <w:vAlign w:val="bottom"/>
            <w:gridSpan w:val="2"/>
          </w:tcPr>
          <w:p>
            <w:pPr>
              <w:jc w:val="center"/>
              <w:ind w:right="420"/>
              <w:spacing w:after="0" w:line="181" w:lineRule="exact"/>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0"/>
                <w:szCs w:val="20"/>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60"/>
        </w:trPr>
        <w:tc>
          <w:tcPr>
            <w:tcW w:w="14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pacing w:after="0" w:line="326"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05"/>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05"/>
        </w:trPr>
        <w:tc>
          <w:tcPr>
            <w:tcW w:w="2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84"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28, 2020 was 49,568,364.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4D5259"/>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2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CAUTIONARY STATEMENT REGARDING FORWARD-LOOKING STATEMENTS</w:t>
              </w:r>
            </w:hyperlink>
          </w:p>
        </w:tc>
        <w:tc>
          <w:tcPr>
            <w:tcW w:w="1880" w:type="dxa"/>
            <w:vAlign w:val="bottom"/>
            <w:tcBorders>
              <w:bottom w:val="single" w:sz="8" w:color="71BF43"/>
            </w:tcBorders>
          </w:tcPr>
          <w:p>
            <w:pPr>
              <w:ind w:left="1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2</w:t>
              </w:r>
            </w:hyperlink>
          </w:p>
        </w:tc>
      </w:tr>
      <w:tr>
        <w:trPr>
          <w:trHeight w:val="466"/>
        </w:trPr>
        <w:tc>
          <w:tcPr>
            <w:tcW w:w="90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PART I.</w:t>
              </w:r>
            </w:hyperlink>
          </w:p>
        </w:tc>
        <w:tc>
          <w:tcPr>
            <w:tcW w:w="8420" w:type="dxa"/>
            <w:vAlign w:val="bottom"/>
            <w:tcBorders>
              <w:bottom w:val="single" w:sz="8" w:color="71BF43"/>
            </w:tcBorders>
          </w:tcPr>
          <w:p>
            <w:pPr>
              <w:ind w:left="18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FINANCIAL INFORMATION</w:t>
              </w:r>
            </w:hyperlink>
          </w:p>
        </w:tc>
        <w:tc>
          <w:tcPr>
            <w:tcW w:w="1880" w:type="dxa"/>
            <w:vAlign w:val="bottom"/>
            <w:tcBorders>
              <w:bottom w:val="single" w:sz="8" w:color="71BF43"/>
            </w:tcBorders>
          </w:tcPr>
          <w:p>
            <w:pPr>
              <w:ind w:left="142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3</w:t>
              </w:r>
            </w:hyperlink>
          </w:p>
        </w:tc>
      </w:tr>
      <w:tr>
        <w:trPr>
          <w:trHeight w:val="263"/>
        </w:trPr>
        <w:tc>
          <w:tcPr>
            <w:tcW w:w="90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42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Financial statements</w:t>
              </w:r>
            </w:hyperlink>
          </w:p>
        </w:tc>
        <w:tc>
          <w:tcPr>
            <w:tcW w:w="1880" w:type="dxa"/>
            <w:vAlign w:val="bottom"/>
          </w:tcPr>
          <w:p>
            <w:pPr>
              <w:spacing w:after="0"/>
              <w:rPr>
                <w:sz w:val="22"/>
                <w:szCs w:val="22"/>
                <w:color w:val="auto"/>
              </w:rPr>
            </w:pPr>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30"/>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1880" w:type="dxa"/>
            <w:vAlign w:val="bottom"/>
          </w:tcPr>
          <w:p>
            <w:pPr>
              <w:ind w:left="1420"/>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30"/>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Stockholders’ Equity (Unaudited)</w:t>
              </w:r>
            </w:hyperlink>
          </w:p>
        </w:tc>
        <w:tc>
          <w:tcPr>
            <w:tcW w:w="1880" w:type="dxa"/>
            <w:vAlign w:val="bottom"/>
          </w:tcPr>
          <w:p>
            <w:pPr>
              <w:ind w:left="1420"/>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9">
              <w:r>
                <w:rPr>
                  <w:rFonts w:ascii="Arial" w:cs="Arial" w:eastAsia="Arial" w:hAnsi="Arial"/>
                  <w:sz w:val="18"/>
                  <w:szCs w:val="18"/>
                  <w:color w:val="auto"/>
                </w:rPr>
                <w:t>Notes to Condensed Consolidated Financial Statements (Unaudited)</w:t>
              </w:r>
            </w:hyperlink>
          </w:p>
        </w:tc>
        <w:tc>
          <w:tcPr>
            <w:tcW w:w="1880" w:type="dxa"/>
            <w:vAlign w:val="bottom"/>
          </w:tcPr>
          <w:p>
            <w:pPr>
              <w:ind w:left="1420"/>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r>
      <w:tr>
        <w:trPr>
          <w:trHeight w:val="229"/>
        </w:trPr>
        <w:tc>
          <w:tcPr>
            <w:tcW w:w="90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Item 2.</w:t>
              </w:r>
            </w:hyperlink>
          </w:p>
        </w:tc>
        <w:tc>
          <w:tcPr>
            <w:tcW w:w="842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880" w:type="dxa"/>
            <w:vAlign w:val="bottom"/>
          </w:tcPr>
          <w:p>
            <w:pPr>
              <w:ind w:left="1420"/>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30"/>
        </w:trPr>
        <w:tc>
          <w:tcPr>
            <w:tcW w:w="90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3.</w:t>
              </w:r>
            </w:hyperlink>
          </w:p>
        </w:tc>
        <w:tc>
          <w:tcPr>
            <w:tcW w:w="8420" w:type="dxa"/>
            <w:vAlign w:val="bottom"/>
          </w:tcPr>
          <w:p>
            <w:pPr>
              <w:ind w:left="180"/>
              <w:spacing w:after="0"/>
              <w:rPr>
                <w:rFonts w:ascii="Arial" w:cs="Arial" w:eastAsia="Arial" w:hAnsi="Arial"/>
                <w:sz w:val="18"/>
                <w:szCs w:val="18"/>
                <w:color w:val="auto"/>
              </w:rPr>
            </w:pPr>
            <w:hyperlink w:anchor="page49">
              <w:r>
                <w:rPr>
                  <w:rFonts w:ascii="Arial" w:cs="Arial" w:eastAsia="Arial" w:hAnsi="Arial"/>
                  <w:sz w:val="18"/>
                  <w:szCs w:val="18"/>
                  <w:color w:val="auto"/>
                </w:rPr>
                <w:t>Quantitative and qualitative disclosures about market risk</w:t>
              </w:r>
            </w:hyperlink>
          </w:p>
        </w:tc>
        <w:tc>
          <w:tcPr>
            <w:tcW w:w="1880" w:type="dxa"/>
            <w:vAlign w:val="bottom"/>
          </w:tcPr>
          <w:p>
            <w:pPr>
              <w:ind w:left="1420"/>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r>
      <w:tr>
        <w:trPr>
          <w:trHeight w:val="229"/>
        </w:trPr>
        <w:tc>
          <w:tcPr>
            <w:tcW w:w="90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4.</w:t>
              </w:r>
            </w:hyperlink>
          </w:p>
        </w:tc>
        <w:tc>
          <w:tcPr>
            <w:tcW w:w="8420" w:type="dxa"/>
            <w:vAlign w:val="bottom"/>
          </w:tcPr>
          <w:p>
            <w:pPr>
              <w:ind w:left="180"/>
              <w:spacing w:after="0"/>
              <w:rPr>
                <w:rFonts w:ascii="Arial" w:cs="Arial" w:eastAsia="Arial" w:hAnsi="Arial"/>
                <w:sz w:val="18"/>
                <w:szCs w:val="18"/>
                <w:color w:val="auto"/>
              </w:rPr>
            </w:pPr>
            <w:hyperlink w:anchor="page49">
              <w:r>
                <w:rPr>
                  <w:rFonts w:ascii="Arial" w:cs="Arial" w:eastAsia="Arial" w:hAnsi="Arial"/>
                  <w:sz w:val="18"/>
                  <w:szCs w:val="18"/>
                  <w:color w:val="auto"/>
                </w:rPr>
                <w:t>Controls and procedures</w:t>
              </w:r>
            </w:hyperlink>
          </w:p>
        </w:tc>
        <w:tc>
          <w:tcPr>
            <w:tcW w:w="1880" w:type="dxa"/>
            <w:vAlign w:val="bottom"/>
          </w:tcPr>
          <w:p>
            <w:pPr>
              <w:ind w:left="1420"/>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50">
              <w:r>
                <w:rPr>
                  <w:rFonts w:ascii="Arial" w:cs="Arial" w:eastAsia="Arial" w:hAnsi="Arial"/>
                  <w:sz w:val="20"/>
                  <w:szCs w:val="20"/>
                  <w:b w:val="1"/>
                  <w:bCs w:val="1"/>
                  <w:color w:val="71BF43"/>
                </w:rPr>
                <w:t>PART II.</w:t>
              </w:r>
            </w:hyperlink>
          </w:p>
        </w:tc>
        <w:tc>
          <w:tcPr>
            <w:tcW w:w="9160" w:type="dxa"/>
            <w:vAlign w:val="bottom"/>
            <w:tcBorders>
              <w:bottom w:val="single" w:sz="8" w:color="71BF43"/>
            </w:tcBorders>
          </w:tcPr>
          <w:p>
            <w:pPr>
              <w:ind w:left="140"/>
              <w:spacing w:after="0"/>
              <w:rPr>
                <w:rFonts w:ascii="Arial" w:cs="Arial" w:eastAsia="Arial" w:hAnsi="Arial"/>
                <w:sz w:val="20"/>
                <w:szCs w:val="20"/>
                <w:b w:val="1"/>
                <w:bCs w:val="1"/>
                <w:color w:val="71BF43"/>
              </w:rPr>
            </w:pPr>
            <w:hyperlink w:anchor="page50">
              <w:r>
                <w:rPr>
                  <w:rFonts w:ascii="Arial" w:cs="Arial" w:eastAsia="Arial" w:hAnsi="Arial"/>
                  <w:sz w:val="20"/>
                  <w:szCs w:val="20"/>
                  <w:b w:val="1"/>
                  <w:bCs w:val="1"/>
                  <w:color w:val="71BF43"/>
                </w:rPr>
                <w:t>OTHER INFORMATION</w:t>
              </w:r>
            </w:hyperlink>
          </w:p>
        </w:tc>
        <w:tc>
          <w:tcPr>
            <w:tcW w:w="1100" w:type="dxa"/>
            <w:vAlign w:val="bottom"/>
            <w:tcBorders>
              <w:bottom w:val="single" w:sz="8" w:color="71BF43"/>
            </w:tcBorders>
          </w:tcPr>
          <w:p>
            <w:pPr>
              <w:ind w:left="640"/>
              <w:spacing w:after="0"/>
              <w:rPr>
                <w:rFonts w:ascii="Arial" w:cs="Arial" w:eastAsia="Arial" w:hAnsi="Arial"/>
                <w:sz w:val="20"/>
                <w:szCs w:val="20"/>
                <w:b w:val="1"/>
                <w:bCs w:val="1"/>
                <w:color w:val="71BF43"/>
              </w:rPr>
            </w:pPr>
            <w:hyperlink w:anchor="page50">
              <w:r>
                <w:rPr>
                  <w:rFonts w:ascii="Arial" w:cs="Arial" w:eastAsia="Arial" w:hAnsi="Arial"/>
                  <w:sz w:val="20"/>
                  <w:szCs w:val="20"/>
                  <w:b w:val="1"/>
                  <w:bCs w:val="1"/>
                  <w:color w:val="71BF43"/>
                </w:rPr>
                <w:t>49</w:t>
              </w:r>
            </w:hyperlink>
          </w:p>
        </w:tc>
        <w:tc>
          <w:tcPr>
            <w:tcW w:w="40" w:type="dxa"/>
            <w:vAlign w:val="bottom"/>
          </w:tcPr>
          <w:p>
            <w:pPr>
              <w:spacing w:after="0"/>
              <w:rPr>
                <w:sz w:val="22"/>
                <w:szCs w:val="22"/>
                <w:color w:val="auto"/>
              </w:rPr>
            </w:pPr>
          </w:p>
        </w:tc>
      </w:tr>
      <w:tr>
        <w:trPr>
          <w:trHeight w:val="264"/>
        </w:trPr>
        <w:tc>
          <w:tcPr>
            <w:tcW w:w="9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Item 1.</w:t>
              </w:r>
            </w:hyperlink>
          </w:p>
        </w:tc>
        <w:tc>
          <w:tcPr>
            <w:tcW w:w="916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Legal proceedings</w:t>
              </w:r>
            </w:hyperlink>
          </w:p>
        </w:tc>
        <w:tc>
          <w:tcPr>
            <w:tcW w:w="1100" w:type="dxa"/>
            <w:vAlign w:val="bottom"/>
          </w:tcPr>
          <w:p>
            <w:pPr>
              <w:ind w:left="640"/>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40" w:type="dxa"/>
            <w:vAlign w:val="bottom"/>
          </w:tcPr>
          <w:p>
            <w:pPr>
              <w:spacing w:after="0"/>
              <w:rPr>
                <w:sz w:val="22"/>
                <w:szCs w:val="22"/>
                <w:color w:val="auto"/>
              </w:rPr>
            </w:pPr>
          </w:p>
        </w:tc>
      </w:tr>
      <w:tr>
        <w:trPr>
          <w:trHeight w:val="229"/>
        </w:trPr>
        <w:tc>
          <w:tcPr>
            <w:tcW w:w="9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Item 1A.</w:t>
              </w:r>
            </w:hyperlink>
          </w:p>
        </w:tc>
        <w:tc>
          <w:tcPr>
            <w:tcW w:w="916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Risk factors</w:t>
              </w:r>
            </w:hyperlink>
          </w:p>
        </w:tc>
        <w:tc>
          <w:tcPr>
            <w:tcW w:w="1100" w:type="dxa"/>
            <w:vAlign w:val="bottom"/>
          </w:tcPr>
          <w:p>
            <w:pPr>
              <w:ind w:left="640"/>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40" w:type="dxa"/>
            <w:vAlign w:val="bottom"/>
          </w:tcPr>
          <w:p>
            <w:pPr>
              <w:spacing w:after="0"/>
              <w:rPr>
                <w:sz w:val="19"/>
                <w:szCs w:val="19"/>
                <w:color w:val="auto"/>
              </w:rPr>
            </w:pPr>
          </w:p>
        </w:tc>
      </w:tr>
      <w:tr>
        <w:trPr>
          <w:trHeight w:val="230"/>
        </w:trPr>
        <w:tc>
          <w:tcPr>
            <w:tcW w:w="940" w:type="dxa"/>
            <w:vAlign w:val="bottom"/>
          </w:tcPr>
          <w:p>
            <w:pPr>
              <w:ind w:left="140"/>
              <w:spacing w:after="0"/>
              <w:rPr>
                <w:rFonts w:ascii="Arial" w:cs="Arial" w:eastAsia="Arial" w:hAnsi="Arial"/>
                <w:sz w:val="18"/>
                <w:szCs w:val="18"/>
                <w:color w:val="auto"/>
              </w:rPr>
            </w:pPr>
            <w:hyperlink w:anchor="page53">
              <w:r>
                <w:rPr>
                  <w:rFonts w:ascii="Arial" w:cs="Arial" w:eastAsia="Arial" w:hAnsi="Arial"/>
                  <w:sz w:val="18"/>
                  <w:szCs w:val="18"/>
                  <w:color w:val="auto"/>
                </w:rPr>
                <w:t>Item 2.</w:t>
              </w:r>
            </w:hyperlink>
          </w:p>
        </w:tc>
        <w:tc>
          <w:tcPr>
            <w:tcW w:w="9160" w:type="dxa"/>
            <w:vAlign w:val="bottom"/>
          </w:tcPr>
          <w:p>
            <w:pPr>
              <w:ind w:left="140"/>
              <w:spacing w:after="0"/>
              <w:rPr>
                <w:rFonts w:ascii="Arial" w:cs="Arial" w:eastAsia="Arial" w:hAnsi="Arial"/>
                <w:sz w:val="18"/>
                <w:szCs w:val="18"/>
                <w:color w:val="auto"/>
              </w:rPr>
            </w:pPr>
            <w:hyperlink w:anchor="page53">
              <w:r>
                <w:rPr>
                  <w:rFonts w:ascii="Arial" w:cs="Arial" w:eastAsia="Arial" w:hAnsi="Arial"/>
                  <w:sz w:val="18"/>
                  <w:szCs w:val="18"/>
                  <w:color w:val="auto"/>
                </w:rPr>
                <w:t>Unregistered sales of equity securities and use of proceeds</w:t>
              </w:r>
            </w:hyperlink>
          </w:p>
        </w:tc>
        <w:tc>
          <w:tcPr>
            <w:tcW w:w="1100" w:type="dxa"/>
            <w:vAlign w:val="bottom"/>
          </w:tcPr>
          <w:p>
            <w:pPr>
              <w:ind w:left="640"/>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c>
          <w:tcPr>
            <w:tcW w:w="40" w:type="dxa"/>
            <w:vAlign w:val="bottom"/>
          </w:tcPr>
          <w:p>
            <w:pPr>
              <w:spacing w:after="0"/>
              <w:rPr>
                <w:sz w:val="19"/>
                <w:szCs w:val="19"/>
                <w:color w:val="auto"/>
              </w:rPr>
            </w:pPr>
          </w:p>
        </w:tc>
      </w:tr>
      <w:tr>
        <w:trPr>
          <w:trHeight w:val="229"/>
        </w:trPr>
        <w:tc>
          <w:tcPr>
            <w:tcW w:w="9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Item 5.</w:t>
              </w:r>
            </w:hyperlink>
          </w:p>
        </w:tc>
        <w:tc>
          <w:tcPr>
            <w:tcW w:w="916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Other information</w:t>
              </w:r>
            </w:hyperlink>
          </w:p>
        </w:tc>
        <w:tc>
          <w:tcPr>
            <w:tcW w:w="1100" w:type="dxa"/>
            <w:vAlign w:val="bottom"/>
          </w:tcPr>
          <w:p>
            <w:pPr>
              <w:ind w:left="640"/>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40" w:type="dxa"/>
            <w:vAlign w:val="bottom"/>
          </w:tcPr>
          <w:p>
            <w:pPr>
              <w:spacing w:after="0"/>
              <w:rPr>
                <w:sz w:val="19"/>
                <w:szCs w:val="19"/>
                <w:color w:val="auto"/>
              </w:rPr>
            </w:pPr>
          </w:p>
        </w:tc>
      </w:tr>
      <w:tr>
        <w:trPr>
          <w:trHeight w:val="229"/>
        </w:trPr>
        <w:tc>
          <w:tcPr>
            <w:tcW w:w="94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Item 6.</w:t>
              </w:r>
            </w:hyperlink>
          </w:p>
        </w:tc>
        <w:tc>
          <w:tcPr>
            <w:tcW w:w="916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Exhibits</w:t>
              </w:r>
            </w:hyperlink>
          </w:p>
        </w:tc>
        <w:tc>
          <w:tcPr>
            <w:tcW w:w="1100" w:type="dxa"/>
            <w:vAlign w:val="bottom"/>
          </w:tcPr>
          <w:p>
            <w:pPr>
              <w:ind w:left="640"/>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40" w:type="dxa"/>
            <w:vAlign w:val="bottom"/>
          </w:tcPr>
          <w:p>
            <w:pPr>
              <w:spacing w:after="0"/>
              <w:rPr>
                <w:sz w:val="19"/>
                <w:szCs w:val="19"/>
                <w:color w:val="auto"/>
              </w:rPr>
            </w:pPr>
          </w:p>
        </w:tc>
      </w:tr>
      <w:tr>
        <w:trPr>
          <w:trHeight w:val="513"/>
        </w:trPr>
        <w:tc>
          <w:tcPr>
            <w:tcW w:w="1010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56">
              <w:r>
                <w:rPr>
                  <w:rFonts w:ascii="Arial" w:cs="Arial" w:eastAsia="Arial" w:hAnsi="Arial"/>
                  <w:sz w:val="20"/>
                  <w:szCs w:val="20"/>
                  <w:b w:val="1"/>
                  <w:bCs w:val="1"/>
                  <w:color w:val="71BF43"/>
                </w:rPr>
                <w:t>SIGNATURES</w:t>
              </w:r>
            </w:hyperlink>
          </w:p>
        </w:tc>
        <w:tc>
          <w:tcPr>
            <w:tcW w:w="1100" w:type="dxa"/>
            <w:vAlign w:val="bottom"/>
            <w:tcBorders>
              <w:bottom w:val="single" w:sz="8" w:color="71BF43"/>
            </w:tcBorders>
          </w:tcPr>
          <w:p>
            <w:pPr>
              <w:ind w:left="640"/>
              <w:spacing w:after="0"/>
              <w:rPr>
                <w:rFonts w:ascii="Arial" w:cs="Arial" w:eastAsia="Arial" w:hAnsi="Arial"/>
                <w:sz w:val="20"/>
                <w:szCs w:val="20"/>
                <w:b w:val="1"/>
                <w:bCs w:val="1"/>
                <w:color w:val="71BF43"/>
              </w:rPr>
            </w:pPr>
            <w:hyperlink w:anchor="page56">
              <w:r>
                <w:rPr>
                  <w:rFonts w:ascii="Arial" w:cs="Arial" w:eastAsia="Arial" w:hAnsi="Arial"/>
                  <w:sz w:val="20"/>
                  <w:szCs w:val="20"/>
                  <w:b w:val="1"/>
                  <w:bCs w:val="1"/>
                  <w:color w:val="71BF43"/>
                </w:rPr>
                <w:t>55</w:t>
              </w:r>
            </w:hyperlink>
          </w:p>
        </w:tc>
        <w:tc>
          <w:tcPr>
            <w:tcW w:w="40" w:type="dxa"/>
            <w:vAlign w:val="bottom"/>
          </w:tcPr>
          <w:p>
            <w:pPr>
              <w:spacing w:after="0"/>
              <w:rPr>
                <w:sz w:val="24"/>
                <w:szCs w:val="24"/>
                <w:color w:val="auto"/>
              </w:rPr>
            </w:pPr>
          </w:p>
        </w:tc>
      </w:tr>
      <w:tr>
        <w:trPr>
          <w:trHeight w:val="886"/>
        </w:trPr>
        <w:tc>
          <w:tcPr>
            <w:tcW w:w="940" w:type="dxa"/>
            <w:vAlign w:val="bottom"/>
          </w:tcPr>
          <w:p>
            <w:pPr>
              <w:spacing w:after="0"/>
              <w:rPr>
                <w:sz w:val="24"/>
                <w:szCs w:val="24"/>
                <w:color w:val="auto"/>
              </w:rPr>
            </w:pPr>
          </w:p>
        </w:tc>
        <w:tc>
          <w:tcPr>
            <w:tcW w:w="9160" w:type="dxa"/>
            <w:vAlign w:val="bottom"/>
          </w:tcPr>
          <w:p>
            <w:pPr>
              <w:ind w:left="6580"/>
              <w:spacing w:after="0"/>
              <w:rPr>
                <w:sz w:val="20"/>
                <w:szCs w:val="20"/>
                <w:color w:val="auto"/>
              </w:rPr>
            </w:pPr>
            <w:r>
              <w:rPr>
                <w:rFonts w:ascii="Arial" w:cs="Arial" w:eastAsia="Arial" w:hAnsi="Arial"/>
                <w:sz w:val="14"/>
                <w:szCs w:val="14"/>
                <w:color w:val="auto"/>
              </w:rPr>
              <w:t>Third Quarter 2020 Form 10-Q</w:t>
            </w:r>
          </w:p>
        </w:tc>
        <w:tc>
          <w:tcPr>
            <w:tcW w:w="1140" w:type="dxa"/>
            <w:vAlign w:val="bottom"/>
            <w:gridSpan w:val="2"/>
          </w:tcPr>
          <w:p>
            <w:pPr>
              <w:ind w:left="1040"/>
              <w:spacing w:after="0"/>
              <w:rPr>
                <w:sz w:val="20"/>
                <w:szCs w:val="20"/>
                <w:color w:val="auto"/>
              </w:rPr>
            </w:pPr>
            <w:r>
              <w:rPr>
                <w:rFonts w:ascii="Arial" w:cs="Arial" w:eastAsia="Arial" w:hAnsi="Arial"/>
                <w:sz w:val="14"/>
                <w:szCs w:val="14"/>
                <w:color w:val="auto"/>
              </w:rPr>
              <w:t>1</w:t>
            </w:r>
          </w:p>
        </w:tc>
      </w:tr>
      <w:tr>
        <w:trPr>
          <w:trHeight w:val="113"/>
        </w:trPr>
        <w:tc>
          <w:tcPr>
            <w:tcW w:w="940" w:type="dxa"/>
            <w:vAlign w:val="bottom"/>
            <w:tcBorders>
              <w:bottom w:val="single" w:sz="8" w:color="9A9A9A"/>
            </w:tcBorders>
          </w:tcPr>
          <w:p>
            <w:pPr>
              <w:spacing w:after="0"/>
              <w:rPr>
                <w:sz w:val="9"/>
                <w:szCs w:val="9"/>
                <w:color w:val="auto"/>
              </w:rPr>
            </w:pPr>
          </w:p>
        </w:tc>
        <w:tc>
          <w:tcPr>
            <w:tcW w:w="9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-273685</wp:posOffset>
            </wp:positionV>
            <wp:extent cx="74612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18859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right="640"/>
        <w:spacing w:after="0" w:line="239" w:lineRule="auto"/>
        <w:rPr>
          <w:sz w:val="20"/>
          <w:szCs w:val="20"/>
          <w:color w:val="auto"/>
        </w:rPr>
      </w:pPr>
      <w:r>
        <w:rPr>
          <w:rFonts w:ascii="Arial" w:cs="Arial" w:eastAsia="Arial" w:hAnsi="Arial"/>
          <w:sz w:val="40"/>
          <w:szCs w:val="40"/>
          <w:b w:val="1"/>
          <w:bCs w:val="1"/>
          <w:color w:val="4D5259"/>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-398780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potential litigation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2019 and in our other SEC filings.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2 </w:t>
      </w:r>
      <w:r>
        <w:rPr>
          <w:sz w:val="1"/>
          <w:szCs w:val="1"/>
          <w:color w:val="auto"/>
        </w:rPr>
        <w:drawing>
          <wp:inline distT="0" distB="0" distL="0" distR="0">
            <wp:extent cx="745490" cy="1885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ind w:left="260"/>
        <w:spacing w:after="0"/>
        <w:rPr>
          <w:sz w:val="20"/>
          <w:szCs w:val="20"/>
          <w:color w:val="auto"/>
        </w:rPr>
      </w:pPr>
      <w:r>
        <w:rPr>
          <w:sz w:val="1"/>
          <w:szCs w:val="1"/>
          <w:color w:val="auto"/>
        </w:rPr>
        <w:drawing>
          <wp:inline distT="0" distB="0" distL="0" distR="0">
            <wp:extent cx="180340" cy="222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2343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p>
      <w:pPr>
        <w:spacing w:after="0" w:line="15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FFFFFF"/>
        </w:rPr>
        <w:t>September 30,</w:t>
      </w:r>
    </w:p>
    <w:p>
      <w:pPr>
        <w:jc w:val="right"/>
        <w:spacing w:after="0"/>
        <w:rPr>
          <w:sz w:val="20"/>
          <w:szCs w:val="20"/>
          <w:color w:val="auto"/>
        </w:rPr>
      </w:pPr>
      <w:r>
        <w:rPr>
          <w:rFonts w:ascii="Arial" w:cs="Arial" w:eastAsia="Arial" w:hAnsi="Arial"/>
          <w:sz w:val="14"/>
          <w:szCs w:val="14"/>
          <w:b w:val="1"/>
          <w:bCs w:val="1"/>
          <w:color w:val="FFFFFF"/>
        </w:rPr>
        <w:t>2020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40"/>
        <w:spacing w:after="0" w:line="242" w:lineRule="auto"/>
        <w:rPr>
          <w:sz w:val="20"/>
          <w:szCs w:val="20"/>
          <w:color w:val="auto"/>
        </w:rPr>
      </w:pPr>
      <w:r>
        <w:rPr>
          <w:rFonts w:ascii="Arial" w:cs="Arial" w:eastAsia="Arial" w:hAnsi="Arial"/>
          <w:sz w:val="14"/>
          <w:szCs w:val="14"/>
          <w:b w:val="1"/>
          <w:bCs w:val="1"/>
          <w:color w:val="FFFFFF"/>
        </w:rPr>
        <w:t>December 31, 2019</w:t>
      </w:r>
    </w:p>
    <w:p>
      <w:pPr>
        <w:spacing w:after="0" w:line="19" w:lineRule="exact"/>
        <w:rPr>
          <w:sz w:val="20"/>
          <w:szCs w:val="20"/>
          <w:color w:val="auto"/>
        </w:rPr>
      </w:pPr>
    </w:p>
    <w:p>
      <w:pPr>
        <w:sectPr>
          <w:pgSz w:w="11900" w:h="16838" w:orient="portrait"/>
          <w:cols w:equalWidth="0" w:num="3">
            <w:col w:w="7860" w:space="720"/>
            <w:col w:w="980" w:space="720"/>
            <w:col w:w="960"/>
          </w:cols>
          <w:pgMar w:left="320" w:top="865" w:right="339" w:bottom="1440" w:gutter="0" w:footer="0" w:header="0"/>
          <w:type w:val="continuous"/>
        </w:sectPr>
      </w:pPr>
    </w:p>
    <w:tbl>
      <w:tblPr>
        <w:tblLayout w:type="fixed"/>
        <w:tblInd w:w="20" w:type="dxa"/>
        <w:tblCellMar>
          <w:top w:w="0" w:type="dxa"/>
          <w:left w:w="0" w:type="dxa"/>
          <w:bottom w:w="0" w:type="dxa"/>
          <w:right w:w="0" w:type="dxa"/>
        </w:tblCellMar>
      </w:tblPr>
      <w:tr>
        <w:trPr>
          <w:trHeight w:val="209"/>
        </w:trPr>
        <w:tc>
          <w:tcPr>
            <w:tcW w:w="792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r>
      <w:tr>
        <w:trPr>
          <w:trHeight w:val="213"/>
        </w:trPr>
        <w:tc>
          <w:tcPr>
            <w:tcW w:w="7920" w:type="dxa"/>
            <w:vAlign w:val="bottom"/>
          </w:tcPr>
          <w:p>
            <w:pPr>
              <w:ind w:left="32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7920" w:type="dxa"/>
            <w:vAlign w:val="bottom"/>
            <w:shd w:val="clear" w:color="auto" w:fill="F4F4F4"/>
          </w:tcPr>
          <w:p>
            <w:pPr>
              <w:ind w:left="52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30,563</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31,810</w:t>
            </w: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203,660</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545,485</w:t>
            </w: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Accounts receivable, net of allowance of $10,727 and $5,529 at September 30, 2020 and</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December 31, 2019,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96,830</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88,868</w:t>
            </w: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4,901</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7920" w:type="dxa"/>
            <w:vAlign w:val="bottom"/>
            <w:shd w:val="clear" w:color="auto" w:fill="F4F4F4"/>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76,761</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67,852</w:t>
            </w:r>
          </w:p>
        </w:tc>
      </w:tr>
      <w:tr>
        <w:trPr>
          <w:trHeight w:val="206"/>
        </w:trPr>
        <w:tc>
          <w:tcPr>
            <w:tcW w:w="792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412,715</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734,539</w:t>
            </w: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109,469</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35,546</w:t>
            </w:r>
          </w:p>
        </w:tc>
      </w:tr>
      <w:tr>
        <w:trPr>
          <w:trHeight w:val="213"/>
        </w:trPr>
        <w:tc>
          <w:tcPr>
            <w:tcW w:w="7920" w:type="dxa"/>
            <w:vAlign w:val="bottom"/>
          </w:tcPr>
          <w:p>
            <w:pPr>
              <w:ind w:left="32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30,218</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104,400</w:t>
            </w: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Software development costs,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108,891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101,302</w:t>
            </w:r>
          </w:p>
        </w:tc>
      </w:tr>
      <w:tr>
        <w:trPr>
          <w:trHeight w:val="213"/>
        </w:trPr>
        <w:tc>
          <w:tcPr>
            <w:tcW w:w="7920" w:type="dxa"/>
            <w:vAlign w:val="bottom"/>
          </w:tcPr>
          <w:p>
            <w:pPr>
              <w:ind w:left="32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632,840</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634,088</w:t>
            </w: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284,414</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317,895</w:t>
            </w:r>
          </w:p>
        </w:tc>
      </w:tr>
      <w:tr>
        <w:trPr>
          <w:trHeight w:val="213"/>
        </w:trPr>
        <w:tc>
          <w:tcPr>
            <w:tcW w:w="7920" w:type="dxa"/>
            <w:vAlign w:val="bottom"/>
            <w:tcBorders>
              <w:bottom w:val="single" w:sz="8" w:color="F4F4F4"/>
            </w:tcBorders>
          </w:tcPr>
          <w:p>
            <w:pPr>
              <w:ind w:left="32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72,617</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65,193</w:t>
            </w:r>
          </w:p>
        </w:tc>
      </w:tr>
      <w:tr>
        <w:trPr>
          <w:trHeight w:val="212"/>
        </w:trPr>
        <w:tc>
          <w:tcPr>
            <w:tcW w:w="7920" w:type="dxa"/>
            <w:vAlign w:val="bottom"/>
            <w:shd w:val="clear" w:color="auto" w:fill="F4F4F4"/>
          </w:tcPr>
          <w:p>
            <w:pPr>
              <w:ind w:left="110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1,651,164</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1,992,963</w:t>
            </w:r>
          </w:p>
        </w:tc>
      </w:tr>
      <w:tr>
        <w:trPr>
          <w:trHeight w:val="195"/>
        </w:trPr>
        <w:tc>
          <w:tcPr>
            <w:tcW w:w="7920" w:type="dxa"/>
            <w:vAlign w:val="bottom"/>
          </w:tcPr>
          <w:p>
            <w:pPr>
              <w:ind w:left="12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31,775</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47,676</w:t>
            </w:r>
          </w:p>
        </w:tc>
      </w:tr>
      <w:tr>
        <w:trPr>
          <w:trHeight w:val="219"/>
        </w:trPr>
        <w:tc>
          <w:tcPr>
            <w:tcW w:w="7920" w:type="dxa"/>
            <w:vAlign w:val="bottom"/>
            <w:shd w:val="clear" w:color="auto" w:fill="F4F4F4"/>
          </w:tcPr>
          <w:p>
            <w:pPr>
              <w:ind w:left="52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48,380</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73,317</w:t>
            </w: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207,356</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546,009</w:t>
            </w:r>
          </w:p>
        </w:tc>
      </w:tr>
      <w:tr>
        <w:trPr>
          <w:trHeight w:val="219"/>
        </w:trPr>
        <w:tc>
          <w:tcPr>
            <w:tcW w:w="7920" w:type="dxa"/>
            <w:vAlign w:val="bottom"/>
            <w:shd w:val="clear" w:color="auto" w:fill="F4F4F4"/>
          </w:tcPr>
          <w:p>
            <w:pPr>
              <w:ind w:left="520"/>
              <w:spacing w:after="0"/>
              <w:rPr>
                <w:sz w:val="20"/>
                <w:szCs w:val="20"/>
                <w:color w:val="auto"/>
              </w:rPr>
            </w:pPr>
            <w:r>
              <w:rPr>
                <w:rFonts w:ascii="Arial" w:cs="Arial" w:eastAsia="Arial" w:hAnsi="Arial"/>
                <w:sz w:val="16"/>
                <w:szCs w:val="16"/>
                <w:color w:val="auto"/>
              </w:rPr>
              <w:t>Debt, current portion</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10,305</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7,500</w:t>
            </w:r>
          </w:p>
        </w:tc>
      </w:tr>
      <w:tr>
        <w:trPr>
          <w:trHeight w:val="213"/>
        </w:trPr>
        <w:tc>
          <w:tcPr>
            <w:tcW w:w="7920" w:type="dxa"/>
            <w:vAlign w:val="bottom"/>
            <w:tcBorders>
              <w:bottom w:val="single" w:sz="8" w:color="F4F4F4"/>
            </w:tcBorders>
          </w:tcPr>
          <w:p>
            <w:pPr>
              <w:ind w:left="52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322,452</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314,335</w:t>
            </w:r>
          </w:p>
        </w:tc>
      </w:tr>
      <w:tr>
        <w:trPr>
          <w:trHeight w:val="213"/>
        </w:trPr>
        <w:tc>
          <w:tcPr>
            <w:tcW w:w="7920" w:type="dxa"/>
            <w:vAlign w:val="bottom"/>
            <w:shd w:val="clear" w:color="auto" w:fill="F4F4F4"/>
          </w:tcPr>
          <w:p>
            <w:pPr>
              <w:ind w:left="64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620,268</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988,837</w:t>
            </w:r>
          </w:p>
        </w:tc>
      </w:tr>
      <w:tr>
        <w:trPr>
          <w:trHeight w:val="213"/>
        </w:trPr>
        <w:tc>
          <w:tcPr>
            <w:tcW w:w="7920" w:type="dxa"/>
            <w:vAlign w:val="bottom"/>
          </w:tcPr>
          <w:p>
            <w:pPr>
              <w:ind w:left="32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497,953</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459,600</w:t>
            </w: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Deferred tax liability</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46,989</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44,594</w:t>
            </w:r>
          </w:p>
        </w:tc>
      </w:tr>
      <w:tr>
        <w:trPr>
          <w:trHeight w:val="213"/>
        </w:trPr>
        <w:tc>
          <w:tcPr>
            <w:tcW w:w="7920" w:type="dxa"/>
            <w:vAlign w:val="bottom"/>
          </w:tcPr>
          <w:p>
            <w:pPr>
              <w:ind w:left="32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5,803</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25,706</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95,624</w:t>
            </w:r>
          </w:p>
        </w:tc>
      </w:tr>
      <w:tr>
        <w:trPr>
          <w:trHeight w:val="213"/>
        </w:trPr>
        <w:tc>
          <w:tcPr>
            <w:tcW w:w="7920" w:type="dxa"/>
            <w:vAlign w:val="bottom"/>
            <w:tcBorders>
              <w:bottom w:val="single" w:sz="8" w:color="F4F4F4"/>
            </w:tcBorders>
          </w:tcPr>
          <w:p>
            <w:pPr>
              <w:ind w:left="32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12,610</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w:t>
            </w:r>
          </w:p>
        </w:tc>
      </w:tr>
      <w:tr>
        <w:trPr>
          <w:trHeight w:val="213"/>
        </w:trPr>
        <w:tc>
          <w:tcPr>
            <w:tcW w:w="7920" w:type="dxa"/>
            <w:vAlign w:val="bottom"/>
            <w:shd w:val="clear" w:color="auto" w:fill="F4F4F4"/>
          </w:tcPr>
          <w:p>
            <w:pPr>
              <w:ind w:left="110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F4F4F4"/>
          </w:tcPr>
          <w:p>
            <w:pPr>
              <w:spacing w:after="0"/>
              <w:rPr>
                <w:sz w:val="18"/>
                <w:szCs w:val="18"/>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1,209,329</w:t>
            </w:r>
          </w:p>
        </w:tc>
        <w:tc>
          <w:tcPr>
            <w:tcW w:w="480" w:type="dxa"/>
            <w:vAlign w:val="bottom"/>
            <w:tcBorders>
              <w:bottom w:val="single" w:sz="8" w:color="auto"/>
            </w:tcBorders>
            <w:shd w:val="clear" w:color="auto" w:fill="F4F4F4"/>
          </w:tcPr>
          <w:p>
            <w:pPr>
              <w:spacing w:after="0"/>
              <w:rPr>
                <w:sz w:val="18"/>
                <w:szCs w:val="18"/>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1,596,199</w:t>
            </w:r>
          </w:p>
        </w:tc>
      </w:tr>
      <w:tr>
        <w:trPr>
          <w:trHeight w:val="193"/>
        </w:trPr>
        <w:tc>
          <w:tcPr>
            <w:tcW w:w="7920" w:type="dxa"/>
            <w:vAlign w:val="bottom"/>
          </w:tcPr>
          <w:p>
            <w:pPr>
              <w:ind w:left="320"/>
              <w:spacing w:after="0"/>
              <w:rPr>
                <w:sz w:val="20"/>
                <w:szCs w:val="20"/>
                <w:color w:val="auto"/>
              </w:rPr>
            </w:pPr>
            <w:r>
              <w:rPr>
                <w:rFonts w:ascii="Arial" w:cs="Arial" w:eastAsia="Arial" w:hAnsi="Arial"/>
                <w:sz w:val="16"/>
                <w:szCs w:val="16"/>
                <w:color w:val="auto"/>
              </w:rPr>
              <w:t>Commitments and contingencies (see Note 10)</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7920" w:type="dxa"/>
            <w:vAlign w:val="bottom"/>
            <w:shd w:val="clear" w:color="auto" w:fill="F4F4F4"/>
          </w:tcPr>
          <w:p>
            <w:pPr>
              <w:ind w:left="32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Common stock, $0.001 par value; 180,000,000 shares authorized, 60,903,925 and 60,206,091 shares</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issued at September 30, 2020 and December 31, 2019,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512,269</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457,804</w:t>
            </w: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Treasury stock, at cost; 11,337,486 and 11,066,354 shares at September 30, 2020 and December 31,</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2019,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(311,951)</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(290,665)</w:t>
            </w:r>
          </w:p>
        </w:tc>
      </w:tr>
      <w:tr>
        <w:trPr>
          <w:trHeight w:val="213"/>
        </w:trPr>
        <w:tc>
          <w:tcPr>
            <w:tcW w:w="7920" w:type="dxa"/>
            <w:vAlign w:val="bottom"/>
          </w:tcPr>
          <w:p>
            <w:pPr>
              <w:ind w:left="52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(8,872)</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(5,290)</w:t>
            </w:r>
          </w:p>
        </w:tc>
      </w:tr>
      <w:tr>
        <w:trPr>
          <w:trHeight w:val="219"/>
        </w:trPr>
        <w:tc>
          <w:tcPr>
            <w:tcW w:w="7920" w:type="dxa"/>
            <w:vAlign w:val="bottom"/>
            <w:shd w:val="clear" w:color="auto" w:fill="F4F4F4"/>
          </w:tcPr>
          <w:p>
            <w:pPr>
              <w:ind w:left="52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250,328</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234,855</w:t>
            </w:r>
          </w:p>
        </w:tc>
      </w:tr>
      <w:tr>
        <w:trPr>
          <w:trHeight w:val="206"/>
        </w:trPr>
        <w:tc>
          <w:tcPr>
            <w:tcW w:w="7920" w:type="dxa"/>
            <w:vAlign w:val="bottom"/>
            <w:tcBorders>
              <w:bottom w:val="single" w:sz="8" w:color="F4F4F4"/>
            </w:tcBorders>
          </w:tcPr>
          <w:p>
            <w:pPr>
              <w:ind w:left="110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441,835</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396,764</w:t>
            </w:r>
          </w:p>
        </w:tc>
      </w:tr>
      <w:tr>
        <w:trPr>
          <w:trHeight w:val="210"/>
        </w:trPr>
        <w:tc>
          <w:tcPr>
            <w:tcW w:w="7920" w:type="dxa"/>
            <w:vAlign w:val="bottom"/>
            <w:tcBorders>
              <w:bottom w:val="single" w:sz="8" w:color="71BF43"/>
            </w:tcBorders>
            <w:shd w:val="clear" w:color="auto" w:fill="F4F4F4"/>
          </w:tcPr>
          <w:p>
            <w:pPr>
              <w:ind w:left="110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1,651,164</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1,992,963</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396240</wp:posOffset>
            </wp:positionV>
            <wp:extent cx="7461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00" w:type="dxa"/>
            <w:vAlign w:val="bottom"/>
          </w:tcPr>
          <w:p>
            <w:pPr>
              <w:ind w:left="7520"/>
              <w:spacing w:after="0"/>
              <w:rPr>
                <w:sz w:val="20"/>
                <w:szCs w:val="20"/>
                <w:color w:val="auto"/>
              </w:rPr>
            </w:pPr>
            <w:r>
              <w:rPr>
                <w:rFonts w:ascii="Arial" w:cs="Arial" w:eastAsia="Arial" w:hAnsi="Arial"/>
                <w:sz w:val="14"/>
                <w:szCs w:val="14"/>
                <w:color w:val="auto"/>
              </w:rPr>
              <w:t>Third Quarter 2020 Form 10-Q</w:t>
            </w: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13"/>
        </w:trPr>
        <w:tc>
          <w:tcPr>
            <w:tcW w:w="10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Blackbaud, Inc.</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00" w:type="dxa"/>
            <w:vAlign w:val="bottom"/>
            <w:tcBorders>
              <w:top w:val="single" w:sz="8" w:color="ACACAC"/>
            </w:tcBorders>
            <w:shd w:val="clear" w:color="auto" w:fill="ACACAC"/>
          </w:tcPr>
          <w:p>
            <w:pPr>
              <w:spacing w:after="0"/>
              <w:rPr>
                <w:sz w:val="12"/>
                <w:szCs w:val="12"/>
                <w:color w:val="auto"/>
              </w:rPr>
            </w:pPr>
          </w:p>
        </w:tc>
        <w:tc>
          <w:tcPr>
            <w:tcW w:w="2620" w:type="dxa"/>
            <w:vAlign w:val="bottom"/>
            <w:tcBorders>
              <w:top w:val="single" w:sz="8" w:color="ACACAC"/>
            </w:tcBorders>
            <w:gridSpan w:val="2"/>
            <w:shd w:val="clear" w:color="auto" w:fill="ACACAC"/>
          </w:tcPr>
          <w:p>
            <w:pPr>
              <w:jc w:val="right"/>
              <w:spacing w:after="0" w:line="142" w:lineRule="exact"/>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ACACAC"/>
            </w:tcBorders>
          </w:tcPr>
          <w:p>
            <w:pPr>
              <w:spacing w:after="0"/>
              <w:rPr>
                <w:sz w:val="12"/>
                <w:szCs w:val="12"/>
                <w:color w:val="auto"/>
              </w:rPr>
            </w:pPr>
          </w:p>
        </w:tc>
        <w:tc>
          <w:tcPr>
            <w:tcW w:w="2640" w:type="dxa"/>
            <w:vAlign w:val="bottom"/>
            <w:tcBorders>
              <w:top w:val="single" w:sz="8" w:color="ACACAC"/>
            </w:tcBorders>
            <w:gridSpan w:val="2"/>
            <w:shd w:val="clear" w:color="auto" w:fill="ACACAC"/>
          </w:tcPr>
          <w:p>
            <w:pPr>
              <w:jc w:val="right"/>
              <w:spacing w:after="0" w:line="142" w:lineRule="exact"/>
              <w:rPr>
                <w:sz w:val="20"/>
                <w:szCs w:val="20"/>
                <w:color w:val="auto"/>
              </w:rPr>
            </w:pPr>
            <w:r>
              <w:rPr>
                <w:rFonts w:ascii="Arial" w:cs="Arial" w:eastAsia="Arial" w:hAnsi="Arial"/>
                <w:sz w:val="14"/>
                <w:szCs w:val="14"/>
                <w:b w:val="1"/>
                <w:bCs w:val="1"/>
                <w:color w:val="FFFFFF"/>
              </w:rPr>
              <w:t>Nine months ended</w:t>
            </w:r>
          </w:p>
        </w:tc>
      </w:tr>
      <w:tr>
        <w:trPr>
          <w:trHeight w:val="176"/>
        </w:trPr>
        <w:tc>
          <w:tcPr>
            <w:tcW w:w="5900" w:type="dxa"/>
            <w:vAlign w:val="bottom"/>
            <w:shd w:val="clear" w:color="auto" w:fill="ACACAC"/>
          </w:tcPr>
          <w:p>
            <w:pPr>
              <w:spacing w:after="0"/>
              <w:rPr>
                <w:sz w:val="15"/>
                <w:szCs w:val="15"/>
                <w:color w:val="auto"/>
              </w:rPr>
            </w:pPr>
          </w:p>
        </w:tc>
        <w:tc>
          <w:tcPr>
            <w:tcW w:w="1310" w:type="dxa"/>
            <w:vAlign w:val="bottom"/>
            <w:shd w:val="clear" w:color="auto" w:fill="ACACAC"/>
          </w:tcPr>
          <w:p>
            <w:pPr>
              <w:spacing w:after="0"/>
              <w:rPr>
                <w:sz w:val="15"/>
                <w:szCs w:val="15"/>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1320" w:type="dxa"/>
            <w:vAlign w:val="bottom"/>
            <w:shd w:val="clear" w:color="auto" w:fill="ACACAC"/>
          </w:tcPr>
          <w:p>
            <w:pPr>
              <w:spacing w:after="0"/>
              <w:rPr>
                <w:sz w:val="15"/>
                <w:szCs w:val="15"/>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16"/>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18"/>
                <w:szCs w:val="18"/>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-136525</wp:posOffset>
            </wp:positionV>
            <wp:extent cx="3402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5900" w:type="dxa"/>
            <w:vAlign w:val="bottom"/>
          </w:tcPr>
          <w:p>
            <w:pPr>
              <w:ind w:left="34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200,102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205,227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621,229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611,789</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14,899</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15,893</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49,384</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50,795</w:t>
            </w:r>
          </w:p>
        </w:tc>
      </w:tr>
      <w:tr>
        <w:trPr>
          <w:trHeight w:val="207"/>
        </w:trPr>
        <w:tc>
          <w:tcPr>
            <w:tcW w:w="5900" w:type="dxa"/>
            <w:vAlign w:val="bottom"/>
          </w:tcPr>
          <w:p>
            <w:pPr>
              <w:ind w:left="54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215,001</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221,120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670,613</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662,584</w:t>
            </w:r>
          </w:p>
        </w:tc>
      </w:tr>
      <w:tr>
        <w:trPr>
          <w:trHeight w:val="219"/>
        </w:trPr>
        <w:tc>
          <w:tcPr>
            <w:tcW w:w="590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3"/>
        </w:trPr>
        <w:tc>
          <w:tcPr>
            <w:tcW w:w="5900" w:type="dxa"/>
            <w:vAlign w:val="bottom"/>
          </w:tcPr>
          <w:p>
            <w:pPr>
              <w:ind w:left="34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84,251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265,172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259,013</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14,434</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14,152</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43,317</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42,874</w:t>
            </w:r>
          </w:p>
        </w:tc>
      </w:tr>
      <w:tr>
        <w:trPr>
          <w:trHeight w:val="207"/>
        </w:trPr>
        <w:tc>
          <w:tcPr>
            <w:tcW w:w="5900" w:type="dxa"/>
            <w:vAlign w:val="bottom"/>
            <w:tcBorders>
              <w:bottom w:val="single" w:sz="8" w:color="F4F4F4"/>
            </w:tcBorders>
          </w:tcPr>
          <w:p>
            <w:pPr>
              <w:ind w:left="54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98,685</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101,797</w:t>
            </w:r>
          </w:p>
        </w:tc>
        <w:tc>
          <w:tcPr>
            <w:tcW w:w="100" w:type="dxa"/>
            <w:vAlign w:val="bottom"/>
            <w:tcBorders>
              <w:bottom w:val="single" w:sz="8" w:color="F4F4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308,489</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301,887</w:t>
            </w:r>
          </w:p>
        </w:tc>
      </w:tr>
      <w:tr>
        <w:trPr>
          <w:trHeight w:val="212"/>
        </w:trPr>
        <w:tc>
          <w:tcPr>
            <w:tcW w:w="590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116,316</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119,323</w:t>
            </w:r>
          </w:p>
        </w:tc>
        <w:tc>
          <w:tcPr>
            <w:tcW w:w="100" w:type="dxa"/>
            <w:vAlign w:val="bottom"/>
            <w:shd w:val="clear" w:color="auto" w:fill="F4F4F4"/>
          </w:tcPr>
          <w:p>
            <w:pPr>
              <w:spacing w:after="0"/>
              <w:rPr>
                <w:sz w:val="18"/>
                <w:szCs w:val="18"/>
                <w:color w:val="auto"/>
              </w:rPr>
            </w:pP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362,124</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360,697</w:t>
            </w:r>
          </w:p>
        </w:tc>
      </w:tr>
      <w:tr>
        <w:trPr>
          <w:trHeight w:val="195"/>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48,460</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55,499</w:t>
            </w:r>
          </w:p>
        </w:tc>
        <w:tc>
          <w:tcPr>
            <w:tcW w:w="10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159,149</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165,963</w:t>
            </w:r>
          </w:p>
        </w:tc>
      </w:tr>
      <w:tr>
        <w:trPr>
          <w:trHeight w:val="213"/>
        </w:trPr>
        <w:tc>
          <w:tcPr>
            <w:tcW w:w="590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22,783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72,655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80,304</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34,132</w:t>
            </w: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28,897</w:t>
            </w: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89,829</w:t>
            </w: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84,557</w:t>
            </w:r>
          </w:p>
        </w:tc>
      </w:tr>
      <w:tr>
        <w:trPr>
          <w:trHeight w:val="213"/>
        </w:trPr>
        <w:tc>
          <w:tcPr>
            <w:tcW w:w="590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3,231</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3,083</w:t>
            </w:r>
          </w:p>
        </w:tc>
      </w:tr>
      <w:tr>
        <w:trPr>
          <w:trHeight w:val="207"/>
        </w:trPr>
        <w:tc>
          <w:tcPr>
            <w:tcW w:w="5900" w:type="dxa"/>
            <w:vAlign w:val="bottom"/>
            <w:tcBorders>
              <w:bottom w:val="single" w:sz="8" w:color="F4F4F4"/>
            </w:tcBorders>
          </w:tcPr>
          <w:p>
            <w:pPr>
              <w:ind w:left="54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106,229</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111,440</w:t>
            </w:r>
          </w:p>
        </w:tc>
        <w:tc>
          <w:tcPr>
            <w:tcW w:w="100" w:type="dxa"/>
            <w:vAlign w:val="bottom"/>
            <w:tcBorders>
              <w:bottom w:val="single" w:sz="8" w:color="F4F4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324,031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337,138</w:t>
            </w:r>
          </w:p>
        </w:tc>
      </w:tr>
      <w:tr>
        <w:trPr>
          <w:trHeight w:val="212"/>
        </w:trPr>
        <w:tc>
          <w:tcPr>
            <w:tcW w:w="590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10,087</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7,883</w:t>
            </w:r>
          </w:p>
        </w:tc>
        <w:tc>
          <w:tcPr>
            <w:tcW w:w="100" w:type="dxa"/>
            <w:vAlign w:val="bottom"/>
            <w:shd w:val="clear" w:color="auto" w:fill="F4F4F4"/>
          </w:tcPr>
          <w:p>
            <w:pPr>
              <w:spacing w:after="0"/>
              <w:rPr>
                <w:sz w:val="18"/>
                <w:szCs w:val="18"/>
                <w:color w:val="auto"/>
              </w:rPr>
            </w:pP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38,093</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23,559</w:t>
            </w:r>
          </w:p>
        </w:tc>
      </w:tr>
      <w:tr>
        <w:trPr>
          <w:trHeight w:val="207"/>
        </w:trPr>
        <w:tc>
          <w:tcPr>
            <w:tcW w:w="59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(3,997)</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(12,049)</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(16,233)</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542</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2,158</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2,242</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4,521</w:t>
            </w:r>
          </w:p>
        </w:tc>
      </w:tr>
      <w:tr>
        <w:trPr>
          <w:trHeight w:val="206"/>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Income before provision for income taxes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6,632</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28,286</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11,847</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1,756</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6,948</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1,263</w:t>
            </w:r>
          </w:p>
        </w:tc>
      </w:tr>
      <w:tr>
        <w:trPr>
          <w:trHeight w:val="206"/>
        </w:trPr>
        <w:tc>
          <w:tcPr>
            <w:tcW w:w="5900" w:type="dxa"/>
            <w:vAlign w:val="bottom"/>
            <w:tcBorders>
              <w:bottom w:val="single" w:sz="8" w:color="F4F4F4"/>
            </w:tcBorders>
          </w:tcPr>
          <w:p>
            <w:pPr>
              <w:ind w:left="1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F4F4F4"/>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21,338</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10,584</w:t>
            </w:r>
          </w:p>
        </w:tc>
      </w:tr>
      <w:tr>
        <w:trPr>
          <w:trHeight w:val="199"/>
        </w:trPr>
        <w:tc>
          <w:tcPr>
            <w:tcW w:w="590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8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6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8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r>
      <w:tr>
        <w:trPr>
          <w:trHeight w:val="213"/>
        </w:trPr>
        <w:tc>
          <w:tcPr>
            <w:tcW w:w="5900" w:type="dxa"/>
            <w:vAlign w:val="bottom"/>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9"/>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0.10</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0.44</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0.22</w:t>
            </w:r>
          </w:p>
        </w:tc>
      </w:tr>
      <w:tr>
        <w:trPr>
          <w:trHeight w:val="215"/>
        </w:trPr>
        <w:tc>
          <w:tcPr>
            <w:tcW w:w="5900" w:type="dxa"/>
            <w:vAlign w:val="bottom"/>
          </w:tcPr>
          <w:p>
            <w:pPr>
              <w:ind w:left="12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900" w:type="dxa"/>
            <w:vAlign w:val="bottom"/>
            <w:shd w:val="clear" w:color="auto" w:fill="F4F4F4"/>
          </w:tcPr>
          <w:p>
            <w:pPr>
              <w:ind w:left="34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48,271,139</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47,757,769</w:t>
            </w:r>
          </w:p>
        </w:tc>
        <w:tc>
          <w:tcPr>
            <w:tcW w:w="10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48,182,799</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47,668,235</w:t>
            </w:r>
          </w:p>
        </w:tc>
      </w:tr>
      <w:tr>
        <w:trPr>
          <w:trHeight w:val="213"/>
        </w:trPr>
        <w:tc>
          <w:tcPr>
            <w:tcW w:w="5900" w:type="dxa"/>
            <w:vAlign w:val="bottom"/>
          </w:tcPr>
          <w:p>
            <w:pPr>
              <w:ind w:left="34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48,859,707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48,464,529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48,582,068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48,223,712</w:t>
            </w:r>
          </w:p>
        </w:tc>
      </w:tr>
      <w:tr>
        <w:trPr>
          <w:trHeight w:val="219"/>
        </w:trPr>
        <w:tc>
          <w:tcPr>
            <w:tcW w:w="590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Other comprehensive income (loss)</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3"/>
        </w:trPr>
        <w:tc>
          <w:tcPr>
            <w:tcW w:w="590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(5,321)</w:t>
            </w:r>
          </w:p>
        </w:tc>
      </w:tr>
      <w:tr>
        <w:trPr>
          <w:trHeight w:val="219"/>
        </w:trPr>
        <w:tc>
          <w:tcPr>
            <w:tcW w:w="5900" w:type="dxa"/>
            <w:vAlign w:val="bottom"/>
            <w:shd w:val="clear" w:color="auto" w:fill="F4F4F4"/>
          </w:tcPr>
          <w:p>
            <w:pPr>
              <w:ind w:left="380"/>
              <w:spacing w:after="0"/>
              <w:rPr>
                <w:sz w:val="20"/>
                <w:szCs w:val="20"/>
                <w:color w:val="auto"/>
              </w:rPr>
            </w:pPr>
            <w:r>
              <w:rPr>
                <w:rFonts w:ascii="Arial" w:cs="Arial" w:eastAsia="Arial" w:hAnsi="Arial"/>
                <w:sz w:val="16"/>
                <w:szCs w:val="16"/>
                <w:color w:val="auto"/>
              </w:rPr>
              <w:t>Unrealized gain (loss) on derivative instruments, net of tax</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F4F4F4"/>
          </w:tcPr>
          <w:p>
            <w:pPr>
              <w:spacing w:after="0"/>
              <w:rPr>
                <w:sz w:val="19"/>
                <w:szCs w:val="19"/>
                <w:color w:val="auto"/>
              </w:rPr>
            </w:pP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(1,628)</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(3,234)</w:t>
            </w:r>
          </w:p>
        </w:tc>
      </w:tr>
      <w:tr>
        <w:trPr>
          <w:trHeight w:val="206"/>
        </w:trPr>
        <w:tc>
          <w:tcPr>
            <w:tcW w:w="5900" w:type="dxa"/>
            <w:vAlign w:val="bottom"/>
            <w:tcBorders>
              <w:bottom w:val="single" w:sz="8" w:color="F4F4F4"/>
            </w:tcBorders>
          </w:tcPr>
          <w:p>
            <w:pPr>
              <w:ind w:left="540"/>
              <w:spacing w:after="0"/>
              <w:rPr>
                <w:sz w:val="20"/>
                <w:szCs w:val="20"/>
                <w:color w:val="auto"/>
              </w:rPr>
            </w:pPr>
            <w:r>
              <w:rPr>
                <w:rFonts w:ascii="Arial" w:cs="Arial" w:eastAsia="Arial" w:hAnsi="Arial"/>
                <w:sz w:val="16"/>
                <w:szCs w:val="16"/>
                <w:b w:val="1"/>
                <w:bCs w:val="1"/>
                <w:color w:val="auto"/>
              </w:rPr>
              <w:t>Total other comprehensive income (loss)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100" w:type="dxa"/>
            <w:vAlign w:val="bottom"/>
            <w:tcBorders>
              <w:bottom w:val="single" w:sz="8" w:color="F4F4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(8,555)</w:t>
            </w:r>
          </w:p>
        </w:tc>
      </w:tr>
      <w:tr>
        <w:trPr>
          <w:trHeight w:val="210"/>
        </w:trPr>
        <w:tc>
          <w:tcPr>
            <w:tcW w:w="590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10,480</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71BF43"/>
            </w:tcBorders>
            <w:shd w:val="clear" w:color="auto" w:fill="F4F4F4"/>
          </w:tcPr>
          <w:p>
            <w:pPr>
              <w:spacing w:after="0"/>
              <w:rPr>
                <w:sz w:val="18"/>
                <w:szCs w:val="18"/>
                <w:color w:val="auto"/>
              </w:rPr>
            </w:pP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17,756</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2,029</w:t>
            </w:r>
          </w:p>
        </w:tc>
      </w:tr>
    </w:tbl>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745490"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4"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Blackbaud, Inc.</w:t>
      </w:r>
    </w:p>
    <w:p>
      <w:pPr>
        <w:jc w:val="center"/>
        <w:spacing w:after="0" w:line="215" w:lineRule="auto"/>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23430"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351790"/>
                    </a:xfrm>
                    <a:prstGeom prst="rect">
                      <a:avLst/>
                    </a:prstGeom>
                    <a:noFill/>
                  </pic:spPr>
                </pic:pic>
              </a:graphicData>
            </a:graphic>
          </wp:anchor>
        </w:drawing>
      </w:r>
    </w:p>
    <w:p>
      <w:pPr>
        <w:sectPr>
          <w:pgSz w:w="11900" w:h="16838" w:orient="portrait"/>
          <w:cols w:equalWidth="0" w:num="1">
            <w:col w:w="11260"/>
          </w:cols>
          <w:pgMar w:left="320" w:top="1214" w:right="319" w:bottom="1440" w:gutter="0" w:footer="0" w:header="0"/>
        </w:sect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4"/>
          <w:szCs w:val="14"/>
          <w:b w:val="1"/>
          <w:bCs w:val="1"/>
          <w:color w:val="FFFFFF"/>
        </w:rPr>
        <w:t>Nine months ended</w:t>
      </w:r>
    </w:p>
    <w:p>
      <w:pPr>
        <w:jc w:val="right"/>
        <w:ind w:right="60"/>
        <w:spacing w:after="0"/>
        <w:rPr>
          <w:sz w:val="20"/>
          <w:szCs w:val="20"/>
          <w:color w:val="auto"/>
        </w:rPr>
      </w:pPr>
      <w:r>
        <w:rPr>
          <w:rFonts w:ascii="Arial" w:cs="Arial" w:eastAsia="Arial" w:hAnsi="Arial"/>
          <w:sz w:val="14"/>
          <w:szCs w:val="14"/>
          <w:b w:val="1"/>
          <w:bCs w:val="1"/>
          <w:color w:val="FFFFFF"/>
        </w:rPr>
        <w:t>September 30,</w:t>
      </w:r>
    </w:p>
    <w:p>
      <w:pPr>
        <w:spacing w:after="0" w:line="24"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FFFFFF"/>
        </w:rPr>
        <w:t>2020</w:t>
      </w:r>
      <w:r>
        <w:rPr>
          <w:sz w:val="20"/>
          <w:szCs w:val="20"/>
          <w:color w:val="auto"/>
        </w:rPr>
        <w:tab/>
      </w:r>
      <w:r>
        <w:rPr>
          <w:rFonts w:ascii="Arial" w:cs="Arial" w:eastAsia="Arial" w:hAnsi="Arial"/>
          <w:sz w:val="14"/>
          <w:szCs w:val="14"/>
          <w:b w:val="1"/>
          <w:bCs w:val="1"/>
          <w:color w:val="FFFFFF"/>
        </w:rPr>
        <w:t>2019</w:t>
      </w:r>
    </w:p>
    <w:p>
      <w:pPr>
        <w:spacing w:after="0" w:line="48" w:lineRule="exact"/>
        <w:rPr>
          <w:sz w:val="20"/>
          <w:szCs w:val="20"/>
          <w:color w:val="auto"/>
        </w:rPr>
      </w:pPr>
    </w:p>
    <w:p>
      <w:pPr>
        <w:sectPr>
          <w:pgSz w:w="11900" w:h="16838" w:orient="portrait"/>
          <w:cols w:equalWidth="0" w:num="2">
            <w:col w:w="8960" w:space="720"/>
            <w:col w:w="1580"/>
          </w:cols>
          <w:pgMar w:left="320" w:top="1214" w:right="319" w:bottom="1440" w:gutter="0" w:footer="0" w:header="0"/>
          <w:type w:val="continuous"/>
        </w:sectPr>
      </w:pPr>
    </w:p>
    <w:tbl>
      <w:tblPr>
        <w:tblLayout w:type="fixed"/>
        <w:tblInd w:w="20" w:type="dxa"/>
        <w:tblCellMar>
          <w:top w:w="0" w:type="dxa"/>
          <w:left w:w="0" w:type="dxa"/>
          <w:bottom w:w="0" w:type="dxa"/>
          <w:right w:w="0" w:type="dxa"/>
        </w:tblCellMar>
      </w:tblPr>
      <w:tr>
        <w:trPr>
          <w:trHeight w:val="209"/>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32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r>
      <w:tr>
        <w:trPr>
          <w:trHeight w:val="213"/>
        </w:trPr>
        <w:tc>
          <w:tcPr>
            <w:tcW w:w="87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21,338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10,584</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r>
      <w:tr>
        <w:trPr>
          <w:trHeight w:val="213"/>
        </w:trPr>
        <w:tc>
          <w:tcPr>
            <w:tcW w:w="87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68,755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63,998</w:t>
            </w:r>
          </w:p>
        </w:tc>
      </w:tr>
      <w:tr>
        <w:trPr>
          <w:trHeight w:val="219"/>
        </w:trPr>
        <w:tc>
          <w:tcPr>
            <w:tcW w:w="8780" w:type="dxa"/>
            <w:vAlign w:val="bottom"/>
            <w:shd w:val="clear" w:color="auto" w:fill="F4F4F4"/>
          </w:tcPr>
          <w:p>
            <w:pPr>
              <w:ind w:left="520"/>
              <w:spacing w:after="0"/>
              <w:rPr>
                <w:sz w:val="20"/>
                <w:szCs w:val="20"/>
                <w:color w:val="auto"/>
              </w:rPr>
            </w:pPr>
            <w:r>
              <w:rPr>
                <w:rFonts w:ascii="Arial" w:cs="Arial" w:eastAsia="Arial" w:hAnsi="Arial"/>
                <w:sz w:val="16"/>
                <w:szCs w:val="16"/>
                <w:color w:val="auto"/>
              </w:rPr>
              <w:t>Provision for credit losses and sales returns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10,156</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6,192</w:t>
            </w:r>
          </w:p>
        </w:tc>
      </w:tr>
      <w:tr>
        <w:trPr>
          <w:trHeight w:val="213"/>
        </w:trPr>
        <w:tc>
          <w:tcPr>
            <w:tcW w:w="8780" w:type="dxa"/>
            <w:vAlign w:val="bottom"/>
          </w:tcPr>
          <w:p>
            <w:pPr>
              <w:ind w:left="5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43,621</w:t>
            </w:r>
          </w:p>
        </w:tc>
      </w:tr>
      <w:tr>
        <w:trPr>
          <w:trHeight w:val="219"/>
        </w:trPr>
        <w:tc>
          <w:tcPr>
            <w:tcW w:w="8780" w:type="dxa"/>
            <w:vAlign w:val="bottom"/>
            <w:shd w:val="clear" w:color="auto" w:fill="F4F4F4"/>
          </w:tcPr>
          <w:p>
            <w:pPr>
              <w:ind w:left="520"/>
              <w:spacing w:after="0"/>
              <w:rPr>
                <w:sz w:val="20"/>
                <w:szCs w:val="20"/>
                <w:color w:val="auto"/>
              </w:rPr>
            </w:pPr>
            <w:r>
              <w:rPr>
                <w:rFonts w:ascii="Arial" w:cs="Arial" w:eastAsia="Arial" w:hAnsi="Arial"/>
                <w:sz w:val="16"/>
                <w:szCs w:val="16"/>
                <w:color w:val="auto"/>
              </w:rPr>
              <w:t>Deferred taxes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1,879</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8780" w:type="dxa"/>
            <w:vAlign w:val="bottom"/>
          </w:tcPr>
          <w:p>
            <w:pPr>
              <w:ind w:left="520"/>
              <w:spacing w:after="0"/>
              <w:rPr>
                <w:sz w:val="20"/>
                <w:szCs w:val="20"/>
                <w:color w:val="auto"/>
              </w:rPr>
            </w:pPr>
            <w:r>
              <w:rPr>
                <w:rFonts w:ascii="Arial" w:cs="Arial" w:eastAsia="Arial" w:hAnsi="Arial"/>
                <w:sz w:val="16"/>
                <w:szCs w:val="16"/>
                <w:color w:val="auto"/>
              </w:rPr>
              <w:t>Amortization of deferred financing costs and discount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9"/>
        </w:trPr>
        <w:tc>
          <w:tcPr>
            <w:tcW w:w="8780" w:type="dxa"/>
            <w:vAlign w:val="bottom"/>
            <w:shd w:val="clear" w:color="auto" w:fill="F4F4F4"/>
          </w:tcPr>
          <w:p>
            <w:pPr>
              <w:ind w:left="520"/>
              <w:spacing w:after="0"/>
              <w:rPr>
                <w:sz w:val="20"/>
                <w:szCs w:val="20"/>
                <w:color w:val="auto"/>
              </w:rPr>
            </w:pPr>
            <w:r>
              <w:rPr>
                <w:rFonts w:ascii="Arial" w:cs="Arial" w:eastAsia="Arial" w:hAnsi="Arial"/>
                <w:sz w:val="16"/>
                <w:szCs w:val="16"/>
                <w:color w:val="auto"/>
              </w:rPr>
              <w:t>Other non-cash adjustments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2,203</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2,047</w:t>
            </w:r>
          </w:p>
        </w:tc>
      </w:tr>
      <w:tr>
        <w:trPr>
          <w:trHeight w:val="213"/>
        </w:trPr>
        <w:tc>
          <w:tcPr>
            <w:tcW w:w="8780" w:type="dxa"/>
            <w:vAlign w:val="bottom"/>
          </w:tcPr>
          <w:p>
            <w:pPr>
              <w:ind w:left="52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780" w:type="dxa"/>
            <w:vAlign w:val="bottom"/>
            <w:shd w:val="clear" w:color="auto" w:fill="F4F4F4"/>
          </w:tcPr>
          <w:p>
            <w:pPr>
              <w:ind w:left="6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(18,319)</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(6,375)</w:t>
            </w:r>
          </w:p>
        </w:tc>
      </w:tr>
      <w:tr>
        <w:trPr>
          <w:trHeight w:val="213"/>
        </w:trPr>
        <w:tc>
          <w:tcPr>
            <w:tcW w:w="8780" w:type="dxa"/>
            <w:vAlign w:val="bottom"/>
          </w:tcPr>
          <w:p>
            <w:pPr>
              <w:ind w:left="6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(5,129)</w:t>
            </w:r>
          </w:p>
        </w:tc>
      </w:tr>
      <w:tr>
        <w:trPr>
          <w:trHeight w:val="219"/>
        </w:trPr>
        <w:tc>
          <w:tcPr>
            <w:tcW w:w="8780" w:type="dxa"/>
            <w:vAlign w:val="bottom"/>
            <w:shd w:val="clear" w:color="auto" w:fill="F4F4F4"/>
          </w:tcPr>
          <w:p>
            <w:pPr>
              <w:ind w:left="640"/>
              <w:spacing w:after="0"/>
              <w:rPr>
                <w:sz w:val="20"/>
                <w:szCs w:val="20"/>
                <w:color w:val="auto"/>
              </w:rPr>
            </w:pPr>
            <w:r>
              <w:rPr>
                <w:rFonts w:ascii="Arial" w:cs="Arial" w:eastAsia="Arial" w:hAnsi="Arial"/>
                <w:sz w:val="16"/>
                <w:szCs w:val="16"/>
                <w:color w:val="auto"/>
              </w:rPr>
              <w:t>Trade accounts payable</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(17,203)</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8780" w:type="dxa"/>
            <w:vAlign w:val="bottom"/>
          </w:tcPr>
          <w:p>
            <w:pPr>
              <w:ind w:left="6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(31,595)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(13,592)</w:t>
            </w:r>
          </w:p>
        </w:tc>
      </w:tr>
      <w:tr>
        <w:trPr>
          <w:trHeight w:val="219"/>
        </w:trPr>
        <w:tc>
          <w:tcPr>
            <w:tcW w:w="8780" w:type="dxa"/>
            <w:vAlign w:val="bottom"/>
            <w:shd w:val="clear" w:color="auto" w:fill="F4F4F4"/>
          </w:tcPr>
          <w:p>
            <w:pPr>
              <w:ind w:left="6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12,534</w:t>
            </w:r>
          </w:p>
        </w:tc>
        <w:tc>
          <w:tcPr>
            <w:tcW w:w="32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20,363</w:t>
            </w:r>
          </w:p>
        </w:tc>
      </w:tr>
      <w:tr>
        <w:trPr>
          <w:trHeight w:val="207"/>
        </w:trPr>
        <w:tc>
          <w:tcPr>
            <w:tcW w:w="8780" w:type="dxa"/>
            <w:vAlign w:val="bottom"/>
          </w:tcPr>
          <w:p>
            <w:pPr>
              <w:ind w:left="86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109,165</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122,124</w:t>
            </w:r>
          </w:p>
        </w:tc>
      </w:tr>
      <w:tr>
        <w:trPr>
          <w:trHeight w:val="219"/>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(25,836)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(9,597)</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(32,028)</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(34,513)</w:t>
            </w: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Purchase of net assets of acquired companies, net of cash and restricted cash acquired</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(109,353)</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Other investing activities</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8780" w:type="dxa"/>
            <w:vAlign w:val="bottom"/>
          </w:tcPr>
          <w:p>
            <w:pPr>
              <w:ind w:left="86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(57,864)</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(152,963)</w:t>
            </w:r>
          </w:p>
        </w:tc>
      </w:tr>
      <w:tr>
        <w:trPr>
          <w:trHeight w:val="219"/>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267,400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371,200</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Payments on debt</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(290,999)</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(255,625)</w:t>
            </w: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Employee taxes paid for withheld shares upon equity award settlement</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(21,286)</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(20,279)</w:t>
            </w: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Change in due to customers</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(337,821)</w:t>
            </w:r>
          </w:p>
        </w:tc>
        <w:tc>
          <w:tcPr>
            <w:tcW w:w="32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(215,942)</w:t>
            </w:r>
          </w:p>
        </w:tc>
      </w:tr>
      <w:tr>
        <w:trPr>
          <w:trHeight w:val="213"/>
        </w:trPr>
        <w:tc>
          <w:tcPr>
            <w:tcW w:w="8780" w:type="dxa"/>
            <w:vAlign w:val="bottom"/>
          </w:tcPr>
          <w:p>
            <w:pPr>
              <w:ind w:left="320"/>
              <w:spacing w:after="0"/>
              <w:rPr>
                <w:sz w:val="20"/>
                <w:szCs w:val="20"/>
                <w:color w:val="auto"/>
              </w:rPr>
            </w:pPr>
            <w:r>
              <w:rPr>
                <w:rFonts w:ascii="Arial" w:cs="Arial" w:eastAsia="Arial" w:hAnsi="Arial"/>
                <w:sz w:val="16"/>
                <w:szCs w:val="16"/>
                <w:color w:val="auto"/>
              </w:rPr>
              <w:t>Change in customer funds receivable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(6,283)</w:t>
            </w:r>
          </w:p>
        </w:tc>
      </w:tr>
      <w:tr>
        <w:trPr>
          <w:trHeight w:val="219"/>
        </w:trPr>
        <w:tc>
          <w:tcPr>
            <w:tcW w:w="8780" w:type="dxa"/>
            <w:vAlign w:val="bottom"/>
            <w:shd w:val="clear" w:color="auto" w:fill="F4F4F4"/>
          </w:tcPr>
          <w:p>
            <w:pPr>
              <w:ind w:left="320"/>
              <w:spacing w:after="0"/>
              <w:rPr>
                <w:sz w:val="20"/>
                <w:szCs w:val="20"/>
                <w:color w:val="auto"/>
              </w:rPr>
            </w:pPr>
            <w:r>
              <w:rPr>
                <w:rFonts w:ascii="Arial" w:cs="Arial" w:eastAsia="Arial" w:hAnsi="Arial"/>
                <w:sz w:val="16"/>
                <w:szCs w:val="16"/>
                <w:color w:val="auto"/>
              </w:rPr>
              <w:t>Dividend payments to stockholders</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(5,960)</w:t>
            </w:r>
          </w:p>
        </w:tc>
        <w:tc>
          <w:tcPr>
            <w:tcW w:w="32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(17,705)</w:t>
            </w:r>
          </w:p>
        </w:tc>
      </w:tr>
      <w:tr>
        <w:trPr>
          <w:trHeight w:val="206"/>
        </w:trPr>
        <w:tc>
          <w:tcPr>
            <w:tcW w:w="8780" w:type="dxa"/>
            <w:vAlign w:val="bottom"/>
          </w:tcPr>
          <w:p>
            <w:pPr>
              <w:ind w:left="86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(393,750)</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(144,627)</w:t>
            </w:r>
          </w:p>
        </w:tc>
      </w:tr>
      <w:tr>
        <w:trPr>
          <w:trHeight w:val="219"/>
        </w:trPr>
        <w:tc>
          <w:tcPr>
            <w:tcW w:w="8780" w:type="dxa"/>
            <w:vAlign w:val="bottom"/>
            <w:shd w:val="clear" w:color="auto" w:fill="F4F4F4"/>
          </w:tcPr>
          <w:p>
            <w:pPr>
              <w:ind w:left="20"/>
              <w:spacing w:after="0"/>
              <w:rPr>
                <w:sz w:val="20"/>
                <w:szCs w:val="20"/>
                <w:color w:val="auto"/>
              </w:rPr>
            </w:pPr>
            <w:r>
              <w:rPr>
                <w:rFonts w:ascii="Arial" w:cs="Arial" w:eastAsia="Arial" w:hAnsi="Arial"/>
                <w:sz w:val="16"/>
                <w:szCs w:val="16"/>
                <w:color w:val="auto"/>
              </w:rPr>
              <w:t>Effect of exchange rate on cash, cash equivalents and restricted cash</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(623)</w:t>
            </w:r>
          </w:p>
        </w:tc>
        <w:tc>
          <w:tcPr>
            <w:tcW w:w="32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(2,240)</w:t>
            </w:r>
          </w:p>
        </w:tc>
      </w:tr>
      <w:tr>
        <w:trPr>
          <w:trHeight w:val="206"/>
        </w:trPr>
        <w:tc>
          <w:tcPr>
            <w:tcW w:w="878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(343,072)</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(177,706)</w:t>
            </w:r>
          </w:p>
        </w:tc>
      </w:tr>
      <w:tr>
        <w:trPr>
          <w:trHeight w:val="219"/>
        </w:trPr>
        <w:tc>
          <w:tcPr>
            <w:tcW w:w="87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period</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577,295</w:t>
            </w:r>
          </w:p>
        </w:tc>
        <w:tc>
          <w:tcPr>
            <w:tcW w:w="32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449,846</w:t>
            </w:r>
          </w:p>
        </w:tc>
      </w:tr>
      <w:tr>
        <w:trPr>
          <w:trHeight w:val="206"/>
        </w:trPr>
        <w:tc>
          <w:tcPr>
            <w:tcW w:w="8780" w:type="dxa"/>
            <w:vAlign w:val="bottom"/>
            <w:tcBorders>
              <w:bottom w:val="single" w:sz="8" w:color="71BF43"/>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00" w:type="dxa"/>
            <w:vAlign w:val="bottom"/>
            <w:tcBorders>
              <w:bottom w:val="single" w:sz="8" w:color="71BF43"/>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234,223</w:t>
            </w:r>
          </w:p>
        </w:tc>
        <w:tc>
          <w:tcPr>
            <w:tcW w:w="320" w:type="dxa"/>
            <w:vAlign w:val="bottom"/>
            <w:tcBorders>
              <w:bottom w:val="single" w:sz="8" w:color="71BF43"/>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272,140</w:t>
            </w:r>
          </w:p>
        </w:tc>
      </w:tr>
    </w:tbl>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14"/>
                <w:szCs w:val="14"/>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4"/>
                <w:szCs w:val="14"/>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20" w:type="dxa"/>
            <w:vAlign w:val="bottom"/>
            <w:vMerge w:val="continue"/>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F4F4F4"/>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30,563</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31,810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203,660</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545,485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380" w:type="dxa"/>
            <w:vAlign w:val="bottom"/>
            <w:tcBorders>
              <w:bottom w:val="single" w:sz="8" w:color="71BF43"/>
            </w:tcBorders>
            <w:shd w:val="clear" w:color="auto" w:fill="F4F4F4"/>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234,223</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577,295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550545</wp:posOffset>
            </wp:positionV>
            <wp:extent cx="7461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00" w:type="dxa"/>
            <w:vAlign w:val="bottom"/>
          </w:tcPr>
          <w:p>
            <w:pPr>
              <w:ind w:left="7520"/>
              <w:spacing w:after="0"/>
              <w:rPr>
                <w:sz w:val="20"/>
                <w:szCs w:val="20"/>
                <w:color w:val="auto"/>
              </w:rPr>
            </w:pPr>
            <w:r>
              <w:rPr>
                <w:rFonts w:ascii="Arial" w:cs="Arial" w:eastAsia="Arial" w:hAnsi="Arial"/>
                <w:sz w:val="14"/>
                <w:szCs w:val="14"/>
                <w:color w:val="auto"/>
              </w:rPr>
              <w:t>Third Quarter 2020 Form 10-Q</w:t>
            </w: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13"/>
        </w:trPr>
        <w:tc>
          <w:tcPr>
            <w:tcW w:w="10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4" w:right="31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shd w:val="clear" w:color="auto" w:fill="ACACAC"/>
          </w:tcPr>
          <w:p>
            <w:pPr>
              <w:spacing w:after="0"/>
              <w:rPr>
                <w:sz w:val="19"/>
                <w:szCs w:val="19"/>
                <w:color w:val="auto"/>
              </w:rPr>
            </w:pPr>
          </w:p>
        </w:tc>
        <w:tc>
          <w:tcPr>
            <w:tcW w:w="17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00" w:type="dxa"/>
            <w:vAlign w:val="bottom"/>
            <w:shd w:val="clear" w:color="auto" w:fill="ACACAC"/>
          </w:tcPr>
          <w:p>
            <w:pPr>
              <w:spacing w:after="0"/>
              <w:rPr>
                <w:sz w:val="19"/>
                <w:szCs w:val="19"/>
                <w:color w:val="auto"/>
              </w:rPr>
            </w:pPr>
          </w:p>
        </w:tc>
        <w:tc>
          <w:tcPr>
            <w:tcW w:w="82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820" w:type="dxa"/>
            <w:vAlign w:val="bottom"/>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000" w:type="dxa"/>
            <w:vAlign w:val="bottom"/>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14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00" w:type="dxa"/>
            <w:vAlign w:val="bottom"/>
            <w:shd w:val="clear" w:color="auto" w:fill="ACACAC"/>
          </w:tcPr>
          <w:p>
            <w:pPr>
              <w:spacing w:after="0"/>
              <w:rPr>
                <w:sz w:val="8"/>
                <w:szCs w:val="8"/>
                <w:color w:val="auto"/>
              </w:rPr>
            </w:pPr>
          </w:p>
        </w:tc>
        <w:tc>
          <w:tcPr>
            <w:tcW w:w="82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Additional</w:t>
            </w:r>
          </w:p>
        </w:tc>
        <w:tc>
          <w:tcPr>
            <w:tcW w:w="220" w:type="dxa"/>
            <w:vAlign w:val="bottom"/>
            <w:shd w:val="clear" w:color="auto" w:fill="ACACAC"/>
          </w:tcPr>
          <w:p>
            <w:pPr>
              <w:spacing w:after="0"/>
              <w:rPr>
                <w:sz w:val="8"/>
                <w:szCs w:val="8"/>
                <w:color w:val="auto"/>
              </w:rPr>
            </w:pPr>
          </w:p>
        </w:tc>
        <w:tc>
          <w:tcPr>
            <w:tcW w:w="8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40" w:type="dxa"/>
            <w:vAlign w:val="bottom"/>
            <w:shd w:val="clear" w:color="auto" w:fill="ACACAC"/>
          </w:tcPr>
          <w:p>
            <w:pPr>
              <w:spacing w:after="0"/>
              <w:rPr>
                <w:sz w:val="8"/>
                <w:szCs w:val="8"/>
                <w:color w:val="auto"/>
              </w:rPr>
            </w:pPr>
          </w:p>
        </w:tc>
        <w:tc>
          <w:tcPr>
            <w:tcW w:w="112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other</w:t>
            </w:r>
          </w:p>
        </w:tc>
        <w:tc>
          <w:tcPr>
            <w:tcW w:w="240" w:type="dxa"/>
            <w:vAlign w:val="bottom"/>
            <w:shd w:val="clear" w:color="auto" w:fill="ACACAC"/>
          </w:tcPr>
          <w:p>
            <w:pPr>
              <w:spacing w:after="0"/>
              <w:rPr>
                <w:sz w:val="8"/>
                <w:szCs w:val="8"/>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8"/>
                <w:szCs w:val="8"/>
                <w:color w:val="auto"/>
              </w:rPr>
            </w:pPr>
          </w:p>
        </w:tc>
        <w:tc>
          <w:tcPr>
            <w:tcW w:w="9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Total</w:t>
            </w: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40" w:type="dxa"/>
            <w:vAlign w:val="bottom"/>
            <w:shd w:val="clear" w:color="auto" w:fill="ACACAC"/>
          </w:tcPr>
          <w:p>
            <w:pPr>
              <w:spacing w:after="0"/>
              <w:rPr>
                <w:sz w:val="11"/>
                <w:szCs w:val="11"/>
                <w:color w:val="auto"/>
              </w:rPr>
            </w:pPr>
          </w:p>
        </w:tc>
        <w:tc>
          <w:tcPr>
            <w:tcW w:w="6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00" w:type="dxa"/>
            <w:vAlign w:val="bottom"/>
            <w:shd w:val="clear" w:color="auto" w:fill="ACACAC"/>
          </w:tcPr>
          <w:p>
            <w:pPr>
              <w:spacing w:after="0"/>
              <w:rPr>
                <w:sz w:val="11"/>
                <w:szCs w:val="11"/>
                <w:color w:val="auto"/>
              </w:rPr>
            </w:pPr>
          </w:p>
        </w:tc>
        <w:tc>
          <w:tcPr>
            <w:tcW w:w="8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paid-in</w:t>
            </w:r>
          </w:p>
        </w:tc>
        <w:tc>
          <w:tcPr>
            <w:tcW w:w="220" w:type="dxa"/>
            <w:vAlign w:val="bottom"/>
            <w:shd w:val="clear" w:color="auto" w:fill="ACACAC"/>
          </w:tcPr>
          <w:p>
            <w:pPr>
              <w:spacing w:after="0"/>
              <w:rPr>
                <w:sz w:val="11"/>
                <w:szCs w:val="11"/>
                <w:color w:val="auto"/>
              </w:rPr>
            </w:pPr>
          </w:p>
        </w:tc>
        <w:tc>
          <w:tcPr>
            <w:tcW w:w="820" w:type="dxa"/>
            <w:vAlign w:val="bottom"/>
            <w:vMerge w:val="continue"/>
            <w:shd w:val="clear" w:color="auto" w:fill="ACACAC"/>
          </w:tcPr>
          <w:p>
            <w:pPr>
              <w:spacing w:after="0"/>
              <w:rPr>
                <w:sz w:val="11"/>
                <w:szCs w:val="11"/>
                <w:color w:val="auto"/>
              </w:rPr>
            </w:pPr>
          </w:p>
        </w:tc>
        <w:tc>
          <w:tcPr>
            <w:tcW w:w="140" w:type="dxa"/>
            <w:vAlign w:val="bottom"/>
            <w:shd w:val="clear" w:color="auto" w:fill="ACACAC"/>
          </w:tcPr>
          <w:p>
            <w:pPr>
              <w:spacing w:after="0"/>
              <w:rPr>
                <w:sz w:val="11"/>
                <w:szCs w:val="11"/>
                <w:color w:val="auto"/>
              </w:rPr>
            </w:pP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240" w:type="dxa"/>
            <w:vAlign w:val="bottom"/>
            <w:shd w:val="clear" w:color="auto" w:fill="ACACAC"/>
          </w:tcPr>
          <w:p>
            <w:pPr>
              <w:spacing w:after="0"/>
              <w:rPr>
                <w:sz w:val="11"/>
                <w:szCs w:val="11"/>
                <w:color w:val="auto"/>
              </w:rPr>
            </w:pPr>
          </w:p>
        </w:tc>
        <w:tc>
          <w:tcPr>
            <w:tcW w:w="780" w:type="dxa"/>
            <w:vAlign w:val="bottom"/>
            <w:vMerge w:val="continue"/>
            <w:shd w:val="clear" w:color="auto" w:fill="ACACAC"/>
          </w:tcPr>
          <w:p>
            <w:pPr>
              <w:spacing w:after="0"/>
              <w:rPr>
                <w:sz w:val="11"/>
                <w:szCs w:val="11"/>
                <w:color w:val="auto"/>
              </w:rPr>
            </w:pPr>
          </w:p>
        </w:tc>
        <w:tc>
          <w:tcPr>
            <w:tcW w:w="160" w:type="dxa"/>
            <w:vAlign w:val="bottom"/>
            <w:shd w:val="clear" w:color="auto" w:fill="ACACAC"/>
          </w:tcPr>
          <w:p>
            <w:pPr>
              <w:spacing w:after="0"/>
              <w:rPr>
                <w:sz w:val="11"/>
                <w:szCs w:val="11"/>
                <w:color w:val="auto"/>
              </w:rPr>
            </w:pPr>
          </w:p>
        </w:tc>
        <w:tc>
          <w:tcPr>
            <w:tcW w:w="9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vMerge w:val="continue"/>
            <w:shd w:val="clear" w:color="auto" w:fill="ACACAC"/>
          </w:tcPr>
          <w:p>
            <w:pPr>
              <w:spacing w:after="0"/>
              <w:rPr>
                <w:sz w:val="16"/>
                <w:szCs w:val="16"/>
                <w:color w:val="auto"/>
              </w:rPr>
            </w:pPr>
          </w:p>
        </w:tc>
        <w:tc>
          <w:tcPr>
            <w:tcW w:w="102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600" w:type="dxa"/>
            <w:vAlign w:val="bottom"/>
            <w:vMerge w:val="continue"/>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20" w:type="dxa"/>
            <w:vAlign w:val="bottom"/>
            <w:shd w:val="clear" w:color="auto" w:fill="ACACAC"/>
          </w:tcPr>
          <w:p>
            <w:pPr>
              <w:spacing w:after="0"/>
              <w:rPr>
                <w:sz w:val="16"/>
                <w:szCs w:val="16"/>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tcPr>
          <w:p>
            <w:pPr>
              <w:jc w:val="right"/>
              <w:spacing w:after="0"/>
              <w:rPr>
                <w:sz w:val="20"/>
                <w:szCs w:val="20"/>
                <w:color w:val="auto"/>
              </w:rPr>
            </w:pPr>
            <w:r>
              <w:rPr>
                <w:rFonts w:ascii="Arial" w:cs="Arial" w:eastAsia="Arial" w:hAnsi="Arial"/>
                <w:sz w:val="16"/>
                <w:szCs w:val="16"/>
                <w:color w:val="auto"/>
              </w:rPr>
              <w:t>60,206,091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457,804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(290,665)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(5,290)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234,855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396,764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8"/>
                <w:szCs w:val="18"/>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4,639</w:t>
            </w:r>
          </w:p>
        </w:tc>
        <w:tc>
          <w:tcPr>
            <w:tcW w:w="160" w:type="dxa"/>
            <w:vAlign w:val="bottom"/>
            <w:shd w:val="clear" w:color="auto" w:fill="F4F4F4"/>
          </w:tcPr>
          <w:p>
            <w:pPr>
              <w:spacing w:after="0"/>
              <w:rPr>
                <w:sz w:val="18"/>
                <w:szCs w:val="18"/>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F4F4F4"/>
          </w:tcPr>
          <w:p>
            <w:pPr>
              <w:ind w:left="120"/>
              <w:spacing w:after="0" w:line="181" w:lineRule="exact"/>
              <w:rPr>
                <w:sz w:val="20"/>
                <w:szCs w:val="20"/>
                <w:color w:val="auto"/>
              </w:rPr>
            </w:pPr>
            <w:r>
              <w:rPr>
                <w:rFonts w:ascii="Arial" w:cs="Arial" w:eastAsia="Arial" w:hAnsi="Arial"/>
                <w:sz w:val="16"/>
                <w:szCs w:val="16"/>
                <w:color w:val="auto"/>
              </w:rPr>
              <w:t>Exercise of stock options and vesting of restricted</w:t>
            </w:r>
          </w:p>
        </w:tc>
        <w:tc>
          <w:tcPr>
            <w:tcW w:w="10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60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22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112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78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 units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210,057</w:t>
            </w:r>
          </w:p>
        </w:tc>
        <w:tc>
          <w:tcPr>
            <w:tcW w:w="140" w:type="dxa"/>
            <w:vAlign w:val="bottom"/>
            <w:shd w:val="clear" w:color="auto" w:fill="F4F4F4"/>
          </w:tcPr>
          <w:p>
            <w:pPr>
              <w:spacing w:after="0"/>
              <w:rPr>
                <w:sz w:val="17"/>
                <w:szCs w:val="17"/>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7"/>
                <w:szCs w:val="17"/>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245,358 withheld shares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6"/>
                <w:szCs w:val="16"/>
                <w:color w:val="auto"/>
              </w:rPr>
              <w:t>upon equity award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(19,782)</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6"/>
                <w:szCs w:val="16"/>
                <w:color w:val="auto"/>
              </w:rPr>
              <w:t>563,947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F4F4F4"/>
            </w:tcBorders>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60,932,639</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22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40" w:type="dxa"/>
            <w:vAlign w:val="bottom"/>
            <w:shd w:val="clear" w:color="auto" w:fill="F4F4F4"/>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233,575</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380,393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11,823</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F4F4F4"/>
          </w:tcPr>
          <w:p>
            <w:pPr>
              <w:ind w:left="120"/>
              <w:spacing w:after="0" w:line="181" w:lineRule="exact"/>
              <w:rPr>
                <w:sz w:val="20"/>
                <w:szCs w:val="20"/>
                <w:color w:val="auto"/>
              </w:rPr>
            </w:pPr>
            <w:r>
              <w:rPr>
                <w:rFonts w:ascii="Arial" w:cs="Arial" w:eastAsia="Arial" w:hAnsi="Arial"/>
                <w:sz w:val="16"/>
                <w:szCs w:val="16"/>
                <w:color w:val="auto"/>
              </w:rPr>
              <w:t>Exercise of stock options and vesting of restricted</w:t>
            </w:r>
          </w:p>
        </w:tc>
        <w:tc>
          <w:tcPr>
            <w:tcW w:w="10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60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22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112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78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 units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7,111</w:t>
            </w:r>
          </w:p>
        </w:tc>
        <w:tc>
          <w:tcPr>
            <w:tcW w:w="140" w:type="dxa"/>
            <w:vAlign w:val="bottom"/>
            <w:shd w:val="clear" w:color="auto" w:fill="F4F4F4"/>
          </w:tcPr>
          <w:p>
            <w:pPr>
              <w:spacing w:after="0"/>
              <w:rPr>
                <w:sz w:val="17"/>
                <w:szCs w:val="17"/>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7"/>
                <w:szCs w:val="17"/>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21,200 withheld shares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6"/>
                <w:szCs w:val="16"/>
                <w:color w:val="auto"/>
              </w:rPr>
              <w:t>upon equity award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(1,214)</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20,103</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20,133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6"/>
                <w:szCs w:val="16"/>
                <w:color w:val="auto"/>
              </w:rPr>
              <w:t>20,776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(59,426)</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F4F4F4"/>
            </w:tcBorders>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60,901,100</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491,450</w:t>
            </w:r>
          </w:p>
        </w:tc>
        <w:tc>
          <w:tcPr>
            <w:tcW w:w="22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(311,661)</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(14,476)</w:t>
            </w:r>
          </w:p>
        </w:tc>
        <w:tc>
          <w:tcPr>
            <w:tcW w:w="240" w:type="dxa"/>
            <w:vAlign w:val="bottom"/>
            <w:shd w:val="clear" w:color="auto" w:fill="F4F4F4"/>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245,428</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410,802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4,876</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906</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4,574 withheld shares upon</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20,819</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20,843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6"/>
                <w:szCs w:val="16"/>
                <w:color w:val="auto"/>
              </w:rPr>
              <w:t>48,783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(46,864)</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F4F4F4"/>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5,604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60,903,925</w:t>
            </w:r>
          </w:p>
        </w:tc>
        <w:tc>
          <w:tcPr>
            <w:tcW w:w="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512,269</w:t>
            </w:r>
          </w:p>
        </w:tc>
        <w:tc>
          <w:tcPr>
            <w:tcW w:w="22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(311,951)</w:t>
            </w:r>
          </w:p>
        </w:tc>
        <w:tc>
          <w:tcPr>
            <w:tcW w:w="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(8,872)</w:t>
            </w:r>
          </w:p>
        </w:tc>
        <w:tc>
          <w:tcPr>
            <w:tcW w:w="240" w:type="dxa"/>
            <w:vAlign w:val="bottom"/>
            <w:tcBorders>
              <w:bottom w:val="single" w:sz="8" w:color="71BF43"/>
            </w:tcBorders>
            <w:shd w:val="clear" w:color="auto" w:fill="F4F4F4"/>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250,328</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441,835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-4354195</wp:posOffset>
            </wp:positionV>
            <wp:extent cx="1122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745490" cy="188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shd w:val="clear" w:color="auto" w:fill="ACACAC"/>
          </w:tcPr>
          <w:p>
            <w:pPr>
              <w:spacing w:after="0"/>
              <w:rPr>
                <w:sz w:val="19"/>
                <w:szCs w:val="19"/>
                <w:color w:val="auto"/>
              </w:rPr>
            </w:pPr>
          </w:p>
        </w:tc>
        <w:tc>
          <w:tcPr>
            <w:tcW w:w="17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00" w:type="dxa"/>
            <w:vAlign w:val="bottom"/>
            <w:shd w:val="clear" w:color="auto" w:fill="ACACAC"/>
          </w:tcPr>
          <w:p>
            <w:pPr>
              <w:spacing w:after="0"/>
              <w:rPr>
                <w:sz w:val="19"/>
                <w:szCs w:val="19"/>
                <w:color w:val="auto"/>
              </w:rPr>
            </w:pPr>
          </w:p>
        </w:tc>
        <w:tc>
          <w:tcPr>
            <w:tcW w:w="82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820" w:type="dxa"/>
            <w:vAlign w:val="bottom"/>
            <w:shd w:val="clear" w:color="auto" w:fill="ACACAC"/>
          </w:tcPr>
          <w:p>
            <w:pPr>
              <w:spacing w:after="0"/>
              <w:rPr>
                <w:sz w:val="19"/>
                <w:szCs w:val="19"/>
                <w:color w:val="auto"/>
              </w:rPr>
            </w:pPr>
          </w:p>
        </w:tc>
        <w:tc>
          <w:tcPr>
            <w:tcW w:w="14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000" w:type="dxa"/>
            <w:vAlign w:val="bottom"/>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14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200" w:type="dxa"/>
            <w:vAlign w:val="bottom"/>
            <w:shd w:val="clear" w:color="auto" w:fill="ACACAC"/>
          </w:tcPr>
          <w:p>
            <w:pPr>
              <w:spacing w:after="0"/>
              <w:rPr>
                <w:sz w:val="8"/>
                <w:szCs w:val="8"/>
                <w:color w:val="auto"/>
              </w:rPr>
            </w:pPr>
          </w:p>
        </w:tc>
        <w:tc>
          <w:tcPr>
            <w:tcW w:w="82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Additional</w:t>
            </w:r>
          </w:p>
        </w:tc>
        <w:tc>
          <w:tcPr>
            <w:tcW w:w="220" w:type="dxa"/>
            <w:vAlign w:val="bottom"/>
            <w:shd w:val="clear" w:color="auto" w:fill="ACACAC"/>
          </w:tcPr>
          <w:p>
            <w:pPr>
              <w:spacing w:after="0"/>
              <w:rPr>
                <w:sz w:val="8"/>
                <w:szCs w:val="8"/>
                <w:color w:val="auto"/>
              </w:rPr>
            </w:pPr>
          </w:p>
        </w:tc>
        <w:tc>
          <w:tcPr>
            <w:tcW w:w="8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40" w:type="dxa"/>
            <w:vAlign w:val="bottom"/>
            <w:shd w:val="clear" w:color="auto" w:fill="ACACAC"/>
          </w:tcPr>
          <w:p>
            <w:pPr>
              <w:spacing w:after="0"/>
              <w:rPr>
                <w:sz w:val="8"/>
                <w:szCs w:val="8"/>
                <w:color w:val="auto"/>
              </w:rPr>
            </w:pPr>
          </w:p>
        </w:tc>
        <w:tc>
          <w:tcPr>
            <w:tcW w:w="112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other</w:t>
            </w:r>
          </w:p>
        </w:tc>
        <w:tc>
          <w:tcPr>
            <w:tcW w:w="240" w:type="dxa"/>
            <w:vAlign w:val="bottom"/>
            <w:shd w:val="clear" w:color="auto" w:fill="ACACAC"/>
          </w:tcPr>
          <w:p>
            <w:pPr>
              <w:spacing w:after="0"/>
              <w:rPr>
                <w:sz w:val="8"/>
                <w:szCs w:val="8"/>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8"/>
                <w:szCs w:val="8"/>
                <w:color w:val="auto"/>
              </w:rPr>
            </w:pPr>
          </w:p>
        </w:tc>
        <w:tc>
          <w:tcPr>
            <w:tcW w:w="9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Total</w:t>
            </w: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40" w:type="dxa"/>
            <w:vAlign w:val="bottom"/>
            <w:shd w:val="clear" w:color="auto" w:fill="ACACAC"/>
          </w:tcPr>
          <w:p>
            <w:pPr>
              <w:spacing w:after="0"/>
              <w:rPr>
                <w:sz w:val="11"/>
                <w:szCs w:val="11"/>
                <w:color w:val="auto"/>
              </w:rPr>
            </w:pPr>
          </w:p>
        </w:tc>
        <w:tc>
          <w:tcPr>
            <w:tcW w:w="6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00" w:type="dxa"/>
            <w:vAlign w:val="bottom"/>
            <w:shd w:val="clear" w:color="auto" w:fill="ACACAC"/>
          </w:tcPr>
          <w:p>
            <w:pPr>
              <w:spacing w:after="0"/>
              <w:rPr>
                <w:sz w:val="11"/>
                <w:szCs w:val="11"/>
                <w:color w:val="auto"/>
              </w:rPr>
            </w:pPr>
          </w:p>
        </w:tc>
        <w:tc>
          <w:tcPr>
            <w:tcW w:w="8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paid-in</w:t>
            </w:r>
          </w:p>
        </w:tc>
        <w:tc>
          <w:tcPr>
            <w:tcW w:w="220" w:type="dxa"/>
            <w:vAlign w:val="bottom"/>
            <w:shd w:val="clear" w:color="auto" w:fill="ACACAC"/>
          </w:tcPr>
          <w:p>
            <w:pPr>
              <w:spacing w:after="0"/>
              <w:rPr>
                <w:sz w:val="11"/>
                <w:szCs w:val="11"/>
                <w:color w:val="auto"/>
              </w:rPr>
            </w:pPr>
          </w:p>
        </w:tc>
        <w:tc>
          <w:tcPr>
            <w:tcW w:w="820" w:type="dxa"/>
            <w:vAlign w:val="bottom"/>
            <w:vMerge w:val="continue"/>
            <w:shd w:val="clear" w:color="auto" w:fill="ACACAC"/>
          </w:tcPr>
          <w:p>
            <w:pPr>
              <w:spacing w:after="0"/>
              <w:rPr>
                <w:sz w:val="11"/>
                <w:szCs w:val="11"/>
                <w:color w:val="auto"/>
              </w:rPr>
            </w:pPr>
          </w:p>
        </w:tc>
        <w:tc>
          <w:tcPr>
            <w:tcW w:w="140" w:type="dxa"/>
            <w:vAlign w:val="bottom"/>
            <w:shd w:val="clear" w:color="auto" w:fill="ACACAC"/>
          </w:tcPr>
          <w:p>
            <w:pPr>
              <w:spacing w:after="0"/>
              <w:rPr>
                <w:sz w:val="11"/>
                <w:szCs w:val="11"/>
                <w:color w:val="auto"/>
              </w:rPr>
            </w:pPr>
          </w:p>
        </w:tc>
        <w:tc>
          <w:tcPr>
            <w:tcW w:w="11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240" w:type="dxa"/>
            <w:vAlign w:val="bottom"/>
            <w:shd w:val="clear" w:color="auto" w:fill="ACACAC"/>
          </w:tcPr>
          <w:p>
            <w:pPr>
              <w:spacing w:after="0"/>
              <w:rPr>
                <w:sz w:val="11"/>
                <w:szCs w:val="11"/>
                <w:color w:val="auto"/>
              </w:rPr>
            </w:pPr>
          </w:p>
        </w:tc>
        <w:tc>
          <w:tcPr>
            <w:tcW w:w="780" w:type="dxa"/>
            <w:vAlign w:val="bottom"/>
            <w:vMerge w:val="continue"/>
            <w:shd w:val="clear" w:color="auto" w:fill="ACACAC"/>
          </w:tcPr>
          <w:p>
            <w:pPr>
              <w:spacing w:after="0"/>
              <w:rPr>
                <w:sz w:val="11"/>
                <w:szCs w:val="11"/>
                <w:color w:val="auto"/>
              </w:rPr>
            </w:pPr>
          </w:p>
        </w:tc>
        <w:tc>
          <w:tcPr>
            <w:tcW w:w="160" w:type="dxa"/>
            <w:vAlign w:val="bottom"/>
            <w:shd w:val="clear" w:color="auto" w:fill="ACACAC"/>
          </w:tcPr>
          <w:p>
            <w:pPr>
              <w:spacing w:after="0"/>
              <w:rPr>
                <w:sz w:val="11"/>
                <w:szCs w:val="11"/>
                <w:color w:val="auto"/>
              </w:rPr>
            </w:pPr>
          </w:p>
        </w:tc>
        <w:tc>
          <w:tcPr>
            <w:tcW w:w="9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vMerge w:val="continue"/>
            <w:shd w:val="clear" w:color="auto" w:fill="ACACAC"/>
          </w:tcPr>
          <w:p>
            <w:pPr>
              <w:spacing w:after="0"/>
              <w:rPr>
                <w:sz w:val="16"/>
                <w:szCs w:val="16"/>
                <w:color w:val="auto"/>
              </w:rPr>
            </w:pPr>
          </w:p>
        </w:tc>
        <w:tc>
          <w:tcPr>
            <w:tcW w:w="102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600" w:type="dxa"/>
            <w:vAlign w:val="bottom"/>
            <w:vMerge w:val="continue"/>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20" w:type="dxa"/>
            <w:vAlign w:val="bottom"/>
            <w:shd w:val="clear" w:color="auto" w:fill="ACACAC"/>
          </w:tcPr>
          <w:p>
            <w:pPr>
              <w:spacing w:after="0"/>
              <w:rPr>
                <w:sz w:val="16"/>
                <w:szCs w:val="16"/>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1020" w:type="dxa"/>
            <w:vAlign w:val="bottom"/>
          </w:tcPr>
          <w:p>
            <w:pPr>
              <w:jc w:val="right"/>
              <w:spacing w:after="0"/>
              <w:rPr>
                <w:sz w:val="20"/>
                <w:szCs w:val="20"/>
                <w:color w:val="auto"/>
              </w:rPr>
            </w:pPr>
            <w:r>
              <w:rPr>
                <w:rFonts w:ascii="Arial" w:cs="Arial" w:eastAsia="Arial" w:hAnsi="Arial"/>
                <w:sz w:val="16"/>
                <w:szCs w:val="16"/>
                <w:color w:val="auto"/>
              </w:rPr>
              <w:t>59,327,633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399,241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(266,884)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(5,110)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246,477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373,783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8"/>
                <w:szCs w:val="18"/>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8"/>
                <w:szCs w:val="18"/>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160" w:type="dxa"/>
            <w:vAlign w:val="bottom"/>
            <w:shd w:val="clear" w:color="auto" w:fill="F4F4F4"/>
          </w:tcPr>
          <w:p>
            <w:pPr>
              <w:spacing w:after="0"/>
              <w:rPr>
                <w:sz w:val="18"/>
                <w:szCs w:val="18"/>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F4F4F4"/>
          </w:tcPr>
          <w:p>
            <w:pPr>
              <w:ind w:left="120"/>
              <w:spacing w:after="0" w:line="181" w:lineRule="exact"/>
              <w:rPr>
                <w:sz w:val="20"/>
                <w:szCs w:val="20"/>
                <w:color w:val="auto"/>
              </w:rPr>
            </w:pPr>
            <w:r>
              <w:rPr>
                <w:rFonts w:ascii="Arial" w:cs="Arial" w:eastAsia="Arial" w:hAnsi="Arial"/>
                <w:sz w:val="16"/>
                <w:szCs w:val="16"/>
                <w:color w:val="auto"/>
              </w:rPr>
              <w:t>Exercise of stock options and stock appreciation</w:t>
            </w:r>
          </w:p>
        </w:tc>
        <w:tc>
          <w:tcPr>
            <w:tcW w:w="10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60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22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112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78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rights and vesting of restricted stock units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234,453</w:t>
            </w:r>
          </w:p>
        </w:tc>
        <w:tc>
          <w:tcPr>
            <w:tcW w:w="140" w:type="dxa"/>
            <w:vAlign w:val="bottom"/>
            <w:shd w:val="clear" w:color="auto" w:fill="F4F4F4"/>
          </w:tcPr>
          <w:p>
            <w:pPr>
              <w:spacing w:after="0"/>
              <w:rPr>
                <w:sz w:val="17"/>
                <w:szCs w:val="17"/>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7"/>
                <w:szCs w:val="17"/>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239,311 withheld shares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6"/>
                <w:szCs w:val="16"/>
                <w:color w:val="auto"/>
              </w:rPr>
              <w:t>upon equity award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(18,400)</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13,693</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13,726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6"/>
                <w:szCs w:val="16"/>
                <w:color w:val="auto"/>
              </w:rPr>
              <w:t>663,906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(43,314)</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F4F4F4"/>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60,182,678</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412,937</w:t>
            </w:r>
          </w:p>
        </w:tc>
        <w:tc>
          <w:tcPr>
            <w:tcW w:w="22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(285,284)</w:t>
            </w:r>
          </w:p>
        </w:tc>
        <w:tc>
          <w:tcPr>
            <w:tcW w:w="14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(1,452)</w:t>
            </w:r>
          </w:p>
        </w:tc>
        <w:tc>
          <w:tcPr>
            <w:tcW w:w="240" w:type="dxa"/>
            <w:vAlign w:val="bottom"/>
            <w:shd w:val="clear" w:color="auto" w:fill="F4F4F4"/>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239,487</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365,748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7,140</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(5,901)</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20"/>
              <w:spacing w:after="0" w:line="178" w:lineRule="exact"/>
              <w:rPr>
                <w:sz w:val="20"/>
                <w:szCs w:val="20"/>
                <w:color w:val="auto"/>
              </w:rPr>
            </w:pPr>
            <w:r>
              <w:rPr>
                <w:rFonts w:ascii="Arial" w:cs="Arial" w:eastAsia="Arial" w:hAnsi="Arial"/>
                <w:sz w:val="16"/>
                <w:szCs w:val="16"/>
                <w:color w:val="auto"/>
              </w:rPr>
              <w:t>Exercise of stock options and stock appreciation</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20"/>
              <w:spacing w:after="0"/>
              <w:rPr>
                <w:sz w:val="20"/>
                <w:szCs w:val="20"/>
                <w:color w:val="auto"/>
              </w:rPr>
            </w:pPr>
            <w:r>
              <w:rPr>
                <w:rFonts w:ascii="Arial" w:cs="Arial" w:eastAsia="Arial" w:hAnsi="Arial"/>
                <w:sz w:val="16"/>
                <w:szCs w:val="16"/>
                <w:color w:val="auto"/>
              </w:rPr>
              <w:t>rights and vesting of restricted stock units</w:t>
            </w:r>
          </w:p>
        </w:tc>
        <w:tc>
          <w:tcPr>
            <w:tcW w:w="1020" w:type="dxa"/>
            <w:vAlign w:val="bottom"/>
          </w:tcPr>
          <w:p>
            <w:pPr>
              <w:jc w:val="right"/>
              <w:spacing w:after="0"/>
              <w:rPr>
                <w:sz w:val="20"/>
                <w:szCs w:val="20"/>
                <w:color w:val="auto"/>
              </w:rPr>
            </w:pPr>
            <w:r>
              <w:rPr>
                <w:rFonts w:ascii="Arial" w:cs="Arial" w:eastAsia="Arial" w:hAnsi="Arial"/>
                <w:sz w:val="16"/>
                <w:szCs w:val="16"/>
                <w:color w:val="auto"/>
              </w:rPr>
              <w:t>21,726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F4F4F4"/>
          </w:tcPr>
          <w:p>
            <w:pPr>
              <w:ind w:left="140"/>
              <w:spacing w:after="0" w:line="181" w:lineRule="exact"/>
              <w:rPr>
                <w:sz w:val="20"/>
                <w:szCs w:val="20"/>
                <w:color w:val="auto"/>
              </w:rPr>
            </w:pPr>
            <w:r>
              <w:rPr>
                <w:rFonts w:ascii="Arial" w:cs="Arial" w:eastAsia="Arial" w:hAnsi="Arial"/>
                <w:sz w:val="16"/>
                <w:szCs w:val="16"/>
                <w:color w:val="auto"/>
              </w:rPr>
              <w:t>Employee taxes paid for 17,119 withheld shares</w:t>
            </w:r>
          </w:p>
        </w:tc>
        <w:tc>
          <w:tcPr>
            <w:tcW w:w="10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60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22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112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78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F4F4F4"/>
          </w:tcPr>
          <w:p>
            <w:pPr>
              <w:ind w:left="140"/>
              <w:spacing w:after="0"/>
              <w:rPr>
                <w:sz w:val="20"/>
                <w:szCs w:val="20"/>
                <w:color w:val="auto"/>
              </w:rPr>
            </w:pPr>
            <w:r>
              <w:rPr>
                <w:rFonts w:ascii="Arial" w:cs="Arial" w:eastAsia="Arial" w:hAnsi="Arial"/>
                <w:sz w:val="16"/>
                <w:szCs w:val="16"/>
                <w:color w:val="auto"/>
              </w:rPr>
              <w:t>upon equity award settlement</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7"/>
                <w:szCs w:val="17"/>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(1,360)</w:t>
            </w:r>
          </w:p>
        </w:tc>
        <w:tc>
          <w:tcPr>
            <w:tcW w:w="140" w:type="dxa"/>
            <w:vAlign w:val="bottom"/>
            <w:shd w:val="clear" w:color="auto" w:fill="F4F4F4"/>
          </w:tcPr>
          <w:p>
            <w:pPr>
              <w:spacing w:after="0"/>
              <w:rPr>
                <w:sz w:val="17"/>
                <w:szCs w:val="17"/>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15,010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12,405</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Pr>
          <w:p>
            <w:pPr>
              <w:jc w:val="right"/>
              <w:spacing w:after="0"/>
              <w:rPr>
                <w:sz w:val="20"/>
                <w:szCs w:val="20"/>
                <w:color w:val="auto"/>
              </w:rPr>
            </w:pPr>
            <w:r>
              <w:rPr>
                <w:rFonts w:ascii="Arial" w:cs="Arial" w:eastAsia="Arial" w:hAnsi="Arial"/>
                <w:sz w:val="16"/>
                <w:szCs w:val="16"/>
                <w:color w:val="auto"/>
              </w:rPr>
              <w:t>(29,746)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F4F4F4"/>
          </w:tcPr>
          <w:p>
            <w:pPr>
              <w:spacing w:after="0"/>
              <w:rPr>
                <w:sz w:val="19"/>
                <w:szCs w:val="19"/>
                <w:color w:val="auto"/>
              </w:rPr>
            </w:pPr>
          </w:p>
        </w:tc>
        <w:tc>
          <w:tcPr>
            <w:tcW w:w="6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F4F4F4"/>
          </w:tcPr>
          <w:p>
            <w:pPr>
              <w:spacing w:after="0"/>
              <w:rPr>
                <w:sz w:val="19"/>
                <w:szCs w:val="19"/>
                <w:color w:val="auto"/>
              </w:rPr>
            </w:pPr>
          </w:p>
        </w:tc>
        <w:tc>
          <w:tcPr>
            <w:tcW w:w="11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(7,957)</w:t>
            </w:r>
          </w:p>
        </w:tc>
        <w:tc>
          <w:tcPr>
            <w:tcW w:w="240" w:type="dxa"/>
            <w:vAlign w:val="bottom"/>
            <w:tcBorders>
              <w:bottom w:val="single" w:sz="8" w:color="auto"/>
            </w:tcBorders>
            <w:shd w:val="clear" w:color="auto" w:fill="F4F4F4"/>
          </w:tcPr>
          <w:p>
            <w:pPr>
              <w:spacing w:after="0"/>
              <w:rPr>
                <w:sz w:val="19"/>
                <w:szCs w:val="19"/>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020" w:type="dxa"/>
            <w:vAlign w:val="bottom"/>
          </w:tcPr>
          <w:p>
            <w:pPr>
              <w:jc w:val="right"/>
              <w:spacing w:after="0"/>
              <w:rPr>
                <w:sz w:val="20"/>
                <w:szCs w:val="20"/>
                <w:color w:val="auto"/>
              </w:rPr>
            </w:pPr>
            <w:r>
              <w:rPr>
                <w:rFonts w:ascii="Arial" w:cs="Arial" w:eastAsia="Arial" w:hAnsi="Arial"/>
                <w:sz w:val="16"/>
                <w:szCs w:val="16"/>
                <w:color w:val="auto"/>
              </w:rPr>
              <w:t>60,187,063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427,950</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(286,644)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(9,409)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240,745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372,702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4,566</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4,566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F4F4F4"/>
          </w:tcPr>
          <w:p>
            <w:pPr>
              <w:ind w:left="120"/>
              <w:spacing w:after="0" w:line="181" w:lineRule="exact"/>
              <w:rPr>
                <w:sz w:val="20"/>
                <w:szCs w:val="20"/>
                <w:color w:val="auto"/>
              </w:rPr>
            </w:pPr>
            <w:r>
              <w:rPr>
                <w:rFonts w:ascii="Arial" w:cs="Arial" w:eastAsia="Arial" w:hAnsi="Arial"/>
                <w:sz w:val="16"/>
                <w:szCs w:val="16"/>
                <w:color w:val="auto"/>
              </w:rPr>
              <w:t>Exercise of stock options and stock appreciation</w:t>
            </w:r>
          </w:p>
        </w:tc>
        <w:tc>
          <w:tcPr>
            <w:tcW w:w="10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60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220" w:type="dxa"/>
            <w:vAlign w:val="bottom"/>
            <w:shd w:val="clear" w:color="auto" w:fill="F4F4F4"/>
          </w:tcPr>
          <w:p>
            <w:pPr>
              <w:spacing w:after="0"/>
              <w:rPr>
                <w:sz w:val="15"/>
                <w:szCs w:val="15"/>
                <w:color w:val="auto"/>
              </w:rPr>
            </w:pPr>
          </w:p>
        </w:tc>
        <w:tc>
          <w:tcPr>
            <w:tcW w:w="82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1120" w:type="dxa"/>
            <w:vAlign w:val="bottom"/>
            <w:shd w:val="clear" w:color="auto" w:fill="F4F4F4"/>
          </w:tcPr>
          <w:p>
            <w:pPr>
              <w:spacing w:after="0"/>
              <w:rPr>
                <w:sz w:val="15"/>
                <w:szCs w:val="15"/>
                <w:color w:val="auto"/>
              </w:rPr>
            </w:pPr>
          </w:p>
        </w:tc>
        <w:tc>
          <w:tcPr>
            <w:tcW w:w="240" w:type="dxa"/>
            <w:vAlign w:val="bottom"/>
            <w:shd w:val="clear" w:color="auto" w:fill="F4F4F4"/>
          </w:tcPr>
          <w:p>
            <w:pPr>
              <w:spacing w:after="0"/>
              <w:rPr>
                <w:sz w:val="15"/>
                <w:szCs w:val="15"/>
                <w:color w:val="auto"/>
              </w:rPr>
            </w:pPr>
          </w:p>
        </w:tc>
        <w:tc>
          <w:tcPr>
            <w:tcW w:w="780" w:type="dxa"/>
            <w:vAlign w:val="bottom"/>
            <w:shd w:val="clear" w:color="auto" w:fill="F4F4F4"/>
          </w:tcPr>
          <w:p>
            <w:pPr>
              <w:spacing w:after="0"/>
              <w:rPr>
                <w:sz w:val="15"/>
                <w:szCs w:val="15"/>
                <w:color w:val="auto"/>
              </w:rPr>
            </w:pPr>
          </w:p>
        </w:tc>
        <w:tc>
          <w:tcPr>
            <w:tcW w:w="16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rights and vesting of restricted stock units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5,315</w:t>
            </w:r>
          </w:p>
        </w:tc>
        <w:tc>
          <w:tcPr>
            <w:tcW w:w="140" w:type="dxa"/>
            <w:vAlign w:val="bottom"/>
            <w:shd w:val="clear" w:color="auto" w:fill="F4F4F4"/>
          </w:tcPr>
          <w:p>
            <w:pPr>
              <w:spacing w:after="0"/>
              <w:rPr>
                <w:sz w:val="17"/>
                <w:szCs w:val="17"/>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F4F4F4"/>
          </w:tcPr>
          <w:p>
            <w:pPr>
              <w:spacing w:after="0"/>
              <w:rPr>
                <w:sz w:val="17"/>
                <w:szCs w:val="17"/>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7"/>
                <w:szCs w:val="17"/>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7"/>
                <w:szCs w:val="17"/>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7"/>
                <w:szCs w:val="17"/>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5,795 withheld shares upon</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w:t>
            </w:r>
          </w:p>
        </w:tc>
        <w:tc>
          <w:tcPr>
            <w:tcW w:w="1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14,852</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14,866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Pr>
          <w:p>
            <w:pPr>
              <w:ind w:left="12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spacing w:after="0"/>
              <w:rPr>
                <w:sz w:val="20"/>
                <w:szCs w:val="20"/>
                <w:color w:val="auto"/>
              </w:rPr>
            </w:pPr>
            <w:r>
              <w:rPr>
                <w:rFonts w:ascii="Arial" w:cs="Arial" w:eastAsia="Arial" w:hAnsi="Arial"/>
                <w:sz w:val="16"/>
                <w:szCs w:val="16"/>
                <w:color w:val="auto"/>
              </w:rPr>
              <w:t>37,920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F4F4F4"/>
          </w:tcPr>
          <w:p>
            <w:pPr>
              <w:ind w:left="120"/>
              <w:spacing w:after="0"/>
              <w:rPr>
                <w:sz w:val="20"/>
                <w:szCs w:val="20"/>
                <w:color w:val="auto"/>
              </w:rPr>
            </w:pPr>
            <w:r>
              <w:rPr>
                <w:rFonts w:ascii="Arial" w:cs="Arial" w:eastAsia="Arial" w:hAnsi="Arial"/>
                <w:sz w:val="16"/>
                <w:szCs w:val="16"/>
                <w:color w:val="auto"/>
              </w:rPr>
              <w:t>Restricted stock cancellations</w:t>
            </w:r>
          </w:p>
        </w:tc>
        <w:tc>
          <w:tcPr>
            <w:tcW w:w="10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(23,207)</w:t>
            </w:r>
          </w:p>
        </w:tc>
        <w:tc>
          <w:tcPr>
            <w:tcW w:w="140" w:type="dxa"/>
            <w:vAlign w:val="bottom"/>
            <w:shd w:val="clear" w:color="auto" w:fill="F4F4F4"/>
          </w:tcPr>
          <w:p>
            <w:pPr>
              <w:spacing w:after="0"/>
              <w:rPr>
                <w:sz w:val="19"/>
                <w:szCs w:val="19"/>
                <w:color w:val="auto"/>
              </w:rPr>
            </w:pPr>
          </w:p>
        </w:tc>
        <w:tc>
          <w:tcPr>
            <w:tcW w:w="6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F4F4F4"/>
            </w:tcBorders>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60,207,091</w:t>
            </w:r>
          </w:p>
        </w:tc>
        <w:tc>
          <w:tcPr>
            <w:tcW w:w="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442,803</w:t>
            </w:r>
          </w:p>
        </w:tc>
        <w:tc>
          <w:tcPr>
            <w:tcW w:w="22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(287,163)</w:t>
            </w:r>
          </w:p>
        </w:tc>
        <w:tc>
          <w:tcPr>
            <w:tcW w:w="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(13,665)</w:t>
            </w:r>
          </w:p>
        </w:tc>
        <w:tc>
          <w:tcPr>
            <w:tcW w:w="240" w:type="dxa"/>
            <w:vAlign w:val="bottom"/>
            <w:tcBorders>
              <w:bottom w:val="single" w:sz="8" w:color="71BF43"/>
            </w:tcBorders>
            <w:shd w:val="clear" w:color="auto" w:fill="F4F4F4"/>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239,422</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381,457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-4731385</wp:posOffset>
            </wp:positionV>
            <wp:extent cx="112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6125" cy="1885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188595"/>
                    </a:xfrm>
                    <a:prstGeom prst="rect">
                      <a:avLst/>
                    </a:prstGeom>
                    <a:noFill/>
                    <a:ln>
                      <a:noFill/>
                    </a:ln>
                  </pic:spPr>
                </pic:pic>
              </a:graphicData>
            </a:graphic>
          </wp:inline>
        </w:drawing>
      </w:r>
      <w:r>
        <w:rPr>
          <w:rFonts w:ascii="Arial" w:cs="Arial" w:eastAsia="Arial" w:hAnsi="Arial"/>
          <w:sz w:val="14"/>
          <w:szCs w:val="14"/>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2019 has been derived from the audited consolidated financial statements at that date. Operating results and cash flows for the nine months ended September 30, 2020 are not necessarily indicative of the results that may be expected for the fiscal year ending December 31, 2020,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2019,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risks and uncertainties as a result of the global COVID-19 pandemic. We expect that COVID-19 will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w:t>
      </w: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745490" cy="1885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due to COVID-19 could result in material changes and actual results could materially differ from these estimates.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COVID-19</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Some of these actions include the following:</w:t>
      </w:r>
    </w:p>
    <w:p>
      <w:pPr>
        <w:spacing w:after="0" w:line="96" w:lineRule="exact"/>
        <w:rPr>
          <w:sz w:val="20"/>
          <w:szCs w:val="20"/>
          <w:color w:val="auto"/>
        </w:rPr>
      </w:pPr>
    </w:p>
    <w:p>
      <w:pPr>
        <w:ind w:left="460" w:hanging="128"/>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Temporarily closed our offices worldwide and transitioned our employees to work remotely;</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Temporarily suspended our 401(k)-match program, whereby we have historically matched 50% of qualified U.S. employees' contributions to our 401(k) plan up to 6% of their salaries, effective with the payroll period commencing April 1, 2020;</w:t>
      </w:r>
    </w:p>
    <w:p>
      <w:pPr>
        <w:ind w:left="500" w:right="2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began backfilling key roles, including engineering positions;</w:t>
      </w:r>
    </w:p>
    <w:p>
      <w:pPr>
        <w:jc w:val="both"/>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spacing w:after="0" w:line="1" w:lineRule="exact"/>
        <w:rPr>
          <w:rFonts w:ascii="Arial" w:cs="Arial" w:eastAsia="Arial" w:hAnsi="Arial"/>
          <w:sz w:val="18"/>
          <w:szCs w:val="18"/>
          <w:color w:val="auto"/>
        </w:rPr>
      </w:pPr>
    </w:p>
    <w:p>
      <w:pPr>
        <w:ind w:left="460" w:hanging="128"/>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jc w:val="both"/>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1, 2020, we granted restricted stock units with a total grant date fair value of $8.3 million to our employees that were eligible for base salary merit increases in lieu of such increases, which will vest on May 1, 2021 subject to the recipient's continued employment with us;</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1, 2020, we granted performance-based restricted stock units with a total grant date fair value of $34.4 million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 w:lineRule="exact"/>
        <w:rPr>
          <w:rFonts w:ascii="Arial" w:cs="Arial" w:eastAsia="Arial" w:hAnsi="Arial"/>
          <w:sz w:val="18"/>
          <w:szCs w:val="18"/>
          <w:color w:val="auto"/>
        </w:rPr>
      </w:pPr>
    </w:p>
    <w:p>
      <w:pPr>
        <w:jc w:val="both"/>
        <w:ind w:left="500" w:hanging="168"/>
        <w:spacing w:after="0" w:line="254" w:lineRule="auto"/>
        <w:tabs>
          <w:tab w:leader="none" w:pos="468"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also expands our access to a larger and more diverse talent pool, empowers our leaders to make decisions based on skills and business need rather than location, and it is expected to create efficiencies within our real estate strategy as we optimize our footprint and shift toward more collaborative workspaces within our offices.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Measurement of Credit Losses on Financial Instruments </w:t>
      </w:r>
      <w:r>
        <w:rPr>
          <w:rFonts w:ascii="Arial" w:cs="Arial" w:eastAsia="Arial" w:hAnsi="Arial"/>
          <w:sz w:val="18"/>
          <w:szCs w:val="18"/>
          <w:color w:val="auto"/>
        </w:rPr>
        <w:t>(“ASU 2016-13”). ASU 2016-13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types of financial instruments, including trade receivables, to be presented at the net amount expected to be collected based on historical events, current conditions and forward-looking information. We adopted ASU 2016-13 as of the January 1, 2020 effective date and the adoption did not have a material impact on our consolidated financial statements.</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accounting for implementation costs related to a hosting arrangement that is a service contract with the guidance on capitalizing costs associated with developing or obtaining internal-use software. We adopted ASU 2018-15 prospectively as of the January 1, 2020 effective date and the adoption did not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our financial position or results of operations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Except for the accounting policies for allowance for credit losses and allowance for sales returns below that were updated as a result of adopting ASU 2016-13, there have been no new or material changes to our significant accounting policies described in our Annual Report on Form 10-K for the year ended December 31, 2019, filed with the SEC on February 20,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7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credit losses.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300" w:type="dxa"/>
            <w:vAlign w:val="bottom"/>
            <w:shd w:val="clear" w:color="auto" w:fill="ACACAC"/>
          </w:tcPr>
          <w:p>
            <w:pPr>
              <w:spacing w:after="0"/>
              <w:rPr>
                <w:sz w:val="14"/>
                <w:szCs w:val="14"/>
                <w:color w:val="auto"/>
              </w:rPr>
            </w:pPr>
          </w:p>
        </w:tc>
        <w:tc>
          <w:tcPr>
            <w:tcW w:w="15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42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500" w:type="dxa"/>
            <w:vAlign w:val="bottom"/>
            <w:shd w:val="clear" w:color="auto" w:fill="ACACAC"/>
          </w:tcPr>
          <w:p>
            <w:pPr>
              <w:spacing w:after="0"/>
              <w:rPr>
                <w:sz w:val="14"/>
                <w:szCs w:val="14"/>
                <w:color w:val="auto"/>
              </w:rPr>
            </w:pPr>
          </w:p>
        </w:tc>
        <w:tc>
          <w:tcPr>
            <w:tcW w:w="10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Write-off</w:t>
            </w:r>
          </w:p>
        </w:tc>
        <w:tc>
          <w:tcPr>
            <w:tcW w:w="480" w:type="dxa"/>
            <w:vAlign w:val="bottom"/>
            <w:shd w:val="clear" w:color="auto" w:fill="ACACAC"/>
          </w:tcPr>
          <w:p>
            <w:pPr>
              <w:spacing w:after="0"/>
              <w:rPr>
                <w:sz w:val="14"/>
                <w:szCs w:val="14"/>
                <w:color w:val="auto"/>
              </w:rPr>
            </w:pPr>
          </w:p>
        </w:tc>
        <w:tc>
          <w:tcPr>
            <w:tcW w:w="10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Recovery</w:t>
            </w:r>
          </w:p>
        </w:tc>
        <w:tc>
          <w:tcPr>
            <w:tcW w:w="420" w:type="dxa"/>
            <w:vAlign w:val="bottom"/>
            <w:shd w:val="clear" w:color="auto" w:fill="ACACAC"/>
          </w:tcPr>
          <w:p>
            <w:pPr>
              <w:spacing w:after="0"/>
              <w:rPr>
                <w:sz w:val="14"/>
                <w:szCs w:val="14"/>
                <w:color w:val="auto"/>
              </w:rPr>
            </w:pPr>
          </w:p>
        </w:tc>
        <w:tc>
          <w:tcPr>
            <w:tcW w:w="16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vMerge w:val="continue"/>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560" w:type="dxa"/>
            <w:vAlign w:val="bottom"/>
            <w:shd w:val="clear" w:color="auto" w:fill="ACACAC"/>
          </w:tcPr>
          <w:p>
            <w:pPr>
              <w:jc w:val="right"/>
              <w:spacing w:after="0" w:line="176" w:lineRule="exact"/>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8"/>
                <w:szCs w:val="18"/>
                <w:b w:val="1"/>
                <w:bCs w:val="1"/>
                <w:color w:val="FFFFFF"/>
                <w:vertAlign w:val="superscript"/>
              </w:rPr>
              <w:t>(1)</w:t>
            </w:r>
          </w:p>
        </w:tc>
        <w:tc>
          <w:tcPr>
            <w:tcW w:w="42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500" w:type="dxa"/>
            <w:vAlign w:val="bottom"/>
            <w:shd w:val="clear" w:color="auto" w:fill="ACACAC"/>
          </w:tcPr>
          <w:p>
            <w:pPr>
              <w:spacing w:after="0"/>
              <w:rPr>
                <w:sz w:val="16"/>
                <w:szCs w:val="16"/>
                <w:color w:val="auto"/>
              </w:rPr>
            </w:pPr>
          </w:p>
        </w:tc>
        <w:tc>
          <w:tcPr>
            <w:tcW w:w="1000" w:type="dxa"/>
            <w:vAlign w:val="bottom"/>
            <w:vMerge w:val="continue"/>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40" w:type="dxa"/>
            <w:vAlign w:val="bottom"/>
            <w:vMerge w:val="continue"/>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6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4,011</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6,303</w:t>
            </w:r>
          </w:p>
        </w:tc>
        <w:tc>
          <w:tcPr>
            <w:tcW w:w="500" w:type="dxa"/>
            <w:vAlign w:val="bottom"/>
            <w:tcBorders>
              <w:bottom w:val="single" w:sz="8" w:color="71BF43"/>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(971)</w:t>
            </w:r>
          </w:p>
        </w:tc>
        <w:tc>
          <w:tcPr>
            <w:tcW w:w="480" w:type="dxa"/>
            <w:vAlign w:val="bottom"/>
            <w:tcBorders>
              <w:bottom w:val="single" w:sz="8" w:color="71BF43"/>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302</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9,645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right="40" w:hanging="332"/>
        <w:spacing w:after="0" w:line="258" w:lineRule="auto"/>
        <w:tabs>
          <w:tab w:leader="none" w:pos="354" w:val="left"/>
        </w:tabs>
        <w:numPr>
          <w:ilvl w:val="0"/>
          <w:numId w:val="4"/>
        </w:numPr>
        <w:rPr>
          <w:rFonts w:ascii="Arial" w:cs="Arial" w:eastAsia="Arial" w:hAnsi="Arial"/>
          <w:sz w:val="14"/>
          <w:szCs w:val="14"/>
          <w:color w:val="auto"/>
        </w:rPr>
      </w:pPr>
      <w:r>
        <w:rPr>
          <w:rFonts w:ascii="Arial" w:cs="Arial" w:eastAsia="Arial" w:hAnsi="Arial"/>
          <w:sz w:val="14"/>
          <w:szCs w:val="14"/>
          <w:color w:val="auto"/>
        </w:rPr>
        <w:t>Upon adoption of ASU 2016-13 at January 1, 2020, we reclassified certain balances previously disclosed within the allowance for sales returns to the allowance for credit losses, as these amounts reflect the credit risk associated with our accounts receivable.</w:t>
      </w:r>
    </w:p>
    <w:p>
      <w:pPr>
        <w:spacing w:after="0" w:line="13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increase in our allowance for credit losses during the nine months ended September 30, 2020 was primarily due to an increase in the aging of our receivables and observed changes in some of our customers' payment behavior associated with the COVID-19 pandemic, which may continue in the near term. The amount of write-offs during the nine months ended September 30, 2020 was lower than the amount of write-offs during the same period in 2019 as we temporarily suspended sending past due customer accounts to collections during the second and third quarters due to payment delays related to COVID-19.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sales returns</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10 </w:t>
      </w:r>
      <w:r>
        <w:rPr>
          <w:sz w:val="1"/>
          <w:szCs w:val="1"/>
          <w:color w:val="auto"/>
        </w:rPr>
        <w:drawing>
          <wp:inline distT="0" distB="0" distL="0" distR="0">
            <wp:extent cx="745490" cy="1885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sales returns.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420" w:type="dxa"/>
            <w:vAlign w:val="bottom"/>
            <w:shd w:val="clear" w:color="auto" w:fill="ACACAC"/>
          </w:tcPr>
          <w:p>
            <w:pPr>
              <w:spacing w:after="0"/>
              <w:rPr>
                <w:sz w:val="14"/>
                <w:szCs w:val="14"/>
                <w:color w:val="auto"/>
              </w:rPr>
            </w:pPr>
          </w:p>
        </w:tc>
        <w:tc>
          <w:tcPr>
            <w:tcW w:w="16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720" w:type="dxa"/>
            <w:vAlign w:val="bottom"/>
            <w:shd w:val="clear" w:color="auto" w:fill="ACACAC"/>
          </w:tcPr>
          <w:p>
            <w:pPr>
              <w:spacing w:after="0"/>
              <w:rPr>
                <w:sz w:val="14"/>
                <w:szCs w:val="14"/>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Provision/</w:t>
            </w:r>
          </w:p>
        </w:tc>
        <w:tc>
          <w:tcPr>
            <w:tcW w:w="740" w:type="dxa"/>
            <w:vAlign w:val="bottom"/>
            <w:shd w:val="clear" w:color="auto" w:fill="ACACAC"/>
          </w:tcPr>
          <w:p>
            <w:pPr>
              <w:spacing w:after="0"/>
              <w:rPr>
                <w:sz w:val="14"/>
                <w:szCs w:val="14"/>
                <w:color w:val="auto"/>
              </w:rPr>
            </w:pPr>
          </w:p>
        </w:tc>
        <w:tc>
          <w:tcPr>
            <w:tcW w:w="13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Deduction</w:t>
            </w:r>
          </w:p>
        </w:tc>
        <w:tc>
          <w:tcPr>
            <w:tcW w:w="440" w:type="dxa"/>
            <w:vAlign w:val="bottom"/>
            <w:shd w:val="clear" w:color="auto" w:fill="ACACAC"/>
          </w:tcPr>
          <w:p>
            <w:pPr>
              <w:spacing w:after="0"/>
              <w:rPr>
                <w:sz w:val="14"/>
                <w:szCs w:val="14"/>
                <w:color w:val="auto"/>
              </w:rPr>
            </w:pPr>
          </w:p>
        </w:tc>
        <w:tc>
          <w:tcPr>
            <w:tcW w:w="16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00" w:type="dxa"/>
            <w:vAlign w:val="bottom"/>
            <w:vMerge w:val="continue"/>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680" w:type="dxa"/>
            <w:vAlign w:val="bottom"/>
            <w:shd w:val="clear" w:color="auto" w:fill="ACACAC"/>
          </w:tcPr>
          <w:p>
            <w:pPr>
              <w:jc w:val="right"/>
              <w:spacing w:after="0" w:line="176" w:lineRule="exact"/>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8"/>
                <w:szCs w:val="18"/>
                <w:b w:val="1"/>
                <w:bCs w:val="1"/>
                <w:color w:val="FFFFFF"/>
                <w:vertAlign w:val="superscript"/>
              </w:rPr>
              <w:t>(1)</w:t>
            </w:r>
          </w:p>
        </w:tc>
        <w:tc>
          <w:tcPr>
            <w:tcW w:w="720" w:type="dxa"/>
            <w:vAlign w:val="bottom"/>
            <w:shd w:val="clear" w:color="auto" w:fill="ACACAC"/>
          </w:tcPr>
          <w:p>
            <w:pPr>
              <w:spacing w:after="0"/>
              <w:rPr>
                <w:sz w:val="16"/>
                <w:szCs w:val="16"/>
                <w:color w:val="auto"/>
              </w:rPr>
            </w:pP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adjustment</w:t>
            </w:r>
          </w:p>
        </w:tc>
        <w:tc>
          <w:tcPr>
            <w:tcW w:w="740" w:type="dxa"/>
            <w:vAlign w:val="bottom"/>
            <w:shd w:val="clear" w:color="auto" w:fill="ACACAC"/>
          </w:tcPr>
          <w:p>
            <w:pPr>
              <w:spacing w:after="0"/>
              <w:rPr>
                <w:sz w:val="16"/>
                <w:szCs w:val="16"/>
                <w:color w:val="auto"/>
              </w:rPr>
            </w:pPr>
          </w:p>
        </w:tc>
        <w:tc>
          <w:tcPr>
            <w:tcW w:w="1360" w:type="dxa"/>
            <w:vAlign w:val="bottom"/>
            <w:vMerge w:val="continue"/>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6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1,518</w:t>
            </w:r>
          </w:p>
        </w:tc>
        <w:tc>
          <w:tcPr>
            <w:tcW w:w="720" w:type="dxa"/>
            <w:vAlign w:val="bottom"/>
            <w:tcBorders>
              <w:bottom w:val="single" w:sz="8" w:color="71BF43"/>
            </w:tcBorders>
            <w:shd w:val="clear" w:color="auto" w:fill="F4F4F4"/>
          </w:tcPr>
          <w:p>
            <w:pPr>
              <w:jc w:val="right"/>
              <w:ind w:right="5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3,853</w:t>
            </w:r>
          </w:p>
        </w:tc>
        <w:tc>
          <w:tcPr>
            <w:tcW w:w="740" w:type="dxa"/>
            <w:vAlign w:val="bottom"/>
            <w:tcBorders>
              <w:bottom w:val="single" w:sz="8" w:color="71BF43"/>
            </w:tcBorders>
            <w:shd w:val="clear" w:color="auto" w:fill="F4F4F4"/>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(4,289)</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right="20" w:hanging="332"/>
        <w:spacing w:after="0" w:line="258" w:lineRule="auto"/>
        <w:tabs>
          <w:tab w:leader="none" w:pos="354"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discussed above, we reclassified certain balances previously disclosed within the allowance for sales returns to the allowance for credit losses upon adoption of ASU 2016-13 at January 1, 2020.</w:t>
      </w:r>
    </w:p>
    <w:p>
      <w:pPr>
        <w:spacing w:after="0" w:line="332" w:lineRule="exact"/>
        <w:rPr>
          <w:rFonts w:ascii="Arial" w:cs="Arial" w:eastAsia="Arial" w:hAnsi="Arial"/>
          <w:sz w:val="14"/>
          <w:szCs w:val="14"/>
          <w:color w:val="auto"/>
        </w:rPr>
      </w:pPr>
    </w:p>
    <w:p>
      <w:pPr>
        <w:ind w:left="260" w:hanging="234"/>
        <w:spacing w:after="0"/>
        <w:tabs>
          <w:tab w:leader="none" w:pos="260"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nine months ended September 30,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2019</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rPr>
        <w:t>Total</w:t>
      </w:r>
    </w:p>
    <w:p>
      <w:pPr>
        <w:spacing w:after="0" w:line="54" w:lineRule="exact"/>
        <w:rPr>
          <w:sz w:val="20"/>
          <w:szCs w:val="20"/>
          <w:color w:val="auto"/>
        </w:rPr>
      </w:pPr>
    </w:p>
    <w:p>
      <w:pPr>
        <w:ind w:left="707" w:hanging="707"/>
        <w:spacing w:after="0"/>
        <w:tabs>
          <w:tab w:leader="none" w:pos="707" w:val="left"/>
        </w:tabs>
        <w:numPr>
          <w:ilvl w:val="0"/>
          <w:numId w:val="6"/>
        </w:numPr>
        <w:rPr>
          <w:rFonts w:ascii="Arial" w:cs="Arial" w:eastAsia="Arial" w:hAnsi="Arial"/>
          <w:sz w:val="18"/>
          <w:szCs w:val="18"/>
          <w:color w:val="auto"/>
        </w:rPr>
      </w:pPr>
      <w:r>
        <w:rPr>
          <w:rFonts w:ascii="Arial" w:cs="Arial" w:eastAsia="Arial" w:hAnsi="Arial"/>
          <w:sz w:val="18"/>
          <w:szCs w:val="18"/>
          <w:color w:val="auto"/>
        </w:rPr>
        <w:t>634,088</w:t>
      </w:r>
    </w:p>
    <w:p>
      <w:pPr>
        <w:spacing w:after="0" w:line="22" w:lineRule="exact"/>
        <w:rPr>
          <w:rFonts w:ascii="Arial" w:cs="Arial" w:eastAsia="Arial" w:hAnsi="Arial"/>
          <w:sz w:val="18"/>
          <w:szCs w:val="18"/>
          <w:color w:val="auto"/>
        </w:rPr>
      </w:pPr>
    </w:p>
    <w:p>
      <w:pPr>
        <w:ind w:left="827"/>
        <w:spacing w:after="0"/>
        <w:rPr>
          <w:rFonts w:ascii="Arial" w:cs="Arial" w:eastAsia="Arial" w:hAnsi="Arial"/>
          <w:sz w:val="18"/>
          <w:szCs w:val="18"/>
          <w:color w:val="auto"/>
        </w:rPr>
      </w:pPr>
      <w:r>
        <w:rPr>
          <w:rFonts w:ascii="Arial" w:cs="Arial" w:eastAsia="Arial" w:hAnsi="Arial"/>
          <w:sz w:val="18"/>
          <w:szCs w:val="18"/>
          <w:color w:val="auto"/>
        </w:rPr>
        <w:t>(1,248)</w:t>
      </w:r>
    </w:p>
    <w:p>
      <w:pPr>
        <w:spacing w:after="0" w:line="36" w:lineRule="exact"/>
        <w:rPr>
          <w:sz w:val="20"/>
          <w:szCs w:val="20"/>
          <w:color w:val="auto"/>
        </w:rPr>
      </w:pPr>
    </w:p>
    <w:p>
      <w:pPr>
        <w:ind w:left="707" w:hanging="707"/>
        <w:spacing w:after="0"/>
        <w:tabs>
          <w:tab w:leader="none" w:pos="707" w:val="left"/>
        </w:tabs>
        <w:numPr>
          <w:ilvl w:val="0"/>
          <w:numId w:val="7"/>
        </w:numPr>
        <w:rPr>
          <w:rFonts w:ascii="Arial" w:cs="Arial" w:eastAsia="Arial" w:hAnsi="Arial"/>
          <w:sz w:val="18"/>
          <w:szCs w:val="18"/>
          <w:color w:val="auto"/>
        </w:rPr>
      </w:pPr>
      <w:r>
        <w:rPr>
          <w:rFonts w:ascii="Arial" w:cs="Arial" w:eastAsia="Arial" w:hAnsi="Arial"/>
          <w:sz w:val="18"/>
          <w:szCs w:val="18"/>
          <w:color w:val="auto"/>
        </w:rPr>
        <w:t>632,840</w:t>
      </w:r>
    </w:p>
    <w:p>
      <w:pPr>
        <w:spacing w:after="0" w:line="200" w:lineRule="exact"/>
        <w:rPr>
          <w:sz w:val="20"/>
          <w:szCs w:val="20"/>
          <w:color w:val="auto"/>
        </w:rPr>
      </w:pPr>
    </w:p>
    <w:p>
      <w:pPr>
        <w:sectPr>
          <w:pgSz w:w="11900" w:h="16838" w:orient="portrait"/>
          <w:cols w:equalWidth="0" w:num="2">
            <w:col w:w="9093" w:space="720"/>
            <w:col w:w="1447"/>
          </w:cols>
          <w:pgMar w:left="320" w:top="126" w:right="319" w:bottom="1440" w:gutter="0" w:footer="0" w:header="0"/>
          <w:type w:val="continuous"/>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shd w:val="clear" w:color="auto" w:fill="ACACAC"/>
          </w:tcPr>
          <w:p>
            <w:pPr>
              <w:spacing w:after="0"/>
              <w:rPr>
                <w:sz w:val="14"/>
                <w:szCs w:val="14"/>
                <w:color w:val="auto"/>
              </w:rPr>
            </w:pPr>
          </w:p>
        </w:tc>
        <w:tc>
          <w:tcPr>
            <w:tcW w:w="26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26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76"/>
        </w:trPr>
        <w:tc>
          <w:tcPr>
            <w:tcW w:w="5900" w:type="dxa"/>
            <w:vAlign w:val="bottom"/>
            <w:shd w:val="clear" w:color="auto" w:fill="ACACAC"/>
          </w:tcPr>
          <w:p>
            <w:pPr>
              <w:spacing w:after="0"/>
              <w:rPr>
                <w:sz w:val="15"/>
                <w:szCs w:val="15"/>
                <w:color w:val="auto"/>
              </w:rPr>
            </w:pPr>
          </w:p>
        </w:tc>
        <w:tc>
          <w:tcPr>
            <w:tcW w:w="1310" w:type="dxa"/>
            <w:vAlign w:val="bottom"/>
            <w:shd w:val="clear" w:color="auto" w:fill="ACACAC"/>
          </w:tcPr>
          <w:p>
            <w:pPr>
              <w:spacing w:after="0"/>
              <w:rPr>
                <w:sz w:val="15"/>
                <w:szCs w:val="15"/>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1320" w:type="dxa"/>
            <w:vAlign w:val="bottom"/>
            <w:shd w:val="clear" w:color="auto" w:fill="ACACAC"/>
          </w:tcPr>
          <w:p>
            <w:pPr>
              <w:spacing w:after="0"/>
              <w:rPr>
                <w:sz w:val="15"/>
                <w:szCs w:val="15"/>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16"/>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18"/>
                <w:szCs w:val="18"/>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-136525</wp:posOffset>
            </wp:positionV>
            <wp:extent cx="34029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21,338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10,584</w:t>
            </w:r>
          </w:p>
        </w:tc>
      </w:tr>
      <w:tr>
        <w:trPr>
          <w:trHeight w:val="230"/>
        </w:trPr>
        <w:tc>
          <w:tcPr>
            <w:tcW w:w="5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30"/>
        </w:trPr>
        <w:tc>
          <w:tcPr>
            <w:tcW w:w="5900" w:type="dxa"/>
            <w:vAlign w:val="bottom"/>
          </w:tcPr>
          <w:p>
            <w:pPr>
              <w:ind w:left="12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48,271,139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47,757,769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48,182,799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47,668,235</w:t>
            </w:r>
          </w:p>
        </w:tc>
      </w:tr>
      <w:tr>
        <w:trPr>
          <w:trHeight w:val="230"/>
        </w:trPr>
        <w:tc>
          <w:tcPr>
            <w:tcW w:w="5900" w:type="dxa"/>
            <w:vAlign w:val="bottom"/>
            <w:shd w:val="clear" w:color="auto" w:fill="F4F4F4"/>
          </w:tcPr>
          <w:p>
            <w:pPr>
              <w:ind w:left="12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r>
      <w:tr>
        <w:trPr>
          <w:trHeight w:val="229"/>
        </w:trPr>
        <w:tc>
          <w:tcPr>
            <w:tcW w:w="5900" w:type="dxa"/>
            <w:vAlign w:val="bottom"/>
            <w:tcBorders>
              <w:bottom w:val="single" w:sz="8" w:color="F4F4F4"/>
            </w:tcBorders>
          </w:tcPr>
          <w:p>
            <w:pPr>
              <w:ind w:left="34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588,568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706,760</w:t>
            </w:r>
          </w:p>
        </w:tc>
        <w:tc>
          <w:tcPr>
            <w:tcW w:w="100" w:type="dxa"/>
            <w:vAlign w:val="bottom"/>
            <w:tcBorders>
              <w:bottom w:val="single" w:sz="8" w:color="F4F4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399,269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555,477</w:t>
            </w:r>
          </w:p>
        </w:tc>
      </w:tr>
      <w:tr>
        <w:trPr>
          <w:trHeight w:val="223"/>
        </w:trPr>
        <w:tc>
          <w:tcPr>
            <w:tcW w:w="5900" w:type="dxa"/>
            <w:vAlign w:val="bottom"/>
            <w:shd w:val="clear" w:color="auto" w:fill="F4F4F4"/>
          </w:tcPr>
          <w:p>
            <w:pPr>
              <w:ind w:left="12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48,859,707</w:t>
            </w:r>
          </w:p>
        </w:tc>
        <w:tc>
          <w:tcPr>
            <w:tcW w:w="24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48,464,529</w:t>
            </w:r>
          </w:p>
        </w:tc>
        <w:tc>
          <w:tcPr>
            <w:tcW w:w="100" w:type="dxa"/>
            <w:vAlign w:val="bottom"/>
            <w:shd w:val="clear" w:color="auto" w:fill="F4F4F4"/>
          </w:tcPr>
          <w:p>
            <w:pPr>
              <w:spacing w:after="0"/>
              <w:rPr>
                <w:sz w:val="19"/>
                <w:szCs w:val="19"/>
                <w:color w:val="auto"/>
              </w:rPr>
            </w:pPr>
          </w:p>
        </w:tc>
        <w:tc>
          <w:tcPr>
            <w:tcW w:w="22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48,582,068</w:t>
            </w:r>
          </w:p>
        </w:tc>
        <w:tc>
          <w:tcPr>
            <w:tcW w:w="26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48,223,712</w:t>
            </w:r>
          </w:p>
        </w:tc>
      </w:tr>
      <w:tr>
        <w:trPr>
          <w:trHeight w:val="209"/>
        </w:trPr>
        <w:tc>
          <w:tcPr>
            <w:tcW w:w="5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900" w:type="dxa"/>
            <w:vAlign w:val="bottom"/>
            <w:shd w:val="clear" w:color="auto" w:fill="F4F4F4"/>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F4F4F4"/>
          </w:tcPr>
          <w:p>
            <w:pPr>
              <w:spacing w:after="0"/>
              <w:rPr>
                <w:sz w:val="19"/>
                <w:szCs w:val="19"/>
                <w:color w:val="auto"/>
              </w:rPr>
            </w:pP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590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0"/>
        </w:trPr>
        <w:tc>
          <w:tcPr>
            <w:tcW w:w="59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4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6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r>
      <w:tr>
        <w:trPr>
          <w:trHeight w:val="188"/>
        </w:trPr>
        <w:tc>
          <w:tcPr>
            <w:tcW w:w="5900" w:type="dxa"/>
            <w:vAlign w:val="bottom"/>
          </w:tcPr>
          <w:p>
            <w:pPr>
              <w:ind w:left="20"/>
              <w:spacing w:after="0" w:line="189" w:lineRule="exact"/>
              <w:rPr>
                <w:sz w:val="20"/>
                <w:szCs w:val="20"/>
                <w:color w:val="auto"/>
              </w:rPr>
            </w:pPr>
            <w:r>
              <w:rPr>
                <w:rFonts w:ascii="Arial" w:cs="Arial" w:eastAsia="Arial" w:hAnsi="Arial"/>
                <w:sz w:val="18"/>
                <w:szCs w:val="18"/>
                <w:color w:val="auto"/>
              </w:rPr>
              <w:t>Anti-dilutive shares excluded from calculations of diluted earnings per</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590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71BF43"/>
            </w:tcBorders>
          </w:tcPr>
          <w:p>
            <w:pPr>
              <w:spacing w:after="0"/>
              <w:rPr>
                <w:sz w:val="18"/>
                <w:szCs w:val="18"/>
                <w:color w:val="auto"/>
              </w:rPr>
            </w:pPr>
          </w:p>
        </w:tc>
        <w:tc>
          <w:tcPr>
            <w:tcW w:w="10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915,226</w:t>
            </w:r>
          </w:p>
        </w:tc>
        <w:tc>
          <w:tcPr>
            <w:tcW w:w="240" w:type="dxa"/>
            <w:vAlign w:val="bottom"/>
            <w:tcBorders>
              <w:bottom w:val="single" w:sz="8" w:color="71BF43"/>
            </w:tcBorders>
          </w:tcPr>
          <w:p>
            <w:pPr>
              <w:spacing w:after="0"/>
              <w:rPr>
                <w:sz w:val="18"/>
                <w:szCs w:val="18"/>
                <w:color w:val="auto"/>
              </w:rPr>
            </w:pP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227,523</w:t>
            </w:r>
          </w:p>
        </w:tc>
        <w:tc>
          <w:tcPr>
            <w:tcW w:w="100" w:type="dxa"/>
            <w:vAlign w:val="bottom"/>
            <w:tcBorders>
              <w:bottom w:val="single" w:sz="8" w:color="71BF43"/>
            </w:tcBorders>
          </w:tcPr>
          <w:p>
            <w:pPr>
              <w:spacing w:after="0"/>
              <w:rPr>
                <w:sz w:val="18"/>
                <w:szCs w:val="18"/>
                <w:color w:val="auto"/>
              </w:rPr>
            </w:pPr>
          </w:p>
        </w:tc>
        <w:tc>
          <w:tcPr>
            <w:tcW w:w="220" w:type="dxa"/>
            <w:vAlign w:val="bottom"/>
            <w:tcBorders>
              <w:bottom w:val="single" w:sz="8" w:color="71BF43"/>
            </w:tcBorders>
          </w:tcPr>
          <w:p>
            <w:pPr>
              <w:spacing w:after="0"/>
              <w:rPr>
                <w:sz w:val="18"/>
                <w:szCs w:val="18"/>
                <w:color w:val="auto"/>
              </w:rPr>
            </w:pPr>
          </w:p>
        </w:tc>
        <w:tc>
          <w:tcPr>
            <w:tcW w:w="10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1,036,445</w:t>
            </w:r>
          </w:p>
        </w:tc>
        <w:tc>
          <w:tcPr>
            <w:tcW w:w="260" w:type="dxa"/>
            <w:vAlign w:val="bottom"/>
            <w:tcBorders>
              <w:bottom w:val="single" w:sz="8" w:color="71BF43"/>
            </w:tcBorders>
          </w:tcPr>
          <w:p>
            <w:pPr>
              <w:spacing w:after="0"/>
              <w:rPr>
                <w:sz w:val="18"/>
                <w:szCs w:val="18"/>
                <w:color w:val="auto"/>
              </w:rPr>
            </w:pP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252,282</w:t>
            </w:r>
          </w:p>
        </w:tc>
      </w:tr>
      <w:tr>
        <w:trPr>
          <w:trHeight w:val="899"/>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4"/>
          </w:tcPr>
          <w:p>
            <w:pPr>
              <w:jc w:val="right"/>
              <w:ind w:right="290"/>
              <w:spacing w:after="0"/>
              <w:rPr>
                <w:sz w:val="20"/>
                <w:szCs w:val="20"/>
                <w:color w:val="auto"/>
              </w:rPr>
            </w:pPr>
            <w:r>
              <w:rPr>
                <w:rFonts w:ascii="Arial" w:cs="Arial" w:eastAsia="Arial" w:hAnsi="Arial"/>
                <w:sz w:val="14"/>
                <w:szCs w:val="14"/>
                <w:color w:val="auto"/>
              </w:rPr>
              <w:t>Third Quarter 2020 Form 10-Q</w:t>
            </w:r>
          </w:p>
        </w:tc>
        <w:tc>
          <w:tcPr>
            <w:tcW w:w="26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rPr>
              <w:t>11</w:t>
            </w:r>
          </w:p>
        </w:tc>
      </w:tr>
      <w:tr>
        <w:trPr>
          <w:trHeight w:val="114"/>
        </w:trPr>
        <w:tc>
          <w:tcPr>
            <w:tcW w:w="5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74549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17" w:lineRule="exact"/>
        <w:rPr>
          <w:sz w:val="20"/>
          <w:szCs w:val="20"/>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jc w:val="both"/>
        <w:ind w:left="740" w:hanging="327"/>
        <w:spacing w:after="0" w:line="256" w:lineRule="auto"/>
        <w:tabs>
          <w:tab w:leader="none" w:pos="70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145"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FFFFFF"/>
        </w:rPr>
        <w:t>Fair value measurement using</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880" w:type="dxa"/>
            <w:vAlign w:val="bottom"/>
          </w:tcPr>
          <w:p>
            <w:pPr>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shd w:val="clear" w:color="auto" w:fill="ACACAC"/>
          </w:tcPr>
          <w:p>
            <w:pPr>
              <w:ind w:left="1000"/>
              <w:spacing w:after="0"/>
              <w:rPr>
                <w:sz w:val="20"/>
                <w:szCs w:val="20"/>
                <w:color w:val="auto"/>
              </w:rPr>
            </w:pPr>
            <w:r>
              <w:rPr>
                <w:rFonts w:ascii="Arial" w:cs="Arial" w:eastAsia="Arial" w:hAnsi="Arial"/>
                <w:sz w:val="14"/>
                <w:szCs w:val="14"/>
                <w:b w:val="1"/>
                <w:bCs w:val="1"/>
                <w:color w:val="FFFFFF"/>
              </w:rPr>
              <w:t>Level 1</w:t>
            </w:r>
          </w:p>
        </w:tc>
        <w:tc>
          <w:tcPr>
            <w:tcW w:w="100" w:type="dxa"/>
            <w:vAlign w:val="bottom"/>
            <w:tcBorders>
              <w:right w:val="single" w:sz="8" w:color="ACACAC"/>
            </w:tcBorders>
          </w:tcPr>
          <w:p>
            <w:pPr>
              <w:spacing w:after="0"/>
              <w:rPr>
                <w:sz w:val="17"/>
                <w:szCs w:val="17"/>
                <w:color w:val="auto"/>
              </w:rPr>
            </w:pPr>
          </w:p>
        </w:tc>
        <w:tc>
          <w:tcPr>
            <w:tcW w:w="1500" w:type="dxa"/>
            <w:vAlign w:val="bottom"/>
            <w:tcBorders>
              <w:right w:val="single" w:sz="8" w:color="ACACAC"/>
            </w:tcBorders>
          </w:tcPr>
          <w:p>
            <w:pPr>
              <w:ind w:left="980"/>
              <w:spacing w:after="0"/>
              <w:rPr>
                <w:sz w:val="20"/>
                <w:szCs w:val="20"/>
                <w:color w:val="auto"/>
              </w:rPr>
            </w:pPr>
            <w:r>
              <w:rPr>
                <w:rFonts w:ascii="Arial" w:cs="Arial" w:eastAsia="Arial" w:hAnsi="Arial"/>
                <w:sz w:val="14"/>
                <w:szCs w:val="14"/>
                <w:b w:val="1"/>
                <w:bCs w:val="1"/>
                <w:color w:val="FFFFFF"/>
              </w:rPr>
              <w:t>Level 2</w:t>
            </w:r>
          </w:p>
        </w:tc>
        <w:tc>
          <w:tcPr>
            <w:tcW w:w="120" w:type="dxa"/>
            <w:vAlign w:val="bottom"/>
            <w:tcBorders>
              <w:right w:val="single" w:sz="8" w:color="ACACAC"/>
            </w:tcBorders>
          </w:tcPr>
          <w:p>
            <w:pPr>
              <w:spacing w:after="0"/>
              <w:rPr>
                <w:sz w:val="17"/>
                <w:szCs w:val="17"/>
                <w:color w:val="auto"/>
              </w:rPr>
            </w:pPr>
          </w:p>
        </w:tc>
        <w:tc>
          <w:tcPr>
            <w:tcW w:w="1460" w:type="dxa"/>
            <w:vAlign w:val="bottom"/>
          </w:tcPr>
          <w:p>
            <w:pPr>
              <w:ind w:left="960"/>
              <w:spacing w:after="0"/>
              <w:rPr>
                <w:sz w:val="20"/>
                <w:szCs w:val="20"/>
                <w:color w:val="auto"/>
              </w:rPr>
            </w:pPr>
            <w:r>
              <w:rPr>
                <w:rFonts w:ascii="Arial" w:cs="Arial" w:eastAsia="Arial" w:hAnsi="Arial"/>
                <w:sz w:val="14"/>
                <w:szCs w:val="14"/>
                <w:b w:val="1"/>
                <w:bCs w:val="1"/>
                <w:color w:val="FFFFFF"/>
              </w:rPr>
              <w:t>Level 3</w:t>
            </w:r>
          </w:p>
        </w:tc>
      </w:tr>
    </w:tbl>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Total</w:t>
      </w:r>
    </w:p>
    <w:p>
      <w:pPr>
        <w:spacing w:after="0" w:line="42" w:lineRule="exact"/>
        <w:rPr>
          <w:sz w:val="20"/>
          <w:szCs w:val="20"/>
          <w:color w:val="auto"/>
        </w:rPr>
      </w:pPr>
    </w:p>
    <w:p>
      <w:pPr>
        <w:sectPr>
          <w:pgSz w:w="11900" w:h="16838" w:orient="portrait"/>
          <w:cols w:equalWidth="0" w:num="2">
            <w:col w:w="10160" w:space="720"/>
            <w:col w:w="360"/>
          </w:cols>
          <w:pgMar w:left="320" w:top="126"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Fair value as of September 30, 2020</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liabilities: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shd w:val="clear" w:color="auto" w:fill="F4F4F4"/>
          </w:tcPr>
          <w:p>
            <w:pPr>
              <w:ind w:left="120"/>
              <w:spacing w:after="0"/>
              <w:rPr>
                <w:sz w:val="20"/>
                <w:szCs w:val="20"/>
                <w:color w:val="auto"/>
              </w:rPr>
            </w:pPr>
            <w:r>
              <w:rPr>
                <w:rFonts w:ascii="Arial" w:cs="Arial" w:eastAsia="Arial" w:hAnsi="Arial"/>
                <w:sz w:val="18"/>
                <w:szCs w:val="18"/>
                <w:color w:val="auto"/>
              </w:rPr>
              <w:t>Derivative instruments</w:t>
            </w:r>
          </w:p>
        </w:tc>
        <w:tc>
          <w:tcPr>
            <w:tcW w:w="680" w:type="dxa"/>
            <w:vAlign w:val="bottom"/>
            <w:tcBorders>
              <w:bottom w:val="single" w:sz="8" w:color="auto"/>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F4F4F4"/>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8"/>
                <w:szCs w:val="18"/>
                <w:color w:val="auto"/>
              </w:rPr>
            </w:pP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F4F4F4"/>
          </w:tcPr>
          <w:p>
            <w:pPr>
              <w:spacing w:after="0"/>
              <w:rPr>
                <w:sz w:val="18"/>
                <w:szCs w:val="18"/>
                <w:color w:val="auto"/>
              </w:rPr>
            </w:pPr>
          </w:p>
        </w:tc>
        <w:tc>
          <w:tcPr>
            <w:tcW w:w="680" w:type="dxa"/>
            <w:vAlign w:val="bottom"/>
            <w:tcBorders>
              <w:bottom w:val="single" w:sz="8" w:color="auto"/>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F4F4F4"/>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8"/>
                <w:szCs w:val="18"/>
                <w:color w:val="auto"/>
              </w:rPr>
            </w:pPr>
          </w:p>
        </w:tc>
        <w:tc>
          <w:tcPr>
            <w:tcW w:w="540" w:type="dxa"/>
            <w:vAlign w:val="bottom"/>
            <w:tcBorders>
              <w:bottom w:val="single" w:sz="8" w:color="auto"/>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3,957</w:t>
            </w: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financial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3,957</w:t>
            </w:r>
          </w:p>
        </w:tc>
      </w:tr>
      <w:tr>
        <w:trPr>
          <w:trHeight w:val="270"/>
        </w:trPr>
        <w:tc>
          <w:tcPr>
            <w:tcW w:w="4920" w:type="dxa"/>
            <w:vAlign w:val="bottom"/>
            <w:shd w:val="clear" w:color="auto" w:fill="F4F4F4"/>
          </w:tcPr>
          <w:p>
            <w:pPr>
              <w:spacing w:after="0"/>
              <w:rPr>
                <w:sz w:val="23"/>
                <w:szCs w:val="23"/>
                <w:color w:val="auto"/>
              </w:rPr>
            </w:pPr>
          </w:p>
        </w:tc>
        <w:tc>
          <w:tcPr>
            <w:tcW w:w="680" w:type="dxa"/>
            <w:vAlign w:val="bottom"/>
            <w:shd w:val="clear" w:color="auto" w:fill="F4F4F4"/>
          </w:tcPr>
          <w:p>
            <w:pPr>
              <w:spacing w:after="0"/>
              <w:rPr>
                <w:sz w:val="23"/>
                <w:szCs w:val="23"/>
                <w:color w:val="auto"/>
              </w:rPr>
            </w:pPr>
          </w:p>
        </w:tc>
        <w:tc>
          <w:tcPr>
            <w:tcW w:w="82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680" w:type="dxa"/>
            <w:vAlign w:val="bottom"/>
            <w:shd w:val="clear" w:color="auto" w:fill="F4F4F4"/>
          </w:tcPr>
          <w:p>
            <w:pPr>
              <w:spacing w:after="0"/>
              <w:rPr>
                <w:sz w:val="23"/>
                <w:szCs w:val="23"/>
                <w:color w:val="auto"/>
              </w:rPr>
            </w:pPr>
          </w:p>
        </w:tc>
        <w:tc>
          <w:tcPr>
            <w:tcW w:w="82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2019</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20" w:type="dxa"/>
            <w:vAlign w:val="bottom"/>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68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68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30"/>
        </w:trPr>
        <w:tc>
          <w:tcPr>
            <w:tcW w:w="4920" w:type="dxa"/>
            <w:vAlign w:val="bottom"/>
            <w:tcBorders>
              <w:bottom w:val="single" w:sz="8" w:color="F4F4F4"/>
            </w:tcBorders>
          </w:tcPr>
          <w:p>
            <w:pPr>
              <w:ind w:left="120"/>
              <w:spacing w:after="0"/>
              <w:rPr>
                <w:sz w:val="20"/>
                <w:szCs w:val="20"/>
                <w:color w:val="auto"/>
              </w:rPr>
            </w:pPr>
            <w:r>
              <w:rPr>
                <w:rFonts w:ascii="Arial" w:cs="Arial" w:eastAsia="Arial" w:hAnsi="Arial"/>
                <w:sz w:val="18"/>
                <w:szCs w:val="18"/>
                <w:color w:val="auto"/>
              </w:rPr>
              <w:t>Derivative instruments</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F4F4F4"/>
            </w:tcBorders>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r>
      <w:tr>
        <w:trPr>
          <w:trHeight w:val="223"/>
        </w:trPr>
        <w:tc>
          <w:tcPr>
            <w:tcW w:w="4920" w:type="dxa"/>
            <w:vAlign w:val="bottom"/>
            <w:tcBorders>
              <w:bottom w:val="single" w:sz="8" w:color="71BF43"/>
            </w:tcBorders>
            <w:shd w:val="clear" w:color="auto" w:fill="F4F4F4"/>
          </w:tcPr>
          <w:p>
            <w:pPr>
              <w:ind w:left="220"/>
              <w:spacing w:after="0"/>
              <w:rPr>
                <w:sz w:val="20"/>
                <w:szCs w:val="20"/>
                <w:color w:val="auto"/>
              </w:rPr>
            </w:pPr>
            <w:r>
              <w:rPr>
                <w:rFonts w:ascii="Arial" w:cs="Arial" w:eastAsia="Arial" w:hAnsi="Arial"/>
                <w:sz w:val="18"/>
                <w:szCs w:val="18"/>
                <w:color w:val="auto"/>
              </w:rPr>
              <w:t>Total financial liabilities</w:t>
            </w:r>
          </w:p>
        </w:tc>
        <w:tc>
          <w:tcPr>
            <w:tcW w:w="680" w:type="dxa"/>
            <w:vAlign w:val="bottom"/>
            <w:tcBorders>
              <w:bottom w:val="single" w:sz="8" w:color="71BF43"/>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gridSpan w:val="2"/>
            <w:shd w:val="clear" w:color="auto" w:fill="F4F4F4"/>
          </w:tcPr>
          <w:p>
            <w:pPr>
              <w:ind w:left="5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71BF43"/>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71BF43"/>
            </w:tcBorders>
            <w:shd w:val="clear" w:color="auto" w:fill="F4F4F4"/>
          </w:tcPr>
          <w:p>
            <w:pPr>
              <w:spacing w:after="0"/>
              <w:rPr>
                <w:sz w:val="19"/>
                <w:szCs w:val="19"/>
                <w:color w:val="auto"/>
              </w:rPr>
            </w:pPr>
          </w:p>
        </w:tc>
        <w:tc>
          <w:tcPr>
            <w:tcW w:w="680" w:type="dxa"/>
            <w:vAlign w:val="bottom"/>
            <w:tcBorders>
              <w:bottom w:val="single" w:sz="8" w:color="71BF43"/>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gridSpan w:val="2"/>
            <w:shd w:val="clear" w:color="auto" w:fill="F4F4F4"/>
          </w:tcPr>
          <w:p>
            <w:pPr>
              <w:ind w:left="5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71BF43"/>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1,757</w:t>
            </w:r>
          </w:p>
        </w:tc>
      </w:tr>
    </w:tbl>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September 30, 2020 and December 31, 2019, due to the immediate or short-term maturity of these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September 30, 2020 and December 31, 2019, as the debt bears interest rates that approximate market value. As LIBOR rates are observable at commonly quoted intervals, our debt under the 2017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nine months ended September 30, 2020. Additionally, we did not hold any Level 3 assets or liabilities during the nine months ended September 30, 2020.</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745490" cy="1885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Assets and liabilities that are measured at fair value on a non-recurring basis include intangible assets, goodwill and operating lease right-of-use ("ROU") assets, which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June 30, 2020, we recorded an impairment charge of $4.3 million against certain previously capitalized software development costs that reduced the carrying value of those assets to zero. The impairment charge is reflected in cost of recurring revenue and resulted primarily from our decision to accelerate the end of customer support for certain solutions. During the nine months ended September 30, 2020, we also recorded $2.9 million in impairments of operating lease ROU assets associated with certain leased office space we have ceased using or determined we will cease using. These impairment charges are reflected in general and administrative expense.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other non-recurring fair value adjustments to our long-lived assets, intangible assets, operating lease ROU assets and goodwill during the nine months ended September 30, 2020.</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6.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Headquarters Facility</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2020, we completed the purchase of the building, fixtures and other improvements and parcels of land of our headquarters facility in Charleston, South Carolina (the "Headquarters Facility"), pursuant to a Purchase and Sale Agreement (the "PSA") with HPBB1, LLC, a Georgia limited liability company (the "Seller") (the "Transaction"). Prior to the completion of the Transaction, we leased the Headquarters facility from the Seller. We paid the Seller a purchase price that included the assumption of the Seller's obligations of $61.1 million, cash of $15.2 million and certain lender fees, closing costs, adjustments and prorations as set forth in the PSA. We funded the cash portion of the purchase price through borrowings under the 2017 Credit Facility (as defined below). We capitalized the insignificant direct transaction costs we incurred as a component of the assets acquired.</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result of the Transaction, we derecognized the ROU asset and lease liability associated with the former lease and recorded the following long-lived assets on a relative fair value basis in property and equipment, net upon closing: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8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Assets</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Estimated useful life</w:t>
            </w:r>
          </w:p>
        </w:tc>
        <w:tc>
          <w:tcPr>
            <w:tcW w:w="0" w:type="dxa"/>
            <w:vAlign w:val="bottom"/>
          </w:tcPr>
          <w:p>
            <w:pPr>
              <w:spacing w:after="0"/>
              <w:rPr>
                <w:sz w:val="1"/>
                <w:szCs w:val="1"/>
                <w:color w:val="auto"/>
              </w:rPr>
            </w:pPr>
          </w:p>
        </w:tc>
      </w:tr>
      <w:tr>
        <w:trPr>
          <w:trHeight w:val="175"/>
        </w:trPr>
        <w:tc>
          <w:tcPr>
            <w:tcW w:w="7880" w:type="dxa"/>
            <w:vAlign w:val="bottom"/>
            <w:vMerge w:val="continue"/>
            <w:shd w:val="clear" w:color="auto" w:fill="ACACAC"/>
          </w:tcPr>
          <w:p>
            <w:pPr>
              <w:spacing w:after="0"/>
              <w:rPr>
                <w:sz w:val="15"/>
                <w:szCs w:val="15"/>
                <w:color w:val="auto"/>
              </w:rPr>
            </w:pPr>
          </w:p>
        </w:tc>
        <w:tc>
          <w:tcPr>
            <w:tcW w:w="580" w:type="dxa"/>
            <w:vAlign w:val="bottom"/>
            <w:shd w:val="clear" w:color="auto" w:fill="ACACAC"/>
          </w:tcPr>
          <w:p>
            <w:pPr>
              <w:spacing w:after="0"/>
              <w:rPr>
                <w:sz w:val="15"/>
                <w:szCs w:val="15"/>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0" w:type="dxa"/>
            <w:vAlign w:val="bottom"/>
          </w:tcPr>
          <w:p>
            <w:pPr>
              <w:spacing w:after="0"/>
              <w:rPr>
                <w:sz w:val="1"/>
                <w:szCs w:val="1"/>
                <w:color w:val="auto"/>
              </w:rPr>
            </w:pPr>
          </w:p>
        </w:tc>
      </w:tr>
      <w:tr>
        <w:trPr>
          <w:trHeight w:val="230"/>
        </w:trPr>
        <w:tc>
          <w:tcPr>
            <w:tcW w:w="7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9,548</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Building</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61,284</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Building systems</w:t>
            </w:r>
          </w:p>
        </w:tc>
        <w:tc>
          <w:tcPr>
            <w:tcW w:w="58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4,393</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8CBE4F"/>
            </w:tcBorders>
          </w:tcPr>
          <w:p>
            <w:pPr>
              <w:ind w:left="120"/>
              <w:spacing w:after="0"/>
              <w:rPr>
                <w:sz w:val="20"/>
                <w:szCs w:val="20"/>
                <w:color w:val="auto"/>
              </w:rPr>
            </w:pPr>
            <w:r>
              <w:rPr>
                <w:rFonts w:ascii="Arial" w:cs="Arial" w:eastAsia="Arial" w:hAnsi="Arial"/>
                <w:sz w:val="18"/>
                <w:szCs w:val="18"/>
                <w:color w:val="auto"/>
              </w:rPr>
              <w:t>Total long-lived assets</w:t>
            </w:r>
          </w:p>
        </w:tc>
        <w:tc>
          <w:tcPr>
            <w:tcW w:w="580" w:type="dxa"/>
            <w:vAlign w:val="bottom"/>
            <w:tcBorders>
              <w:bottom w:val="single" w:sz="8" w:color="8CBE4F"/>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8CBE4F"/>
            </w:tcBorders>
          </w:tcPr>
          <w:p>
            <w:pPr>
              <w:jc w:val="right"/>
              <w:spacing w:after="0"/>
              <w:rPr>
                <w:sz w:val="20"/>
                <w:szCs w:val="20"/>
                <w:color w:val="auto"/>
              </w:rPr>
            </w:pPr>
            <w:r>
              <w:rPr>
                <w:rFonts w:ascii="Arial" w:cs="Arial" w:eastAsia="Arial" w:hAnsi="Arial"/>
                <w:sz w:val="18"/>
                <w:szCs w:val="18"/>
                <w:color w:val="auto"/>
              </w:rPr>
              <w:t>75,225</w:t>
            </w:r>
          </w:p>
        </w:tc>
        <w:tc>
          <w:tcPr>
            <w:tcW w:w="1660" w:type="dxa"/>
            <w:vAlign w:val="bottom"/>
            <w:tcBorders>
              <w:bottom w:val="single" w:sz="8" w:color="8CBE4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expense</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Depreciation expense was $5.1 million and $12.3 million for the three and nine months ended September 30, 2020, respectively, and $3.8 million and $11.3 million for the three and nine months ended September 30, 2019, respectively.</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14"/>
                <w:szCs w:val="14"/>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40" w:type="dxa"/>
            <w:vAlign w:val="bottom"/>
            <w:vMerge w:val="continue"/>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202,455</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545,485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Real estate escrow balances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8CBE4F"/>
            </w:tcBorders>
            <w:shd w:val="clear" w:color="auto" w:fill="F4F4F4"/>
          </w:tcPr>
          <w:p>
            <w:pPr>
              <w:ind w:left="120"/>
              <w:spacing w:after="0"/>
              <w:rPr>
                <w:sz w:val="20"/>
                <w:szCs w:val="20"/>
                <w:color w:val="auto"/>
              </w:rPr>
            </w:pPr>
            <w:r>
              <w:rPr>
                <w:rFonts w:ascii="Arial" w:cs="Arial" w:eastAsia="Arial" w:hAnsi="Arial"/>
                <w:sz w:val="18"/>
                <w:szCs w:val="18"/>
                <w:color w:val="auto"/>
              </w:rPr>
              <w:t>Total restricted cash</w:t>
            </w:r>
          </w:p>
        </w:tc>
        <w:tc>
          <w:tcPr>
            <w:tcW w:w="380" w:type="dxa"/>
            <w:vAlign w:val="bottom"/>
            <w:tcBorders>
              <w:bottom w:val="single" w:sz="8" w:color="8CBE4F"/>
            </w:tcBorders>
            <w:shd w:val="clear" w:color="auto" w:fill="F4F4F4"/>
          </w:tcPr>
          <w:p>
            <w:pPr>
              <w:spacing w:after="0"/>
              <w:rPr>
                <w:sz w:val="19"/>
                <w:szCs w:val="19"/>
                <w:color w:val="auto"/>
              </w:rPr>
            </w:pPr>
          </w:p>
        </w:tc>
        <w:tc>
          <w:tcPr>
            <w:tcW w:w="128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203,660</w:t>
            </w:r>
          </w:p>
        </w:tc>
        <w:tc>
          <w:tcPr>
            <w:tcW w:w="400" w:type="dxa"/>
            <w:vAlign w:val="bottom"/>
            <w:tcBorders>
              <w:bottom w:val="single" w:sz="8" w:color="8CBE4F"/>
            </w:tcBorders>
            <w:shd w:val="clear" w:color="auto" w:fill="F4F4F4"/>
          </w:tcPr>
          <w:p>
            <w:pPr>
              <w:spacing w:after="0"/>
              <w:rPr>
                <w:sz w:val="19"/>
                <w:szCs w:val="19"/>
                <w:color w:val="auto"/>
              </w:rPr>
            </w:pPr>
          </w:p>
        </w:tc>
        <w:tc>
          <w:tcPr>
            <w:tcW w:w="12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545,485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7940" w:type="dxa"/>
            <w:vAlign w:val="bottom"/>
          </w:tcPr>
          <w:p>
            <w:pPr>
              <w:spacing w:after="0"/>
              <w:rPr>
                <w:sz w:val="20"/>
                <w:szCs w:val="20"/>
                <w:color w:val="auto"/>
              </w:rPr>
            </w:pPr>
            <w:r>
              <w:rPr>
                <w:rFonts w:ascii="Arial" w:cs="Arial" w:eastAsia="Arial" w:hAnsi="Arial"/>
                <w:sz w:val="18"/>
                <w:szCs w:val="18"/>
                <w:b w:val="1"/>
                <w:bCs w:val="1"/>
                <w:color w:val="auto"/>
              </w:rPr>
              <w:t>Prepaid expenses and other assets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14"/>
                <w:szCs w:val="14"/>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86,119</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28,999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(4)(5)</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11,372</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9,711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(6)</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2,949</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prepaid and receivable</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F4F4F4"/>
          </w:tcPr>
          <w:p>
            <w:pPr>
              <w:spacing w:after="0"/>
              <w:rPr>
                <w:sz w:val="19"/>
                <w:szCs w:val="19"/>
                <w:color w:val="auto"/>
              </w:rPr>
            </w:pP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6,494</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8,051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120"/>
              <w:spacing w:after="0"/>
              <w:rPr>
                <w:sz w:val="20"/>
                <w:szCs w:val="20"/>
                <w:color w:val="auto"/>
              </w:rPr>
            </w:pPr>
            <w:r>
              <w:rPr>
                <w:rFonts w:ascii="Arial" w:cs="Arial" w:eastAsia="Arial" w:hAnsi="Arial"/>
                <w:sz w:val="18"/>
                <w:szCs w:val="18"/>
                <w:color w:val="auto"/>
              </w:rPr>
              <w:t>Total prepaid expenses and other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149,378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380" w:type="dxa"/>
            <w:vAlign w:val="bottom"/>
            <w:tcBorders>
              <w:bottom w:val="single" w:sz="8" w:color="auto"/>
            </w:tcBorders>
            <w:shd w:val="clear" w:color="auto" w:fill="F4F4F4"/>
          </w:tcPr>
          <w:p>
            <w:pPr>
              <w:spacing w:after="0"/>
              <w:rPr>
                <w:sz w:val="19"/>
                <w:szCs w:val="19"/>
                <w:color w:val="auto"/>
              </w:rPr>
            </w:pPr>
          </w:p>
        </w:tc>
        <w:tc>
          <w:tcPr>
            <w:tcW w:w="12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72,617</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65,193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71BF43"/>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76,761</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67,852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4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$9.4 million and $28.2 million for the three and nine months ended September 30, 2020, respectively, and $9.2 million and $28.6 million for the three and nine months ended September 30, 2019, respectively.</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September 30, 2020 and December 31, 2019 was $32.1 million and $33.0 million, respectively.</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September 30, 2020 and December 31, 2019 was $23.5 million and $16.1 million, respectively.</w:t>
      </w:r>
    </w:p>
    <w:p>
      <w:pPr>
        <w:spacing w:after="0" w:line="162" w:lineRule="exact"/>
        <w:rPr>
          <w:rFonts w:ascii="Arial" w:cs="Arial" w:eastAsia="Arial" w:hAnsi="Arial"/>
          <w:sz w:val="14"/>
          <w:szCs w:val="14"/>
          <w:color w:val="auto"/>
        </w:rPr>
      </w:pPr>
    </w:p>
    <w:p>
      <w:pPr>
        <w:ind w:left="340" w:right="2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costs, which were previously included in prepaid software maintenance and subscriptions, primarily relate to the multi-year implementations of our new global enterprise resource planning and customer relationship management systems.</w:t>
      </w:r>
    </w:p>
    <w:p>
      <w:pPr>
        <w:ind w:left="340" w:right="20" w:hanging="332"/>
        <w:spacing w:after="0" w:line="241"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and nine months ended September 30, 2020 and 2019, respectively. Accumulated amortization for these costs was $0.7 million as of September 30, 2020 and insignificant as of December 31, 2019.</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discussion of the Security Incident at Note 10.</w:t>
      </w: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14 </w:t>
      </w:r>
      <w:r>
        <w:rPr>
          <w:sz w:val="1"/>
          <w:szCs w:val="1"/>
          <w:color w:val="auto"/>
        </w:rPr>
        <w:drawing>
          <wp:inline distT="0" distB="0" distL="0" distR="0">
            <wp:extent cx="745490" cy="1885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14"/>
                <w:szCs w:val="14"/>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16,633</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Accrued bonuses</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2,985</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Taxes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13,576</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3,957</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Unrecognized tax benefit</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3,833</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2,300</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2,781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9,248</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F4F4F4"/>
          </w:tcPr>
          <w:p>
            <w:pPr>
              <w:ind w:left="120"/>
              <w:spacing w:after="0"/>
              <w:rPr>
                <w:sz w:val="20"/>
                <w:szCs w:val="20"/>
                <w:color w:val="auto"/>
              </w:rPr>
            </w:pPr>
            <w:r>
              <w:rPr>
                <w:rFonts w:ascii="Arial" w:cs="Arial" w:eastAsia="Arial" w:hAnsi="Arial"/>
                <w:sz w:val="18"/>
                <w:szCs w:val="18"/>
                <w:color w:val="auto"/>
              </w:rPr>
              <w:t>Total accrued expenses and other liabilities</w:t>
            </w:r>
          </w:p>
        </w:tc>
        <w:tc>
          <w:tcPr>
            <w:tcW w:w="380" w:type="dxa"/>
            <w:vAlign w:val="bottom"/>
            <w:shd w:val="clear" w:color="auto" w:fill="F4F4F4"/>
          </w:tcPr>
          <w:p>
            <w:pPr>
              <w:spacing w:after="0"/>
              <w:rPr>
                <w:sz w:val="19"/>
                <w:szCs w:val="19"/>
                <w:color w:val="auto"/>
              </w:rPr>
            </w:pPr>
          </w:p>
        </w:tc>
        <w:tc>
          <w:tcPr>
            <w:tcW w:w="12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60,990</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79,059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Long-term portion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48,380</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73,317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right="40" w:hanging="332"/>
        <w:spacing w:after="0" w:line="258" w:lineRule="auto"/>
        <w:tabs>
          <w:tab w:leader="none" w:pos="354"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March 2020, we reduced our accrued bonuses due to the payment of bonuses from the prior year and, in response to the global COVID-19 pandemic, determined to replace our 2020 cash bonus plans with performance-based equity awards (see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shd w:val="clear" w:color="auto" w:fill="ACACAC"/>
          </w:tcPr>
          <w:p>
            <w:pPr>
              <w:spacing w:after="0"/>
              <w:rPr>
                <w:sz w:val="14"/>
                <w:szCs w:val="14"/>
                <w:color w:val="auto"/>
              </w:rPr>
            </w:pPr>
          </w:p>
        </w:tc>
        <w:tc>
          <w:tcPr>
            <w:tcW w:w="660" w:type="dxa"/>
            <w:vAlign w:val="bottom"/>
            <w:shd w:val="clear" w:color="auto" w:fill="ACACAC"/>
          </w:tcPr>
          <w:p>
            <w:pPr>
              <w:spacing w:after="0"/>
              <w:rPr>
                <w:sz w:val="14"/>
                <w:szCs w:val="14"/>
                <w:color w:val="auto"/>
              </w:rPr>
            </w:pPr>
          </w:p>
        </w:tc>
        <w:tc>
          <w:tcPr>
            <w:tcW w:w="9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4600" w:type="dxa"/>
            <w:vAlign w:val="bottom"/>
            <w:shd w:val="clear" w:color="auto" w:fill="ACACAC"/>
          </w:tcPr>
          <w:p>
            <w:pPr>
              <w:spacing w:after="0"/>
              <w:rPr>
                <w:sz w:val="15"/>
                <w:szCs w:val="15"/>
                <w:color w:val="auto"/>
              </w:rPr>
            </w:pPr>
          </w:p>
        </w:tc>
        <w:tc>
          <w:tcPr>
            <w:tcW w:w="660" w:type="dxa"/>
            <w:vAlign w:val="bottom"/>
            <w:shd w:val="clear" w:color="auto" w:fill="ACACAC"/>
          </w:tcPr>
          <w:p>
            <w:pPr>
              <w:spacing w:after="0"/>
              <w:rPr>
                <w:sz w:val="15"/>
                <w:szCs w:val="15"/>
                <w:color w:val="auto"/>
              </w:rPr>
            </w:pPr>
          </w:p>
        </w:tc>
        <w:tc>
          <w:tcPr>
            <w:tcW w:w="980" w:type="dxa"/>
            <w:vAlign w:val="bottom"/>
            <w:shd w:val="clear" w:color="auto" w:fill="ACACAC"/>
          </w:tcPr>
          <w:p>
            <w:pPr>
              <w:spacing w:after="0"/>
              <w:rPr>
                <w:sz w:val="15"/>
                <w:szCs w:val="15"/>
                <w:color w:val="auto"/>
              </w:rPr>
            </w:pPr>
          </w:p>
        </w:tc>
        <w:tc>
          <w:tcPr>
            <w:tcW w:w="160" w:type="dxa"/>
            <w:vAlign w:val="bottom"/>
            <w:shd w:val="clear" w:color="auto" w:fill="ACACAC"/>
          </w:tcPr>
          <w:p>
            <w:pPr>
              <w:spacing w:after="0"/>
              <w:rPr>
                <w:sz w:val="15"/>
                <w:szCs w:val="15"/>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600" w:type="dxa"/>
            <w:vAlign w:val="bottom"/>
            <w:shd w:val="clear" w:color="auto" w:fill="ACACAC"/>
          </w:tcPr>
          <w:p>
            <w:pPr>
              <w:spacing w:after="0"/>
              <w:rPr>
                <w:sz w:val="15"/>
                <w:szCs w:val="15"/>
                <w:color w:val="auto"/>
              </w:rPr>
            </w:pPr>
          </w:p>
        </w:tc>
        <w:tc>
          <w:tcPr>
            <w:tcW w:w="102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4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6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tcBorders>
              <w:bottom w:val="single" w:sz="8" w:color="ACACAC"/>
            </w:tcBorders>
            <w:shd w:val="clear" w:color="auto" w:fill="ACACAC"/>
          </w:tcPr>
          <w:p>
            <w:pPr>
              <w:spacing w:after="0"/>
              <w:rPr>
                <w:sz w:val="17"/>
                <w:szCs w:val="17"/>
                <w:color w:val="auto"/>
              </w:rPr>
            </w:pPr>
          </w:p>
        </w:tc>
        <w:tc>
          <w:tcPr>
            <w:tcW w:w="14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7"/>
                <w:szCs w:val="17"/>
                <w:color w:val="auto"/>
              </w:rPr>
            </w:pPr>
          </w:p>
        </w:tc>
        <w:tc>
          <w:tcPr>
            <w:tcW w:w="600" w:type="dxa"/>
            <w:vAlign w:val="bottom"/>
            <w:tcBorders>
              <w:bottom w:val="single" w:sz="8" w:color="ACACAC"/>
            </w:tcBorders>
            <w:shd w:val="clear" w:color="auto" w:fill="ACACAC"/>
          </w:tcPr>
          <w:p>
            <w:pPr>
              <w:spacing w:after="0"/>
              <w:rPr>
                <w:sz w:val="17"/>
                <w:szCs w:val="17"/>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tcBorders>
              <w:bottom w:val="single" w:sz="8" w:color="ACACAC"/>
            </w:tcBorders>
            <w:shd w:val="clear" w:color="auto" w:fill="ACACAC"/>
          </w:tcPr>
          <w:p>
            <w:pPr>
              <w:spacing w:after="0"/>
              <w:rPr>
                <w:sz w:val="17"/>
                <w:szCs w:val="17"/>
                <w:color w:val="auto"/>
              </w:rPr>
            </w:pPr>
          </w:p>
        </w:tc>
        <w:tc>
          <w:tcPr>
            <w:tcW w:w="14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460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F4F4F4"/>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center"/>
              <w:ind w:left="435"/>
              <w:spacing w:after="0"/>
              <w:rPr>
                <w:sz w:val="20"/>
                <w:szCs w:val="20"/>
                <w:color w:val="auto"/>
              </w:rPr>
            </w:pPr>
            <w:r>
              <w:rPr>
                <w:rFonts w:ascii="Arial" w:cs="Arial" w:eastAsia="Arial" w:hAnsi="Arial"/>
                <w:sz w:val="18"/>
                <w:szCs w:val="18"/>
                <w:color w:val="auto"/>
                <w:w w:val="99"/>
              </w:rPr>
              <w:t>767</w:t>
            </w:r>
          </w:p>
        </w:tc>
        <w:tc>
          <w:tcPr>
            <w:tcW w:w="160" w:type="dxa"/>
            <w:vAlign w:val="bottom"/>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1,247</w:t>
            </w:r>
          </w:p>
        </w:tc>
        <w:tc>
          <w:tcPr>
            <w:tcW w:w="700" w:type="dxa"/>
            <w:vAlign w:val="bottom"/>
            <w:gridSpan w:val="2"/>
            <w:shd w:val="clear" w:color="auto" w:fill="F4F4F4"/>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1,399</w:t>
            </w:r>
          </w:p>
        </w:tc>
        <w:tc>
          <w:tcPr>
            <w:tcW w:w="20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9"/>
                <w:szCs w:val="19"/>
                <w:color w:val="auto"/>
              </w:rPr>
            </w:pPr>
          </w:p>
        </w:tc>
      </w:tr>
      <w:tr>
        <w:trPr>
          <w:trHeight w:val="229"/>
        </w:trPr>
        <w:tc>
          <w:tcPr>
            <w:tcW w:w="46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 (expense) income, net</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w w:val="99"/>
              </w:rPr>
              <w:t>(225)</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F4F4F4"/>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9"/>
                <w:szCs w:val="19"/>
                <w:color w:val="auto"/>
              </w:rPr>
            </w:pPr>
          </w:p>
        </w:tc>
      </w:tr>
      <w:tr>
        <w:trPr>
          <w:trHeight w:val="223"/>
        </w:trPr>
        <w:tc>
          <w:tcPr>
            <w:tcW w:w="460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8"/>
                <w:szCs w:val="18"/>
                <w:color w:val="auto"/>
              </w:rPr>
              <w:t>Other income, net</w:t>
            </w:r>
          </w:p>
        </w:tc>
        <w:tc>
          <w:tcPr>
            <w:tcW w:w="660" w:type="dxa"/>
            <w:vAlign w:val="bottom"/>
            <w:tcBorders>
              <w:bottom w:val="single" w:sz="8" w:color="71BF43"/>
            </w:tcBorders>
            <w:shd w:val="clear" w:color="auto" w:fill="F4F4F4"/>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71BF43"/>
            </w:tcBorders>
            <w:shd w:val="clear" w:color="auto" w:fill="F4F4F4"/>
          </w:tcPr>
          <w:p>
            <w:pPr>
              <w:jc w:val="center"/>
              <w:ind w:left="435"/>
              <w:spacing w:after="0"/>
              <w:rPr>
                <w:sz w:val="20"/>
                <w:szCs w:val="20"/>
                <w:color w:val="auto"/>
              </w:rPr>
            </w:pPr>
            <w:r>
              <w:rPr>
                <w:rFonts w:ascii="Arial" w:cs="Arial" w:eastAsia="Arial" w:hAnsi="Arial"/>
                <w:sz w:val="18"/>
                <w:szCs w:val="18"/>
                <w:color w:val="auto"/>
                <w:w w:val="99"/>
              </w:rPr>
              <w:t>542</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71BF43"/>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2,158</w:t>
            </w:r>
          </w:p>
        </w:tc>
        <w:tc>
          <w:tcPr>
            <w:tcW w:w="700" w:type="dxa"/>
            <w:vAlign w:val="bottom"/>
            <w:tcBorders>
              <w:bottom w:val="single" w:sz="8" w:color="71BF43"/>
            </w:tcBorders>
            <w:gridSpan w:val="2"/>
            <w:shd w:val="clear" w:color="auto" w:fill="F4F4F4"/>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2,242</w:t>
            </w:r>
          </w:p>
        </w:tc>
        <w:tc>
          <w:tcPr>
            <w:tcW w:w="2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4,521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-591185</wp:posOffset>
            </wp:positionV>
            <wp:extent cx="42259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120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2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4"/>
                <w:szCs w:val="14"/>
                <w:color w:val="auto"/>
              </w:rPr>
            </w:pPr>
          </w:p>
        </w:tc>
        <w:tc>
          <w:tcPr>
            <w:tcW w:w="1660" w:type="dxa"/>
            <w:vAlign w:val="bottom"/>
            <w:shd w:val="clear" w:color="auto" w:fill="ACACAC"/>
          </w:tcPr>
          <w:p>
            <w:pPr>
              <w:spacing w:after="0"/>
              <w:rPr>
                <w:sz w:val="14"/>
                <w:szCs w:val="14"/>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1200" w:type="dxa"/>
            <w:vAlign w:val="bottom"/>
            <w:shd w:val="clear" w:color="auto" w:fill="ACACAC"/>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1240" w:type="dxa"/>
            <w:vAlign w:val="bottom"/>
            <w:vMerge w:val="continue"/>
            <w:shd w:val="clear" w:color="auto" w:fill="ACACAC"/>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shd w:val="clear" w:color="auto" w:fill="ACACAC"/>
          </w:tcPr>
          <w:p>
            <w:pPr>
              <w:spacing w:after="0"/>
              <w:rPr>
                <w:sz w:val="15"/>
                <w:szCs w:val="15"/>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40" w:type="dxa"/>
            <w:vAlign w:val="bottom"/>
            <w:tcBorders>
              <w:left w:val="single" w:sz="8" w:color="ACACA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4"/>
                <w:szCs w:val="14"/>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4"/>
                <w:szCs w:val="14"/>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Borders>
              <w:bottom w:val="single" w:sz="8" w:color="ACACAC"/>
            </w:tcBorders>
            <w:vMerge w:val="continue"/>
            <w:shd w:val="clear" w:color="auto" w:fill="ACACAC"/>
          </w:tcPr>
          <w:p>
            <w:pPr>
              <w:spacing w:after="0"/>
              <w:rPr>
                <w:sz w:val="15"/>
                <w:szCs w:val="15"/>
                <w:color w:val="auto"/>
              </w:rPr>
            </w:pPr>
          </w:p>
        </w:tc>
        <w:tc>
          <w:tcPr>
            <w:tcW w:w="300" w:type="dxa"/>
            <w:vAlign w:val="bottom"/>
            <w:tcBorders>
              <w:bottom w:val="single" w:sz="8" w:color="ACACAC"/>
            </w:tcBorders>
            <w:shd w:val="clear" w:color="auto" w:fill="ACACAC"/>
          </w:tcPr>
          <w:p>
            <w:pPr>
              <w:spacing w:after="0"/>
              <w:rPr>
                <w:sz w:val="15"/>
                <w:szCs w:val="15"/>
                <w:color w:val="auto"/>
              </w:rPr>
            </w:pPr>
          </w:p>
        </w:tc>
        <w:tc>
          <w:tcPr>
            <w:tcW w:w="1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tcBorders>
              <w:bottom w:val="single" w:sz="8" w:color="ACACAC"/>
            </w:tcBorders>
            <w:shd w:val="clear" w:color="auto" w:fill="ACACAC"/>
          </w:tcPr>
          <w:p>
            <w:pPr>
              <w:spacing w:after="0"/>
              <w:rPr>
                <w:sz w:val="15"/>
                <w:szCs w:val="15"/>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5"/>
                <w:szCs w:val="15"/>
                <w:color w:val="auto"/>
              </w:rPr>
            </w:pP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40" w:type="dxa"/>
            <w:vAlign w:val="bottom"/>
            <w:tcBorders>
              <w:left w:val="single" w:sz="8" w:color="ACACA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300" w:type="dxa"/>
            <w:vAlign w:val="bottom"/>
            <w:shd w:val="clear" w:color="auto" w:fill="F4F4F4"/>
          </w:tcPr>
          <w:p>
            <w:pPr>
              <w:spacing w:after="0"/>
              <w:rPr>
                <w:sz w:val="19"/>
                <w:szCs w:val="19"/>
                <w:color w:val="auto"/>
              </w:rPr>
            </w:pPr>
          </w:p>
        </w:tc>
        <w:tc>
          <w:tcPr>
            <w:tcW w:w="12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Revolving credit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169,200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1660" w:type="dxa"/>
            <w:vAlign w:val="bottom"/>
          </w:tcPr>
          <w:p>
            <w:pPr>
              <w:jc w:val="right"/>
              <w:spacing w:after="0"/>
              <w:rPr>
                <w:sz w:val="20"/>
                <w:szCs w:val="20"/>
                <w:color w:val="auto"/>
              </w:rPr>
            </w:pPr>
            <w:r>
              <w:rPr>
                <w:rFonts w:ascii="Arial" w:cs="Arial" w:eastAsia="Arial" w:hAnsi="Arial"/>
                <w:sz w:val="18"/>
                <w:szCs w:val="18"/>
                <w:color w:val="auto"/>
              </w:rPr>
              <w:t>3.11 %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Term loans</w:t>
            </w:r>
          </w:p>
        </w:tc>
        <w:tc>
          <w:tcPr>
            <w:tcW w:w="300" w:type="dxa"/>
            <w:vAlign w:val="bottom"/>
            <w:shd w:val="clear" w:color="auto" w:fill="F4F4F4"/>
          </w:tcPr>
          <w:p>
            <w:pPr>
              <w:spacing w:after="0"/>
              <w:rPr>
                <w:sz w:val="19"/>
                <w:szCs w:val="19"/>
                <w:color w:val="auto"/>
              </w:rPr>
            </w:pP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275,625</w:t>
            </w: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281,250</w:t>
            </w:r>
          </w:p>
        </w:tc>
        <w:tc>
          <w:tcPr>
            <w:tcW w:w="176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2.77 %</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60,890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300" w:type="dxa"/>
            <w:vAlign w:val="bottom"/>
            <w:tcBorders>
              <w:bottom w:val="single" w:sz="8" w:color="auto"/>
            </w:tcBorders>
            <w:shd w:val="clear" w:color="auto" w:fill="F4F4F4"/>
          </w:tcPr>
          <w:p>
            <w:pPr>
              <w:spacing w:after="0"/>
              <w:rPr>
                <w:sz w:val="19"/>
                <w:szCs w:val="19"/>
                <w:color w:val="auto"/>
              </w:rPr>
            </w:pPr>
          </w:p>
        </w:tc>
        <w:tc>
          <w:tcPr>
            <w:tcW w:w="12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3,926</w:t>
            </w:r>
          </w:p>
        </w:tc>
        <w:tc>
          <w:tcPr>
            <w:tcW w:w="26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16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86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509,641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468,250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1660" w:type="dxa"/>
            <w:vAlign w:val="bottom"/>
          </w:tcPr>
          <w:p>
            <w:pPr>
              <w:jc w:val="right"/>
              <w:spacing w:after="0"/>
              <w:rPr>
                <w:sz w:val="20"/>
                <w:szCs w:val="20"/>
                <w:color w:val="auto"/>
              </w:rPr>
            </w:pPr>
            <w:r>
              <w:rPr>
                <w:rFonts w:ascii="Arial" w:cs="Arial" w:eastAsia="Arial" w:hAnsi="Arial"/>
                <w:sz w:val="18"/>
                <w:szCs w:val="18"/>
                <w:color w:val="auto"/>
              </w:rPr>
              <w:t>3.18 %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300" w:type="dxa"/>
            <w:vAlign w:val="bottom"/>
            <w:shd w:val="clear" w:color="auto" w:fill="F4F4F4"/>
          </w:tcPr>
          <w:p>
            <w:pPr>
              <w:spacing w:after="0"/>
              <w:rPr>
                <w:sz w:val="19"/>
                <w:szCs w:val="19"/>
                <w:color w:val="auto"/>
              </w:rPr>
            </w:pP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1,383</w:t>
            </w:r>
          </w:p>
        </w:tc>
        <w:tc>
          <w:tcPr>
            <w:tcW w:w="26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Debt, current portion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F4F4F4"/>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30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497,953</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459,600</w:t>
            </w:r>
          </w:p>
        </w:tc>
        <w:tc>
          <w:tcPr>
            <w:tcW w:w="1760" w:type="dxa"/>
            <w:vAlign w:val="bottom"/>
            <w:tcBorders>
              <w:bottom w:val="single" w:sz="8" w:color="71BF43"/>
            </w:tcBorders>
            <w:gridSpan w:val="2"/>
            <w:shd w:val="clear" w:color="auto" w:fill="F4F4F4"/>
          </w:tcPr>
          <w:p>
            <w:pPr>
              <w:jc w:val="right"/>
              <w:spacing w:after="0"/>
              <w:rPr>
                <w:sz w:val="20"/>
                <w:szCs w:val="20"/>
                <w:color w:val="auto"/>
              </w:rPr>
            </w:pPr>
            <w:r>
              <w:rPr>
                <w:rFonts w:ascii="Arial" w:cs="Arial" w:eastAsia="Arial" w:hAnsi="Arial"/>
                <w:sz w:val="18"/>
                <w:szCs w:val="18"/>
                <w:color w:val="auto"/>
              </w:rPr>
              <w:t>2.90 %</w:t>
            </w:r>
          </w:p>
        </w:tc>
        <w:tc>
          <w:tcPr>
            <w:tcW w:w="16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0"/>
        </w:trPr>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3"/>
          </w:tcPr>
          <w:p>
            <w:pPr>
              <w:jc w:val="right"/>
              <w:spacing w:after="0"/>
              <w:rPr>
                <w:sz w:val="20"/>
                <w:szCs w:val="20"/>
                <w:color w:val="auto"/>
              </w:rPr>
            </w:pPr>
            <w:r>
              <w:rPr>
                <w:rFonts w:ascii="Arial" w:cs="Arial" w:eastAsia="Arial" w:hAnsi="Arial"/>
                <w:sz w:val="14"/>
                <w:szCs w:val="14"/>
                <w:color w:val="auto"/>
              </w:rPr>
              <w:t>Third Quarter 2020 Form 10-Q</w:t>
            </w:r>
          </w:p>
        </w:tc>
        <w:tc>
          <w:tcPr>
            <w:tcW w:w="1660" w:type="dxa"/>
            <w:vAlign w:val="bottom"/>
          </w:tcPr>
          <w:p>
            <w:pPr>
              <w:jc w:val="right"/>
              <w:ind w:right="118"/>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-2219325</wp:posOffset>
            </wp:positionV>
            <wp:extent cx="4088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8876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74549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June 2017, we entered into a five-year $700.0 million senior credit facility (the "2017 Credit Facility"). At September 30, 2020, we were in compliance with our debt covenants under the 2017 Credit Facility.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August 2020, we completed the purchase of our Headquarters Facility. As part of the purchase price, we assumed the Seller’s obligations under (i) a 5.12% Senior Secured Note, Series A1, in the outstanding principal amount of $49.1 million, dated May 2, 2018, and (ii) a 5.61% Senior Secured Note, Series A2, in the outstanding principal amount of $12.0 million, dated May 2, 2018, or an aggregate outstanding principal amount of $61.1 million (collectively, the “Real Estate Loans”). The Series A1 Note provides that we will pay the remaining principal amount due thereunder together with interest thereon at the rate indicated above, in monthly installments until it matures in April 2038. The Series A2 Note provides that we pay interest only in monthly installments at the rate indicated above with the principal amount due at maturity in April 2038. The Real Estate Loans are secured by a first priority lien on the real property constituting the Headquarters Facility. Our assumption of the Real Estate Loans was a noncash investing and financing transaction and, therefore, is not reflected in the statement of cash flows. At September 30, 2020, we were in compliance with our debt covenants under the Real Estate Loans.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December 2019, we entered into a 51-month $2.2 million agreement to finance our purchase of software and related services for our internal use. The agreement is a non-interest-bearing note requiring four equal annual payments, where the first payment was due in January 2020. Interest associated with the note has been imputed at the rate we would incur for amounts borrowed under the 2017 Credit Facility.</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January 2020, we entered into an additional 39-month $ 3.5 million agreement to finance our purchase of software and related services for our internal use. The agreement is a non-interest-bearing note requiring three equal annual payments, where the first payment was due in March 2020. Interest associated with the note has been imputed at the rate we would incur for amounts borrowed under the 2017 Credit Facility.</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2020, the required annual maturities related to the 2017 Credit Facility, the Real Estate Loans and our other debt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00" w:type="dxa"/>
            <w:vAlign w:val="bottom"/>
            <w:gridSpan w:val="2"/>
            <w:shd w:val="clear" w:color="auto" w:fill="ACACAC"/>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46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w:t>
            </w:r>
          </w:p>
        </w:tc>
        <w:tc>
          <w:tcPr>
            <w:tcW w:w="20" w:type="dxa"/>
            <w:vAlign w:val="bottom"/>
            <w:shd w:val="clear" w:color="auto" w:fill="ACACAC"/>
          </w:tcPr>
          <w:p>
            <w:pPr>
              <w:spacing w:after="0"/>
              <w:rPr>
                <w:sz w:val="14"/>
                <w:szCs w:val="14"/>
                <w:color w:val="auto"/>
              </w:rPr>
            </w:pPr>
          </w:p>
        </w:tc>
      </w:tr>
      <w:tr>
        <w:trPr>
          <w:trHeight w:val="189"/>
        </w:trPr>
        <w:tc>
          <w:tcPr>
            <w:tcW w:w="16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808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maturities</w:t>
            </w:r>
          </w:p>
        </w:tc>
        <w:tc>
          <w:tcPr>
            <w:tcW w:w="20" w:type="dxa"/>
            <w:vAlign w:val="bottom"/>
            <w:shd w:val="clear" w:color="auto" w:fill="ACACAC"/>
          </w:tcPr>
          <w:p>
            <w:pPr>
              <w:spacing w:after="0"/>
              <w:rPr>
                <w:sz w:val="16"/>
                <w:szCs w:val="16"/>
                <w:color w:val="auto"/>
              </w:rPr>
            </w:pPr>
          </w:p>
        </w:tc>
      </w:tr>
      <w:tr>
        <w:trPr>
          <w:trHeight w:val="230"/>
        </w:trPr>
        <w:tc>
          <w:tcPr>
            <w:tcW w:w="1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2020 - remaining</w:t>
            </w:r>
          </w:p>
        </w:tc>
        <w:tc>
          <w:tcPr>
            <w:tcW w:w="8080" w:type="dxa"/>
            <w:vAlign w:val="bottom"/>
            <w:shd w:val="clear" w:color="auto" w:fill="F4F4F4"/>
          </w:tcPr>
          <w:p>
            <w:pPr>
              <w:spacing w:after="0"/>
              <w:rPr>
                <w:sz w:val="19"/>
                <w:szCs w:val="19"/>
                <w:color w:val="auto"/>
              </w:rPr>
            </w:pP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2,139</w:t>
            </w:r>
          </w:p>
        </w:tc>
        <w:tc>
          <w:tcPr>
            <w:tcW w:w="20" w:type="dxa"/>
            <w:vAlign w:val="bottom"/>
          </w:tcPr>
          <w:p>
            <w:pPr>
              <w:spacing w:after="0"/>
              <w:rPr>
                <w:sz w:val="19"/>
                <w:szCs w:val="19"/>
                <w:color w:val="auto"/>
              </w:rPr>
            </w:pP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2021</w:t>
            </w:r>
          </w:p>
        </w:tc>
        <w:tc>
          <w:tcPr>
            <w:tcW w:w="8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10,340</w:t>
            </w:r>
          </w:p>
        </w:tc>
        <w:tc>
          <w:tcPr>
            <w:tcW w:w="20" w:type="dxa"/>
            <w:vAlign w:val="bottom"/>
          </w:tcPr>
          <w:p>
            <w:pPr>
              <w:spacing w:after="0"/>
              <w:rPr>
                <w:sz w:val="19"/>
                <w:szCs w:val="19"/>
                <w:color w:val="auto"/>
              </w:rPr>
            </w:pPr>
          </w:p>
        </w:tc>
      </w:tr>
      <w:tr>
        <w:trPr>
          <w:trHeight w:val="230"/>
        </w:trPr>
        <w:tc>
          <w:tcPr>
            <w:tcW w:w="1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2022</w:t>
            </w:r>
          </w:p>
        </w:tc>
        <w:tc>
          <w:tcPr>
            <w:tcW w:w="808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438,435</w:t>
            </w:r>
          </w:p>
        </w:tc>
        <w:tc>
          <w:tcPr>
            <w:tcW w:w="20" w:type="dxa"/>
            <w:vAlign w:val="bottom"/>
          </w:tcPr>
          <w:p>
            <w:pPr>
              <w:spacing w:after="0"/>
              <w:rPr>
                <w:sz w:val="19"/>
                <w:szCs w:val="19"/>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2023</w:t>
            </w:r>
          </w:p>
        </w:tc>
        <w:tc>
          <w:tcPr>
            <w:tcW w:w="8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9"/>
                <w:szCs w:val="19"/>
                <w:color w:val="auto"/>
              </w:rPr>
            </w:pPr>
          </w:p>
        </w:tc>
      </w:tr>
      <w:tr>
        <w:trPr>
          <w:trHeight w:val="230"/>
        </w:trPr>
        <w:tc>
          <w:tcPr>
            <w:tcW w:w="1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2024</w:t>
            </w:r>
          </w:p>
        </w:tc>
        <w:tc>
          <w:tcPr>
            <w:tcW w:w="808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9"/>
                <w:szCs w:val="19"/>
                <w:color w:val="auto"/>
              </w:rPr>
            </w:pPr>
          </w:p>
        </w:tc>
      </w:tr>
      <w:tr>
        <w:trPr>
          <w:trHeight w:val="229"/>
        </w:trPr>
        <w:tc>
          <w:tcPr>
            <w:tcW w:w="162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Thereafter</w:t>
            </w:r>
          </w:p>
        </w:tc>
        <w:tc>
          <w:tcPr>
            <w:tcW w:w="8080" w:type="dxa"/>
            <w:vAlign w:val="bottom"/>
            <w:tcBorders>
              <w:bottom w:val="single" w:sz="8" w:color="F4F4F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55,135</w:t>
            </w:r>
          </w:p>
        </w:tc>
        <w:tc>
          <w:tcPr>
            <w:tcW w:w="20" w:type="dxa"/>
            <w:vAlign w:val="bottom"/>
          </w:tcPr>
          <w:p>
            <w:pPr>
              <w:spacing w:after="0"/>
              <w:rPr>
                <w:sz w:val="19"/>
                <w:szCs w:val="19"/>
                <w:color w:val="auto"/>
              </w:rPr>
            </w:pPr>
          </w:p>
        </w:tc>
      </w:tr>
      <w:tr>
        <w:trPr>
          <w:trHeight w:val="223"/>
        </w:trPr>
        <w:tc>
          <w:tcPr>
            <w:tcW w:w="9700" w:type="dxa"/>
            <w:vAlign w:val="bottom"/>
            <w:tcBorders>
              <w:bottom w:val="single" w:sz="8" w:color="71BF43"/>
            </w:tcBorders>
            <w:gridSpan w:val="2"/>
            <w:shd w:val="clear" w:color="auto" w:fill="F4F4F4"/>
          </w:tcPr>
          <w:p>
            <w:pPr>
              <w:ind w:left="120"/>
              <w:spacing w:after="0"/>
              <w:rPr>
                <w:sz w:val="20"/>
                <w:szCs w:val="20"/>
                <w:color w:val="auto"/>
              </w:rPr>
            </w:pPr>
            <w:r>
              <w:rPr>
                <w:rFonts w:ascii="Arial" w:cs="Arial" w:eastAsia="Arial" w:hAnsi="Arial"/>
                <w:sz w:val="18"/>
                <w:szCs w:val="18"/>
                <w:color w:val="auto"/>
              </w:rPr>
              <w:t>Total required maturities</w:t>
            </w:r>
          </w:p>
        </w:tc>
        <w:tc>
          <w:tcPr>
            <w:tcW w:w="460" w:type="dxa"/>
            <w:vAlign w:val="bottom"/>
            <w:tcBorders>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509,641</w:t>
            </w:r>
          </w:p>
        </w:tc>
        <w:tc>
          <w:tcPr>
            <w:tcW w:w="20" w:type="dxa"/>
            <w:vAlign w:val="bottom"/>
          </w:tcPr>
          <w:p>
            <w:pPr>
              <w:spacing w:after="0"/>
              <w:rPr>
                <w:sz w:val="19"/>
                <w:szCs w:val="19"/>
                <w:color w:val="auto"/>
              </w:rPr>
            </w:pPr>
          </w:p>
        </w:tc>
      </w:tr>
      <w:tr>
        <w:trPr>
          <w:trHeight w:val="886"/>
        </w:trPr>
        <w:tc>
          <w:tcPr>
            <w:tcW w:w="1620" w:type="dxa"/>
            <w:vAlign w:val="bottom"/>
          </w:tcPr>
          <w:p>
            <w:pPr>
              <w:ind w:left="240"/>
              <w:spacing w:after="0"/>
              <w:rPr>
                <w:sz w:val="20"/>
                <w:szCs w:val="20"/>
                <w:color w:val="auto"/>
              </w:rPr>
            </w:pPr>
            <w:r>
              <w:rPr>
                <w:rFonts w:ascii="Arial" w:cs="Arial" w:eastAsia="Arial" w:hAnsi="Arial"/>
                <w:sz w:val="14"/>
                <w:szCs w:val="14"/>
                <w:color w:val="auto"/>
              </w:rPr>
              <w:t>16</w:t>
            </w:r>
          </w:p>
        </w:tc>
        <w:tc>
          <w:tcPr>
            <w:tcW w:w="8080" w:type="dxa"/>
            <w:vAlign w:val="bottom"/>
          </w:tcPr>
          <w:p>
            <w:pPr>
              <w:ind w:left="100"/>
              <w:spacing w:after="0"/>
              <w:rPr>
                <w:sz w:val="20"/>
                <w:szCs w:val="20"/>
                <w:color w:val="auto"/>
              </w:rPr>
            </w:pPr>
            <w:r>
              <w:rPr>
                <w:rFonts w:ascii="Arial" w:cs="Arial" w:eastAsia="Arial" w:hAnsi="Arial"/>
                <w:sz w:val="14"/>
                <w:szCs w:val="14"/>
                <w:color w:val="auto"/>
              </w:rPr>
              <w:t>Third Quarter 2020 Form 10-Q</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1620" w:type="dxa"/>
            <w:vAlign w:val="bottom"/>
            <w:tcBorders>
              <w:bottom w:val="single" w:sz="8" w:color="9A9A9A"/>
            </w:tcBorders>
          </w:tcPr>
          <w:p>
            <w:pPr>
              <w:spacing w:after="0"/>
              <w:rPr>
                <w:sz w:val="9"/>
                <w:szCs w:val="9"/>
                <w:color w:val="auto"/>
              </w:rPr>
            </w:pPr>
          </w:p>
        </w:tc>
        <w:tc>
          <w:tcPr>
            <w:tcW w:w="8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74549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2017 Credit Facility to a fixed rate for the term of the swap agreements. We designated each of the interest rate swap agreements as a cash flow hedge at the inception of the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2343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Term of derivative instrument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Notional</w:t>
      </w:r>
    </w:p>
    <w:p>
      <w:pPr>
        <w:jc w:val="right"/>
        <w:ind w:right="60"/>
        <w:spacing w:after="0"/>
        <w:rPr>
          <w:sz w:val="20"/>
          <w:szCs w:val="20"/>
          <w:color w:val="auto"/>
        </w:rPr>
      </w:pPr>
      <w:r>
        <w:rPr>
          <w:rFonts w:ascii="Arial" w:cs="Arial" w:eastAsia="Arial" w:hAnsi="Arial"/>
          <w:sz w:val="14"/>
          <w:szCs w:val="14"/>
          <w:b w:val="1"/>
          <w:bCs w:val="1"/>
          <w:color w:val="FFFFFF"/>
        </w:rPr>
        <w:t>value</w:t>
      </w:r>
    </w:p>
    <w:p>
      <w:pPr>
        <w:spacing w:after="0" w:line="14" w:lineRule="exact"/>
        <w:rPr>
          <w:sz w:val="20"/>
          <w:szCs w:val="20"/>
          <w:color w:val="auto"/>
        </w:rPr>
      </w:pPr>
    </w:p>
    <w:p>
      <w:pPr>
        <w:sectPr>
          <w:pgSz w:w="11900" w:h="16838" w:orient="portrait"/>
          <w:cols w:equalWidth="0" w:num="3">
            <w:col w:w="7120" w:space="720"/>
            <w:col w:w="2060" w:space="720"/>
            <w:col w:w="640"/>
          </w:cols>
          <w:pgMar w:left="32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6380" w:type="dxa"/>
            <w:vAlign w:val="bottom"/>
            <w:shd w:val="clear" w:color="auto" w:fill="F4F4F4"/>
          </w:tcPr>
          <w:p>
            <w:pPr>
              <w:ind w:left="120"/>
              <w:spacing w:after="0"/>
              <w:rPr>
                <w:sz w:val="20"/>
                <w:szCs w:val="20"/>
                <w:color w:val="auto"/>
              </w:rPr>
            </w:pPr>
            <w:r>
              <w:rPr>
                <w:rFonts w:ascii="Arial" w:cs="Arial" w:eastAsia="Arial" w:hAnsi="Arial"/>
                <w:sz w:val="18"/>
                <w:szCs w:val="18"/>
                <w:color w:val="auto"/>
              </w:rPr>
              <w:t>Interest rate swap</w:t>
            </w:r>
          </w:p>
        </w:tc>
        <w:tc>
          <w:tcPr>
            <w:tcW w:w="348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July 2017 - July 2021</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150,000</w:t>
            </w:r>
          </w:p>
        </w:tc>
      </w:tr>
      <w:tr>
        <w:trPr>
          <w:trHeight w:val="229"/>
        </w:trPr>
        <w:tc>
          <w:tcPr>
            <w:tcW w:w="6380" w:type="dxa"/>
            <w:vAlign w:val="bottom"/>
          </w:tcPr>
          <w:p>
            <w:pPr>
              <w:ind w:left="120"/>
              <w:spacing w:after="0"/>
              <w:rPr>
                <w:sz w:val="20"/>
                <w:szCs w:val="20"/>
                <w:color w:val="auto"/>
              </w:rPr>
            </w:pPr>
            <w:r>
              <w:rPr>
                <w:rFonts w:ascii="Arial" w:cs="Arial" w:eastAsia="Arial" w:hAnsi="Arial"/>
                <w:sz w:val="18"/>
                <w:szCs w:val="18"/>
                <w:color w:val="auto"/>
              </w:rPr>
              <w:t>Interest rate swap</w:t>
            </w:r>
          </w:p>
        </w:tc>
        <w:tc>
          <w:tcPr>
            <w:tcW w:w="2480" w:type="dxa"/>
            <w:vAlign w:val="bottom"/>
          </w:tcPr>
          <w:p>
            <w:pPr>
              <w:jc w:val="right"/>
              <w:spacing w:after="0"/>
              <w:rPr>
                <w:sz w:val="20"/>
                <w:szCs w:val="20"/>
                <w:color w:val="auto"/>
              </w:rPr>
            </w:pPr>
            <w:r>
              <w:rPr>
                <w:rFonts w:ascii="Arial" w:cs="Arial" w:eastAsia="Arial" w:hAnsi="Arial"/>
                <w:sz w:val="18"/>
                <w:szCs w:val="18"/>
                <w:color w:val="auto"/>
              </w:rPr>
              <w:t>February 2018</w:t>
            </w:r>
          </w:p>
        </w:tc>
        <w:tc>
          <w:tcPr>
            <w:tcW w:w="1000" w:type="dxa"/>
            <w:vAlign w:val="bottom"/>
          </w:tcPr>
          <w:p>
            <w:pPr>
              <w:jc w:val="right"/>
              <w:spacing w:after="0"/>
              <w:rPr>
                <w:sz w:val="20"/>
                <w:szCs w:val="20"/>
                <w:color w:val="auto"/>
              </w:rPr>
            </w:pPr>
            <w:r>
              <w:rPr>
                <w:rFonts w:ascii="Arial" w:cs="Arial" w:eastAsia="Arial" w:hAnsi="Arial"/>
                <w:sz w:val="18"/>
                <w:szCs w:val="18"/>
                <w:color w:val="auto"/>
              </w:rPr>
              <w:t>- June 2021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80" w:type="dxa"/>
            <w:vAlign w:val="bottom"/>
            <w:shd w:val="clear" w:color="auto" w:fill="F4F4F4"/>
          </w:tcPr>
          <w:p>
            <w:pPr>
              <w:ind w:left="120"/>
              <w:spacing w:after="0"/>
              <w:rPr>
                <w:sz w:val="20"/>
                <w:szCs w:val="20"/>
                <w:color w:val="auto"/>
              </w:rPr>
            </w:pPr>
            <w:r>
              <w:rPr>
                <w:rFonts w:ascii="Arial" w:cs="Arial" w:eastAsia="Arial" w:hAnsi="Arial"/>
                <w:sz w:val="18"/>
                <w:szCs w:val="18"/>
                <w:color w:val="auto"/>
              </w:rPr>
              <w:t>Interest rate swap</w:t>
            </w:r>
          </w:p>
        </w:tc>
        <w:tc>
          <w:tcPr>
            <w:tcW w:w="2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June 2019</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June 2021</w:t>
            </w:r>
          </w:p>
        </w:tc>
        <w:tc>
          <w:tcPr>
            <w:tcW w:w="380" w:type="dxa"/>
            <w:vAlign w:val="bottom"/>
            <w:tcBorders>
              <w:bottom w:val="single" w:sz="8" w:color="auto"/>
            </w:tcBorders>
            <w:shd w:val="clear" w:color="auto" w:fill="F4F4F4"/>
          </w:tcPr>
          <w:p>
            <w:pPr>
              <w:spacing w:after="0"/>
              <w:rPr>
                <w:sz w:val="19"/>
                <w:szCs w:val="19"/>
                <w:color w:val="auto"/>
              </w:rPr>
            </w:pP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6380" w:type="dxa"/>
            <w:vAlign w:val="bottom"/>
            <w:tcBorders>
              <w:bottom w:val="single" w:sz="8" w:color="71BF43"/>
            </w:tcBorders>
          </w:tcPr>
          <w:p>
            <w:pPr>
              <w:spacing w:after="0"/>
              <w:rPr>
                <w:sz w:val="19"/>
                <w:szCs w:val="19"/>
                <w:color w:val="auto"/>
              </w:rPr>
            </w:pPr>
          </w:p>
        </w:tc>
        <w:tc>
          <w:tcPr>
            <w:tcW w:w="2480" w:type="dxa"/>
            <w:vAlign w:val="bottom"/>
            <w:tcBorders>
              <w:bottom w:val="single" w:sz="8" w:color="71BF43"/>
            </w:tcBorders>
          </w:tcPr>
          <w:p>
            <w:pPr>
              <w:spacing w:after="0"/>
              <w:rPr>
                <w:sz w:val="19"/>
                <w:szCs w:val="19"/>
                <w:color w:val="auto"/>
              </w:rPr>
            </w:pPr>
          </w:p>
        </w:tc>
        <w:tc>
          <w:tcPr>
            <w:tcW w:w="1000" w:type="dxa"/>
            <w:vAlign w:val="bottom"/>
            <w:tcBorders>
              <w:bottom w:val="single" w:sz="8" w:color="71BF43"/>
            </w:tcBorders>
          </w:tcPr>
          <w:p>
            <w:pPr>
              <w:spacing w:after="0"/>
              <w:rPr>
                <w:sz w:val="19"/>
                <w:szCs w:val="19"/>
                <w:color w:val="auto"/>
              </w:rPr>
            </w:pPr>
          </w:p>
        </w:tc>
        <w:tc>
          <w:tcPr>
            <w:tcW w:w="380" w:type="dxa"/>
            <w:vAlign w:val="bottom"/>
            <w:tcBorders>
              <w:bottom w:val="single" w:sz="8" w:color="71BF43"/>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275,000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497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49720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Balance sheet location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FFFFFF"/>
        </w:rPr>
        <w:t>Liability derivatives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right w:val="single" w:sz="8" w:color="ACACAC"/>
            </w:tcBorders>
          </w:tcPr>
          <w:p>
            <w:pPr>
              <w:jc w:val="right"/>
              <w:spacing w:after="0"/>
              <w:rPr>
                <w:sz w:val="20"/>
                <w:szCs w:val="20"/>
                <w:color w:val="auto"/>
              </w:rPr>
            </w:pPr>
            <w:r>
              <w:rPr>
                <w:rFonts w:ascii="Arial" w:cs="Arial" w:eastAsia="Arial" w:hAnsi="Arial"/>
                <w:sz w:val="14"/>
                <w:szCs w:val="14"/>
                <w:b w:val="1"/>
                <w:bCs w:val="1"/>
                <w:color w:val="FFFFFF"/>
              </w:rPr>
              <w:t>September 30,</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9"/>
        </w:trPr>
        <w:tc>
          <w:tcPr>
            <w:tcW w:w="1020" w:type="dxa"/>
            <w:vAlign w:val="bottom"/>
            <w:tcBorders>
              <w:right w:val="single" w:sz="8" w:color="ACACAC"/>
            </w:tcBorders>
          </w:tcPr>
          <w:p>
            <w:pPr>
              <w:jc w:val="right"/>
              <w:spacing w:after="0"/>
              <w:rPr>
                <w:sz w:val="20"/>
                <w:szCs w:val="20"/>
                <w:color w:val="auto"/>
              </w:rPr>
            </w:pPr>
            <w:r>
              <w:rPr>
                <w:rFonts w:ascii="Arial" w:cs="Arial" w:eastAsia="Arial" w:hAnsi="Arial"/>
                <w:sz w:val="14"/>
                <w:szCs w:val="14"/>
                <w:b w:val="1"/>
                <w:bCs w:val="1"/>
                <w:color w:val="FFFFFF"/>
              </w:rPr>
              <w:t>2020</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FFFFFF"/>
              </w:rPr>
              <w:t>2019</w:t>
            </w:r>
          </w:p>
        </w:tc>
      </w:tr>
    </w:tbl>
    <w:p>
      <w:pPr>
        <w:spacing w:after="0" w:line="1" w:lineRule="exact"/>
        <w:rPr>
          <w:sz w:val="20"/>
          <w:szCs w:val="20"/>
          <w:color w:val="auto"/>
        </w:rPr>
      </w:pPr>
    </w:p>
    <w:p>
      <w:pPr>
        <w:sectPr>
          <w:pgSz w:w="11900" w:h="16838" w:orient="portrait"/>
          <w:cols w:equalWidth="0" w:num="3">
            <w:col w:w="6260" w:space="720"/>
            <w:col w:w="1560" w:space="360"/>
            <w:col w:w="2360"/>
          </w:cols>
          <w:pgMar w:left="320" w:top="126" w:right="31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ind w:left="120"/>
              <w:spacing w:after="0"/>
              <w:rPr>
                <w:sz w:val="20"/>
                <w:szCs w:val="20"/>
                <w:color w:val="auto"/>
              </w:rPr>
            </w:pPr>
            <w:r>
              <w:rPr>
                <w:rFonts w:ascii="Arial" w:cs="Arial" w:eastAsia="Arial" w:hAnsi="Arial"/>
                <w:sz w:val="18"/>
                <w:szCs w:val="18"/>
                <w:color w:val="auto"/>
              </w:rPr>
              <w:t>Interest rate swaps, current portion</w:t>
            </w:r>
          </w:p>
        </w:tc>
        <w:tc>
          <w:tcPr>
            <w:tcW w:w="3060" w:type="dxa"/>
            <w:vAlign w:val="bottom"/>
            <w:gridSpan w:val="2"/>
          </w:tcPr>
          <w:p>
            <w:pPr>
              <w:jc w:val="right"/>
              <w:ind w:right="48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5960" w:type="dxa"/>
            <w:vAlign w:val="bottom"/>
          </w:tcPr>
          <w:p>
            <w:pPr>
              <w:spacing w:after="0"/>
              <w:rPr>
                <w:sz w:val="18"/>
                <w:szCs w:val="18"/>
                <w:color w:val="auto"/>
              </w:rPr>
            </w:pPr>
          </w:p>
        </w:tc>
        <w:tc>
          <w:tcPr>
            <w:tcW w:w="3060" w:type="dxa"/>
            <w:vAlign w:val="bottom"/>
            <w:gridSpan w:val="2"/>
          </w:tcPr>
          <w:p>
            <w:pPr>
              <w:jc w:val="right"/>
              <w:ind w:right="340"/>
              <w:spacing w:after="0"/>
              <w:rPr>
                <w:sz w:val="20"/>
                <w:szCs w:val="20"/>
                <w:color w:val="auto"/>
              </w:rPr>
            </w:pPr>
            <w:r>
              <w:rPr>
                <w:rFonts w:ascii="Arial" w:cs="Arial" w:eastAsia="Arial" w:hAnsi="Arial"/>
                <w:sz w:val="18"/>
                <w:szCs w:val="18"/>
                <w:color w:val="auto"/>
              </w:rPr>
              <w:t>and other current liabilities $</w:t>
            </w:r>
          </w:p>
        </w:tc>
        <w:tc>
          <w:tcPr>
            <w:tcW w:w="860" w:type="dxa"/>
            <w:vAlign w:val="bottom"/>
          </w:tcPr>
          <w:p>
            <w:pPr>
              <w:jc w:val="right"/>
              <w:spacing w:after="0"/>
              <w:rPr>
                <w:sz w:val="20"/>
                <w:szCs w:val="20"/>
                <w:color w:val="auto"/>
              </w:rPr>
            </w:pPr>
            <w:r>
              <w:rPr>
                <w:rFonts w:ascii="Arial" w:cs="Arial" w:eastAsia="Arial" w:hAnsi="Arial"/>
                <w:sz w:val="18"/>
                <w:szCs w:val="18"/>
                <w:color w:val="auto"/>
              </w:rPr>
              <w:t>3,957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F4F4F4"/>
          </w:tcPr>
          <w:p>
            <w:pPr>
              <w:ind w:left="120"/>
              <w:spacing w:after="0"/>
              <w:rPr>
                <w:sz w:val="20"/>
                <w:szCs w:val="20"/>
                <w:color w:val="auto"/>
              </w:rPr>
            </w:pPr>
            <w:r>
              <w:rPr>
                <w:rFonts w:ascii="Arial" w:cs="Arial" w:eastAsia="Arial" w:hAnsi="Arial"/>
                <w:sz w:val="18"/>
                <w:szCs w:val="18"/>
                <w:color w:val="auto"/>
              </w:rPr>
              <w:t>Interest rate swaps, long-term portion</w:t>
            </w:r>
          </w:p>
        </w:tc>
        <w:tc>
          <w:tcPr>
            <w:tcW w:w="26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F4F4F4"/>
          </w:tcPr>
          <w:p>
            <w:pPr>
              <w:spacing w:after="0"/>
              <w:rPr>
                <w:sz w:val="19"/>
                <w:szCs w:val="19"/>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1,757</w:t>
            </w:r>
          </w:p>
        </w:tc>
      </w:tr>
      <w:tr>
        <w:trPr>
          <w:trHeight w:val="223"/>
        </w:trPr>
        <w:tc>
          <w:tcPr>
            <w:tcW w:w="596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3060" w:type="dxa"/>
            <w:vAlign w:val="bottom"/>
            <w:tcBorders>
              <w:bottom w:val="single" w:sz="8" w:color="71BF43"/>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3,957</w:t>
            </w:r>
          </w:p>
        </w:tc>
        <w:tc>
          <w:tcPr>
            <w:tcW w:w="48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1,757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shd w:val="clear" w:color="auto" w:fill="ACACAC"/>
          </w:tcPr>
          <w:p>
            <w:pPr>
              <w:spacing w:after="0"/>
              <w:rPr>
                <w:sz w:val="17"/>
                <w:szCs w:val="17"/>
                <w:color w:val="auto"/>
              </w:rPr>
            </w:pPr>
          </w:p>
        </w:tc>
        <w:tc>
          <w:tcPr>
            <w:tcW w:w="280" w:type="dxa"/>
            <w:vAlign w:val="bottom"/>
            <w:shd w:val="clear" w:color="auto" w:fill="ACACAC"/>
          </w:tcPr>
          <w:p>
            <w:pPr>
              <w:spacing w:after="0"/>
              <w:rPr>
                <w:sz w:val="17"/>
                <w:szCs w:val="17"/>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1820" w:type="dxa"/>
            <w:vAlign w:val="bottom"/>
            <w:tcBorders>
              <w:right w:val="single" w:sz="8" w:color="ACACAC"/>
            </w:tcBorders>
            <w:vMerge w:val="restart"/>
            <w:shd w:val="clear" w:color="auto" w:fill="ACACAC"/>
          </w:tcPr>
          <w:p>
            <w:pPr>
              <w:jc w:val="right"/>
              <w:ind w:right="9"/>
              <w:spacing w:after="0"/>
              <w:rPr>
                <w:sz w:val="20"/>
                <w:szCs w:val="20"/>
                <w:color w:val="auto"/>
              </w:rPr>
            </w:pPr>
            <w:r>
              <w:rPr>
                <w:rFonts w:ascii="Arial" w:cs="Arial" w:eastAsia="Arial" w:hAnsi="Arial"/>
                <w:sz w:val="14"/>
                <w:szCs w:val="14"/>
                <w:b w:val="1"/>
                <w:bCs w:val="1"/>
                <w:color w:val="FFFFFF"/>
              </w:rPr>
              <w:t>Location</w:t>
            </w:r>
          </w:p>
        </w:tc>
        <w:tc>
          <w:tcPr>
            <w:tcW w:w="400" w:type="dxa"/>
            <w:vAlign w:val="bottom"/>
            <w:shd w:val="clear" w:color="auto" w:fill="ACACAC"/>
          </w:tcPr>
          <w:p>
            <w:pPr>
              <w:spacing w:after="0"/>
              <w:rPr>
                <w:sz w:val="17"/>
                <w:szCs w:val="17"/>
                <w:color w:val="auto"/>
              </w:rPr>
            </w:pPr>
          </w:p>
        </w:tc>
        <w:tc>
          <w:tcPr>
            <w:tcW w:w="1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17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17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in accumulated other</w:t>
            </w:r>
          </w:p>
        </w:tc>
        <w:tc>
          <w:tcPr>
            <w:tcW w:w="1820" w:type="dxa"/>
            <w:vAlign w:val="bottom"/>
            <w:tcBorders>
              <w:right w:val="single" w:sz="8" w:color="ACACAC"/>
            </w:tcBorders>
            <w:vMerge w:val="continue"/>
            <w:shd w:val="clear" w:color="auto" w:fill="ACACAC"/>
          </w:tcPr>
          <w:p>
            <w:pPr>
              <w:spacing w:after="0"/>
              <w:rPr>
                <w:sz w:val="11"/>
                <w:szCs w:val="11"/>
                <w:color w:val="auto"/>
              </w:rPr>
            </w:pPr>
          </w:p>
        </w:tc>
        <w:tc>
          <w:tcPr>
            <w:tcW w:w="400" w:type="dxa"/>
            <w:vAlign w:val="bottom"/>
            <w:shd w:val="clear" w:color="auto" w:fill="ACACAC"/>
          </w:tcPr>
          <w:p>
            <w:pPr>
              <w:spacing w:after="0"/>
              <w:rPr>
                <w:sz w:val="11"/>
                <w:szCs w:val="11"/>
                <w:color w:val="auto"/>
              </w:rPr>
            </w:pPr>
          </w:p>
        </w:tc>
        <w:tc>
          <w:tcPr>
            <w:tcW w:w="4000" w:type="dxa"/>
            <w:vAlign w:val="bottom"/>
            <w:gridSpan w:val="4"/>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17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1820" w:type="dxa"/>
            <w:vAlign w:val="bottom"/>
            <w:tcBorders>
              <w:right w:val="single" w:sz="8" w:color="ACACAC"/>
            </w:tcBorders>
            <w:shd w:val="clear" w:color="auto" w:fill="ACACAC"/>
          </w:tcPr>
          <w:p>
            <w:pPr>
              <w:jc w:val="right"/>
              <w:ind w:right="9"/>
              <w:spacing w:after="0" w:line="135" w:lineRule="exact"/>
              <w:rPr>
                <w:sz w:val="20"/>
                <w:szCs w:val="20"/>
                <w:color w:val="auto"/>
              </w:rPr>
            </w:pPr>
            <w:r>
              <w:rPr>
                <w:rFonts w:ascii="Arial" w:cs="Arial" w:eastAsia="Arial" w:hAnsi="Arial"/>
                <w:sz w:val="14"/>
                <w:szCs w:val="14"/>
                <w:b w:val="1"/>
                <w:bCs w:val="1"/>
                <w:color w:val="FFFFFF"/>
              </w:rPr>
              <w:t>of gain (loss)</w:t>
            </w:r>
          </w:p>
        </w:tc>
        <w:tc>
          <w:tcPr>
            <w:tcW w:w="400" w:type="dxa"/>
            <w:vAlign w:val="bottom"/>
            <w:shd w:val="clear" w:color="auto" w:fill="ACACAC"/>
          </w:tcPr>
          <w:p>
            <w:pPr>
              <w:spacing w:after="0"/>
              <w:rPr>
                <w:sz w:val="11"/>
                <w:szCs w:val="11"/>
                <w:color w:val="auto"/>
              </w:rPr>
            </w:pPr>
          </w:p>
        </w:tc>
        <w:tc>
          <w:tcPr>
            <w:tcW w:w="4000" w:type="dxa"/>
            <w:vAlign w:val="bottom"/>
            <w:gridSpan w:val="4"/>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tcBorders>
              <w:bottom w:val="single" w:sz="8" w:color="ACACAC"/>
            </w:tcBorders>
            <w:shd w:val="clear" w:color="auto" w:fill="ACACAC"/>
          </w:tcPr>
          <w:p>
            <w:pPr>
              <w:spacing w:after="0"/>
              <w:rPr>
                <w:sz w:val="14"/>
                <w:szCs w:val="14"/>
                <w:color w:val="auto"/>
              </w:rPr>
            </w:pPr>
          </w:p>
        </w:tc>
        <w:tc>
          <w:tcPr>
            <w:tcW w:w="280" w:type="dxa"/>
            <w:vAlign w:val="bottom"/>
            <w:tcBorders>
              <w:bottom w:val="single" w:sz="8" w:color="ACACAC"/>
            </w:tcBorders>
            <w:shd w:val="clear" w:color="auto" w:fill="ACACAC"/>
          </w:tcPr>
          <w:p>
            <w:pPr>
              <w:spacing w:after="0"/>
              <w:rPr>
                <w:sz w:val="14"/>
                <w:szCs w:val="14"/>
                <w:color w:val="auto"/>
              </w:rPr>
            </w:pPr>
          </w:p>
        </w:tc>
        <w:tc>
          <w:tcPr>
            <w:tcW w:w="1740" w:type="dxa"/>
            <w:vAlign w:val="bottom"/>
            <w:tcBorders>
              <w:bottom w:val="single" w:sz="8" w:color="ACACAC"/>
            </w:tcBorders>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loss as of</w:t>
            </w:r>
          </w:p>
        </w:tc>
        <w:tc>
          <w:tcPr>
            <w:tcW w:w="1820" w:type="dxa"/>
            <w:vAlign w:val="bottom"/>
            <w:tcBorders>
              <w:bottom w:val="single" w:sz="8" w:color="ACACAC"/>
              <w:right w:val="single" w:sz="8" w:color="ACACAC"/>
            </w:tcBorders>
            <w:shd w:val="clear" w:color="auto" w:fill="ACACAC"/>
          </w:tcPr>
          <w:p>
            <w:pPr>
              <w:jc w:val="right"/>
              <w:ind w:right="9"/>
              <w:spacing w:after="0" w:line="135" w:lineRule="exact"/>
              <w:rPr>
                <w:sz w:val="20"/>
                <w:szCs w:val="20"/>
                <w:color w:val="auto"/>
              </w:rPr>
            </w:pPr>
            <w:r>
              <w:rPr>
                <w:rFonts w:ascii="Arial" w:cs="Arial" w:eastAsia="Arial" w:hAnsi="Arial"/>
                <w:sz w:val="14"/>
                <w:szCs w:val="14"/>
                <w:b w:val="1"/>
                <w:bCs w:val="1"/>
                <w:color w:val="FFFFFF"/>
              </w:rPr>
              <w:t>reclassified from</w:t>
            </w:r>
          </w:p>
        </w:tc>
        <w:tc>
          <w:tcPr>
            <w:tcW w:w="400" w:type="dxa"/>
            <w:vAlign w:val="bottom"/>
            <w:tcBorders>
              <w:bottom w:val="single" w:sz="8" w:color="ACACAC"/>
            </w:tcBorders>
            <w:shd w:val="clear" w:color="auto" w:fill="ACACAC"/>
          </w:tcPr>
          <w:p>
            <w:pPr>
              <w:spacing w:after="0"/>
              <w:rPr>
                <w:sz w:val="14"/>
                <w:szCs w:val="14"/>
                <w:color w:val="auto"/>
              </w:rPr>
            </w:pPr>
          </w:p>
        </w:tc>
        <w:tc>
          <w:tcPr>
            <w:tcW w:w="4000" w:type="dxa"/>
            <w:vAlign w:val="bottom"/>
            <w:tcBorders>
              <w:bottom w:val="single" w:sz="8" w:color="ACACAC"/>
            </w:tcBorders>
            <w:gridSpan w:val="4"/>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other comprehensive loss into income</w:t>
            </w:r>
          </w:p>
        </w:tc>
        <w:tc>
          <w:tcPr>
            <w:tcW w:w="20" w:type="dxa"/>
            <w:vAlign w:val="bottom"/>
            <w:tcBorders>
              <w:bottom w:val="single" w:sz="8" w:color="ACACAC"/>
            </w:tcBorders>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00" w:type="dxa"/>
            <w:vAlign w:val="bottom"/>
            <w:shd w:val="clear" w:color="auto" w:fill="ACACAC"/>
          </w:tcPr>
          <w:p>
            <w:pPr>
              <w:spacing w:after="0"/>
              <w:rPr>
                <w:sz w:val="4"/>
                <w:szCs w:val="4"/>
                <w:color w:val="auto"/>
              </w:rPr>
            </w:pPr>
          </w:p>
        </w:tc>
        <w:tc>
          <w:tcPr>
            <w:tcW w:w="280" w:type="dxa"/>
            <w:vAlign w:val="bottom"/>
            <w:shd w:val="clear" w:color="auto" w:fill="ACACAC"/>
          </w:tcPr>
          <w:p>
            <w:pPr>
              <w:spacing w:after="0"/>
              <w:rPr>
                <w:sz w:val="4"/>
                <w:szCs w:val="4"/>
                <w:color w:val="auto"/>
              </w:rPr>
            </w:pPr>
          </w:p>
        </w:tc>
        <w:tc>
          <w:tcPr>
            <w:tcW w:w="1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820" w:type="dxa"/>
            <w:vAlign w:val="bottom"/>
            <w:tcBorders>
              <w:right w:val="single" w:sz="8" w:color="ACACAC"/>
            </w:tcBorders>
            <w:shd w:val="clear" w:color="auto" w:fill="ACACAC"/>
          </w:tcPr>
          <w:p>
            <w:pPr>
              <w:jc w:val="right"/>
              <w:ind w:right="9"/>
              <w:spacing w:after="0" w:line="54" w:lineRule="exact"/>
              <w:rPr>
                <w:sz w:val="20"/>
                <w:szCs w:val="20"/>
                <w:color w:val="auto"/>
              </w:rPr>
            </w:pPr>
            <w:r>
              <w:rPr>
                <w:rFonts w:ascii="Arial" w:cs="Arial" w:eastAsia="Arial" w:hAnsi="Arial"/>
                <w:sz w:val="6"/>
                <w:szCs w:val="6"/>
                <w:b w:val="1"/>
                <w:bCs w:val="1"/>
                <w:color w:val="FFFFFF"/>
              </w:rPr>
              <w:t>accumulated other</w:t>
            </w:r>
          </w:p>
        </w:tc>
        <w:tc>
          <w:tcPr>
            <w:tcW w:w="400" w:type="dxa"/>
            <w:vAlign w:val="bottom"/>
            <w:shd w:val="clear" w:color="auto" w:fill="ACACAC"/>
          </w:tcPr>
          <w:p>
            <w:pPr>
              <w:spacing w:after="0"/>
              <w:rPr>
                <w:sz w:val="4"/>
                <w:szCs w:val="4"/>
                <w:color w:val="auto"/>
              </w:rPr>
            </w:pPr>
          </w:p>
        </w:tc>
        <w:tc>
          <w:tcPr>
            <w:tcW w:w="1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4"/>
                <w:szCs w:val="4"/>
                <w:color w:val="auto"/>
              </w:rPr>
            </w:pPr>
          </w:p>
        </w:tc>
        <w:tc>
          <w:tcPr>
            <w:tcW w:w="460" w:type="dxa"/>
            <w:vAlign w:val="bottom"/>
            <w:shd w:val="clear" w:color="auto" w:fill="ACACAC"/>
          </w:tcPr>
          <w:p>
            <w:pPr>
              <w:spacing w:after="0"/>
              <w:rPr>
                <w:sz w:val="4"/>
                <w:szCs w:val="4"/>
                <w:color w:val="auto"/>
              </w:rPr>
            </w:pPr>
          </w:p>
        </w:tc>
        <w:tc>
          <w:tcPr>
            <w:tcW w:w="1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shd w:val="clear" w:color="auto" w:fill="ACACAC"/>
          </w:tcPr>
          <w:p>
            <w:pPr>
              <w:jc w:val="right"/>
              <w:ind w:right="1376"/>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shd w:val="clear" w:color="auto" w:fill="ACACAC"/>
          </w:tcPr>
          <w:p>
            <w:pPr>
              <w:spacing w:after="0"/>
              <w:rPr>
                <w:sz w:val="11"/>
                <w:szCs w:val="11"/>
                <w:color w:val="auto"/>
              </w:rPr>
            </w:pPr>
          </w:p>
        </w:tc>
        <w:tc>
          <w:tcPr>
            <w:tcW w:w="1740" w:type="dxa"/>
            <w:vAlign w:val="bottom"/>
            <w:vMerge w:val="continue"/>
            <w:shd w:val="clear" w:color="auto" w:fill="ACACAC"/>
          </w:tcPr>
          <w:p>
            <w:pPr>
              <w:spacing w:after="0"/>
              <w:rPr>
                <w:sz w:val="11"/>
                <w:szCs w:val="11"/>
                <w:color w:val="auto"/>
              </w:rPr>
            </w:pPr>
          </w:p>
        </w:tc>
        <w:tc>
          <w:tcPr>
            <w:tcW w:w="1820" w:type="dxa"/>
            <w:vAlign w:val="bottom"/>
            <w:tcBorders>
              <w:right w:val="single" w:sz="8" w:color="ACACAC"/>
            </w:tcBorders>
            <w:shd w:val="clear" w:color="auto" w:fill="ACACAC"/>
          </w:tcPr>
          <w:p>
            <w:pPr>
              <w:jc w:val="right"/>
              <w:ind w:right="9"/>
              <w:spacing w:after="0" w:line="135" w:lineRule="exact"/>
              <w:rPr>
                <w:sz w:val="20"/>
                <w:szCs w:val="20"/>
                <w:color w:val="auto"/>
              </w:rPr>
            </w:pPr>
            <w:r>
              <w:rPr>
                <w:rFonts w:ascii="Arial" w:cs="Arial" w:eastAsia="Arial" w:hAnsi="Arial"/>
                <w:sz w:val="14"/>
                <w:szCs w:val="14"/>
                <w:b w:val="1"/>
                <w:bCs w:val="1"/>
                <w:color w:val="FFFFFF"/>
              </w:rPr>
              <w:t>comprehensive</w:t>
            </w:r>
          </w:p>
        </w:tc>
        <w:tc>
          <w:tcPr>
            <w:tcW w:w="400" w:type="dxa"/>
            <w:vAlign w:val="bottom"/>
            <w:shd w:val="clear" w:color="auto" w:fill="ACACAC"/>
          </w:tcPr>
          <w:p>
            <w:pPr>
              <w:spacing w:after="0"/>
              <w:rPr>
                <w:sz w:val="11"/>
                <w:szCs w:val="11"/>
                <w:color w:val="auto"/>
              </w:rPr>
            </w:pPr>
          </w:p>
        </w:tc>
        <w:tc>
          <w:tcPr>
            <w:tcW w:w="1740" w:type="dxa"/>
            <w:vAlign w:val="bottom"/>
            <w:vMerge w:val="continue"/>
            <w:shd w:val="clear" w:color="auto" w:fill="ACACAC"/>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1700" w:type="dxa"/>
            <w:vAlign w:val="bottom"/>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ACACAC"/>
            </w:tcBorders>
            <w:vMerge w:val="continue"/>
            <w:shd w:val="clear" w:color="auto" w:fill="ACACAC"/>
          </w:tcPr>
          <w:p>
            <w:pPr>
              <w:spacing w:after="0"/>
              <w:rPr>
                <w:sz w:val="15"/>
                <w:szCs w:val="15"/>
                <w:color w:val="auto"/>
              </w:rPr>
            </w:pPr>
          </w:p>
        </w:tc>
        <w:tc>
          <w:tcPr>
            <w:tcW w:w="280" w:type="dxa"/>
            <w:vAlign w:val="bottom"/>
            <w:tcBorders>
              <w:bottom w:val="single" w:sz="8" w:color="ACACAC"/>
            </w:tcBorders>
            <w:shd w:val="clear" w:color="auto" w:fill="ACACAC"/>
          </w:tcPr>
          <w:p>
            <w:pPr>
              <w:spacing w:after="0"/>
              <w:rPr>
                <w:sz w:val="15"/>
                <w:szCs w:val="15"/>
                <w:color w:val="auto"/>
              </w:rPr>
            </w:pPr>
          </w:p>
        </w:tc>
        <w:tc>
          <w:tcPr>
            <w:tcW w:w="1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82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400" w:type="dxa"/>
            <w:vAlign w:val="bottom"/>
            <w:tcBorders>
              <w:bottom w:val="single" w:sz="8" w:color="F4F4F4"/>
            </w:tcBorders>
            <w:shd w:val="clear" w:color="auto" w:fill="ACACAC"/>
          </w:tcPr>
          <w:p>
            <w:pPr>
              <w:spacing w:after="0"/>
              <w:rPr>
                <w:sz w:val="15"/>
                <w:szCs w:val="15"/>
                <w:color w:val="auto"/>
              </w:rPr>
            </w:pPr>
          </w:p>
        </w:tc>
        <w:tc>
          <w:tcPr>
            <w:tcW w:w="174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Borders>
              <w:bottom w:val="single" w:sz="8" w:color="F4F4F4"/>
            </w:tcBorders>
          </w:tcPr>
          <w:p>
            <w:pPr>
              <w:spacing w:after="0"/>
              <w:rPr>
                <w:sz w:val="15"/>
                <w:szCs w:val="15"/>
                <w:color w:val="auto"/>
              </w:rPr>
            </w:pPr>
          </w:p>
        </w:tc>
        <w:tc>
          <w:tcPr>
            <w:tcW w:w="460" w:type="dxa"/>
            <w:vAlign w:val="bottom"/>
            <w:tcBorders>
              <w:bottom w:val="single" w:sz="8" w:color="ACACAC"/>
            </w:tcBorders>
            <w:shd w:val="clear" w:color="auto" w:fill="ACACAC"/>
          </w:tcPr>
          <w:p>
            <w:pPr>
              <w:spacing w:after="0"/>
              <w:rPr>
                <w:sz w:val="15"/>
                <w:szCs w:val="15"/>
                <w:color w:val="auto"/>
              </w:rPr>
            </w:pPr>
          </w:p>
        </w:tc>
        <w:tc>
          <w:tcPr>
            <w:tcW w:w="17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2019</w:t>
            </w:r>
          </w:p>
        </w:tc>
        <w:tc>
          <w:tcPr>
            <w:tcW w:w="20" w:type="dxa"/>
            <w:vAlign w:val="bottom"/>
            <w:tcBorders>
              <w:bottom w:val="single" w:sz="8" w:color="ACACAC"/>
            </w:tcBorders>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F4F4F4"/>
          </w:tcPr>
          <w:p>
            <w:pPr>
              <w:jc w:val="right"/>
              <w:ind w:right="1376"/>
              <w:spacing w:after="0"/>
              <w:rPr>
                <w:sz w:val="20"/>
                <w:szCs w:val="20"/>
                <w:color w:val="auto"/>
              </w:rPr>
            </w:pPr>
            <w:r>
              <w:rPr>
                <w:rFonts w:ascii="Arial" w:cs="Arial" w:eastAsia="Arial" w:hAnsi="Arial"/>
                <w:sz w:val="18"/>
                <w:szCs w:val="18"/>
                <w:color w:val="auto"/>
                <w:w w:val="99"/>
              </w:rPr>
              <w:t>Interest rate swaps</w:t>
            </w:r>
          </w:p>
        </w:tc>
        <w:tc>
          <w:tcPr>
            <w:tcW w:w="280" w:type="dxa"/>
            <w:vAlign w:val="bottom"/>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(3,957)</w:t>
            </w:r>
          </w:p>
        </w:tc>
        <w:tc>
          <w:tcPr>
            <w:tcW w:w="2220" w:type="dxa"/>
            <w:vAlign w:val="bottom"/>
            <w:gridSpan w:val="2"/>
            <w:shd w:val="clear" w:color="auto" w:fill="F4F4F4"/>
          </w:tcPr>
          <w:p>
            <w:pPr>
              <w:ind w:left="440"/>
              <w:spacing w:after="0"/>
              <w:rPr>
                <w:sz w:val="20"/>
                <w:szCs w:val="20"/>
                <w:color w:val="auto"/>
              </w:rPr>
            </w:pPr>
            <w:r>
              <w:rPr>
                <w:rFonts w:ascii="Arial" w:cs="Arial" w:eastAsia="Arial" w:hAnsi="Arial"/>
                <w:sz w:val="18"/>
                <w:szCs w:val="18"/>
                <w:color w:val="auto"/>
              </w:rPr>
              <w:t>Interest expense $</w:t>
            </w:r>
          </w:p>
        </w:tc>
        <w:tc>
          <w:tcPr>
            <w:tcW w:w="17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(1,276)</w:t>
            </w:r>
          </w:p>
        </w:tc>
        <w:tc>
          <w:tcPr>
            <w:tcW w:w="560" w:type="dxa"/>
            <w:vAlign w:val="bottom"/>
            <w:gridSpan w:val="2"/>
            <w:shd w:val="clear" w:color="auto" w:fill="F4F4F4"/>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820" w:type="dxa"/>
            <w:vAlign w:val="bottom"/>
            <w:tcBorders>
              <w:right w:val="single" w:sz="8" w:color="ACACAC"/>
            </w:tcBorders>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1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F4F4F4"/>
            </w:tcBorders>
          </w:tcPr>
          <w:p>
            <w:pPr>
              <w:spacing w:after="0"/>
              <w:rPr>
                <w:sz w:val="15"/>
                <w:szCs w:val="15"/>
                <w:color w:val="auto"/>
              </w:rPr>
            </w:pPr>
          </w:p>
        </w:tc>
        <w:tc>
          <w:tcPr>
            <w:tcW w:w="280" w:type="dxa"/>
            <w:vAlign w:val="bottom"/>
            <w:tcBorders>
              <w:bottom w:val="single" w:sz="8" w:color="ACACAC"/>
            </w:tcBorders>
            <w:shd w:val="clear" w:color="auto" w:fill="ACACAC"/>
          </w:tcPr>
          <w:p>
            <w:pPr>
              <w:spacing w:after="0"/>
              <w:rPr>
                <w:sz w:val="15"/>
                <w:szCs w:val="15"/>
                <w:color w:val="auto"/>
              </w:rPr>
            </w:pPr>
          </w:p>
        </w:tc>
        <w:tc>
          <w:tcPr>
            <w:tcW w:w="1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820" w:type="dxa"/>
            <w:vAlign w:val="bottom"/>
            <w:tcBorders>
              <w:bottom w:val="single" w:sz="8" w:color="F4F4F4"/>
              <w:right w:val="single" w:sz="8" w:color="ACACAC"/>
            </w:tcBorders>
          </w:tcPr>
          <w:p>
            <w:pPr>
              <w:spacing w:after="0"/>
              <w:rPr>
                <w:sz w:val="15"/>
                <w:szCs w:val="15"/>
                <w:color w:val="auto"/>
              </w:rPr>
            </w:pPr>
          </w:p>
        </w:tc>
        <w:tc>
          <w:tcPr>
            <w:tcW w:w="400" w:type="dxa"/>
            <w:vAlign w:val="bottom"/>
            <w:tcBorders>
              <w:bottom w:val="single" w:sz="8" w:color="ACACAC"/>
            </w:tcBorders>
            <w:shd w:val="clear" w:color="auto" w:fill="ACACAC"/>
          </w:tcPr>
          <w:p>
            <w:pPr>
              <w:spacing w:after="0"/>
              <w:rPr>
                <w:sz w:val="15"/>
                <w:szCs w:val="15"/>
                <w:color w:val="auto"/>
              </w:rPr>
            </w:pPr>
          </w:p>
        </w:tc>
        <w:tc>
          <w:tcPr>
            <w:tcW w:w="1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2019</w:t>
            </w:r>
          </w:p>
        </w:tc>
        <w:tc>
          <w:tcPr>
            <w:tcW w:w="100" w:type="dxa"/>
            <w:vAlign w:val="bottom"/>
            <w:tcBorders>
              <w:bottom w:val="single" w:sz="8" w:color="F4F4F4"/>
            </w:tcBorders>
          </w:tcPr>
          <w:p>
            <w:pPr>
              <w:spacing w:after="0"/>
              <w:rPr>
                <w:sz w:val="15"/>
                <w:szCs w:val="15"/>
                <w:color w:val="auto"/>
              </w:rPr>
            </w:pPr>
          </w:p>
        </w:tc>
        <w:tc>
          <w:tcPr>
            <w:tcW w:w="460" w:type="dxa"/>
            <w:vAlign w:val="bottom"/>
            <w:tcBorders>
              <w:bottom w:val="single" w:sz="8" w:color="ACACAC"/>
            </w:tcBorders>
            <w:shd w:val="clear" w:color="auto" w:fill="ACACAC"/>
          </w:tcPr>
          <w:p>
            <w:pPr>
              <w:spacing w:after="0"/>
              <w:rPr>
                <w:sz w:val="15"/>
                <w:szCs w:val="15"/>
                <w:color w:val="auto"/>
              </w:rPr>
            </w:pPr>
          </w:p>
        </w:tc>
        <w:tc>
          <w:tcPr>
            <w:tcW w:w="17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 2019</w:t>
            </w:r>
          </w:p>
        </w:tc>
        <w:tc>
          <w:tcPr>
            <w:tcW w:w="20" w:type="dxa"/>
            <w:vAlign w:val="bottom"/>
            <w:tcBorders>
              <w:bottom w:val="single" w:sz="8" w:color="ACACAC"/>
            </w:tcBorders>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71BF43"/>
            </w:tcBorders>
            <w:shd w:val="clear" w:color="auto" w:fill="F4F4F4"/>
          </w:tcPr>
          <w:p>
            <w:pPr>
              <w:jc w:val="right"/>
              <w:ind w:right="1376"/>
              <w:spacing w:after="0"/>
              <w:rPr>
                <w:sz w:val="20"/>
                <w:szCs w:val="20"/>
                <w:color w:val="auto"/>
              </w:rPr>
            </w:pPr>
            <w:r>
              <w:rPr>
                <w:rFonts w:ascii="Arial" w:cs="Arial" w:eastAsia="Arial" w:hAnsi="Arial"/>
                <w:sz w:val="18"/>
                <w:szCs w:val="18"/>
                <w:color w:val="auto"/>
                <w:w w:val="99"/>
              </w:rPr>
              <w:t>Interest rate swaps</w:t>
            </w:r>
          </w:p>
        </w:tc>
        <w:tc>
          <w:tcPr>
            <w:tcW w:w="280" w:type="dxa"/>
            <w:vAlign w:val="bottom"/>
            <w:tcBorders>
              <w:bottom w:val="single" w:sz="8" w:color="71BF43"/>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(2,318)</w:t>
            </w:r>
          </w:p>
        </w:tc>
        <w:tc>
          <w:tcPr>
            <w:tcW w:w="2220" w:type="dxa"/>
            <w:vAlign w:val="bottom"/>
            <w:tcBorders>
              <w:bottom w:val="single" w:sz="8" w:color="71BF43"/>
            </w:tcBorders>
            <w:gridSpan w:val="2"/>
            <w:shd w:val="clear" w:color="auto" w:fill="F4F4F4"/>
          </w:tcPr>
          <w:p>
            <w:pPr>
              <w:ind w:left="440"/>
              <w:spacing w:after="0"/>
              <w:rPr>
                <w:sz w:val="20"/>
                <w:szCs w:val="20"/>
                <w:color w:val="auto"/>
              </w:rPr>
            </w:pPr>
            <w:r>
              <w:rPr>
                <w:rFonts w:ascii="Arial" w:cs="Arial" w:eastAsia="Arial" w:hAnsi="Arial"/>
                <w:sz w:val="18"/>
                <w:szCs w:val="18"/>
                <w:color w:val="auto"/>
              </w:rPr>
              <w:t>Interest expense $</w:t>
            </w:r>
          </w:p>
        </w:tc>
        <w:tc>
          <w:tcPr>
            <w:tcW w:w="1740" w:type="dxa"/>
            <w:vAlign w:val="bottom"/>
            <w:tcBorders>
              <w:bottom w:val="single" w:sz="8" w:color="71BF43"/>
            </w:tcBorders>
            <w:shd w:val="clear" w:color="auto" w:fill="F4F4F4"/>
          </w:tcPr>
          <w:p>
            <w:pPr>
              <w:jc w:val="right"/>
              <w:ind w:right="4"/>
              <w:spacing w:after="0"/>
              <w:rPr>
                <w:sz w:val="20"/>
                <w:szCs w:val="20"/>
                <w:color w:val="auto"/>
              </w:rPr>
            </w:pPr>
            <w:r>
              <w:rPr>
                <w:rFonts w:ascii="Arial" w:cs="Arial" w:eastAsia="Arial" w:hAnsi="Arial"/>
                <w:sz w:val="18"/>
                <w:szCs w:val="18"/>
                <w:color w:val="auto"/>
              </w:rPr>
              <w:t>196</w:t>
            </w:r>
          </w:p>
        </w:tc>
        <w:tc>
          <w:tcPr>
            <w:tcW w:w="560" w:type="dxa"/>
            <w:vAlign w:val="bottom"/>
            <w:tcBorders>
              <w:bottom w:val="single" w:sz="8" w:color="71BF43"/>
            </w:tcBorders>
            <w:gridSpan w:val="2"/>
            <w:shd w:val="clear" w:color="auto" w:fill="F4F4F4"/>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-376555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-805180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-565150</wp:posOffset>
            </wp:positionV>
            <wp:extent cx="1371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-805180</wp:posOffset>
            </wp:positionV>
            <wp:extent cx="1294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September 30, 2020 that is expected to be reclassified into earnings within the next twelve months is $ 4.0 million. There were no ineffective portions of our interest rate swap derivatives during the nine months ended September 30, 2020 and 2019. See Note 13 for a summary of the changes in accumulated other comprehensive income (loss) by component.</w:t>
      </w:r>
    </w:p>
    <w:p>
      <w:pPr>
        <w:spacing w:after="0" w:line="200" w:lineRule="exact"/>
        <w:rPr>
          <w:sz w:val="20"/>
          <w:szCs w:val="20"/>
          <w:color w:val="auto"/>
        </w:rPr>
      </w:pPr>
    </w:p>
    <w:p>
      <w:pPr>
        <w:spacing w:after="0" w:line="28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In August 2020, we completed the purchase of our Headquarters Facility that we previously leased (see Note 6). As of September 30, 2020, we had operating leases for equipment that had not yet commenced with future rent payments of $1.3 million. These operating leases are expected to commence during 2020 with lease terms of 3 to 5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3511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right"/>
        <w:ind w:right="940"/>
        <w:spacing w:after="0"/>
        <w:rPr>
          <w:sz w:val="20"/>
          <w:szCs w:val="20"/>
          <w:color w:val="auto"/>
        </w:rPr>
      </w:pPr>
      <w:r>
        <w:rPr>
          <w:rFonts w:ascii="Arial" w:cs="Arial" w:eastAsia="Arial" w:hAnsi="Arial"/>
          <w:sz w:val="14"/>
          <w:szCs w:val="14"/>
          <w:b w:val="1"/>
          <w:bCs w:val="1"/>
          <w:color w:val="FFFFFF"/>
        </w:rPr>
        <w:t>Three months ended</w:t>
      </w:r>
    </w:p>
    <w:p>
      <w:pPr>
        <w:jc w:val="right"/>
        <w:ind w:right="940"/>
        <w:spacing w:after="0"/>
        <w:rPr>
          <w:sz w:val="20"/>
          <w:szCs w:val="20"/>
          <w:color w:val="auto"/>
        </w:rPr>
      </w:pPr>
      <w:r>
        <w:rPr>
          <w:rFonts w:ascii="Arial" w:cs="Arial" w:eastAsia="Arial" w:hAnsi="Arial"/>
          <w:sz w:val="14"/>
          <w:szCs w:val="14"/>
          <w:b w:val="1"/>
          <w:bCs w:val="1"/>
          <w:color w:val="FFFFFF"/>
        </w:rPr>
        <w:t>September 30,</w:t>
      </w:r>
    </w:p>
    <w:p>
      <w:pPr>
        <w:spacing w:after="0" w:line="24"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FFFFFF"/>
        </w:rPr>
        <w:t>2020</w:t>
      </w:r>
      <w:r>
        <w:rPr>
          <w:sz w:val="20"/>
          <w:szCs w:val="20"/>
          <w:color w:val="auto"/>
        </w:rPr>
        <w:tab/>
      </w:r>
      <w:r>
        <w:rPr>
          <w:rFonts w:ascii="Arial" w:cs="Arial" w:eastAsia="Arial" w:hAnsi="Arial"/>
          <w:sz w:val="14"/>
          <w:szCs w:val="14"/>
          <w:b w:val="1"/>
          <w:bCs w:val="1"/>
          <w:color w:val="FFFFFF"/>
        </w:rPr>
        <w:t>2019</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FFFFFF"/>
        </w:rPr>
        <w:t>Nine months ended</w:t>
      </w:r>
    </w:p>
    <w:p>
      <w:pPr>
        <w:jc w:val="right"/>
        <w:ind w:right="20"/>
        <w:spacing w:after="0"/>
        <w:rPr>
          <w:sz w:val="20"/>
          <w:szCs w:val="20"/>
          <w:color w:val="auto"/>
        </w:rPr>
      </w:pPr>
      <w:r>
        <w:rPr>
          <w:rFonts w:ascii="Arial" w:cs="Arial" w:eastAsia="Arial" w:hAnsi="Arial"/>
          <w:sz w:val="14"/>
          <w:szCs w:val="14"/>
          <w:b w:val="1"/>
          <w:bCs w:val="1"/>
          <w:color w:val="FFFFFF"/>
        </w:rPr>
        <w:t>September 30,</w:t>
      </w:r>
    </w:p>
    <w:p>
      <w:pPr>
        <w:spacing w:after="0" w:line="24"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FFFFFF"/>
        </w:rPr>
        <w:t>2020</w:t>
      </w:r>
      <w:r>
        <w:rPr>
          <w:sz w:val="20"/>
          <w:szCs w:val="20"/>
          <w:color w:val="auto"/>
        </w:rPr>
        <w:tab/>
      </w:r>
      <w:r>
        <w:rPr>
          <w:rFonts w:ascii="Arial" w:cs="Arial" w:eastAsia="Arial" w:hAnsi="Arial"/>
          <w:sz w:val="14"/>
          <w:szCs w:val="14"/>
          <w:b w:val="1"/>
          <w:bCs w:val="1"/>
          <w:color w:val="FFFFFF"/>
        </w:rPr>
        <w:t>2019</w:t>
      </w:r>
    </w:p>
    <w:p>
      <w:pPr>
        <w:spacing w:after="0" w:line="6" w:lineRule="exact"/>
        <w:rPr>
          <w:sz w:val="20"/>
          <w:szCs w:val="20"/>
          <w:color w:val="auto"/>
        </w:rPr>
      </w:pPr>
    </w:p>
    <w:p>
      <w:pPr>
        <w:sectPr>
          <w:pgSz w:w="11900" w:h="16838" w:orient="portrait"/>
          <w:cols w:equalWidth="0" w:num="3">
            <w:col w:w="4680" w:space="720"/>
            <w:col w:w="3020" w:space="720"/>
            <w:col w:w="210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388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12,128</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6,786</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24,720</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18,680</w:t>
            </w:r>
          </w:p>
        </w:tc>
      </w:tr>
      <w:tr>
        <w:trPr>
          <w:trHeight w:val="229"/>
        </w:trPr>
        <w:tc>
          <w:tcPr>
            <w:tcW w:w="3880" w:type="dxa"/>
            <w:vAlign w:val="bottom"/>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68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1,120</w:t>
            </w:r>
          </w:p>
        </w:tc>
        <w:tc>
          <w:tcPr>
            <w:tcW w:w="68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923</w:t>
            </w:r>
          </w:p>
        </w:tc>
        <w:tc>
          <w:tcPr>
            <w:tcW w:w="720" w:type="dxa"/>
            <w:vAlign w:val="bottom"/>
            <w:shd w:val="clear" w:color="auto" w:fill="F4F4F4"/>
          </w:tcPr>
          <w:p>
            <w:pPr>
              <w:spacing w:after="0"/>
              <w:rPr>
                <w:sz w:val="19"/>
                <w:szCs w:val="19"/>
                <w:color w:val="auto"/>
              </w:rPr>
            </w:pPr>
          </w:p>
        </w:tc>
        <w:tc>
          <w:tcPr>
            <w:tcW w:w="11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3,491</w:t>
            </w:r>
          </w:p>
        </w:tc>
        <w:tc>
          <w:tcPr>
            <w:tcW w:w="64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2,901</w:t>
            </w:r>
          </w:p>
        </w:tc>
      </w:tr>
      <w:tr>
        <w:trPr>
          <w:trHeight w:val="229"/>
        </w:trPr>
        <w:tc>
          <w:tcPr>
            <w:tcW w:w="38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Sublease income</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r>
      <w:tr>
        <w:trPr>
          <w:trHeight w:val="223"/>
        </w:trPr>
        <w:tc>
          <w:tcPr>
            <w:tcW w:w="388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8"/>
                <w:szCs w:val="18"/>
                <w:color w:val="auto"/>
              </w:rPr>
              <w:t>Net lease cost</w:t>
            </w:r>
          </w:p>
        </w:tc>
        <w:tc>
          <w:tcPr>
            <w:tcW w:w="680" w:type="dxa"/>
            <w:vAlign w:val="bottom"/>
            <w:tcBorders>
              <w:bottom w:val="single" w:sz="8" w:color="71BF43"/>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12,516</w:t>
            </w:r>
          </w:p>
        </w:tc>
        <w:tc>
          <w:tcPr>
            <w:tcW w:w="680" w:type="dxa"/>
            <w:vAlign w:val="bottom"/>
            <w:tcBorders>
              <w:bottom w:val="single" w:sz="8" w:color="71BF43"/>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rPr>
              <w:t>6,906</w:t>
            </w:r>
          </w:p>
        </w:tc>
        <w:tc>
          <w:tcPr>
            <w:tcW w:w="720" w:type="dxa"/>
            <w:vAlign w:val="bottom"/>
            <w:tcBorders>
              <w:bottom w:val="single" w:sz="8" w:color="71BF43"/>
            </w:tcBorders>
            <w:shd w:val="clear" w:color="auto" w:fill="F4F4F4"/>
          </w:tcPr>
          <w:p>
            <w:pPr>
              <w:jc w:val="right"/>
              <w:ind w:right="4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25,626</w:t>
            </w:r>
          </w:p>
        </w:tc>
        <w:tc>
          <w:tcPr>
            <w:tcW w:w="640" w:type="dxa"/>
            <w:vAlign w:val="bottom"/>
            <w:tcBorders>
              <w:bottom w:val="single" w:sz="8" w:color="71BF43"/>
            </w:tcBorders>
            <w:shd w:val="clear" w:color="auto" w:fill="F4F4F4"/>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19,319</w:t>
            </w:r>
          </w:p>
        </w:tc>
      </w:tr>
    </w:tbl>
    <w:p>
      <w:pPr>
        <w:spacing w:after="0" w:line="9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is expected to create efficiencies within our real estate strategy as we optimize our footprint and shift toward more collaborative workspaces within our offices. As a result, during the three months ended September 30, 2020, we reduced the estimated useful lives of our operating lease ROU assets for certain of our office locations we expect to exit, which accounts for a substantial portion of the increase in operating lease costs during the periods. For these same office locations, we also reduced the estimated useful lives of certain facilities-related fixed assets, which resulted in an increase in depreciation expense (see Note 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operating lease liabilities as of September 30, 2020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Years ending December 31,</w:t>
            </w:r>
          </w:p>
        </w:tc>
        <w:tc>
          <w:tcPr>
            <w:tcW w:w="360" w:type="dxa"/>
            <w:vAlign w:val="bottom"/>
            <w:shd w:val="clear" w:color="auto" w:fill="ACACAC"/>
          </w:tcPr>
          <w:p>
            <w:pPr>
              <w:spacing w:after="0"/>
              <w:rPr>
                <w:sz w:val="14"/>
                <w:szCs w:val="14"/>
                <w:color w:val="auto"/>
              </w:rPr>
            </w:pPr>
          </w:p>
        </w:tc>
        <w:tc>
          <w:tcPr>
            <w:tcW w:w="14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Operating leases</w:t>
            </w:r>
          </w:p>
        </w:tc>
        <w:tc>
          <w:tcPr>
            <w:tcW w:w="0" w:type="dxa"/>
            <w:vAlign w:val="bottom"/>
          </w:tcPr>
          <w:p>
            <w:pPr>
              <w:spacing w:after="0"/>
              <w:rPr>
                <w:sz w:val="1"/>
                <w:szCs w:val="1"/>
                <w:color w:val="auto"/>
              </w:rPr>
            </w:pPr>
          </w:p>
        </w:tc>
      </w:tr>
      <w:tr>
        <w:trPr>
          <w:trHeight w:val="176"/>
        </w:trPr>
        <w:tc>
          <w:tcPr>
            <w:tcW w:w="94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shd w:val="clear" w:color="auto" w:fill="ACACAC"/>
          </w:tcPr>
          <w:p>
            <w:pPr>
              <w:spacing w:after="0"/>
              <w:rPr>
                <w:sz w:val="15"/>
                <w:szCs w:val="15"/>
                <w:color w:val="auto"/>
              </w:rPr>
            </w:pPr>
          </w:p>
        </w:tc>
        <w:tc>
          <w:tcPr>
            <w:tcW w:w="1420" w:type="dxa"/>
            <w:vAlign w:val="bottom"/>
            <w:vMerge w:val="continue"/>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2020 – remaining</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30"/>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9,107</w:t>
            </w:r>
          </w:p>
        </w:tc>
        <w:tc>
          <w:tcPr>
            <w:tcW w:w="0" w:type="dxa"/>
            <w:vAlign w:val="bottom"/>
          </w:tcPr>
          <w:p>
            <w:pPr>
              <w:spacing w:after="0"/>
              <w:rPr>
                <w:sz w:val="1"/>
                <w:szCs w:val="1"/>
                <w:color w:val="auto"/>
              </w:rPr>
            </w:pPr>
          </w:p>
        </w:tc>
      </w:tr>
      <w:tr>
        <w:trPr>
          <w:trHeight w:val="229"/>
        </w:trPr>
        <w:tc>
          <w:tcPr>
            <w:tcW w:w="946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30"/>
        </w:trPr>
        <w:tc>
          <w:tcPr>
            <w:tcW w:w="94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946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F4F4F4"/>
          </w:tcPr>
          <w:p>
            <w:pPr>
              <w:spacing w:after="0"/>
              <w:rPr>
                <w:sz w:val="19"/>
                <w:szCs w:val="19"/>
                <w:color w:val="auto"/>
              </w:rPr>
            </w:pPr>
          </w:p>
        </w:tc>
        <w:tc>
          <w:tcPr>
            <w:tcW w:w="14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45,967</w:t>
            </w:r>
          </w:p>
        </w:tc>
        <w:tc>
          <w:tcPr>
            <w:tcW w:w="0" w:type="dxa"/>
            <w:vAlign w:val="bottom"/>
          </w:tcPr>
          <w:p>
            <w:pPr>
              <w:spacing w:after="0"/>
              <w:rPr>
                <w:sz w:val="1"/>
                <w:szCs w:val="1"/>
                <w:color w:val="auto"/>
              </w:rPr>
            </w:pPr>
          </w:p>
        </w:tc>
      </w:tr>
      <w:tr>
        <w:trPr>
          <w:trHeight w:val="230"/>
        </w:trPr>
        <w:tc>
          <w:tcPr>
            <w:tcW w:w="946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23"/>
        </w:trPr>
        <w:tc>
          <w:tcPr>
            <w:tcW w:w="94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Present value of future payments</w:t>
            </w:r>
          </w:p>
        </w:tc>
        <w:tc>
          <w:tcPr>
            <w:tcW w:w="360" w:type="dxa"/>
            <w:vAlign w:val="bottom"/>
            <w:tcBorders>
              <w:bottom w:val="single" w:sz="8" w:color="71BF43"/>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42,339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loans under the 2017 Credit Facility require periodic principal payments. The balance of the term loans and any amounts drawn on the revolving credit loans are due upon maturity of the 2017 Credit Facility in June 2022.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September 30, 2020, the remaining aggregate minimum purchase commitment under these arrangements was approximately $85.9 million through 2024.</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18 </w:t>
      </w:r>
      <w:r>
        <w:rPr>
          <w:sz w:val="1"/>
          <w:szCs w:val="1"/>
          <w:color w:val="auto"/>
        </w:rPr>
        <w:drawing>
          <wp:inline distT="0" distB="0" distL="0" distR="0">
            <wp:extent cx="745490" cy="18859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legal costs are expensed as incurred.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our analysis as described above, we have determined as of September 30, 2020, that no provision for liability nor disclosure is required related to any legal proceeding, claim or inquiry because (a) there is not a reasonable possibility that a loss exceeding amounts already recognized (if any) may be incurred with respect to such claim; (b) a reasonably possible loss or range of loss cannot be estimated; or (c) such estimate is immaterial.</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We further believe that the amount or range of reasonably possible losses related to such pending or threatened legal proceedings will not have a material adverse effect on our business, operating results, cash flows, or financial condition should such litigation be resolved unfavorably. It is possible, nevertheless, that our consolidated financial position, results of operations or cash flows could be negatively affected in any particular period by an unfavorable resolution of one or more of such 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three months ended September 30, 2020, we recorded $3.2 million of expenses and $2.9 million of accrued insurance recoveries related to the Security Incident, and in the nine months ended September 30, 2020, we recorded $3.6 million of expenses and $2.9 million of accrued insurance recoveries related to the Security Incident. Recorded expenses consisted primarily of payments to third-party service providers and consultants, including legal fees, and enhancements to our cybersecurity measures. Due to the time required to submit and process such insurance claims, we have not yet received any of the accrued insurance recoveries. We present expenses and insurance recoveries related to the Security Incident in general and administrative expense on our condensed consolidated statements of comprehensive income. We expect to continue to experience increased costs related to our response to the Security Incident and our efforts to further enhance our security measures.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investigations in the future that might result in adverse judgments, settlements, fines, penalties, or other resolution. Although we carry insurance policies that we believe will provide coverage for a significant portion of our current and expected future losses and expenses related to the Security Incident, there can be no assurance that they will do so.</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related to the Security Incident as of September 30, 2020 because we are unable at this time to reasonably estimate the possible loss or range of loss.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160 claims from customers or their attorneys in the U.S., U.K. and Canada</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Security Incident. Possible exposure could result from our customers’ costs and expenses associated with notifying their own customers of the Security Incident and taking steps to assure that personal information has not been compromised as a result of the Security Incident. We are in the process of analyzing individual customer contracts into which we have entered, the specific claims made and applicable law. At this time we cannot determine what, if any, exposure we have in the context of customer claims.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To date, we have been named as a defendant in 23 putative consumer class action cases (17 in U.S.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courts, 4 in U.S. state courts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Governmental inquiries. </w:t>
      </w:r>
      <w:r>
        <w:rPr>
          <w:rFonts w:ascii="Arial" w:cs="Arial" w:eastAsia="Arial" w:hAnsi="Arial"/>
          <w:sz w:val="18"/>
          <w:szCs w:val="18"/>
          <w:color w:val="auto"/>
        </w:rPr>
        <w:t>To date, we have received a consolidated, multi-state Civil Investigative Demand issued on behalf of 43 state</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 General and the District of Columbia relating to the Security Incident. In addition, we have received communications, inquires and requests from the U.S. Federal Trade Commission, the U.S. Department of Health and Human Services, the Information Commissioner’s Office in the United Kingdom (the “ICO”) under the U.K. Data Protection Act 2018, the Office of the Australian Information Commissioner and the Office of the Privacy Commissioner of Canada. We are cooperating with these offices and responding to their inquiries.</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20 </w:t>
      </w:r>
      <w:r>
        <w:rPr>
          <w:sz w:val="1"/>
          <w:szCs w:val="1"/>
          <w:color w:val="auto"/>
        </w:rPr>
        <w:drawing>
          <wp:inline distT="0" distB="0" distL="0" distR="0">
            <wp:extent cx="745490" cy="18859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effective income tax rates, including the effects of period-specific events, were: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1040" w:type="dxa"/>
            <w:vAlign w:val="bottom"/>
            <w:shd w:val="clear" w:color="auto" w:fill="ACACAC"/>
          </w:tcPr>
          <w:p>
            <w:pPr>
              <w:spacing w:after="0"/>
              <w:rPr>
                <w:sz w:val="14"/>
                <w:szCs w:val="14"/>
                <w:color w:val="auto"/>
              </w:rPr>
            </w:pPr>
          </w:p>
        </w:tc>
        <w:tc>
          <w:tcPr>
            <w:tcW w:w="152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104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506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320" w:type="dxa"/>
            <w:vAlign w:val="bottom"/>
            <w:shd w:val="clear" w:color="auto" w:fill="ACACAC"/>
          </w:tcPr>
          <w:p>
            <w:pPr>
              <w:spacing w:after="0"/>
              <w:rPr>
                <w:sz w:val="15"/>
                <w:szCs w:val="15"/>
                <w:color w:val="auto"/>
              </w:rPr>
            </w:pPr>
          </w:p>
        </w:tc>
        <w:tc>
          <w:tcPr>
            <w:tcW w:w="120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140" w:type="dxa"/>
            <w:vAlign w:val="bottom"/>
            <w:shd w:val="clear" w:color="auto" w:fill="ACACAC"/>
          </w:tcPr>
          <w:p>
            <w:pPr>
              <w:spacing w:after="0"/>
              <w:rPr>
                <w:sz w:val="15"/>
                <w:szCs w:val="15"/>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50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tcBorders>
              <w:bottom w:val="single" w:sz="8" w:color="ACACAC"/>
            </w:tcBorders>
            <w:shd w:val="clear" w:color="auto" w:fill="ACACAC"/>
          </w:tcPr>
          <w:p>
            <w:pPr>
              <w:spacing w:after="0"/>
              <w:rPr>
                <w:sz w:val="17"/>
                <w:szCs w:val="17"/>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20" w:type="dxa"/>
            <w:vAlign w:val="bottom"/>
            <w:tcBorders>
              <w:bottom w:val="single" w:sz="8" w:color="ACACAC"/>
            </w:tcBorders>
            <w:shd w:val="clear" w:color="auto" w:fill="ACACAC"/>
          </w:tcPr>
          <w:p>
            <w:pPr>
              <w:spacing w:after="0"/>
              <w:rPr>
                <w:sz w:val="17"/>
                <w:szCs w:val="17"/>
                <w:color w:val="auto"/>
              </w:rPr>
            </w:pPr>
          </w:p>
        </w:tc>
        <w:tc>
          <w:tcPr>
            <w:tcW w:w="120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7"/>
                <w:szCs w:val="17"/>
                <w:color w:val="auto"/>
              </w:rPr>
            </w:pPr>
          </w:p>
        </w:tc>
        <w:tc>
          <w:tcPr>
            <w:tcW w:w="460" w:type="dxa"/>
            <w:vAlign w:val="bottom"/>
            <w:tcBorders>
              <w:bottom w:val="single" w:sz="8" w:color="ACACAC"/>
            </w:tcBorders>
            <w:shd w:val="clear" w:color="auto" w:fill="ACACAC"/>
          </w:tcPr>
          <w:p>
            <w:pPr>
              <w:spacing w:after="0"/>
              <w:rPr>
                <w:sz w:val="17"/>
                <w:szCs w:val="17"/>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0" w:type="dxa"/>
            <w:vAlign w:val="bottom"/>
            <w:tcBorders>
              <w:bottom w:val="single" w:sz="8" w:color="ACACAC"/>
            </w:tcBorders>
            <w:shd w:val="clear" w:color="auto" w:fill="ACACAC"/>
          </w:tcPr>
          <w:p>
            <w:pPr>
              <w:spacing w:after="0"/>
              <w:rPr>
                <w:sz w:val="17"/>
                <w:szCs w:val="17"/>
                <w:color w:val="auto"/>
              </w:rPr>
            </w:pP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506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4F4F4"/>
          </w:tcPr>
          <w:p>
            <w:pPr>
              <w:jc w:val="right"/>
              <w:ind w:right="136"/>
              <w:spacing w:after="0"/>
              <w:rPr>
                <w:sz w:val="20"/>
                <w:szCs w:val="20"/>
                <w:color w:val="auto"/>
              </w:rPr>
            </w:pPr>
            <w:r>
              <w:rPr>
                <w:rFonts w:ascii="Arial" w:cs="Arial" w:eastAsia="Arial" w:hAnsi="Arial"/>
                <w:sz w:val="18"/>
                <w:szCs w:val="18"/>
                <w:color w:val="auto"/>
              </w:rPr>
              <w:t>1,756</w:t>
            </w:r>
          </w:p>
        </w:tc>
        <w:tc>
          <w:tcPr>
            <w:tcW w:w="320" w:type="dxa"/>
            <w:vAlign w:val="bottom"/>
            <w:shd w:val="clear" w:color="auto" w:fill="F4F4F4"/>
          </w:tcPr>
          <w:p>
            <w:pPr>
              <w:jc w:val="right"/>
              <w:ind w:right="119"/>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F4F4F4"/>
            </w:tcBorders>
            <w:shd w:val="clear" w:color="auto" w:fill="F4F4F4"/>
          </w:tcPr>
          <w:p>
            <w:pPr>
              <w:jc w:val="right"/>
              <w:ind w:right="179"/>
              <w:spacing w:after="0"/>
              <w:rPr>
                <w:sz w:val="20"/>
                <w:szCs w:val="20"/>
                <w:color w:val="auto"/>
              </w:rPr>
            </w:pPr>
            <w:r>
              <w:rPr>
                <w:rFonts w:ascii="Arial" w:cs="Arial" w:eastAsia="Arial" w:hAnsi="Arial"/>
                <w:sz w:val="18"/>
                <w:szCs w:val="18"/>
                <w:color w:val="auto"/>
              </w:rPr>
              <w:t>364</w:t>
            </w:r>
          </w:p>
        </w:tc>
        <w:tc>
          <w:tcPr>
            <w:tcW w:w="560" w:type="dxa"/>
            <w:vAlign w:val="bottom"/>
            <w:gridSpan w:val="2"/>
            <w:shd w:val="clear" w:color="auto" w:fill="F4F4F4"/>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4F4F4"/>
          </w:tcPr>
          <w:p>
            <w:pPr>
              <w:jc w:val="right"/>
              <w:ind w:right="156"/>
              <w:spacing w:after="0"/>
              <w:rPr>
                <w:sz w:val="20"/>
                <w:szCs w:val="20"/>
                <w:color w:val="auto"/>
              </w:rPr>
            </w:pPr>
            <w:r>
              <w:rPr>
                <w:rFonts w:ascii="Arial" w:cs="Arial" w:eastAsia="Arial" w:hAnsi="Arial"/>
                <w:sz w:val="18"/>
                <w:szCs w:val="18"/>
                <w:color w:val="auto"/>
              </w:rPr>
              <w:t>6,948</w:t>
            </w:r>
          </w:p>
        </w:tc>
        <w:tc>
          <w:tcPr>
            <w:tcW w:w="14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F4F4F4"/>
          </w:tcPr>
          <w:p>
            <w:pPr>
              <w:jc w:val="right"/>
              <w:ind w:right="161"/>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9"/>
                <w:szCs w:val="19"/>
                <w:color w:val="auto"/>
              </w:rPr>
            </w:pPr>
          </w:p>
        </w:tc>
      </w:tr>
      <w:tr>
        <w:trPr>
          <w:trHeight w:val="229"/>
        </w:trPr>
        <w:tc>
          <w:tcPr>
            <w:tcW w:w="506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Effective income tax rate</w:t>
            </w:r>
          </w:p>
        </w:tc>
        <w:tc>
          <w:tcPr>
            <w:tcW w:w="460" w:type="dxa"/>
            <w:vAlign w:val="bottom"/>
            <w:tcBorders>
              <w:bottom w:val="single" w:sz="8" w:color="71BF43"/>
            </w:tcBorders>
          </w:tcPr>
          <w:p>
            <w:pPr>
              <w:spacing w:after="0"/>
              <w:rPr>
                <w:sz w:val="19"/>
                <w:szCs w:val="19"/>
                <w:color w:val="auto"/>
              </w:rPr>
            </w:pPr>
          </w:p>
        </w:tc>
        <w:tc>
          <w:tcPr>
            <w:tcW w:w="10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26.5 %</w:t>
            </w:r>
          </w:p>
        </w:tc>
        <w:tc>
          <w:tcPr>
            <w:tcW w:w="320" w:type="dxa"/>
            <w:vAlign w:val="bottom"/>
            <w:tcBorders>
              <w:bottom w:val="single" w:sz="8" w:color="71BF43"/>
            </w:tcBorders>
          </w:tcPr>
          <w:p>
            <w:pPr>
              <w:spacing w:after="0"/>
              <w:rPr>
                <w:sz w:val="19"/>
                <w:szCs w:val="19"/>
                <w:color w:val="auto"/>
              </w:rPr>
            </w:pPr>
          </w:p>
        </w:tc>
        <w:tc>
          <w:tcPr>
            <w:tcW w:w="12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71BF43"/>
            </w:tcBorders>
          </w:tcPr>
          <w:p>
            <w:pPr>
              <w:spacing w:after="0"/>
              <w:rPr>
                <w:sz w:val="19"/>
                <w:szCs w:val="19"/>
                <w:color w:val="auto"/>
              </w:rPr>
            </w:pPr>
          </w:p>
        </w:tc>
        <w:tc>
          <w:tcPr>
            <w:tcW w:w="460" w:type="dxa"/>
            <w:vAlign w:val="bottom"/>
            <w:tcBorders>
              <w:bottom w:val="single" w:sz="8" w:color="71BF43"/>
            </w:tcBorders>
          </w:tcPr>
          <w:p>
            <w:pPr>
              <w:spacing w:after="0"/>
              <w:rPr>
                <w:sz w:val="19"/>
                <w:szCs w:val="19"/>
                <w:color w:val="auto"/>
              </w:rPr>
            </w:pPr>
          </w:p>
        </w:tc>
        <w:tc>
          <w:tcPr>
            <w:tcW w:w="10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24.6 %</w:t>
            </w:r>
          </w:p>
        </w:tc>
        <w:tc>
          <w:tcPr>
            <w:tcW w:w="140" w:type="dxa"/>
            <w:vAlign w:val="bottom"/>
            <w:tcBorders>
              <w:bottom w:val="single" w:sz="8" w:color="71BF43"/>
            </w:tcBorders>
          </w:tcPr>
          <w:p>
            <w:pPr>
              <w:spacing w:after="0"/>
              <w:rPr>
                <w:sz w:val="19"/>
                <w:szCs w:val="19"/>
                <w:color w:val="auto"/>
              </w:rPr>
            </w:pPr>
          </w:p>
        </w:tc>
        <w:tc>
          <w:tcPr>
            <w:tcW w:w="13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10.7 %</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-436245</wp:posOffset>
            </wp:positionV>
            <wp:extent cx="3909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our effective tax rate for the three months ended September 30, 2020, when compared to the same period in 2019, was primarily attributable to higher 2019 discrete benefits against lower pre-tax income. The 2019 effective tax rate was positively impacted by a reduction to the liability for unrecognized tax benefits. The effective tax rate for 2020 was positively impacted by an adjustment to the prior year tax provision net of a tax charge resulting from an increase in the U.K. tax rate.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increase in our effective tax rate for the nine months ended September 30, 2020, when compared to the same period in 2019, was primarily attributable to a reduction in benefits attributable to stock based compensation against increased 2020 profitability.</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condensed consolidated statements of comprehensive income based on where the associated employee’s compensation is recorded. The following table summarizes stock-based compensation expense:</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50" w:type="dxa"/>
            <w:vAlign w:val="bottom"/>
            <w:shd w:val="clear" w:color="auto" w:fill="ACACAC"/>
          </w:tcPr>
          <w:p>
            <w:pPr>
              <w:spacing w:after="0"/>
              <w:rPr>
                <w:sz w:val="14"/>
                <w:szCs w:val="14"/>
                <w:color w:val="auto"/>
              </w:rPr>
            </w:pPr>
          </w:p>
        </w:tc>
        <w:tc>
          <w:tcPr>
            <w:tcW w:w="283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4"/>
                <w:szCs w:val="14"/>
                <w:color w:val="auto"/>
              </w:rPr>
            </w:pPr>
          </w:p>
        </w:tc>
        <w:tc>
          <w:tcPr>
            <w:tcW w:w="1410" w:type="dxa"/>
            <w:vAlign w:val="bottom"/>
            <w:shd w:val="clear" w:color="auto" w:fill="ACACAC"/>
          </w:tcPr>
          <w:p>
            <w:pPr>
              <w:spacing w:after="0"/>
              <w:rPr>
                <w:sz w:val="14"/>
                <w:szCs w:val="14"/>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75"/>
        </w:trPr>
        <w:tc>
          <w:tcPr>
            <w:tcW w:w="5450" w:type="dxa"/>
            <w:vAlign w:val="bottom"/>
            <w:shd w:val="clear" w:color="auto" w:fill="ACACAC"/>
          </w:tcPr>
          <w:p>
            <w:pPr>
              <w:spacing w:after="0"/>
              <w:rPr>
                <w:sz w:val="15"/>
                <w:szCs w:val="15"/>
                <w:color w:val="auto"/>
              </w:rPr>
            </w:pPr>
          </w:p>
        </w:tc>
        <w:tc>
          <w:tcPr>
            <w:tcW w:w="1410" w:type="dxa"/>
            <w:vAlign w:val="bottom"/>
            <w:shd w:val="clear" w:color="auto" w:fill="ACACAC"/>
          </w:tcPr>
          <w:p>
            <w:pPr>
              <w:spacing w:after="0"/>
              <w:rPr>
                <w:sz w:val="15"/>
                <w:szCs w:val="15"/>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5"/>
                <w:szCs w:val="15"/>
                <w:color w:val="auto"/>
              </w:rPr>
            </w:pPr>
          </w:p>
        </w:tc>
        <w:tc>
          <w:tcPr>
            <w:tcW w:w="1410" w:type="dxa"/>
            <w:vAlign w:val="bottom"/>
            <w:shd w:val="clear" w:color="auto" w:fill="ACACAC"/>
          </w:tcPr>
          <w:p>
            <w:pPr>
              <w:spacing w:after="0"/>
              <w:rPr>
                <w:sz w:val="15"/>
                <w:szCs w:val="15"/>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16"/>
        </w:trPr>
        <w:tc>
          <w:tcPr>
            <w:tcW w:w="545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80" w:type="dxa"/>
            <w:vAlign w:val="bottom"/>
          </w:tcPr>
          <w:p>
            <w:pPr>
              <w:spacing w:after="0"/>
              <w:rPr>
                <w:sz w:val="18"/>
                <w:szCs w:val="18"/>
                <w:color w:val="auto"/>
              </w:rPr>
            </w:pP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710628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-136525</wp:posOffset>
            </wp:positionV>
            <wp:extent cx="36518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Included in cost of revenue: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40" w:type="dxa"/>
            <w:vAlign w:val="bottom"/>
          </w:tcPr>
          <w:p>
            <w:pPr>
              <w:ind w:left="100"/>
              <w:spacing w:after="0"/>
              <w:rPr>
                <w:sz w:val="20"/>
                <w:szCs w:val="20"/>
                <w:color w:val="auto"/>
              </w:rPr>
            </w:pPr>
            <w:r>
              <w:rPr>
                <w:rFonts w:ascii="Arial" w:cs="Arial" w:eastAsia="Arial" w:hAnsi="Arial"/>
                <w:sz w:val="18"/>
                <w:szCs w:val="18"/>
                <w:color w:val="auto"/>
              </w:rPr>
              <w:t>Cost of recurring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3,229</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5440" w:type="dxa"/>
            <w:vAlign w:val="bottom"/>
            <w:shd w:val="clear" w:color="auto" w:fill="F4F4F4"/>
          </w:tcPr>
          <w:p>
            <w:pPr>
              <w:ind w:left="100"/>
              <w:spacing w:after="0"/>
              <w:rPr>
                <w:sz w:val="20"/>
                <w:szCs w:val="20"/>
                <w:color w:val="auto"/>
              </w:rPr>
            </w:pPr>
            <w:r>
              <w:rPr>
                <w:rFonts w:ascii="Arial" w:cs="Arial" w:eastAsia="Arial" w:hAnsi="Arial"/>
                <w:sz w:val="18"/>
                <w:szCs w:val="18"/>
                <w:color w:val="auto"/>
              </w:rPr>
              <w:t>Cost of one-time services and other</w:t>
            </w: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2,080</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F4F4F4"/>
          </w:tcPr>
          <w:p>
            <w:pPr>
              <w:spacing w:after="0"/>
              <w:rPr>
                <w:sz w:val="19"/>
                <w:szCs w:val="19"/>
                <w:color w:val="auto"/>
              </w:rPr>
            </w:pP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3,894</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1,134</w:t>
            </w:r>
          </w:p>
        </w:tc>
      </w:tr>
      <w:tr>
        <w:trPr>
          <w:trHeight w:val="223"/>
        </w:trPr>
        <w:tc>
          <w:tcPr>
            <w:tcW w:w="5440" w:type="dxa"/>
            <w:vAlign w:val="bottom"/>
          </w:tcPr>
          <w:p>
            <w:pPr>
              <w:ind w:left="320"/>
              <w:spacing w:after="0"/>
              <w:rPr>
                <w:sz w:val="20"/>
                <w:szCs w:val="20"/>
                <w:color w:val="auto"/>
              </w:rPr>
            </w:pPr>
            <w:r>
              <w:rPr>
                <w:rFonts w:ascii="Arial" w:cs="Arial" w:eastAsia="Arial" w:hAnsi="Arial"/>
                <w:sz w:val="18"/>
                <w:szCs w:val="18"/>
                <w:color w:val="auto"/>
              </w:rPr>
              <w:t>Total included in cost of revenue</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2,549</w:t>
            </w:r>
          </w:p>
        </w:tc>
      </w:tr>
      <w:tr>
        <w:trPr>
          <w:trHeight w:val="230"/>
        </w:trPr>
        <w:tc>
          <w:tcPr>
            <w:tcW w:w="5440" w:type="dxa"/>
            <w:vAlign w:val="bottom"/>
            <w:shd w:val="clear" w:color="auto" w:fill="F4F4F4"/>
          </w:tcPr>
          <w:p>
            <w:pPr>
              <w:ind w:left="200"/>
              <w:spacing w:after="0"/>
              <w:rPr>
                <w:sz w:val="20"/>
                <w:szCs w:val="20"/>
                <w:color w:val="auto"/>
              </w:rPr>
            </w:pPr>
            <w:r>
              <w:rPr>
                <w:rFonts w:ascii="Arial" w:cs="Arial" w:eastAsia="Arial" w:hAnsi="Arial"/>
                <w:sz w:val="18"/>
                <w:szCs w:val="18"/>
                <w:color w:val="auto"/>
              </w:rPr>
              <w:t>Included in operating expenses:</w:t>
            </w: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Sales, marketing and customer success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8,564</w:t>
            </w:r>
          </w:p>
        </w:tc>
      </w:tr>
      <w:tr>
        <w:trPr>
          <w:trHeight w:val="229"/>
        </w:trPr>
        <w:tc>
          <w:tcPr>
            <w:tcW w:w="5440" w:type="dxa"/>
            <w:vAlign w:val="bottom"/>
            <w:shd w:val="clear" w:color="auto" w:fill="F4F4F4"/>
          </w:tcPr>
          <w:p>
            <w:pPr>
              <w:ind w:left="1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4,098</w:t>
            </w: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11,245</w:t>
            </w: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8,274</w:t>
            </w:r>
          </w:p>
        </w:tc>
      </w:tr>
      <w:tr>
        <w:trPr>
          <w:trHeight w:val="230"/>
        </w:trPr>
        <w:tc>
          <w:tcPr>
            <w:tcW w:w="5440" w:type="dxa"/>
            <w:vAlign w:val="bottom"/>
            <w:tcBorders>
              <w:bottom w:val="single" w:sz="8" w:color="F4F4F4"/>
            </w:tcBorders>
          </w:tcPr>
          <w:p>
            <w:pPr>
              <w:ind w:left="10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F4F4F4"/>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26,103</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24,234</w:t>
            </w:r>
          </w:p>
        </w:tc>
      </w:tr>
      <w:tr>
        <w:trPr>
          <w:trHeight w:val="223"/>
        </w:trPr>
        <w:tc>
          <w:tcPr>
            <w:tcW w:w="5440" w:type="dxa"/>
            <w:vAlign w:val="bottom"/>
            <w:shd w:val="clear" w:color="auto" w:fill="F4F4F4"/>
          </w:tcPr>
          <w:p>
            <w:pPr>
              <w:ind w:left="320"/>
              <w:spacing w:after="0"/>
              <w:rPr>
                <w:sz w:val="20"/>
                <w:szCs w:val="20"/>
                <w:color w:val="auto"/>
              </w:rPr>
            </w:pPr>
            <w:r>
              <w:rPr>
                <w:rFonts w:ascii="Arial" w:cs="Arial" w:eastAsia="Arial" w:hAnsi="Arial"/>
                <w:sz w:val="18"/>
                <w:szCs w:val="18"/>
                <w:color w:val="auto"/>
              </w:rPr>
              <w:t>Total included in operating expenses</w:t>
            </w: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17,155</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shd w:val="clear" w:color="auto" w:fill="F4F4F4"/>
          </w:tcPr>
          <w:p>
            <w:pPr>
              <w:spacing w:after="0"/>
              <w:rPr>
                <w:sz w:val="19"/>
                <w:szCs w:val="19"/>
                <w:color w:val="auto"/>
              </w:rPr>
            </w:pPr>
          </w:p>
        </w:tc>
        <w:tc>
          <w:tcPr>
            <w:tcW w:w="44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47,433</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41,072</w:t>
            </w:r>
          </w:p>
        </w:tc>
      </w:tr>
      <w:tr>
        <w:trPr>
          <w:trHeight w:val="223"/>
        </w:trPr>
        <w:tc>
          <w:tcPr>
            <w:tcW w:w="5440" w:type="dxa"/>
            <w:vAlign w:val="bottom"/>
            <w:tcBorders>
              <w:bottom w:val="single" w:sz="8" w:color="71BF43"/>
            </w:tcBorders>
          </w:tcPr>
          <w:p>
            <w:pPr>
              <w:ind w:left="44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71BF43"/>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20,843</w:t>
            </w:r>
          </w:p>
        </w:tc>
        <w:tc>
          <w:tcPr>
            <w:tcW w:w="48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14,866</w:t>
            </w:r>
          </w:p>
        </w:tc>
        <w:tc>
          <w:tcPr>
            <w:tcW w:w="100" w:type="dxa"/>
            <w:vAlign w:val="bottom"/>
            <w:tcBorders>
              <w:bottom w:val="single" w:sz="8" w:color="71BF43"/>
            </w:tcBorders>
          </w:tcPr>
          <w:p>
            <w:pPr>
              <w:spacing w:after="0"/>
              <w:rPr>
                <w:sz w:val="19"/>
                <w:szCs w:val="19"/>
                <w:color w:val="auto"/>
              </w:rPr>
            </w:pPr>
          </w:p>
        </w:tc>
        <w:tc>
          <w:tcPr>
            <w:tcW w:w="440" w:type="dxa"/>
            <w:vAlign w:val="bottom"/>
            <w:tcBorders>
              <w:bottom w:val="single" w:sz="8" w:color="71BF43"/>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54,556</w:t>
            </w:r>
          </w:p>
        </w:tc>
        <w:tc>
          <w:tcPr>
            <w:tcW w:w="48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43,621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discussion of the additional equity award grants we made in response to COVID-19 pandemic.</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in response to the global COVID-19 pandemic, our Board of Directors rescinded its previously announced policy to pay an annual dividend at a rate of $0.48 per share of common stock and discontinued the declaration and payment of all cash dividends, beginning with the second quarter of 2020 and thereafter until such time, if any, as it may otherwise determine in its sole discretion.</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common stock during the nine months ended September 30, 2020,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Declaration Date</w:t>
            </w:r>
          </w:p>
        </w:tc>
        <w:tc>
          <w:tcPr>
            <w:tcW w:w="520" w:type="dxa"/>
            <w:vAlign w:val="bottom"/>
            <w:shd w:val="clear" w:color="auto" w:fill="ACACAC"/>
          </w:tcPr>
          <w:p>
            <w:pPr>
              <w:spacing w:after="0"/>
              <w:rPr>
                <w:sz w:val="14"/>
                <w:szCs w:val="14"/>
                <w:color w:val="auto"/>
              </w:rPr>
            </w:pPr>
          </w:p>
        </w:tc>
        <w:tc>
          <w:tcPr>
            <w:tcW w:w="1070" w:type="dxa"/>
            <w:vAlign w:val="bottom"/>
            <w:shd w:val="clear" w:color="auto" w:fill="ACACAC"/>
          </w:tcPr>
          <w:p>
            <w:pPr>
              <w:ind w:left="400"/>
              <w:spacing w:after="0"/>
              <w:rPr>
                <w:sz w:val="20"/>
                <w:szCs w:val="20"/>
                <w:color w:val="auto"/>
              </w:rPr>
            </w:pPr>
            <w:r>
              <w:rPr>
                <w:rFonts w:ascii="Arial" w:cs="Arial" w:eastAsia="Arial" w:hAnsi="Arial"/>
                <w:sz w:val="14"/>
                <w:szCs w:val="14"/>
                <w:b w:val="1"/>
                <w:bCs w:val="1"/>
                <w:color w:val="FFFFFF"/>
              </w:rPr>
              <w:t>Dividend</w:t>
            </w:r>
          </w:p>
        </w:tc>
        <w:tc>
          <w:tcPr>
            <w:tcW w:w="141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Record Date</w:t>
            </w:r>
          </w:p>
        </w:tc>
        <w:tc>
          <w:tcPr>
            <w:tcW w:w="110" w:type="dxa"/>
            <w:vAlign w:val="bottom"/>
            <w:shd w:val="clear" w:color="auto" w:fill="ACACAC"/>
          </w:tcPr>
          <w:p>
            <w:pPr>
              <w:spacing w:after="0"/>
              <w:rPr>
                <w:sz w:val="14"/>
                <w:szCs w:val="14"/>
                <w:color w:val="auto"/>
              </w:rPr>
            </w:pPr>
          </w:p>
        </w:tc>
        <w:tc>
          <w:tcPr>
            <w:tcW w:w="149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Payable Date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40" w:type="dxa"/>
            <w:vAlign w:val="bottom"/>
            <w:vMerge w:val="continue"/>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070" w:type="dxa"/>
            <w:vAlign w:val="bottom"/>
            <w:shd w:val="clear" w:color="auto" w:fill="ACACAC"/>
          </w:tcPr>
          <w:p>
            <w:pPr>
              <w:ind w:left="380"/>
              <w:spacing w:after="0"/>
              <w:rPr>
                <w:sz w:val="20"/>
                <w:szCs w:val="20"/>
                <w:color w:val="auto"/>
              </w:rPr>
            </w:pPr>
            <w:r>
              <w:rPr>
                <w:rFonts w:ascii="Arial" w:cs="Arial" w:eastAsia="Arial" w:hAnsi="Arial"/>
                <w:sz w:val="14"/>
                <w:szCs w:val="14"/>
                <w:b w:val="1"/>
                <w:bCs w:val="1"/>
                <w:color w:val="FFFFFF"/>
              </w:rPr>
              <w:t>per Share</w:t>
            </w:r>
          </w:p>
        </w:tc>
        <w:tc>
          <w:tcPr>
            <w:tcW w:w="1410" w:type="dxa"/>
            <w:vAlign w:val="bottom"/>
            <w:vMerge w:val="continue"/>
            <w:shd w:val="clear" w:color="auto" w:fill="ACACAC"/>
          </w:tcPr>
          <w:p>
            <w:pPr>
              <w:spacing w:after="0"/>
              <w:rPr>
                <w:sz w:val="16"/>
                <w:szCs w:val="16"/>
                <w:color w:val="auto"/>
              </w:rPr>
            </w:pPr>
          </w:p>
        </w:tc>
        <w:tc>
          <w:tcPr>
            <w:tcW w:w="110" w:type="dxa"/>
            <w:vAlign w:val="bottom"/>
            <w:shd w:val="clear" w:color="auto" w:fill="ACACAC"/>
          </w:tcPr>
          <w:p>
            <w:pPr>
              <w:spacing w:after="0"/>
              <w:rPr>
                <w:sz w:val="16"/>
                <w:szCs w:val="16"/>
                <w:color w:val="auto"/>
              </w:rPr>
            </w:pPr>
          </w:p>
        </w:tc>
        <w:tc>
          <w:tcPr>
            <w:tcW w:w="149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8CBE4F"/>
            </w:tcBorders>
            <w:shd w:val="clear" w:color="auto" w:fill="F4F4F4"/>
          </w:tcPr>
          <w:p>
            <w:pPr>
              <w:ind w:left="20"/>
              <w:spacing w:after="0"/>
              <w:rPr>
                <w:sz w:val="20"/>
                <w:szCs w:val="20"/>
                <w:color w:val="auto"/>
              </w:rPr>
            </w:pPr>
            <w:r>
              <w:rPr>
                <w:rFonts w:ascii="Arial" w:cs="Arial" w:eastAsia="Arial" w:hAnsi="Arial"/>
                <w:sz w:val="18"/>
                <w:szCs w:val="18"/>
                <w:color w:val="auto"/>
              </w:rPr>
              <w:t>February 10, 2020</w:t>
            </w:r>
          </w:p>
        </w:tc>
        <w:tc>
          <w:tcPr>
            <w:tcW w:w="520" w:type="dxa"/>
            <w:vAlign w:val="bottom"/>
            <w:tcBorders>
              <w:bottom w:val="single" w:sz="8" w:color="8CBE4F"/>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07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0.12</w:t>
            </w:r>
          </w:p>
        </w:tc>
        <w:tc>
          <w:tcPr>
            <w:tcW w:w="1520" w:type="dxa"/>
            <w:vAlign w:val="bottom"/>
            <w:tcBorders>
              <w:bottom w:val="single" w:sz="8" w:color="8CBE4F"/>
            </w:tcBorders>
            <w:gridSpan w:val="2"/>
            <w:shd w:val="clear" w:color="auto" w:fill="F4F4F4"/>
          </w:tcPr>
          <w:p>
            <w:pPr>
              <w:jc w:val="right"/>
              <w:ind w:right="130"/>
              <w:spacing w:after="0"/>
              <w:rPr>
                <w:sz w:val="20"/>
                <w:szCs w:val="20"/>
                <w:color w:val="auto"/>
              </w:rPr>
            </w:pPr>
            <w:r>
              <w:rPr>
                <w:rFonts w:ascii="Arial" w:cs="Arial" w:eastAsia="Arial" w:hAnsi="Arial"/>
                <w:sz w:val="18"/>
                <w:szCs w:val="18"/>
                <w:color w:val="auto"/>
              </w:rPr>
              <w:t>February 28</w:t>
            </w:r>
          </w:p>
        </w:tc>
        <w:tc>
          <w:tcPr>
            <w:tcW w:w="149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March 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202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9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650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860" w:type="dxa"/>
            <w:vAlign w:val="bottom"/>
            <w:shd w:val="clear" w:color="auto" w:fill="ACACAC"/>
          </w:tcPr>
          <w:p>
            <w:pPr>
              <w:spacing w:after="0"/>
              <w:rPr>
                <w:sz w:val="15"/>
                <w:szCs w:val="15"/>
                <w:color w:val="auto"/>
              </w:rPr>
            </w:pPr>
          </w:p>
        </w:tc>
        <w:tc>
          <w:tcPr>
            <w:tcW w:w="14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82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65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tcBorders>
              <w:bottom w:val="single" w:sz="8" w:color="ACACAC"/>
            </w:tcBorders>
            <w:shd w:val="clear" w:color="auto" w:fill="ACACAC"/>
          </w:tcPr>
          <w:p>
            <w:pPr>
              <w:spacing w:after="0"/>
              <w:rPr>
                <w:sz w:val="17"/>
                <w:szCs w:val="17"/>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0" w:type="dxa"/>
            <w:vAlign w:val="bottom"/>
            <w:tcBorders>
              <w:bottom w:val="single" w:sz="8" w:color="ACACAC"/>
            </w:tcBorders>
            <w:shd w:val="clear" w:color="auto" w:fill="ACACAC"/>
          </w:tcPr>
          <w:p>
            <w:pPr>
              <w:spacing w:after="0"/>
              <w:rPr>
                <w:sz w:val="17"/>
                <w:szCs w:val="17"/>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7"/>
                <w:szCs w:val="17"/>
                <w:color w:val="auto"/>
              </w:rPr>
            </w:pPr>
          </w:p>
        </w:tc>
        <w:tc>
          <w:tcPr>
            <w:tcW w:w="340" w:type="dxa"/>
            <w:vAlign w:val="bottom"/>
            <w:tcBorders>
              <w:bottom w:val="single" w:sz="8" w:color="ACACAC"/>
            </w:tcBorders>
            <w:shd w:val="clear" w:color="auto" w:fill="ACACAC"/>
          </w:tcPr>
          <w:p>
            <w:pPr>
              <w:spacing w:after="0"/>
              <w:rPr>
                <w:sz w:val="17"/>
                <w:szCs w:val="17"/>
                <w:color w:val="auto"/>
              </w:rPr>
            </w:pPr>
          </w:p>
        </w:tc>
        <w:tc>
          <w:tcPr>
            <w:tcW w:w="8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20" w:type="dxa"/>
            <w:vAlign w:val="bottom"/>
            <w:tcBorders>
              <w:bottom w:val="single" w:sz="8" w:color="ACACAC"/>
            </w:tcBorders>
            <w:shd w:val="clear" w:color="auto" w:fill="ACACAC"/>
          </w:tcPr>
          <w:p>
            <w:pPr>
              <w:spacing w:after="0"/>
              <w:rPr>
                <w:sz w:val="17"/>
                <w:szCs w:val="17"/>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650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28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14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(9,409)</w:t>
            </w:r>
          </w:p>
        </w:tc>
        <w:tc>
          <w:tcPr>
            <w:tcW w:w="440" w:type="dxa"/>
            <w:vAlign w:val="bottom"/>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(5,110)</w:t>
            </w:r>
          </w:p>
        </w:tc>
        <w:tc>
          <w:tcPr>
            <w:tcW w:w="20" w:type="dxa"/>
            <w:vAlign w:val="bottom"/>
          </w:tcPr>
          <w:p>
            <w:pPr>
              <w:spacing w:after="0"/>
              <w:rPr>
                <w:sz w:val="19"/>
                <w:szCs w:val="19"/>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00" w:type="dxa"/>
            <w:vAlign w:val="bottom"/>
            <w:shd w:val="clear" w:color="auto" w:fill="F4F4F4"/>
          </w:tcPr>
          <w:p>
            <w:pPr>
              <w:ind w:left="120"/>
              <w:spacing w:after="0"/>
              <w:rPr>
                <w:sz w:val="20"/>
                <w:szCs w:val="20"/>
                <w:color w:val="auto"/>
              </w:rPr>
            </w:pPr>
            <w:r>
              <w:rPr>
                <w:rFonts w:ascii="Arial" w:cs="Arial" w:eastAsia="Arial" w:hAnsi="Arial"/>
                <w:sz w:val="18"/>
                <w:szCs w:val="18"/>
                <w:b w:val="1"/>
                <w:bCs w:val="1"/>
                <w:color w:val="auto"/>
              </w:rPr>
              <w:t>Gains and losses on cash flow hedges:</w:t>
            </w:r>
          </w:p>
        </w:tc>
        <w:tc>
          <w:tcPr>
            <w:tcW w:w="28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14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0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19"/>
                <w:szCs w:val="19"/>
                <w:color w:val="auto"/>
              </w:rPr>
            </w:pPr>
          </w:p>
        </w:tc>
      </w:tr>
      <w:tr>
        <w:trPr>
          <w:trHeight w:val="188"/>
        </w:trPr>
        <w:tc>
          <w:tcPr>
            <w:tcW w:w="6500" w:type="dxa"/>
            <w:vAlign w:val="bottom"/>
            <w:shd w:val="clear" w:color="auto" w:fill="F4F4F4"/>
          </w:tcPr>
          <w:p>
            <w:pPr>
              <w:ind w:left="480"/>
              <w:spacing w:after="0" w:line="189" w:lineRule="exact"/>
              <w:rPr>
                <w:sz w:val="20"/>
                <w:szCs w:val="20"/>
                <w:color w:val="auto"/>
              </w:rPr>
            </w:pPr>
            <w:r>
              <w:rPr>
                <w:rFonts w:ascii="Arial" w:cs="Arial" w:eastAsia="Arial" w:hAnsi="Arial"/>
                <w:sz w:val="18"/>
                <w:szCs w:val="18"/>
                <w:color w:val="auto"/>
              </w:rPr>
              <w:t>Other comprehensive income (loss) before reclassifications, net of tax</w:t>
            </w:r>
          </w:p>
        </w:tc>
        <w:tc>
          <w:tcPr>
            <w:tcW w:w="28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c>
          <w:tcPr>
            <w:tcW w:w="14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100" w:type="dxa"/>
            <w:vAlign w:val="bottom"/>
            <w:shd w:val="clear" w:color="auto" w:fill="F4F4F4"/>
          </w:tcPr>
          <w:p>
            <w:pPr>
              <w:spacing w:after="0"/>
              <w:rPr>
                <w:sz w:val="16"/>
                <w:szCs w:val="16"/>
                <w:color w:val="auto"/>
              </w:rPr>
            </w:pPr>
          </w:p>
        </w:tc>
        <w:tc>
          <w:tcPr>
            <w:tcW w:w="340" w:type="dxa"/>
            <w:vAlign w:val="bottom"/>
            <w:shd w:val="clear" w:color="auto" w:fill="F4F4F4"/>
          </w:tcPr>
          <w:p>
            <w:pPr>
              <w:spacing w:after="0"/>
              <w:rPr>
                <w:sz w:val="16"/>
                <w:szCs w:val="16"/>
                <w:color w:val="auto"/>
              </w:rPr>
            </w:pPr>
          </w:p>
        </w:tc>
        <w:tc>
          <w:tcPr>
            <w:tcW w:w="820" w:type="dxa"/>
            <w:vAlign w:val="bottom"/>
            <w:shd w:val="clear" w:color="auto" w:fill="F4F4F4"/>
          </w:tcPr>
          <w:p>
            <w:pPr>
              <w:spacing w:after="0"/>
              <w:rPr>
                <w:sz w:val="16"/>
                <w:szCs w:val="16"/>
                <w:color w:val="auto"/>
              </w:rPr>
            </w:pPr>
          </w:p>
        </w:tc>
        <w:tc>
          <w:tcPr>
            <w:tcW w:w="12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6500" w:type="dxa"/>
            <w:vAlign w:val="bottom"/>
            <w:shd w:val="clear" w:color="auto" w:fill="F4F4F4"/>
          </w:tcPr>
          <w:p>
            <w:pPr>
              <w:ind w:left="480"/>
              <w:spacing w:after="0"/>
              <w:rPr>
                <w:sz w:val="20"/>
                <w:szCs w:val="20"/>
                <w:color w:val="auto"/>
              </w:rPr>
            </w:pPr>
            <w:r>
              <w:rPr>
                <w:rFonts w:ascii="Arial" w:cs="Arial" w:eastAsia="Arial" w:hAnsi="Arial"/>
                <w:sz w:val="18"/>
                <w:szCs w:val="18"/>
                <w:color w:val="auto"/>
              </w:rPr>
              <w:t>effects of $0, $78, $1,225 and $982</w:t>
            </w:r>
          </w:p>
        </w:tc>
        <w:tc>
          <w:tcPr>
            <w:tcW w:w="28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F4F4F4"/>
          </w:tcPr>
          <w:p>
            <w:pPr>
              <w:spacing w:after="0"/>
              <w:rPr>
                <w:sz w:val="18"/>
                <w:szCs w:val="18"/>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F4F4F4"/>
          </w:tcPr>
          <w:p>
            <w:pPr>
              <w:spacing w:after="0"/>
              <w:rPr>
                <w:sz w:val="18"/>
                <w:szCs w:val="18"/>
                <w:color w:val="auto"/>
              </w:rPr>
            </w:pPr>
          </w:p>
        </w:tc>
        <w:tc>
          <w:tcPr>
            <w:tcW w:w="34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F4F4F4"/>
          </w:tcPr>
          <w:p>
            <w:pPr>
              <w:spacing w:after="0"/>
              <w:rPr>
                <w:sz w:val="18"/>
                <w:szCs w:val="18"/>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18"/>
                <w:szCs w:val="18"/>
                <w:color w:val="auto"/>
              </w:rPr>
            </w:pPr>
          </w:p>
        </w:tc>
      </w:tr>
      <w:tr>
        <w:trPr>
          <w:trHeight w:val="188"/>
        </w:trPr>
        <w:tc>
          <w:tcPr>
            <w:tcW w:w="6500" w:type="dxa"/>
            <w:vAlign w:val="bottom"/>
          </w:tcPr>
          <w:p>
            <w:pPr>
              <w:ind w:left="66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6500" w:type="dxa"/>
            <w:vAlign w:val="bottom"/>
          </w:tcPr>
          <w:p>
            <w:pPr>
              <w:ind w:left="660"/>
              <w:spacing w:after="0"/>
              <w:rPr>
                <w:sz w:val="20"/>
                <w:szCs w:val="20"/>
                <w:color w:val="auto"/>
              </w:rPr>
            </w:pPr>
            <w:r>
              <w:rPr>
                <w:rFonts w:ascii="Arial" w:cs="Arial" w:eastAsia="Arial" w:hAnsi="Arial"/>
                <w:sz w:val="18"/>
                <w:szCs w:val="18"/>
                <w:color w:val="auto"/>
              </w:rPr>
              <w:t>(loss) to interest expense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8"/>
                <w:szCs w:val="18"/>
                <w:color w:val="auto"/>
              </w:rPr>
            </w:pPr>
          </w:p>
        </w:tc>
      </w:tr>
      <w:tr>
        <w:trPr>
          <w:trHeight w:val="229"/>
        </w:trPr>
        <w:tc>
          <w:tcPr>
            <w:tcW w:w="6500" w:type="dxa"/>
            <w:vAlign w:val="bottom"/>
            <w:shd w:val="clear" w:color="auto" w:fill="F4F4F4"/>
          </w:tcPr>
          <w:p>
            <w:pPr>
              <w:ind w:left="660"/>
              <w:spacing w:after="0"/>
              <w:rPr>
                <w:sz w:val="20"/>
                <w:szCs w:val="20"/>
                <w:color w:val="auto"/>
              </w:rPr>
            </w:pPr>
            <w:r>
              <w:rPr>
                <w:rFonts w:ascii="Arial" w:cs="Arial" w:eastAsia="Arial" w:hAnsi="Arial"/>
                <w:sz w:val="18"/>
                <w:szCs w:val="18"/>
                <w:color w:val="auto"/>
              </w:rPr>
              <w:t>Tax (benefit) expense included in provision for income taxes</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F4F4F4"/>
          </w:tcPr>
          <w:p>
            <w:pPr>
              <w:spacing w:after="0"/>
              <w:rPr>
                <w:sz w:val="19"/>
                <w:szCs w:val="19"/>
                <w:color w:val="auto"/>
              </w:rPr>
            </w:pP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r>
      <w:tr>
        <w:trPr>
          <w:trHeight w:val="168"/>
        </w:trPr>
        <w:tc>
          <w:tcPr>
            <w:tcW w:w="6500" w:type="dxa"/>
            <w:vAlign w:val="bottom"/>
          </w:tcPr>
          <w:p>
            <w:pPr>
              <w:ind w:left="460"/>
              <w:spacing w:after="0" w:line="168" w:lineRule="exact"/>
              <w:rPr>
                <w:sz w:val="20"/>
                <w:szCs w:val="20"/>
                <w:color w:val="auto"/>
              </w:rPr>
            </w:pPr>
            <w:r>
              <w:rPr>
                <w:rFonts w:ascii="Arial" w:cs="Arial" w:eastAsia="Arial" w:hAnsi="Arial"/>
                <w:sz w:val="18"/>
                <w:szCs w:val="18"/>
                <w:color w:val="auto"/>
              </w:rPr>
              <w:t>Total amounts reclassified from accumulated other comprehensive income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7"/>
        </w:trPr>
        <w:tc>
          <w:tcPr>
            <w:tcW w:w="6500" w:type="dxa"/>
            <w:vAlign w:val="bottom"/>
            <w:tcBorders>
              <w:bottom w:val="single" w:sz="8" w:color="F4F4F4"/>
            </w:tcBorders>
          </w:tcPr>
          <w:p>
            <w:pPr>
              <w:ind w:left="460"/>
              <w:spacing w:after="0"/>
              <w:rPr>
                <w:sz w:val="20"/>
                <w:szCs w:val="20"/>
                <w:color w:val="auto"/>
              </w:rPr>
            </w:pPr>
            <w:r>
              <w:rPr>
                <w:rFonts w:ascii="Arial" w:cs="Arial" w:eastAsia="Arial" w:hAnsi="Arial"/>
                <w:sz w:val="18"/>
                <w:szCs w:val="18"/>
                <w:color w:val="auto"/>
              </w:rPr>
              <w:t>(loss)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F4F4F4"/>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r>
      <w:tr>
        <w:trPr>
          <w:trHeight w:val="223"/>
        </w:trPr>
        <w:tc>
          <w:tcPr>
            <w:tcW w:w="6500" w:type="dxa"/>
            <w:vAlign w:val="bottom"/>
            <w:shd w:val="clear" w:color="auto" w:fill="F4F4F4"/>
          </w:tcPr>
          <w:p>
            <w:pPr>
              <w:ind w:left="22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943</w:t>
            </w:r>
          </w:p>
        </w:tc>
        <w:tc>
          <w:tcPr>
            <w:tcW w:w="14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F4F4F4"/>
          </w:tcPr>
          <w:p>
            <w:pPr>
              <w:spacing w:after="0"/>
              <w:rPr>
                <w:sz w:val="19"/>
                <w:szCs w:val="19"/>
                <w:color w:val="auto"/>
              </w:rPr>
            </w:pP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9"/>
                <w:szCs w:val="19"/>
                <w:color w:val="auto"/>
              </w:rPr>
            </w:pPr>
          </w:p>
        </w:tc>
      </w:tr>
      <w:tr>
        <w:trPr>
          <w:trHeight w:val="223"/>
        </w:trPr>
        <w:tc>
          <w:tcPr>
            <w:tcW w:w="6500" w:type="dxa"/>
            <w:vAlign w:val="bottom"/>
          </w:tcPr>
          <w:p>
            <w:pPr>
              <w:ind w:left="220"/>
              <w:spacing w:after="0"/>
              <w:rPr>
                <w:sz w:val="20"/>
                <w:szCs w:val="20"/>
                <w:color w:val="auto"/>
              </w:rPr>
            </w:pPr>
            <w:r>
              <w:rPr>
                <w:rFonts w:ascii="Arial" w:cs="Arial" w:eastAsia="Arial" w:hAnsi="Arial"/>
                <w:sz w:val="18"/>
                <w:szCs w:val="18"/>
                <w:color w:val="auto"/>
              </w:rPr>
              <w:t>Accumulated other comprehensive loss balance,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9"/>
                <w:szCs w:val="19"/>
                <w:color w:val="auto"/>
              </w:rPr>
            </w:pPr>
          </w:p>
        </w:tc>
      </w:tr>
      <w:tr>
        <w:trPr>
          <w:trHeight w:val="210"/>
        </w:trPr>
        <w:tc>
          <w:tcPr>
            <w:tcW w:w="6500" w:type="dxa"/>
            <w:vAlign w:val="bottom"/>
            <w:tcBorders>
              <w:top w:val="single" w:sz="8" w:color="F4F4F4"/>
            </w:tcBorders>
            <w:shd w:val="clear" w:color="auto" w:fill="F4F4F4"/>
          </w:tcPr>
          <w:p>
            <w:pPr>
              <w:ind w:left="120"/>
              <w:spacing w:after="0"/>
              <w:rPr>
                <w:sz w:val="20"/>
                <w:szCs w:val="20"/>
                <w:color w:val="auto"/>
              </w:rPr>
            </w:pPr>
            <w:r>
              <w:rPr>
                <w:rFonts w:ascii="Arial" w:cs="Arial" w:eastAsia="Arial" w:hAnsi="Arial"/>
                <w:sz w:val="18"/>
                <w:szCs w:val="18"/>
                <w:b w:val="1"/>
                <w:bCs w:val="1"/>
                <w:color w:val="auto"/>
              </w:rPr>
              <w:t>Foreign currency translation adjustment:</w:t>
            </w:r>
          </w:p>
        </w:tc>
        <w:tc>
          <w:tcPr>
            <w:tcW w:w="28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spacing w:after="0"/>
              <w:rPr>
                <w:sz w:val="18"/>
                <w:szCs w:val="18"/>
                <w:color w:val="auto"/>
              </w:rPr>
            </w:pPr>
          </w:p>
        </w:tc>
        <w:tc>
          <w:tcPr>
            <w:tcW w:w="14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340" w:type="dxa"/>
            <w:vAlign w:val="bottom"/>
            <w:tcBorders>
              <w:top w:val="single" w:sz="8" w:color="auto"/>
            </w:tcBorders>
            <w:shd w:val="clear" w:color="auto" w:fill="F4F4F4"/>
          </w:tcPr>
          <w:p>
            <w:pPr>
              <w:spacing w:after="0"/>
              <w:rPr>
                <w:sz w:val="18"/>
                <w:szCs w:val="18"/>
                <w:color w:val="auto"/>
              </w:rPr>
            </w:pPr>
          </w:p>
        </w:tc>
        <w:tc>
          <w:tcPr>
            <w:tcW w:w="820" w:type="dxa"/>
            <w:vAlign w:val="bottom"/>
            <w:tcBorders>
              <w:top w:val="single" w:sz="8" w:color="auto"/>
            </w:tcBorders>
            <w:shd w:val="clear" w:color="auto" w:fill="F4F4F4"/>
          </w:tcPr>
          <w:p>
            <w:pPr>
              <w:spacing w:after="0"/>
              <w:rPr>
                <w:sz w:val="18"/>
                <w:szCs w:val="18"/>
                <w:color w:val="auto"/>
              </w:rPr>
            </w:pPr>
          </w:p>
        </w:tc>
        <w:tc>
          <w:tcPr>
            <w:tcW w:w="12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Accumulated other comprehensive loss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(6,608)</w:t>
            </w:r>
          </w:p>
        </w:tc>
        <w:tc>
          <w:tcPr>
            <w:tcW w:w="20" w:type="dxa"/>
            <w:vAlign w:val="bottom"/>
          </w:tcPr>
          <w:p>
            <w:pPr>
              <w:spacing w:after="0"/>
              <w:rPr>
                <w:sz w:val="19"/>
                <w:szCs w:val="19"/>
                <w:color w:val="auto"/>
              </w:rPr>
            </w:pPr>
          </w:p>
        </w:tc>
      </w:tr>
      <w:tr>
        <w:trPr>
          <w:trHeight w:val="229"/>
        </w:trPr>
        <w:tc>
          <w:tcPr>
            <w:tcW w:w="650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F4F4F4"/>
          </w:tcPr>
          <w:p>
            <w:pPr>
              <w:spacing w:after="0"/>
              <w:rPr>
                <w:sz w:val="19"/>
                <w:szCs w:val="19"/>
                <w:color w:val="auto"/>
              </w:rPr>
            </w:pP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(5,321)</w:t>
            </w:r>
          </w:p>
        </w:tc>
        <w:tc>
          <w:tcPr>
            <w:tcW w:w="20" w:type="dxa"/>
            <w:vAlign w:val="bottom"/>
          </w:tcPr>
          <w:p>
            <w:pPr>
              <w:spacing w:after="0"/>
              <w:rPr>
                <w:sz w:val="19"/>
                <w:szCs w:val="19"/>
                <w:color w:val="auto"/>
              </w:rPr>
            </w:pPr>
          </w:p>
        </w:tc>
      </w:tr>
      <w:tr>
        <w:trPr>
          <w:trHeight w:val="223"/>
        </w:trPr>
        <w:tc>
          <w:tcPr>
            <w:tcW w:w="6500" w:type="dxa"/>
            <w:vAlign w:val="bottom"/>
            <w:tcBorders>
              <w:bottom w:val="single" w:sz="8" w:color="F4F4F4"/>
            </w:tcBorders>
          </w:tcPr>
          <w:p>
            <w:pPr>
              <w:ind w:left="220"/>
              <w:spacing w:after="0"/>
              <w:rPr>
                <w:sz w:val="20"/>
                <w:szCs w:val="20"/>
                <w:color w:val="auto"/>
              </w:rPr>
            </w:pPr>
            <w:r>
              <w:rPr>
                <w:rFonts w:ascii="Arial" w:cs="Arial" w:eastAsia="Arial" w:hAnsi="Arial"/>
                <w:sz w:val="18"/>
                <w:szCs w:val="18"/>
                <w:color w:val="auto"/>
              </w:rPr>
              <w:t>Accumulated other comprehensive loss balance, end of period</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(11,929)</w:t>
            </w:r>
          </w:p>
        </w:tc>
        <w:tc>
          <w:tcPr>
            <w:tcW w:w="100" w:type="dxa"/>
            <w:vAlign w:val="bottom"/>
            <w:tcBorders>
              <w:bottom w:val="single" w:sz="8" w:color="F4F4F4"/>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(11,929)</w:t>
            </w:r>
          </w:p>
        </w:tc>
        <w:tc>
          <w:tcPr>
            <w:tcW w:w="20" w:type="dxa"/>
            <w:vAlign w:val="bottom"/>
          </w:tcPr>
          <w:p>
            <w:pPr>
              <w:spacing w:after="0"/>
              <w:rPr>
                <w:sz w:val="19"/>
                <w:szCs w:val="19"/>
                <w:color w:val="auto"/>
              </w:rPr>
            </w:pPr>
          </w:p>
        </w:tc>
      </w:tr>
      <w:tr>
        <w:trPr>
          <w:trHeight w:val="223"/>
        </w:trPr>
        <w:tc>
          <w:tcPr>
            <w:tcW w:w="65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loss, end of period</w:t>
            </w:r>
          </w:p>
        </w:tc>
        <w:tc>
          <w:tcPr>
            <w:tcW w:w="280" w:type="dxa"/>
            <w:vAlign w:val="bottom"/>
            <w:tcBorders>
              <w:bottom w:val="single" w:sz="8" w:color="71BF43"/>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(8,872)</w:t>
            </w:r>
          </w:p>
        </w:tc>
        <w:tc>
          <w:tcPr>
            <w:tcW w:w="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(13,665)</w:t>
            </w:r>
          </w:p>
        </w:tc>
        <w:tc>
          <w:tcPr>
            <w:tcW w:w="440" w:type="dxa"/>
            <w:vAlign w:val="bottom"/>
            <w:tcBorders>
              <w:bottom w:val="single" w:sz="8" w:color="71BF43"/>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(8,872)</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(13,665)</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-2700020</wp:posOffset>
            </wp:positionV>
            <wp:extent cx="29921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92120" cy="8890"/>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14.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September 30, 2020, approximately $812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(payment services and usage).</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22 </w:t>
      </w:r>
      <w:r>
        <w:rPr>
          <w:sz w:val="1"/>
          <w:szCs w:val="1"/>
          <w:color w:val="auto"/>
        </w:rPr>
        <w:drawing>
          <wp:inline distT="0" distB="0" distL="0" distR="0">
            <wp:extent cx="745490"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contract assets as of September 30, 2020 and December 31, 2019 were insignificant. Our opening and closing balances of deferred revenue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shd w:val="clear" w:color="auto" w:fill="ACACAC"/>
          </w:tcPr>
          <w:p>
            <w:pPr>
              <w:spacing w:after="0"/>
              <w:rPr>
                <w:sz w:val="14"/>
                <w:szCs w:val="14"/>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2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328,255</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316,137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increase in deferred revenue during the nine months ended September 30, 2020 was primarily due a seasonal increase in customer contract renewals. Historically, due to the timing of customer budget cycles, we have an increase in customer contract renewals at or near the beginning of our third quarter. The amount of revenue recognized during the nine months ended September 30, 2020 that was included in the deferred revenue balance at the beginning of the period was approximately $272 million. The amount of revenue recognized during the nine months ended September 30, 2020 from performance obligations satisfied in prior periods was insignificant.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6"/>
        </w:trPr>
        <w:tc>
          <w:tcPr>
            <w:tcW w:w="590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7"/>
                <w:szCs w:val="17"/>
                <w:color w:val="auto"/>
              </w:rPr>
            </w:pPr>
          </w:p>
        </w:tc>
        <w:tc>
          <w:tcPr>
            <w:tcW w:w="360" w:type="dxa"/>
            <w:vAlign w:val="bottom"/>
            <w:tcBorders>
              <w:bottom w:val="single" w:sz="8" w:color="ACACAC"/>
            </w:tcBorders>
            <w:shd w:val="clear" w:color="auto" w:fill="ACACAC"/>
          </w:tcPr>
          <w:p>
            <w:pPr>
              <w:spacing w:after="0"/>
              <w:rPr>
                <w:sz w:val="17"/>
                <w:szCs w:val="17"/>
                <w:color w:val="auto"/>
              </w:rPr>
            </w:pPr>
          </w:p>
        </w:tc>
        <w:tc>
          <w:tcPr>
            <w:tcW w:w="1160" w:type="dxa"/>
            <w:vAlign w:val="bottom"/>
            <w:tcBorders>
              <w:bottom w:val="single" w:sz="8" w:color="ACACAC"/>
            </w:tcBorders>
            <w:gridSpan w:val="2"/>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2020</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5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182,649</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188,649</w:t>
            </w:r>
          </w:p>
        </w:tc>
        <w:tc>
          <w:tcPr>
            <w:tcW w:w="460" w:type="dxa"/>
            <w:vAlign w:val="bottom"/>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565,912</w:t>
            </w:r>
          </w:p>
        </w:tc>
        <w:tc>
          <w:tcPr>
            <w:tcW w:w="260" w:type="dxa"/>
            <w:vAlign w:val="bottom"/>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567,174</w:t>
            </w:r>
          </w:p>
        </w:tc>
        <w:tc>
          <w:tcPr>
            <w:tcW w:w="20" w:type="dxa"/>
            <w:vAlign w:val="bottom"/>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63,668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50,515</w:t>
            </w:r>
          </w:p>
        </w:tc>
        <w:tc>
          <w:tcPr>
            <w:tcW w:w="20" w:type="dxa"/>
            <w:vAlign w:val="bottom"/>
          </w:tcPr>
          <w:p>
            <w:pPr>
              <w:spacing w:after="0"/>
              <w:rPr>
                <w:sz w:val="19"/>
                <w:szCs w:val="19"/>
                <w:color w:val="auto"/>
              </w:rPr>
            </w:pPr>
          </w:p>
        </w:tc>
      </w:tr>
      <w:tr>
        <w:trPr>
          <w:trHeight w:val="229"/>
        </w:trPr>
        <w:tc>
          <w:tcPr>
            <w:tcW w:w="5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14,043</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15,061</w:t>
            </w:r>
          </w:p>
        </w:tc>
        <w:tc>
          <w:tcPr>
            <w:tcW w:w="100" w:type="dxa"/>
            <w:vAlign w:val="bottom"/>
            <w:shd w:val="clear" w:color="auto" w:fill="F4F4F4"/>
          </w:tcPr>
          <w:p>
            <w:pPr>
              <w:spacing w:after="0"/>
              <w:rPr>
                <w:sz w:val="19"/>
                <w:szCs w:val="19"/>
                <w:color w:val="auto"/>
              </w:rPr>
            </w:pPr>
          </w:p>
        </w:tc>
        <w:tc>
          <w:tcPr>
            <w:tcW w:w="36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41,033</w:t>
            </w:r>
          </w:p>
        </w:tc>
        <w:tc>
          <w:tcPr>
            <w:tcW w:w="26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44,895</w:t>
            </w:r>
          </w:p>
        </w:tc>
        <w:tc>
          <w:tcPr>
            <w:tcW w:w="20" w:type="dxa"/>
            <w:vAlign w:val="bottom"/>
          </w:tcPr>
          <w:p>
            <w:pPr>
              <w:spacing w:after="0"/>
              <w:rPr>
                <w:sz w:val="19"/>
                <w:szCs w:val="19"/>
                <w:color w:val="auto"/>
              </w:rPr>
            </w:pPr>
          </w:p>
        </w:tc>
      </w:tr>
      <w:tr>
        <w:trPr>
          <w:trHeight w:val="223"/>
        </w:trPr>
        <w:tc>
          <w:tcPr>
            <w:tcW w:w="5900" w:type="dxa"/>
            <w:vAlign w:val="bottom"/>
            <w:tcBorders>
              <w:bottom w:val="single" w:sz="8" w:color="71BF43"/>
            </w:tcBorders>
          </w:tcPr>
          <w:p>
            <w:pPr>
              <w:ind w:left="1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71BF43"/>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215,001</w:t>
            </w:r>
          </w:p>
        </w:tc>
        <w:tc>
          <w:tcPr>
            <w:tcW w:w="220" w:type="dxa"/>
            <w:vAlign w:val="bottom"/>
            <w:tcBorders>
              <w:bottom w:val="single" w:sz="8" w:color="71BF43"/>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221,120</w:t>
            </w:r>
          </w:p>
        </w:tc>
        <w:tc>
          <w:tcPr>
            <w:tcW w:w="460" w:type="dxa"/>
            <w:vAlign w:val="bottom"/>
            <w:tcBorders>
              <w:bottom w:val="single" w:sz="8" w:color="71BF43"/>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670,613</w:t>
            </w:r>
          </w:p>
        </w:tc>
        <w:tc>
          <w:tcPr>
            <w:tcW w:w="260" w:type="dxa"/>
            <w:vAlign w:val="bottom"/>
            <w:tcBorders>
              <w:bottom w:val="single" w:sz="8" w:color="71BF43"/>
            </w:tcBorders>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662,584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-736600</wp:posOffset>
            </wp:positionV>
            <wp:extent cx="34029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4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General Markets Group ("GMG"), the Enterprise Markets Group ("EMG"), and the International Markets Group ("IMG") comprise our go-to-market organizations. The following is a description of each market group:</w:t>
      </w:r>
    </w:p>
    <w:p>
      <w:pPr>
        <w:spacing w:after="0" w:line="90" w:lineRule="exact"/>
        <w:rPr>
          <w:sz w:val="20"/>
          <w:szCs w:val="20"/>
          <w:color w:val="auto"/>
        </w:rPr>
      </w:pPr>
    </w:p>
    <w:p>
      <w:pPr>
        <w:ind w:left="660" w:right="20" w:hanging="328"/>
        <w:spacing w:after="0" w:line="26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GMG focuses on sales primarily to all K-12 private schools, faith-based and arts and cultural organizations, as well as emerging and mid-sized prospects in the U.S.;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EMG focuses on sales primarily to all healthcare and higher education institutions, corporations and foundations, as well as large and/or strategic prospects in the U.S.; and</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13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590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260" w:type="dxa"/>
            <w:vAlign w:val="bottom"/>
            <w:shd w:val="clear" w:color="auto" w:fill="ACACAC"/>
          </w:tcPr>
          <w:p>
            <w:pPr>
              <w:spacing w:after="0"/>
              <w:rPr>
                <w:sz w:val="15"/>
                <w:szCs w:val="15"/>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0" w:type="dxa"/>
            <w:vAlign w:val="bottom"/>
            <w:tcBorders>
              <w:bottom w:val="single" w:sz="8" w:color="F4F4F4"/>
            </w:tcBorders>
          </w:tcPr>
          <w:p>
            <w:pPr>
              <w:spacing w:after="0"/>
              <w:rPr>
                <w:sz w:val="17"/>
                <w:szCs w:val="17"/>
                <w:color w:val="auto"/>
              </w:rPr>
            </w:pPr>
          </w:p>
        </w:tc>
        <w:tc>
          <w:tcPr>
            <w:tcW w:w="360" w:type="dxa"/>
            <w:vAlign w:val="bottom"/>
            <w:tcBorders>
              <w:bottom w:val="single" w:sz="8" w:color="ACACAC"/>
            </w:tcBorders>
            <w:shd w:val="clear" w:color="auto" w:fill="ACACAC"/>
          </w:tcPr>
          <w:p>
            <w:pPr>
              <w:spacing w:after="0"/>
              <w:rPr>
                <w:sz w:val="17"/>
                <w:szCs w:val="17"/>
                <w:color w:val="auto"/>
              </w:rPr>
            </w:pPr>
          </w:p>
        </w:tc>
        <w:tc>
          <w:tcPr>
            <w:tcW w:w="1160" w:type="dxa"/>
            <w:vAlign w:val="bottom"/>
            <w:tcBorders>
              <w:bottom w:val="single" w:sz="8" w:color="ACACAC"/>
            </w:tcBorders>
            <w:gridSpan w:val="2"/>
            <w:shd w:val="clear" w:color="auto" w:fill="ACACAC"/>
          </w:tcPr>
          <w:p>
            <w:pPr>
              <w:jc w:val="right"/>
              <w:ind w:right="136"/>
              <w:spacing w:after="0"/>
              <w:rPr>
                <w:sz w:val="20"/>
                <w:szCs w:val="20"/>
                <w:color w:val="auto"/>
              </w:rPr>
            </w:pPr>
            <w:r>
              <w:rPr>
                <w:rFonts w:ascii="Arial" w:cs="Arial" w:eastAsia="Arial" w:hAnsi="Arial"/>
                <w:sz w:val="14"/>
                <w:szCs w:val="14"/>
                <w:b w:val="1"/>
                <w:bCs w:val="1"/>
                <w:color w:val="FFFFFF"/>
              </w:rPr>
              <w:t>2020</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5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GMG</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90,567</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92,029</w:t>
            </w:r>
          </w:p>
        </w:tc>
        <w:tc>
          <w:tcPr>
            <w:tcW w:w="460" w:type="dxa"/>
            <w:vAlign w:val="bottom"/>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276,473</w:t>
            </w:r>
          </w:p>
        </w:tc>
        <w:tc>
          <w:tcPr>
            <w:tcW w:w="260" w:type="dxa"/>
            <w:vAlign w:val="bottom"/>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277,803</w:t>
            </w:r>
          </w:p>
        </w:tc>
        <w:tc>
          <w:tcPr>
            <w:tcW w:w="20" w:type="dxa"/>
            <w:vAlign w:val="bottom"/>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EMG</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91,542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287,864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288,145</w:t>
            </w:r>
          </w:p>
        </w:tc>
        <w:tc>
          <w:tcPr>
            <w:tcW w:w="20" w:type="dxa"/>
            <w:vAlign w:val="bottom"/>
          </w:tcPr>
          <w:p>
            <w:pPr>
              <w:spacing w:after="0"/>
              <w:rPr>
                <w:sz w:val="19"/>
                <w:szCs w:val="19"/>
                <w:color w:val="auto"/>
              </w:rPr>
            </w:pPr>
          </w:p>
        </w:tc>
      </w:tr>
      <w:tr>
        <w:trPr>
          <w:trHeight w:val="230"/>
        </w:trPr>
        <w:tc>
          <w:tcPr>
            <w:tcW w:w="5900" w:type="dxa"/>
            <w:vAlign w:val="bottom"/>
            <w:shd w:val="clear" w:color="auto" w:fill="F4F4F4"/>
          </w:tcPr>
          <w:p>
            <w:pPr>
              <w:ind w:left="20"/>
              <w:spacing w:after="0"/>
              <w:rPr>
                <w:sz w:val="20"/>
                <w:szCs w:val="20"/>
                <w:color w:val="auto"/>
              </w:rPr>
            </w:pPr>
            <w:r>
              <w:rPr>
                <w:rFonts w:ascii="Arial" w:cs="Arial" w:eastAsia="Arial" w:hAnsi="Arial"/>
                <w:sz w:val="18"/>
                <w:szCs w:val="18"/>
                <w:color w:val="auto"/>
              </w:rPr>
              <w:t>IMG</w:t>
            </w:r>
          </w:p>
        </w:tc>
        <w:tc>
          <w:tcPr>
            <w:tcW w:w="34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32,751</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32,731</w:t>
            </w:r>
          </w:p>
        </w:tc>
        <w:tc>
          <w:tcPr>
            <w:tcW w:w="10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105,999</w:t>
            </w:r>
          </w:p>
        </w:tc>
        <w:tc>
          <w:tcPr>
            <w:tcW w:w="26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96,467</w:t>
            </w:r>
          </w:p>
        </w:tc>
        <w:tc>
          <w:tcPr>
            <w:tcW w:w="20" w:type="dxa"/>
            <w:vAlign w:val="bottom"/>
          </w:tcPr>
          <w:p>
            <w:pPr>
              <w:spacing w:after="0"/>
              <w:rPr>
                <w:sz w:val="19"/>
                <w:szCs w:val="19"/>
                <w:color w:val="auto"/>
              </w:rPr>
            </w:pPr>
          </w:p>
        </w:tc>
      </w:tr>
      <w:tr>
        <w:trPr>
          <w:trHeight w:val="230"/>
        </w:trPr>
        <w:tc>
          <w:tcPr>
            <w:tcW w:w="59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F4F4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r>
      <w:tr>
        <w:trPr>
          <w:trHeight w:val="223"/>
        </w:trPr>
        <w:tc>
          <w:tcPr>
            <w:tcW w:w="590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215,001</w:t>
            </w:r>
          </w:p>
        </w:tc>
        <w:tc>
          <w:tcPr>
            <w:tcW w:w="220" w:type="dxa"/>
            <w:vAlign w:val="bottom"/>
            <w:tcBorders>
              <w:bottom w:val="single" w:sz="8" w:color="71BF43"/>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221,120</w:t>
            </w:r>
          </w:p>
        </w:tc>
        <w:tc>
          <w:tcPr>
            <w:tcW w:w="460" w:type="dxa"/>
            <w:vAlign w:val="bottom"/>
            <w:tcBorders>
              <w:bottom w:val="single" w:sz="8" w:color="71BF43"/>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670,613</w:t>
            </w:r>
          </w:p>
        </w:tc>
        <w:tc>
          <w:tcPr>
            <w:tcW w:w="260" w:type="dxa"/>
            <w:vAlign w:val="bottom"/>
            <w:tcBorders>
              <w:bottom w:val="single" w:sz="8" w:color="71BF43"/>
            </w:tcBorders>
            <w:shd w:val="clear" w:color="auto" w:fill="F4F4F4"/>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662,584</w:t>
            </w:r>
          </w:p>
        </w:tc>
        <w:tc>
          <w:tcPr>
            <w:tcW w:w="20" w:type="dxa"/>
            <w:vAlign w:val="bottom"/>
          </w:tcPr>
          <w:p>
            <w:pPr>
              <w:spacing w:after="0"/>
              <w:rPr>
                <w:sz w:val="19"/>
                <w:szCs w:val="19"/>
                <w:color w:val="auto"/>
              </w:rPr>
            </w:pPr>
          </w:p>
        </w:tc>
      </w:tr>
      <w:tr>
        <w:trPr>
          <w:trHeight w:val="900"/>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4"/>
          </w:tcPr>
          <w:p>
            <w:pPr>
              <w:jc w:val="right"/>
              <w:ind w:right="273"/>
              <w:spacing w:after="0"/>
              <w:rPr>
                <w:sz w:val="20"/>
                <w:szCs w:val="20"/>
                <w:color w:val="auto"/>
              </w:rPr>
            </w:pPr>
            <w:r>
              <w:rPr>
                <w:rFonts w:ascii="Arial" w:cs="Arial" w:eastAsia="Arial" w:hAnsi="Arial"/>
                <w:sz w:val="14"/>
                <w:szCs w:val="14"/>
                <w:color w:val="auto"/>
              </w:rPr>
              <w:t>Third Quarter 2020 Form 10-Q</w:t>
            </w:r>
          </w:p>
        </w:tc>
        <w:tc>
          <w:tcPr>
            <w:tcW w:w="260" w:type="dxa"/>
            <w:vAlign w:val="bottom"/>
          </w:tcPr>
          <w:p>
            <w:pPr>
              <w:spacing w:after="0"/>
              <w:rPr>
                <w:sz w:val="24"/>
                <w:szCs w:val="24"/>
                <w:color w:val="auto"/>
              </w:rPr>
            </w:pPr>
          </w:p>
        </w:tc>
        <w:tc>
          <w:tcPr>
            <w:tcW w:w="1100" w:type="dxa"/>
            <w:vAlign w:val="bottom"/>
          </w:tcPr>
          <w:p>
            <w:pPr>
              <w:jc w:val="right"/>
              <w:ind w:right="157"/>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24"/>
                <w:szCs w:val="24"/>
                <w:color w:val="auto"/>
              </w:rPr>
            </w:pPr>
          </w:p>
        </w:tc>
      </w:tr>
      <w:tr>
        <w:trPr>
          <w:trHeight w:val="113"/>
        </w:trPr>
        <w:tc>
          <w:tcPr>
            <w:tcW w:w="5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-1542415</wp:posOffset>
            </wp:positionV>
            <wp:extent cx="34029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296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74549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15.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During the three and nine months ended September 30, 2019, we incurred $0.4 million and $3.1 million, respectively, in before-tax restructuring charges related to these activities. Such charges during the three and nine months ended September 30, 2020 were insignificant.</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16.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2020 refinancing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30, 2020, we entered into a 5-year $900.0 million Amended and Restated Credit Agreement (the “2020 Credit Facility”). The 2020 Credit Facility matures in October 2025 and replaces the 2017 Credit Facility by amending and restating it to include a $500.0 million revolving credit facility (the “Revolving Credit Facility”) and a $400.0 million term loan facility (the “Term Facility”). The Revolving Credit Facility includes (a) a $ 50.0 million sublimit available for the issuance of standby letters of credit, (b) a $50.0 million sublimit available for swingline loans, and (c) a $100.0 million sublimit available for multicurrency borrowings. We may prepay the 2020 Credit Facility in whole or in part at any time without premium or penalty, other than customary breakage costs with respect to certain types of loans.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2020 Credit Facility, we are entitled on one or more occasions, subject to the satisfaction of certain conditions, to request an increase in the commitments under the Revolving Credit Facility and/or request additional incremental term loans in the aggregate principal amount of up to $250.0 million plus an amount, if any, such that the net leverage ratio shall be no greater than 3.25 to 1.00.</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amendment and restatement of the 2017 Credit Facility, the existing Pledge Agreement dated June 2, 2017 (as amended, supplemented or modified from time to time, the “2017 Pledge Agreement”), by us in favor of Bank of America, N.A., as administrative agent, was likewise amended and restated.</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30, 2020, we borrowed $400.0 million pursuant to the Term Facility and used the proceeds to repay the outstanding principal balance of the term loan under the 2017 Credit Facility, and repay $124.4 million of outstanding revolving credit loans under the 2017 revolving credit facility.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obligations under the 2020 Credit Facility are secured by the stock and limited liability company interests of certain of our direct subsidiaries and any of our material domestic subsidiaries, if any, and the proceeds therefrom pledged pursuant to an Amended and Restated Pledge Agreement dated as of October 30, 2020 (the “2020 Pledge Agreement”), by us in favor of Bank of America, N.A., as administrative agent, for the ratable benefit of itself and the secured parties referred to therein.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Dollar tranche loans under the Revolving Credit Facility and Term Facility loans bear interest at a rate per annum equal to (a) a base rate equal to the highest of (i) the Federal Funds Rate plus 0.50%, (ii) the prime rate announced by Bank of America, N.A., and (iii) the Eurocurrency Rate (which varies depending on the currency in which the loan is denominated) plus 1.00% (the “Base Rate”), plus (b) an applicable margin as specified in the 2020 Credit Facility (the “Applicable Margin”). Each Eurocurrency Rate Loan under the 2020 Credit Facility shall bear interest at a rate per annum equal to the Eurocurrency Rate, plus the Applicable Margin. The Applicable Margin shall be adjusted quarterly, varies based on our net leverage ratio and varies based on whether the loan is a Base Rate Loan (0.375% to 1.125%) or a Eurocurrency Rate Loan (1.375% to 2.125%). The 2020 Credit Facility also provides for a commitment fee of between 0.250% and 0.375% of the unused commitment under the Revolving Credit Facility, depending on our net leverage ratio.</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2020 Credit Facility contains various representations, warranties and affirmative, negative and financial covenants customary for financings of this type. Financial covenants include a net leverage ratio and an interest coverage ratio.</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745490" cy="1885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2020 Credit Facility and 2020 Pledge Agreement are filed as Exhibits 10.4 and 10.5, respectively, of this Quarterly Report on 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herein but not defined shall have the meaning ascribed to such term in the 2020 Credit Facility.</w:t>
      </w:r>
    </w:p>
    <w:p>
      <w:pPr>
        <w:spacing w:after="0" w:line="200" w:lineRule="exact"/>
        <w:rPr>
          <w:sz w:val="20"/>
          <w:szCs w:val="20"/>
          <w:color w:val="auto"/>
        </w:rPr>
      </w:pPr>
    </w:p>
    <w:p>
      <w:pPr>
        <w:spacing w:after="0" w:line="295"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1"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condensed consolidated financial statements and related notes which are primarily denominated in thousands of dollars.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outbreak of COVID-19 in numerous countries across the globe, including each country in which we currently operate, has adversely impacted the U.S. and global economies. We began 2020 with strong execution against our financial plan. In March 2020, we began to experience disruptions to our business from COVID-19, and the pandemic continues to impact each of our markets.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See Note 2 to our condensed consolidated financial statements in this report for a discussion of some of these actions. In addition to the initial actions we have taken to date, we are continuously evaluating further possible actions in order to respond quickly to rapidly changing conditions, if needed.</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economic impact of COVID-19 on the social good industry remains uncertain. With our existing and prospective customers remaining cautious in their purchase decisions, we expect that our operating environment may continue to be challenging for the remainder of 2020, 2021 and potentially beyond, as discussed below. Notwithstanding these conditions, we remain focused on continuing to execute our four-point growth strategy and strengthening our leadership position.</w:t>
      </w: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26 </w:t>
      </w:r>
      <w:r>
        <w:rPr>
          <w:sz w:val="1"/>
          <w:szCs w:val="1"/>
          <w:color w:val="auto"/>
        </w:rPr>
        <w:drawing>
          <wp:inline distT="0" distB="0" distL="0" distR="0">
            <wp:extent cx="745490" cy="1885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165735</wp:posOffset>
            </wp:positionV>
            <wp:extent cx="26543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73" w:lineRule="exact"/>
        <w:rPr>
          <w:sz w:val="20"/>
          <w:szCs w:val="20"/>
          <w:color w:val="auto"/>
        </w:rPr>
      </w:pPr>
    </w:p>
    <w:p>
      <w:pPr>
        <w:ind w:left="1300" w:hanging="471"/>
        <w:spacing w:after="0"/>
        <w:tabs>
          <w:tab w:leader="none" w:pos="1300" w:val="left"/>
        </w:tabs>
        <w:numPr>
          <w:ilvl w:val="1"/>
          <w:numId w:val="13"/>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2</w:t>
      </w:r>
      <w:r>
        <w:rPr>
          <w:rFonts w:ascii="Arial" w:cs="Arial" w:eastAsia="Arial" w:hAnsi="Arial"/>
          <w:sz w:val="17"/>
          <w:szCs w:val="17"/>
          <w:b w:val="1"/>
          <w:bCs w:val="1"/>
          <w:color w:val="auto"/>
        </w:rPr>
        <w:t>Drive Sales Effectiveness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3</w:t>
      </w:r>
      <w:r>
        <w:rPr>
          <w:rFonts w:ascii="Arial" w:cs="Arial" w:eastAsia="Arial" w:hAnsi="Arial"/>
          <w:sz w:val="17"/>
          <w:szCs w:val="17"/>
          <w:b w:val="1"/>
          <w:bCs w:val="1"/>
          <w:color w:val="auto"/>
        </w:rPr>
        <w:t>Expand Total Addressable Market</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Improve Operating Efficiency</w:t>
      </w:r>
    </w:p>
    <w:p>
      <w:pPr>
        <w:spacing w:after="0" w:line="215"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Our solutions are already equipped with features that are lending themselves to the current environment and we have quickly acted upon customer feedback to add enhancements and new functionality to serve our customers, so they can continue to focus on their missions during this time. For example, we built new integration between our peer-to-peer fundraising and donor management solutions simplifying the process of raising donations and acquiring new supporters through pandemic-friendly virtual events and peer-to-peer campaigns. We simplified donation forms to expedite fundraising by allowing organizations to create campaigns quickly and easily, which is critical in the current environment. We also added new financial management capabilities, further easing the transition to working from home with tools that support collaboration and efficient cash flow management and financial operations from the cloud.</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Drive Sales Effectiveness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The investments we have made to enhance our digital footprint are enabling us to be more prescriptive and cost-effective in our marketing efforts and to quickly adapt to changing market conditions, and over the longer term we believe the impact of COVID-19 will accelerate the existing trends driving adoption of modern cloud solutions in our market. Despite our optimism over the long-term, the uncertainty of the current environment has created near-term challenges in our ability to build new pipeline and elongated sales cycles, which has caused bookings to fall short of budgeted expectations for the third quarter and year-to-date periods. We expect this shortfall to put pressure on both 2020 and 2021 revenues. As a result, we have begun shifting investment towards digital marketing aimed at lead generation and put a greater emphasis on selling solutions with the highest lifetime value. In response to the COVID-19 pandemic, we implemented a modest and targeted headcount reduction during the second quarter, including a reduction in our sales headcount with a focus on retaining our most highly productive sales executives.</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Expand TAM</w:t>
      </w:r>
    </w:p>
    <w:p>
      <w:pPr>
        <w:spacing w:after="0" w:line="189" w:lineRule="exact"/>
        <w:rPr>
          <w:rFonts w:ascii="Arial" w:cs="Arial" w:eastAsia="Arial" w:hAnsi="Arial"/>
          <w:sz w:val="18"/>
          <w:szCs w:val="18"/>
          <w:i w:val="1"/>
          <w:iCs w:val="1"/>
          <w:color w:val="auto"/>
        </w:rPr>
      </w:pPr>
    </w:p>
    <w:p>
      <w:pPr>
        <w:jc w:val="both"/>
        <w:ind w:left="3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While we remain active in the evaluation of opportunities to further expand our addressable market through acquisitions and internal product development, our top priority in the near-term is protecting our employees and continuing to support our customers at a very high standard. We have significant opportunities in front of us as we are less than 10% penetrated into a total addressable market of over $10 billion.</w:t>
      </w:r>
    </w:p>
    <w:p>
      <w:pPr>
        <w:spacing w:after="0" w:line="131" w:lineRule="exact"/>
        <w:rPr>
          <w:rFonts w:ascii="Arial" w:cs="Arial" w:eastAsia="Arial" w:hAnsi="Arial"/>
          <w:sz w:val="18"/>
          <w:szCs w:val="18"/>
          <w:i w:val="1"/>
          <w:iCs w:val="1"/>
          <w:color w:val="auto"/>
        </w:rPr>
      </w:pPr>
    </w:p>
    <w:p>
      <w:pPr>
        <w:ind w:left="320" w:hanging="312"/>
        <w:spacing w:after="0"/>
        <w:tabs>
          <w:tab w:leader="none" w:pos="3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Improve Operating Efficiency</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have made transformational changes to our business over the last several years, which allowed us to immediately switch to a virtual work environment in March and supported our global employees' ability to work effectively from home. We are re-evaluating elements of our workforce strategy based on what we have learned during the COVID-19 pandemic. During the third quarter of 2020, we adjusted our workforce strategy to provide more flexibility for our employees to work remotely when our offices reopen. This change also expands our access to a larger and more diverse talent pool, empowers our leaders to make decisions based on skills and business need rather than location, and it is expected to create efficiencies within our real estate strategy as we optimize our footprint and shift toward more collaborative workspaces within our offices. We currently expect most of the transactions related to these real estate activities will close during the fourth quarter of 2020 with a one-time cash outlay of between of between $20.0 million and $25.0 million. We incurred approximately $6.8 million of pre-tax costs related to these real estate activities during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-6079490</wp:posOffset>
            </wp:positionV>
            <wp:extent cx="265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-5813425</wp:posOffset>
            </wp:positionV>
            <wp:extent cx="26543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-5547995</wp:posOffset>
            </wp:positionV>
            <wp:extent cx="265430" cy="1974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Total revenue ($M)</w:t>
            </w:r>
          </w:p>
        </w:tc>
        <w:tc>
          <w:tcPr>
            <w:tcW w:w="66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51"/>
        </w:trPr>
        <w:tc>
          <w:tcPr>
            <w:tcW w:w="4940" w:type="dxa"/>
            <w:vAlign w:val="bottom"/>
            <w:gridSpan w:val="2"/>
          </w:tcPr>
          <w:p>
            <w:pPr>
              <w:jc w:val="center"/>
              <w:ind w:right="640"/>
              <w:spacing w:after="0"/>
              <w:rPr>
                <w:sz w:val="20"/>
                <w:szCs w:val="20"/>
                <w:color w:val="auto"/>
              </w:rPr>
            </w:pPr>
            <w:r>
              <w:rPr>
                <w:rFonts w:ascii="Arial" w:cs="Arial" w:eastAsia="Arial" w:hAnsi="Arial"/>
                <w:sz w:val="14"/>
                <w:szCs w:val="14"/>
                <w:color w:val="auto"/>
              </w:rPr>
              <w:t>YoY Growth (%)</w:t>
            </w:r>
          </w:p>
        </w:tc>
        <w:tc>
          <w:tcPr>
            <w:tcW w:w="4300" w:type="dxa"/>
            <w:vAlign w:val="bottom"/>
          </w:tcPr>
          <w:p>
            <w:pPr>
              <w:jc w:val="center"/>
              <w:spacing w:after="0"/>
              <w:rPr>
                <w:sz w:val="20"/>
                <w:szCs w:val="20"/>
                <w:color w:val="auto"/>
              </w:rPr>
            </w:pPr>
            <w:r>
              <w:rPr>
                <w:rFonts w:ascii="Arial" w:cs="Arial" w:eastAsia="Arial" w:hAnsi="Arial"/>
                <w:sz w:val="14"/>
                <w:szCs w:val="14"/>
                <w:color w:val="auto"/>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50165</wp:posOffset>
            </wp:positionV>
            <wp:extent cx="5417820" cy="2880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178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Total revenue decreased by $6.1 million during the three months ended September 30, 2020, when compared to the same period in 2019, driven largely by the following:</w:t>
      </w:r>
    </w:p>
    <w:p>
      <w:pPr>
        <w:spacing w:after="0" w:line="184" w:lineRule="exact"/>
        <w:rPr>
          <w:sz w:val="20"/>
          <w:szCs w:val="20"/>
          <w:color w:val="auto"/>
        </w:rPr>
      </w:pPr>
    </w:p>
    <w:p>
      <w:pPr>
        <w:jc w:val="both"/>
        <w:ind w:left="700" w:right="20" w:hanging="351"/>
        <w:spacing w:after="0" w:line="215"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in recurring revenue primarily due to declines in transactional revenue and maintenance revenue. Transactional revenue decreased as many of our customers' in-person events have shifted online, been postponed or cancelled due to COVID-19. The decrease in maintenance revenue was related to our continuing efforts to migrate customers from legacy on-premises solutions onto our solutions powered by Blackbaud SKY, our modern cloud platform</w:t>
      </w:r>
    </w:p>
    <w:p>
      <w:pPr>
        <w:spacing w:after="0" w:line="14" w:lineRule="exact"/>
        <w:rPr>
          <w:rFonts w:ascii="Arial" w:cs="Arial" w:eastAsia="Arial" w:hAnsi="Arial"/>
          <w:sz w:val="18"/>
          <w:szCs w:val="18"/>
          <w:color w:val="auto"/>
        </w:rPr>
      </w:pPr>
    </w:p>
    <w:p>
      <w:pPr>
        <w:ind w:left="700" w:hanging="35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in one-time consulting revenue primarily from less one-time sales related to COVID-19</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increased by $8.0 million during the nine months ended September 30, 2020, when compared to the same period in 2019, driven largely by the following:</w:t>
      </w:r>
    </w:p>
    <w:p>
      <w:pPr>
        <w:spacing w:after="0" w:line="117" w:lineRule="exact"/>
        <w:rPr>
          <w:sz w:val="20"/>
          <w:szCs w:val="20"/>
          <w:color w:val="auto"/>
        </w:rPr>
      </w:pPr>
    </w:p>
    <w:p>
      <w:pPr>
        <w:ind w:left="700" w:right="20" w:hanging="373"/>
        <w:spacing w:after="0" w:line="22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in recurring revenue related to positive demand from customers across our portfolio of cloud solutions and an increase in transactional revenue, including charitable giving related to COVID-19</w:t>
      </w:r>
    </w:p>
    <w:p>
      <w:pPr>
        <w:spacing w:after="0" w:line="13" w:lineRule="exact"/>
        <w:rPr>
          <w:sz w:val="20"/>
          <w:szCs w:val="20"/>
          <w:color w:val="auto"/>
        </w:rPr>
      </w:pPr>
    </w:p>
    <w:p>
      <w:pPr>
        <w:ind w:left="700" w:hanging="3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one-time consulting revenue primarily from less of one-time sales related to COVID-19</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one-time analytics revenue as analytics are generally integrated in our cloud solutions</w:t>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745490" cy="1885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increased by $2.2 million during the three months ended September 30, 2020, when compared to the same period in 2019, driven largely by the following:</w:t>
      </w:r>
    </w:p>
    <w:p>
      <w:pPr>
        <w:spacing w:after="0" w:line="117" w:lineRule="exact"/>
        <w:rPr>
          <w:sz w:val="20"/>
          <w:szCs w:val="20"/>
          <w:color w:val="auto"/>
        </w:rPr>
      </w:pPr>
    </w:p>
    <w:p>
      <w:pPr>
        <w:ind w:left="700" w:right="20" w:hanging="373"/>
        <w:spacing w:after="0" w:line="22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overall compensation costs primarily associated with the decision to replace our 2020 cash bonus plans with grants of performance-based equity awards and the modest and targeted headcount reduction we implemented during the second quarter</w:t>
      </w:r>
    </w:p>
    <w:p>
      <w:pPr>
        <w:spacing w:after="0" w:line="13"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travel costs of $3.7 million due to our restriction on non-essential employee travel in response to the COVID-19 pandemic</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$2.0 million</w:t>
      </w:r>
    </w:p>
    <w:p>
      <w:pPr>
        <w:spacing w:after="0" w:line="22" w:lineRule="exact"/>
        <w:rPr>
          <w:rFonts w:ascii="Arial" w:cs="Arial" w:eastAsia="Arial" w:hAnsi="Arial"/>
          <w:sz w:val="18"/>
          <w:szCs w:val="18"/>
          <w:color w:val="auto"/>
        </w:rPr>
      </w:pPr>
    </w:p>
    <w:p>
      <w:pPr>
        <w:ind w:left="700" w:hanging="37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$1.2 million</w:t>
      </w:r>
    </w:p>
    <w:p>
      <w:pPr>
        <w:spacing w:after="0" w:line="23" w:lineRule="exact"/>
        <w:rPr>
          <w:sz w:val="20"/>
          <w:szCs w:val="20"/>
          <w:color w:val="auto"/>
        </w:rPr>
      </w:pPr>
    </w:p>
    <w:p>
      <w:pPr>
        <w:ind w:left="700" w:hanging="35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total revenue, as described above</w:t>
      </w:r>
    </w:p>
    <w:p>
      <w:pPr>
        <w:spacing w:after="0" w:line="22"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real estate activity costs of $6.8 million due to our workforce strategy changes in response to the COVID-19 pandemic, as discussed above</w:t>
      </w:r>
    </w:p>
    <w:p>
      <w:pPr>
        <w:spacing w:after="0" w:line="13"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corporate costs of $2.9 million, primarily related to increases in bad debt expense; for additional details, see Note 2 of our condensed consolidated financial statements in this report</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increased by $14.5 million during the nine months ended September 30, 2020, when compared to the same period in 2019, driven largely by the following:</w:t>
      </w:r>
    </w:p>
    <w:p>
      <w:pPr>
        <w:spacing w:after="0" w:line="103" w:lineRule="exact"/>
        <w:rPr>
          <w:sz w:val="20"/>
          <w:szCs w:val="20"/>
          <w:color w:val="auto"/>
        </w:rPr>
      </w:pPr>
    </w:p>
    <w:p>
      <w:pPr>
        <w:ind w:left="700" w:hanging="373"/>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Growth in total revenue, as described above</w:t>
      </w:r>
    </w:p>
    <w:p>
      <w:pPr>
        <w:spacing w:after="0" w:line="22"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overall compensation costs primarily associated with the decision to replace our 2020 cash bonus plans with grants of performance-based equity awards</w:t>
      </w:r>
    </w:p>
    <w:p>
      <w:pPr>
        <w:spacing w:after="0" w:line="13"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travel costs of $6.9 million due to our restriction on non-essential employee travel in response to the COVID-19 pandemic</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$5.1 million</w:t>
      </w:r>
    </w:p>
    <w:p>
      <w:pPr>
        <w:spacing w:after="0" w:line="22" w:lineRule="exact"/>
        <w:rPr>
          <w:rFonts w:ascii="Arial" w:cs="Arial" w:eastAsia="Arial" w:hAnsi="Arial"/>
          <w:sz w:val="18"/>
          <w:szCs w:val="18"/>
          <w:color w:val="auto"/>
        </w:rPr>
      </w:pPr>
    </w:p>
    <w:p>
      <w:pPr>
        <w:ind w:left="700" w:hanging="373"/>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$3.1 million</w:t>
      </w:r>
    </w:p>
    <w:p>
      <w:pPr>
        <w:spacing w:after="0" w:line="22" w:lineRule="exact"/>
        <w:rPr>
          <w:rFonts w:ascii="Arial" w:cs="Arial" w:eastAsia="Arial" w:hAnsi="Arial"/>
          <w:sz w:val="18"/>
          <w:szCs w:val="18"/>
          <w:color w:val="auto"/>
        </w:rPr>
      </w:pPr>
    </w:p>
    <w:p>
      <w:pPr>
        <w:ind w:left="700" w:hanging="373"/>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restructuring costs of $2.9 million as our facilities optimization plan was largely completed as of December 31, 2019</w:t>
      </w:r>
    </w:p>
    <w:p>
      <w:pPr>
        <w:spacing w:after="0" w:line="23" w:lineRule="exact"/>
        <w:rPr>
          <w:sz w:val="20"/>
          <w:szCs w:val="20"/>
          <w:color w:val="auto"/>
        </w:rPr>
      </w:pPr>
    </w:p>
    <w:p>
      <w:pPr>
        <w:ind w:left="700" w:right="20" w:hanging="351"/>
        <w:spacing w:after="0" w:line="22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real estate activity costs of $6.8 million due to our workforce strategy changes in response to the COVID-19 pandemic. For additional details, see "Results of Operations - General and administrative" below.</w:t>
      </w:r>
    </w:p>
    <w:p>
      <w:pPr>
        <w:spacing w:after="0" w:line="13"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corporate costs of $6.1 million primarily related to an increase in bad debt expense; for additional details, see Note 2 of our condensed consolidated financial statements in this report</w:t>
      </w:r>
    </w:p>
    <w:p>
      <w:pPr>
        <w:spacing w:after="0" w:line="13" w:lineRule="exact"/>
        <w:rPr>
          <w:rFonts w:ascii="Arial" w:cs="Arial" w:eastAsia="Arial" w:hAnsi="Arial"/>
          <w:sz w:val="18"/>
          <w:szCs w:val="18"/>
          <w:color w:val="auto"/>
        </w:rPr>
      </w:pPr>
    </w:p>
    <w:p>
      <w:pPr>
        <w:jc w:val="both"/>
        <w:ind w:left="700" w:right="20" w:hanging="351"/>
        <w:spacing w:after="0" w:line="21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cost of revenue from a $4.3 million impairment charge during the three months ended June 30, 2020, against certain previously capitalized software development costs, resulting from our decision to accelerate the end of customer support for certain solutions</w:t>
      </w:r>
    </w:p>
    <w:p>
      <w:pPr>
        <w:spacing w:after="0" w:line="13" w:lineRule="exact"/>
        <w:rPr>
          <w:rFonts w:ascii="Arial" w:cs="Arial" w:eastAsia="Arial" w:hAnsi="Arial"/>
          <w:sz w:val="18"/>
          <w:szCs w:val="18"/>
          <w:color w:val="auto"/>
        </w:rPr>
      </w:pPr>
    </w:p>
    <w:p>
      <w:pPr>
        <w:ind w:left="700" w:right="20" w:hanging="351"/>
        <w:spacing w:after="0" w:line="22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hosting and data center costs of $3.3 million as we are migrating our cloud infrastructure to leading public cloud service providers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are three primary revenue categories with related business drivers that we continue to monitor closely in light of the COVID-19 pandemic:</w:t>
      </w:r>
    </w:p>
    <w:p>
      <w:pPr>
        <w:spacing w:after="0" w:line="12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Recurring Revenue (approximately two thirds of total revenue in 2019)</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Recurring subscription contracts are typically for a term of three years at contract inception, billed annually in advance, and we have been for several years successfully shifting our legacy customer base away from annual renewals and moving them onto multi-year renewal contracts. Our contracted recurring revenue has performed well as our renewals have continued to trend ahead of our original plan with over three quarters of 2020 now behind. We expect the shortfall in bookings to put pressure on our revenue during the fourth quarter of 2020 and more so on our full-year 2021 revenue. We are closely monitoring our customer receivable balances, payment terms, and creditworthiness. We are experiencing an increase in our aging of receivables and observed changes in some of our customers' payment behavior associated with the COVID-19 pandemic and this development may continue in the near term.</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Transactional Revenue (approximately one quarter of total revenue in 2019)</w:t>
      </w:r>
    </w:p>
    <w:p>
      <w:pPr>
        <w:spacing w:after="0" w:line="189"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Transactional revenue is non-contractual and less predictable given the susceptibility to certain drivers such as timing and number of events and marketing campaigns, as well as fluctuations in donation volumes and tuition payments. We have historically experienced seasonal highs during the fourth quarter due to year-end giving</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campaigns and during the second quarter when a large number of events are held. During the third quarter, we again saw many in-person events shift online, be postponed or canceled. Social good organizations are being forced to employ new strategies to maintain momentum with current supporters while capturing the attention of potential new donors. We continue to support our customers in adapting to these circumstances through virtual campaigns and events.</w:t>
      </w:r>
    </w:p>
    <w:p>
      <w:pPr>
        <w:spacing w:after="0" w:line="13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Bookings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Given our ratable revenue recognition model for our recurring subscription contracts and implementation periods, we expect that declines in our 2020 bookings performance will have a greater negative impact on our 2021 revenue than 2020 revenue. Of these three primary revenue categories, bookings represents the smallest potential impact on recurring revenue in 2020. One-time services and other revenue, which is tied to bookings, would have a more immediate impact on our total revenue. Our first quarter has historically been the seasonal low for bookings, with the second and fourth quarters historically being seasonally higher, and our bookings tend to be back-end loaded within individual quarters given our quarterly quota plans. Although our bookings have performed slightly better than our initial COVID-19 scenario planning, we are currently expecting a significant shortfall in 2020 bookings compared to our original plan for the year as we continue to see challenges in building pipeline. The magnitude of our 2020 bookings shortfall is expected to be impacted by the depth and duration of the COVID-19 pandemic.</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strategy has historically relied on a balanced approach to growth and profitability. As discussed above, the pandemic has created short-term uncertainty in our revenue outlook and the early impacts on pipeline and bookings will likely limit our ability to drive near-term revenue growth at our originally planned levels. Therefore, in line with our strategy, we have made a pivot to greater emphasis on delivering shareholder value through increased profitability and cash flow, which are more controllable.</w:t>
      </w:r>
    </w:p>
    <w:p>
      <w:pPr>
        <w:spacing w:after="0" w:line="200" w:lineRule="exact"/>
        <w:rPr>
          <w:sz w:val="20"/>
          <w:szCs w:val="20"/>
          <w:color w:val="auto"/>
        </w:rPr>
      </w:pPr>
    </w:p>
    <w:p>
      <w:pPr>
        <w:spacing w:after="0" w:line="215"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26055" cy="1371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2605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September 30, 2020, approximately 92% of our customers with recurring revenue contracts were retained. This customer retention rate is unchanged from our rate for the full year ended December 31,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2020, our cash and cash equivalents were $30.6 million and the carrying amount of our debt under the 2017 Credit Facility was $444.0 million. Our net leverage ratio was 1.95 to 1.00.</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30 </w:t>
      </w:r>
      <w:r>
        <w:rPr>
          <w:sz w:val="1"/>
          <w:szCs w:val="1"/>
          <w:color w:val="auto"/>
        </w:rPr>
        <w:drawing>
          <wp:inline distT="0" distB="0" distL="0" distR="0">
            <wp:extent cx="745490" cy="18859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2020, we generated $ 109.2 million in cash from operations, primarily from operating cost reductions put in place in response to COVID-19 and the increased use of stock-based compensation. During the nine months ended September 30, 2020, we had a net decrease in borrowings of $23.6 million. Our assumption of the real estate loans associated with our purchase of our Headquarter Facility was a noncash investing and financing transaction (see discussion below).</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nine months ended September 30, 2020, we also had aggregate cash outlays of $57.9 million for purchases of property and equipment and capitalized software development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Headquarters Facility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we completed the purchase of our Headquarters Facility. Prior to the completion of the Transaction, we leased the Headquarters facility from the Seller. We paid the Seller a purchase price that included the assumption of the Seller's obligations of $61.1 million, cash of $15.2 million and certain lender fees, closing costs, adjustments and prorations as set forth in the PSA. We funded the cash portion of the purchase price through borrowings under the 2017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2020 refinancing</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30, 2020, we entered into the 2020 Credit Facility. The 2020 Credit Facility matures in October 2025 and replaces the 2017 Credit Facility by amending and restating it to (a) increase the amount available under the revolving credit facility to $500.0 million, (b) increase the amount available under the term loan facility to $400.0 million and (c) provide for a net leverage ratio of, (i) commencing with the first fiscal quarter ending December 31, 2020 and through September 30, 2022, 4.00 to 1.00 and (ii) commencing with the fiscal quarter ending December 31, 2022 and thereafter, 3.75 to 1.00, among other changes. See Part II, Item 5. “Other Information” for detailed information relating to the terms of the 2020 Credit Facility.</w:t>
      </w:r>
    </w:p>
    <w:p>
      <w:pPr>
        <w:spacing w:after="0" w:line="200" w:lineRule="exact"/>
        <w:rPr>
          <w:sz w:val="20"/>
          <w:szCs w:val="20"/>
          <w:color w:val="auto"/>
        </w:rPr>
      </w:pPr>
    </w:p>
    <w:p>
      <w:pPr>
        <w:spacing w:after="0" w:line="278"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2020 and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Recurring</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500" w:type="dxa"/>
            <w:vAlign w:val="bottom"/>
            <w:vMerge w:val="restart"/>
          </w:tcPr>
          <w:p>
            <w:pPr>
              <w:spacing w:after="0"/>
              <w:rPr>
                <w:sz w:val="24"/>
                <w:szCs w:val="24"/>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Cost of revenue ($M)</w:t>
            </w:r>
          </w:p>
        </w:tc>
        <w:tc>
          <w:tcPr>
            <w:tcW w:w="500" w:type="dxa"/>
            <w:vAlign w:val="bottom"/>
            <w:vMerge w:val="restart"/>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2"/>
        </w:trPr>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812155" cy="28460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745490" cy="1885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Recurring revenue decreased by $5.1 million or 2.5%, during the three months ended September 30, 2020, when compared to the same period in 2019, driven primarily by the following:</w:t>
      </w:r>
    </w:p>
    <w:p>
      <w:pPr>
        <w:spacing w:after="0" w:line="184" w:lineRule="exact"/>
        <w:rPr>
          <w:sz w:val="20"/>
          <w:szCs w:val="20"/>
          <w:color w:val="auto"/>
        </w:rPr>
      </w:pPr>
    </w:p>
    <w:p>
      <w:pPr>
        <w:ind w:left="700" w:right="6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subscriptions revenue of $1.5 million largely related to a decrease in transactional revenue as many of our customers' in-person events have shifted online, been postponed or cancelled due to COVID-19</w:t>
      </w:r>
    </w:p>
    <w:p>
      <w:pPr>
        <w:spacing w:after="0" w:line="13" w:lineRule="exact"/>
        <w:rPr>
          <w:rFonts w:ascii="Arial" w:cs="Arial" w:eastAsia="Arial" w:hAnsi="Arial"/>
          <w:sz w:val="18"/>
          <w:szCs w:val="18"/>
          <w:color w:val="auto"/>
        </w:rPr>
      </w:pPr>
    </w:p>
    <w:p>
      <w:pPr>
        <w:ind w:left="700" w:right="60" w:hanging="351"/>
        <w:spacing w:after="0" w:line="22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maintenance revenue of $3.7 million primarily related to our continuing efforts to migrate customers from legacy on-premises solutions onto our solutions powered by Blackbaud SKY, our modern cloud platform</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revenue increased by $9.4 million or 1.5%, during the nine months ended September 30, 2020, when compared to the same period in 2019, driven primarily by the following:</w:t>
      </w:r>
    </w:p>
    <w:p>
      <w:pPr>
        <w:spacing w:after="0" w:line="117" w:lineRule="exact"/>
        <w:rPr>
          <w:sz w:val="20"/>
          <w:szCs w:val="20"/>
          <w:color w:val="auto"/>
        </w:rPr>
      </w:pPr>
    </w:p>
    <w:p>
      <w:pPr>
        <w:jc w:val="both"/>
        <w:ind w:left="720" w:right="40" w:hanging="373"/>
        <w:spacing w:after="0" w:line="21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subscriptions revenue of $21.0 million related to positive demand from customers across our portfolio of cloud solutions, an increase in transactional revenue, including charitable giving related to COVID-19, and an increase in services embedded in our renewable cloud solution contracts</w:t>
      </w:r>
    </w:p>
    <w:p>
      <w:pPr>
        <w:spacing w:after="0" w:line="14" w:lineRule="exact"/>
        <w:rPr>
          <w:sz w:val="20"/>
          <w:szCs w:val="20"/>
          <w:color w:val="auto"/>
        </w:rPr>
      </w:pPr>
    </w:p>
    <w:p>
      <w:pPr>
        <w:ind w:left="720" w:right="40" w:hanging="359"/>
        <w:spacing w:after="0" w:line="227" w:lineRule="auto"/>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Decrease in maintenance revenue of $11.5 million primarily related to our continuing efforts to migrate customers from legacy on-premises solutions onto our solutions powered by Blackbaud SKY, our modern cloud platform</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Partially offsetting subscriptions revenue were decreases in the mix of retained and managed services contracts we present in recurring. Revenue from retained and managed service contracts that we do not expect to have a term consistent with our cloud solution contracts is included in one-time services and other revenue beginning January 1, 2020. This change in presentation resulted in decreases in recurring revenue and offsetting increases to one-time services and other revenue of $4.2 million and $12.7 million during the three and nine months ended September 30, 2020, respectively.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recurring revenue decreased by $3.4 million or 3.9%, during the three months ended September 30, 2020, when compared to the same period in 2019, driven primarily by the following:</w:t>
      </w:r>
    </w:p>
    <w:p>
      <w:pPr>
        <w:spacing w:after="0" w:line="184" w:lineRule="exact"/>
        <w:rPr>
          <w:sz w:val="20"/>
          <w:szCs w:val="20"/>
          <w:color w:val="auto"/>
        </w:rPr>
      </w:pPr>
    </w:p>
    <w:p>
      <w:pPr>
        <w:ind w:left="700" w:right="60" w:hanging="373"/>
        <w:spacing w:after="0" w:line="22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$2.4 million due to investments made on innovation, quality and the integration of our cloud solutions</w:t>
      </w:r>
    </w:p>
    <w:p>
      <w:pPr>
        <w:spacing w:after="0" w:line="13" w:lineRule="exact"/>
        <w:rPr>
          <w:rFonts w:ascii="Arial" w:cs="Arial" w:eastAsia="Arial" w:hAnsi="Arial"/>
          <w:sz w:val="18"/>
          <w:szCs w:val="18"/>
          <w:color w:val="auto"/>
        </w:rPr>
      </w:pPr>
    </w:p>
    <w:p>
      <w:pPr>
        <w:ind w:left="700" w:right="60" w:hanging="373"/>
        <w:spacing w:after="0" w:line="22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hosting and data center costs of $1.0 million as we are migrating our cloud infrastructure to leading public cloud service providers</w:t>
      </w:r>
    </w:p>
    <w:p>
      <w:pPr>
        <w:spacing w:after="0" w:line="13" w:lineRule="exact"/>
        <w:rPr>
          <w:sz w:val="20"/>
          <w:szCs w:val="20"/>
          <w:color w:val="auto"/>
        </w:rPr>
      </w:pPr>
    </w:p>
    <w:p>
      <w:pPr>
        <w:ind w:left="700" w:hanging="35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transaction-based costs of $1.7 million related to payment services integrated in our cloud solutions</w:t>
      </w:r>
    </w:p>
    <w:p>
      <w:pPr>
        <w:spacing w:after="0" w:line="22" w:lineRule="exact"/>
        <w:rPr>
          <w:rFonts w:ascii="Arial" w:cs="Arial" w:eastAsia="Arial" w:hAnsi="Arial"/>
          <w:sz w:val="18"/>
          <w:szCs w:val="18"/>
          <w:color w:val="auto"/>
        </w:rPr>
      </w:pPr>
    </w:p>
    <w:p>
      <w:pPr>
        <w:ind w:left="700" w:hanging="35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$2.9 million</w:t>
      </w:r>
    </w:p>
    <w:p>
      <w:pPr>
        <w:spacing w:after="0" w:line="22" w:lineRule="exact"/>
        <w:rPr>
          <w:rFonts w:ascii="Arial" w:cs="Arial" w:eastAsia="Arial" w:hAnsi="Arial"/>
          <w:sz w:val="18"/>
          <w:szCs w:val="18"/>
          <w:color w:val="auto"/>
        </w:rPr>
      </w:pPr>
    </w:p>
    <w:p>
      <w:pPr>
        <w:ind w:left="700" w:right="60" w:hanging="351"/>
        <w:spacing w:after="0" w:line="22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compensation costs primarily associated with the decision to replace our 2020 cash bonus plans with grants of performance-based equity awards</w:t>
      </w:r>
    </w:p>
    <w:p>
      <w:pPr>
        <w:spacing w:after="0" w:line="13" w:lineRule="exact"/>
        <w:rPr>
          <w:rFonts w:ascii="Arial" w:cs="Arial" w:eastAsia="Arial" w:hAnsi="Arial"/>
          <w:sz w:val="18"/>
          <w:szCs w:val="18"/>
          <w:color w:val="auto"/>
        </w:rPr>
      </w:pPr>
    </w:p>
    <w:p>
      <w:pPr>
        <w:ind w:left="700" w:right="60" w:hanging="351"/>
        <w:spacing w:after="0" w:line="22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costs associated with certain retained and managed services contracts for which revenue is included in one-time services and other revenue beginning January 1, 2020, as discussed above</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recurring revenue increased by $6.2 million or 2.4%, during the nine months ended September 30, 2020, when compared to the same period in 2019, driven primarily by the following:</w:t>
      </w:r>
    </w:p>
    <w:p>
      <w:pPr>
        <w:spacing w:after="0" w:line="103" w:lineRule="exact"/>
        <w:rPr>
          <w:sz w:val="20"/>
          <w:szCs w:val="20"/>
          <w:color w:val="auto"/>
        </w:rPr>
      </w:pPr>
    </w:p>
    <w:p>
      <w:pPr>
        <w:ind w:left="720" w:right="40" w:hanging="373"/>
        <w:spacing w:after="0" w:line="22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$4.7 million due to investments made on innovation, quality and the integration of our cloud solutions</w:t>
      </w:r>
    </w:p>
    <w:p>
      <w:pPr>
        <w:spacing w:after="0" w:line="13" w:lineRule="exact"/>
        <w:rPr>
          <w:rFonts w:ascii="Arial" w:cs="Arial" w:eastAsia="Arial" w:hAnsi="Arial"/>
          <w:sz w:val="18"/>
          <w:szCs w:val="18"/>
          <w:color w:val="auto"/>
        </w:rPr>
      </w:pPr>
    </w:p>
    <w:p>
      <w:pPr>
        <w:jc w:val="both"/>
        <w:ind w:left="720" w:right="40" w:hanging="373"/>
        <w:spacing w:after="0" w:line="219"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Impairment charge of $4.3 million during the three months ended June 30, 2020, against certain previously capitalized software development costs that reduced the carrying value of those assets to zero. The impairment charge resulted primarily from our decision to accelerate the end of customer support for certain solutions.</w:t>
      </w:r>
    </w:p>
    <w:p>
      <w:pPr>
        <w:spacing w:after="0" w:line="13" w:lineRule="exact"/>
        <w:rPr>
          <w:rFonts w:ascii="Arial" w:cs="Arial" w:eastAsia="Arial" w:hAnsi="Arial"/>
          <w:sz w:val="18"/>
          <w:szCs w:val="18"/>
          <w:color w:val="auto"/>
        </w:rPr>
      </w:pPr>
    </w:p>
    <w:p>
      <w:pPr>
        <w:ind w:left="720" w:right="40" w:hanging="373"/>
        <w:spacing w:after="0" w:line="22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hosting and data center costs of $3.3 million as we are migrating our cloud infrastructure to leading public cloud service providers</w:t>
      </w:r>
    </w:p>
    <w:p>
      <w:pPr>
        <w:spacing w:after="0" w:line="13" w:lineRule="exact"/>
        <w:rPr>
          <w:rFonts w:ascii="Arial" w:cs="Arial" w:eastAsia="Arial" w:hAnsi="Arial"/>
          <w:sz w:val="18"/>
          <w:szCs w:val="18"/>
          <w:color w:val="auto"/>
        </w:rPr>
      </w:pPr>
    </w:p>
    <w:p>
      <w:pPr>
        <w:ind w:left="720" w:hanging="373"/>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transaction-based costs of $1.3 million related to payment services integrated in our cloud solutions</w:t>
      </w:r>
    </w:p>
    <w:p>
      <w:pPr>
        <w:spacing w:after="0" w:line="23" w:lineRule="exact"/>
        <w:rPr>
          <w:sz w:val="20"/>
          <w:szCs w:val="20"/>
          <w:color w:val="auto"/>
        </w:rPr>
      </w:pPr>
    </w:p>
    <w:p>
      <w:pPr>
        <w:ind w:left="720" w:hanging="35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$5.0 million</w:t>
      </w:r>
    </w:p>
    <w:p>
      <w:pPr>
        <w:spacing w:after="0" w:line="22" w:lineRule="exact"/>
        <w:rPr>
          <w:rFonts w:ascii="Arial" w:cs="Arial" w:eastAsia="Arial" w:hAnsi="Arial"/>
          <w:sz w:val="18"/>
          <w:szCs w:val="18"/>
          <w:color w:val="auto"/>
        </w:rPr>
      </w:pPr>
    </w:p>
    <w:p>
      <w:pPr>
        <w:ind w:left="720" w:right="40" w:hanging="350"/>
        <w:spacing w:after="0" w:line="22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compensation costs primarily associated with the decision to replace our 2020 cash bonus plans with grants of performance-based equity awards</w:t>
      </w:r>
    </w:p>
    <w:p>
      <w:pPr>
        <w:spacing w:after="0" w:line="13" w:lineRule="exact"/>
        <w:rPr>
          <w:rFonts w:ascii="Arial" w:cs="Arial" w:eastAsia="Arial" w:hAnsi="Arial"/>
          <w:sz w:val="18"/>
          <w:szCs w:val="18"/>
          <w:color w:val="auto"/>
        </w:rPr>
      </w:pPr>
    </w:p>
    <w:p>
      <w:pPr>
        <w:ind w:left="720" w:right="40" w:hanging="350"/>
        <w:spacing w:after="0" w:line="22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costs associated with certain retained and managed services contracts for which revenue is included in one-time services and other revenue beginning January 1, 2020, as discussed above</w:t>
      </w:r>
    </w:p>
    <w:p>
      <w:pPr>
        <w:spacing w:after="0" w:line="200" w:lineRule="exact"/>
        <w:rPr>
          <w:sz w:val="20"/>
          <w:szCs w:val="20"/>
          <w:color w:val="auto"/>
        </w:rPr>
      </w:pPr>
    </w:p>
    <w:p>
      <w:pPr>
        <w:spacing w:after="0" w:line="380"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0.6% increase in recurring gross margin for the three months ended September 30, 2020, when compared to the same period in 2019, was primarily the result of the decrease in lower margin transactional revenue.</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0.3% decrease in recurring gross margin for the nine months ended September 30, 2020, when compared to the same period in 2019, was primarily the result of the impairment of previously capitalized software development costs, and incremental costs associated with our continued shift toward selling cloud solutions, including data center costs and amortization of software development costs. We expect continued pressure on recurring gross margin largely driven by duplicate data center costs as we migrate our cloud infrastructure to leading cloud service providers.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500" w:type="dxa"/>
            <w:vAlign w:val="bottom"/>
            <w:vMerge w:val="restart"/>
          </w:tcPr>
          <w:p>
            <w:pPr>
              <w:spacing w:after="0"/>
              <w:rPr>
                <w:sz w:val="24"/>
                <w:szCs w:val="24"/>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Cost of revenue ($M)</w:t>
            </w:r>
          </w:p>
        </w:tc>
        <w:tc>
          <w:tcPr>
            <w:tcW w:w="500" w:type="dxa"/>
            <w:vAlign w:val="bottom"/>
            <w:vMerge w:val="restart"/>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1"/>
        </w:trPr>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812155" cy="28460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34 </w:t>
      </w:r>
      <w:r>
        <w:rPr>
          <w:sz w:val="1"/>
          <w:szCs w:val="1"/>
          <w:color w:val="auto"/>
        </w:rPr>
        <w:drawing>
          <wp:inline distT="0" distB="0" distL="0" distR="0">
            <wp:extent cx="745490" cy="1885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$1.0 million, or 6.3%, and $1.4 million, or 2.8%,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respectively, when compared to the same periods in 2019, driven primarily by the following:</w:t>
      </w:r>
    </w:p>
    <w:p>
      <w:pPr>
        <w:spacing w:after="0" w:line="144" w:lineRule="exact"/>
        <w:rPr>
          <w:sz w:val="20"/>
          <w:szCs w:val="20"/>
          <w:color w:val="auto"/>
        </w:rPr>
      </w:pPr>
    </w:p>
    <w:p>
      <w:pPr>
        <w:jc w:val="both"/>
        <w:ind w:left="720" w:right="40" w:hanging="373"/>
        <w:spacing w:after="0" w:line="21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the mix of retained and managed services contracts we present in one-time services and other. Revenue from retained and managed service contracts that we do not expect to have a term consistent with our cloud solution contracts is included in one-time services and other revenue beginning January 1, 2020. This change in presentation resulted in increases to one-time services and other revenue and offsetting decreases in recurring revenue of $4.2 million and $12.7 million during the three and nine months ended September 30, 2020.</w:t>
      </w:r>
    </w:p>
    <w:p>
      <w:pPr>
        <w:spacing w:after="0" w:line="13" w:lineRule="exact"/>
        <w:rPr>
          <w:sz w:val="20"/>
          <w:szCs w:val="20"/>
          <w:color w:val="auto"/>
        </w:rPr>
      </w:pPr>
    </w:p>
    <w:p>
      <w:pPr>
        <w:jc w:val="both"/>
        <w:ind w:left="720" w:right="40" w:hanging="350"/>
        <w:spacing w:after="0" w:line="21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one-time consulting revenue of $2.5 million and $8.0 million, respectively, primarily from less one-time sales related to COVID-19 as well as services increasingly being embedded in our renewable cloud solution contracts. Our embedded services are recorded as recurring revenue.</w:t>
      </w:r>
    </w:p>
    <w:p>
      <w:pPr>
        <w:spacing w:after="0" w:line="13" w:lineRule="exact"/>
        <w:rPr>
          <w:rFonts w:ascii="Arial" w:cs="Arial" w:eastAsia="Arial" w:hAnsi="Arial"/>
          <w:sz w:val="18"/>
          <w:szCs w:val="18"/>
          <w:color w:val="auto"/>
        </w:rPr>
      </w:pPr>
    </w:p>
    <w:p>
      <w:pPr>
        <w:ind w:left="720" w:hanging="3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one-time analytics revenue of $0.8 million and $2.9 million as analytics are generally integrated in our cloud solutions</w:t>
      </w:r>
    </w:p>
    <w:p>
      <w:pPr>
        <w:spacing w:after="0" w:line="22" w:lineRule="exact"/>
        <w:rPr>
          <w:rFonts w:ascii="Arial" w:cs="Arial" w:eastAsia="Arial" w:hAnsi="Arial"/>
          <w:sz w:val="18"/>
          <w:szCs w:val="18"/>
          <w:color w:val="auto"/>
        </w:rPr>
      </w:pPr>
    </w:p>
    <w:p>
      <w:pPr>
        <w:ind w:left="720" w:hanging="3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onsite training revenue of $0.6 million and $1.1 million due to COVID-19</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one-time services and other remained relatively consistent during the three and nine months ended September 30, 2020, when compared to the same periods in 2019.</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7.8% and 3.3% decreases in one-time services and other gross margin during the three and nine months ended September 30, 2020, respectively, when compared to the same periods in 2019, were primarily the result of the reductions in one-time consulting and analytics revenue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040" w:type="dxa"/>
            <w:vAlign w:val="bottom"/>
            <w:vMerge w:val="restart"/>
          </w:tcPr>
          <w:p>
            <w:pPr>
              <w:ind w:left="680"/>
              <w:spacing w:after="0"/>
              <w:rPr>
                <w:sz w:val="20"/>
                <w:szCs w:val="20"/>
                <w:color w:val="auto"/>
              </w:rPr>
            </w:pPr>
            <w:r>
              <w:rPr>
                <w:rFonts w:ascii="Arial" w:cs="Arial" w:eastAsia="Arial" w:hAnsi="Arial"/>
                <w:sz w:val="18"/>
                <w:szCs w:val="18"/>
                <w:i w:val="1"/>
                <w:iCs w:val="1"/>
                <w:color w:val="auto"/>
              </w:rPr>
              <w:t>Research and development ($M)</w:t>
            </w:r>
          </w:p>
        </w:tc>
        <w:tc>
          <w:tcPr>
            <w:tcW w:w="2640" w:type="dxa"/>
            <w:vAlign w:val="bottom"/>
          </w:tcPr>
          <w:p>
            <w:pPr>
              <w:jc w:val="center"/>
              <w:ind w:right="90"/>
              <w:spacing w:after="0"/>
              <w:rPr>
                <w:sz w:val="20"/>
                <w:szCs w:val="20"/>
                <w:color w:val="auto"/>
              </w:rPr>
            </w:pPr>
            <w:r>
              <w:rPr>
                <w:rFonts w:ascii="Arial" w:cs="Arial" w:eastAsia="Arial" w:hAnsi="Arial"/>
                <w:sz w:val="18"/>
                <w:szCs w:val="18"/>
                <w:i w:val="1"/>
                <w:iCs w:val="1"/>
                <w:color w:val="auto"/>
                <w:w w:val="99"/>
              </w:rPr>
              <w:t>General and administrative</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04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i w:val="1"/>
                <w:iCs w:val="1"/>
                <w:color w:val="auto"/>
              </w:rPr>
              <w:t>($M)</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5812155" cy="28460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121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which is a component of our four-point growth strategy. We have also implemented software tools to enhance our digital footprint and drive lead generation. In response to the COVID-19 pandemic, we implemented a modest and targeted headcount reduction during the second quarter, including a reduction in our sales headcount with a focus on retaining our most highly productive sales executives.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 decreased by $7.0 million or 12.7%, and $6.8 million or 4.1%, during the three and nine months ended September 30, 2020, respectively, when compared to the same periods in 2019, primarily driven by the following:</w:t>
      </w:r>
    </w:p>
    <w:p>
      <w:pPr>
        <w:spacing w:after="0" w:line="117" w:lineRule="exact"/>
        <w:rPr>
          <w:sz w:val="20"/>
          <w:szCs w:val="20"/>
          <w:color w:val="auto"/>
        </w:rPr>
      </w:pPr>
    </w:p>
    <w:p>
      <w:pPr>
        <w:ind w:left="720" w:right="40" w:hanging="373"/>
        <w:spacing w:after="0" w:line="22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nine months ended September 30, 2020, increase in employee severance costs of $1.0 million related to a reduction in our sales headcount in response to the COVID-19 pandemic as discussed above</w:t>
      </w:r>
    </w:p>
    <w:p>
      <w:pPr>
        <w:spacing w:after="0" w:line="13" w:lineRule="exact"/>
        <w:rPr>
          <w:sz w:val="20"/>
          <w:szCs w:val="20"/>
          <w:color w:val="auto"/>
        </w:rPr>
      </w:pPr>
    </w:p>
    <w:p>
      <w:pPr>
        <w:jc w:val="both"/>
        <w:ind w:left="720" w:right="40" w:hanging="350"/>
        <w:spacing w:after="0" w:line="21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in compensation costs of $3.5 million and $2.6 million, respectively, primarily related to the decision to replace our 2020 cash bonus plans with grants of performance-based equity awards; for the three months ended September 30, 2020, compensation costs also decreased due to the reduction in sales headcount discussed above</w:t>
      </w:r>
    </w:p>
    <w:p>
      <w:pPr>
        <w:spacing w:after="0" w:line="13" w:lineRule="exact"/>
        <w:rPr>
          <w:rFonts w:ascii="Arial" w:cs="Arial" w:eastAsia="Arial" w:hAnsi="Arial"/>
          <w:sz w:val="18"/>
          <w:szCs w:val="18"/>
          <w:color w:val="auto"/>
        </w:rPr>
      </w:pPr>
    </w:p>
    <w:p>
      <w:pPr>
        <w:ind w:left="720" w:right="40" w:hanging="350"/>
        <w:spacing w:after="0" w:line="22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in travel costs of $2.1 million and $3.6 million, respectively, due to our restriction on non-essential employee travel in response to the COVID-19 pandemic</w:t>
      </w:r>
    </w:p>
    <w:p>
      <w:pPr>
        <w:spacing w:after="0" w:line="13" w:lineRule="exact"/>
        <w:rPr>
          <w:rFonts w:ascii="Arial" w:cs="Arial" w:eastAsia="Arial" w:hAnsi="Arial"/>
          <w:sz w:val="18"/>
          <w:szCs w:val="18"/>
          <w:color w:val="auto"/>
        </w:rPr>
      </w:pPr>
    </w:p>
    <w:p>
      <w:pPr>
        <w:ind w:left="720" w:hanging="350"/>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Decreases in commissions expense of $0.7 million and $0.9 million, respectively, related to a decrease in commissionable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growth strategy. Research and development expenses decreased by $3.2 million or 12.2%, and $7.6 million or 9.5%, during the three and nine months ended September 30, 2020, respectively, when compared to the same periods in 2019, primarily driven by the following:</w:t>
      </w:r>
    </w:p>
    <w:p>
      <w:pPr>
        <w:spacing w:after="0" w:line="107" w:lineRule="exact"/>
        <w:rPr>
          <w:sz w:val="20"/>
          <w:szCs w:val="20"/>
          <w:color w:val="auto"/>
        </w:rPr>
      </w:pPr>
    </w:p>
    <w:p>
      <w:pPr>
        <w:ind w:left="720" w:right="40" w:hanging="348"/>
        <w:spacing w:after="0" w:line="227"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8"/>
          <w:szCs w:val="18"/>
          <w:color w:val="auto"/>
        </w:rPr>
        <w:t>Decreases in compensation costs of $2.5 million and $6.0 million, respectively, primarily related to the decision to replace our 2020 cash bonus plans with grants of performance-based equity awards</w:t>
      </w:r>
    </w:p>
    <w:p>
      <w:pPr>
        <w:spacing w:after="0" w:line="13" w:lineRule="exact"/>
        <w:rPr>
          <w:rFonts w:ascii="Arial" w:cs="Arial" w:eastAsia="Arial" w:hAnsi="Arial"/>
          <w:sz w:val="16"/>
          <w:szCs w:val="16"/>
          <w:color w:val="auto"/>
        </w:rPr>
      </w:pPr>
    </w:p>
    <w:p>
      <w:pPr>
        <w:ind w:left="720" w:hanging="350"/>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Decreases in third-party contractor costs of $0.9 million and $1.2 million, respectively</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the three months ended September 30, 2020 and 2019 were $10.2 million and $11.1 million, respectively, and for the nine months ended September 30, 2020 and 2019 were $31.6 million and $33.9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36 </w:t>
      </w:r>
      <w:r>
        <w:rPr>
          <w:sz w:val="1"/>
          <w:szCs w:val="1"/>
          <w:color w:val="auto"/>
        </w:rPr>
        <w:drawing>
          <wp:inline distT="0" distB="0" distL="0" distR="0">
            <wp:extent cx="745490" cy="18859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During the third quarter of 2020, we adjusted our workforce strategy to provide more flexibility for our employees to work remotely after our offices reopen. This change is expected to create efficiencies within our real estate footprint as we shift toward more collaborative workspaces within our offices. As a result, during the three months ended September 30, 2020, we reduced the estimated useful lives of our operating lease ROU assets for certain of our office locations we expect to exit, which resulted in an increase in operating lease costs during the period. For these same office locations, we also reduced the estimated useful lives of certain facilities-related fixed assets, which resulted in an increase in depreciation expense. We currently expect most of the transactions related to these real estate activities will close during the fourth quarter of 2020 with a one-time cash outlay of between $20.0 million and $25.0 million during the third and fourth quarters of 2020. We incurred approximately $6.8 million of pre-tax costs related to these real estate activities during the third quarter of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increased by $5.2 million or 18.1%, and $5.3 million or 6.2%,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when compared to the same periods in 2019, primarily driven by the following:</w:t>
      </w:r>
    </w:p>
    <w:p>
      <w:pPr>
        <w:spacing w:after="0" w:line="144" w:lineRule="exact"/>
        <w:rPr>
          <w:sz w:val="20"/>
          <w:szCs w:val="20"/>
          <w:color w:val="auto"/>
        </w:rPr>
      </w:pPr>
    </w:p>
    <w:p>
      <w:pPr>
        <w:ind w:left="720" w:right="60" w:hanging="368"/>
        <w:spacing w:after="0" w:line="227"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Increases in real estate activity costs of $6.8 and $6.8, respectively, due to our workforce strategy changes in response to the COVID-19 pandemic, as discussed above</w:t>
      </w:r>
    </w:p>
    <w:p>
      <w:pPr>
        <w:spacing w:after="0" w:line="13" w:lineRule="exact"/>
        <w:rPr>
          <w:rFonts w:ascii="Arial" w:cs="Arial" w:eastAsia="Arial" w:hAnsi="Arial"/>
          <w:sz w:val="16"/>
          <w:szCs w:val="16"/>
          <w:color w:val="auto"/>
        </w:rPr>
      </w:pPr>
    </w:p>
    <w:p>
      <w:pPr>
        <w:ind w:left="720" w:right="60" w:hanging="368"/>
        <w:spacing w:after="0" w:line="227"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Increases in corporate costs of $2.5 million and $5.9 million, respectively, primarily related to increases in bad debt expense; for additional details, see Note 2 of our condensed consolidated financial statements in this report</w:t>
      </w:r>
    </w:p>
    <w:p>
      <w:pPr>
        <w:spacing w:after="0" w:line="13" w:lineRule="exact"/>
        <w:rPr>
          <w:sz w:val="20"/>
          <w:szCs w:val="20"/>
          <w:color w:val="auto"/>
        </w:rPr>
      </w:pPr>
    </w:p>
    <w:p>
      <w:pPr>
        <w:ind w:left="720" w:right="60" w:hanging="350"/>
        <w:spacing w:after="0" w:line="22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Decreases in compensation costs of $2.0 million and $2.7 million, respectively, primarily related to the decision to replace our 2020 cash bonus plans with grants of performance-based equity awards</w:t>
      </w:r>
    </w:p>
    <w:p>
      <w:pPr>
        <w:spacing w:after="0" w:line="13" w:lineRule="exact"/>
        <w:rPr>
          <w:rFonts w:ascii="Arial" w:cs="Arial" w:eastAsia="Arial" w:hAnsi="Arial"/>
          <w:sz w:val="18"/>
          <w:szCs w:val="18"/>
          <w:color w:val="auto"/>
        </w:rPr>
      </w:pPr>
    </w:p>
    <w:p>
      <w:pPr>
        <w:ind w:left="720" w:hanging="350"/>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Decreases in acquisition-related expenses and integration costs of $1.2 million and $3.1 million, respectively</w:t>
      </w:r>
    </w:p>
    <w:p>
      <w:pPr>
        <w:spacing w:after="0" w:line="22" w:lineRule="exact"/>
        <w:rPr>
          <w:rFonts w:ascii="Arial" w:cs="Arial" w:eastAsia="Arial" w:hAnsi="Arial"/>
          <w:sz w:val="18"/>
          <w:szCs w:val="18"/>
          <w:color w:val="auto"/>
        </w:rPr>
      </w:pPr>
    </w:p>
    <w:p>
      <w:pPr>
        <w:ind w:left="720" w:hanging="350"/>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Decreases in third-party contractor costs of $1.0 million and $1.4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which was substantially completed as of December 2019. During the three and nine months ended September 30, 2019, we incurred $0.4 million and $3.1 million, respectively, in before-tax restructuring charges related to these activities. Such charges during the three and nine months ended September 30, 2020 were insignificant.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shd w:val="clear" w:color="auto" w:fill="ACACAC"/>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8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20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396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0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86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39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20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17"/>
                <w:szCs w:val="17"/>
                <w:color w:val="auto"/>
              </w:rPr>
            </w:pPr>
          </w:p>
        </w:tc>
        <w:tc>
          <w:tcPr>
            <w:tcW w:w="360" w:type="dxa"/>
            <w:vAlign w:val="bottom"/>
            <w:tcBorders>
              <w:bottom w:val="single" w:sz="8" w:color="ACACAC"/>
            </w:tcBorders>
            <w:shd w:val="clear" w:color="auto" w:fill="ACACAC"/>
          </w:tcPr>
          <w:p>
            <w:pPr>
              <w:spacing w:after="0"/>
              <w:rPr>
                <w:sz w:val="17"/>
                <w:szCs w:val="17"/>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tcBorders>
              <w:bottom w:val="single" w:sz="8" w:color="ACACAC"/>
            </w:tcBorders>
            <w:shd w:val="clear" w:color="auto" w:fill="ACACAC"/>
          </w:tcPr>
          <w:p>
            <w:pPr>
              <w:spacing w:after="0"/>
              <w:rPr>
                <w:sz w:val="17"/>
                <w:szCs w:val="17"/>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7"/>
                <w:szCs w:val="17"/>
                <w:color w:val="auto"/>
              </w:rPr>
            </w:pPr>
          </w:p>
        </w:tc>
      </w:tr>
      <w:tr>
        <w:trPr>
          <w:trHeight w:val="223"/>
        </w:trPr>
        <w:tc>
          <w:tcPr>
            <w:tcW w:w="396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F4F4F4"/>
          </w:tcPr>
          <w:p>
            <w:pPr>
              <w:jc w:val="right"/>
              <w:ind w:right="156"/>
              <w:spacing w:after="0"/>
              <w:rPr>
                <w:sz w:val="20"/>
                <w:szCs w:val="20"/>
                <w:color w:val="auto"/>
              </w:rPr>
            </w:pPr>
            <w:r>
              <w:rPr>
                <w:rFonts w:ascii="Arial" w:cs="Arial" w:eastAsia="Arial" w:hAnsi="Arial"/>
                <w:sz w:val="18"/>
                <w:szCs w:val="18"/>
                <w:color w:val="auto"/>
              </w:rPr>
              <w:t>4.0</w:t>
            </w:r>
          </w:p>
        </w:tc>
        <w:tc>
          <w:tcPr>
            <w:tcW w:w="40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4F4F4"/>
          </w:tcPr>
          <w:p>
            <w:pPr>
              <w:jc w:val="right"/>
              <w:ind w:right="159"/>
              <w:spacing w:after="0"/>
              <w:rPr>
                <w:sz w:val="20"/>
                <w:szCs w:val="20"/>
                <w:color w:val="auto"/>
              </w:rPr>
            </w:pPr>
            <w:r>
              <w:rPr>
                <w:rFonts w:ascii="Arial" w:cs="Arial" w:eastAsia="Arial" w:hAnsi="Arial"/>
                <w:sz w:val="18"/>
                <w:szCs w:val="18"/>
                <w:color w:val="auto"/>
              </w:rPr>
              <w:t>5.1</w:t>
            </w:r>
          </w:p>
        </w:tc>
        <w:tc>
          <w:tcPr>
            <w:tcW w:w="120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(21.8)%</w:t>
            </w:r>
          </w:p>
        </w:tc>
        <w:tc>
          <w:tcPr>
            <w:tcW w:w="460" w:type="dxa"/>
            <w:vAlign w:val="bottom"/>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4F4F4"/>
          </w:tcPr>
          <w:p>
            <w:pPr>
              <w:jc w:val="right"/>
              <w:ind w:right="176"/>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4F4F4"/>
          </w:tcPr>
          <w:p>
            <w:pPr>
              <w:jc w:val="right"/>
              <w:ind w:right="159"/>
              <w:spacing w:after="0"/>
              <w:rPr>
                <w:sz w:val="20"/>
                <w:szCs w:val="20"/>
                <w:color w:val="auto"/>
              </w:rPr>
            </w:pPr>
            <w:r>
              <w:rPr>
                <w:rFonts w:ascii="Arial" w:cs="Arial" w:eastAsia="Arial" w:hAnsi="Arial"/>
                <w:sz w:val="18"/>
                <w:szCs w:val="18"/>
                <w:color w:val="auto"/>
              </w:rPr>
              <w:t>16.2</w:t>
            </w: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r>
      <w:tr>
        <w:trPr>
          <w:trHeight w:val="230"/>
        </w:trPr>
        <w:tc>
          <w:tcPr>
            <w:tcW w:w="396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 of total revenue</w:t>
            </w:r>
          </w:p>
        </w:tc>
        <w:tc>
          <w:tcPr>
            <w:tcW w:w="420" w:type="dxa"/>
            <w:vAlign w:val="bottom"/>
            <w:tcBorders>
              <w:bottom w:val="single" w:sz="8" w:color="71BF43"/>
            </w:tcBorders>
          </w:tcPr>
          <w:p>
            <w:pPr>
              <w:spacing w:after="0"/>
              <w:rPr>
                <w:sz w:val="19"/>
                <w:szCs w:val="19"/>
                <w:color w:val="auto"/>
              </w:rPr>
            </w:pP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1.9 %</w:t>
            </w:r>
          </w:p>
        </w:tc>
        <w:tc>
          <w:tcPr>
            <w:tcW w:w="400" w:type="dxa"/>
            <w:vAlign w:val="bottom"/>
            <w:tcBorders>
              <w:bottom w:val="single" w:sz="8" w:color="71BF43"/>
            </w:tcBorders>
          </w:tcPr>
          <w:p>
            <w:pPr>
              <w:spacing w:after="0"/>
              <w:rPr>
                <w:sz w:val="19"/>
                <w:szCs w:val="19"/>
                <w:color w:val="auto"/>
              </w:rPr>
            </w:pP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2.3 %</w:t>
            </w:r>
          </w:p>
        </w:tc>
        <w:tc>
          <w:tcPr>
            <w:tcW w:w="1200" w:type="dxa"/>
            <w:vAlign w:val="bottom"/>
            <w:tcBorders>
              <w:bottom w:val="single" w:sz="8" w:color="71BF43"/>
            </w:tcBorders>
          </w:tcPr>
          <w:p>
            <w:pPr>
              <w:spacing w:after="0"/>
              <w:rPr>
                <w:sz w:val="19"/>
                <w:szCs w:val="19"/>
                <w:color w:val="auto"/>
              </w:rPr>
            </w:pPr>
          </w:p>
        </w:tc>
        <w:tc>
          <w:tcPr>
            <w:tcW w:w="100" w:type="dxa"/>
            <w:vAlign w:val="bottom"/>
            <w:tcBorders>
              <w:bottom w:val="single" w:sz="8" w:color="71BF43"/>
            </w:tcBorders>
          </w:tcPr>
          <w:p>
            <w:pPr>
              <w:spacing w:after="0"/>
              <w:rPr>
                <w:sz w:val="19"/>
                <w:szCs w:val="19"/>
                <w:color w:val="auto"/>
              </w:rPr>
            </w:pPr>
          </w:p>
        </w:tc>
        <w:tc>
          <w:tcPr>
            <w:tcW w:w="360" w:type="dxa"/>
            <w:vAlign w:val="bottom"/>
            <w:tcBorders>
              <w:bottom w:val="single" w:sz="8" w:color="71BF43"/>
            </w:tcBorders>
          </w:tcPr>
          <w:p>
            <w:pPr>
              <w:spacing w:after="0"/>
              <w:rPr>
                <w:sz w:val="19"/>
                <w:szCs w:val="19"/>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1.8 %</w:t>
            </w:r>
          </w:p>
        </w:tc>
        <w:tc>
          <w:tcPr>
            <w:tcW w:w="340" w:type="dxa"/>
            <w:vAlign w:val="bottom"/>
            <w:tcBorders>
              <w:bottom w:val="single" w:sz="8" w:color="71BF43"/>
            </w:tcBorders>
          </w:tcPr>
          <w:p>
            <w:pPr>
              <w:spacing w:after="0"/>
              <w:rPr>
                <w:sz w:val="19"/>
                <w:szCs w:val="19"/>
                <w:color w:val="auto"/>
              </w:rPr>
            </w:pP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2.4 %</w:t>
            </w:r>
          </w:p>
        </w:tc>
        <w:tc>
          <w:tcPr>
            <w:tcW w:w="1200" w:type="dxa"/>
            <w:vAlign w:val="bottom"/>
            <w:tcBorders>
              <w:bottom w:val="single" w:sz="8" w:color="71BF43"/>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-436880</wp:posOffset>
            </wp:positionV>
            <wp:extent cx="46291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14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decreases in interest expense in dollars and as a percentage of total revenue during the three and nine months ended September 30, 2020, when compared to the same periods in 2019, were primarily due to decreases in our average daily borrowings and our weighted average effective interest rates. We expect our interest expense to remain relatively consistent in the near-term.</w:t>
      </w: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3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Timing of recognition</w:t>
            </w:r>
          </w:p>
        </w:tc>
        <w:tc>
          <w:tcPr>
            <w:tcW w:w="24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8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80" w:type="dxa"/>
            <w:vAlign w:val="bottom"/>
            <w:vMerge w:val="continue"/>
            <w:shd w:val="clear" w:color="auto" w:fill="ACACAC"/>
          </w:tcPr>
          <w:p>
            <w:pPr>
              <w:spacing w:after="0"/>
              <w:rPr>
                <w:sz w:val="16"/>
                <w:szCs w:val="16"/>
                <w:color w:val="auto"/>
              </w:rPr>
            </w:pPr>
          </w:p>
        </w:tc>
        <w:tc>
          <w:tcPr>
            <w:tcW w:w="3380" w:type="dxa"/>
            <w:vAlign w:val="bottom"/>
            <w:vMerge w:val="continue"/>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14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Recurring</w:t>
            </w:r>
          </w:p>
        </w:tc>
        <w:tc>
          <w:tcPr>
            <w:tcW w:w="3620" w:type="dxa"/>
            <w:vAlign w:val="bottom"/>
            <w:gridSpan w:val="2"/>
            <w:shd w:val="clear" w:color="auto" w:fill="F4F4F4"/>
          </w:tcPr>
          <w:p>
            <w:pPr>
              <w:jc w:val="right"/>
              <w:ind w:right="260"/>
              <w:spacing w:after="0" w:line="189" w:lineRule="exact"/>
              <w:rPr>
                <w:sz w:val="20"/>
                <w:szCs w:val="20"/>
                <w:color w:val="auto"/>
              </w:rPr>
            </w:pPr>
            <w:r>
              <w:rPr>
                <w:rFonts w:ascii="Arial" w:cs="Arial" w:eastAsia="Arial" w:hAnsi="Arial"/>
                <w:sz w:val="18"/>
                <w:szCs w:val="18"/>
                <w:color w:val="auto"/>
              </w:rPr>
              <w:t>Over the period billed in advance,</w:t>
            </w:r>
          </w:p>
        </w:tc>
        <w:tc>
          <w:tcPr>
            <w:tcW w:w="1120" w:type="dxa"/>
            <w:vAlign w:val="bottom"/>
            <w:shd w:val="clear" w:color="auto" w:fill="F4F4F4"/>
          </w:tcPr>
          <w:p>
            <w:pPr>
              <w:spacing w:after="0"/>
              <w:rPr>
                <w:sz w:val="16"/>
                <w:szCs w:val="16"/>
                <w:color w:val="auto"/>
              </w:rPr>
            </w:pPr>
          </w:p>
        </w:tc>
        <w:tc>
          <w:tcPr>
            <w:tcW w:w="280" w:type="dxa"/>
            <w:vAlign w:val="bottom"/>
            <w:shd w:val="clear" w:color="auto" w:fill="F4F4F4"/>
          </w:tcPr>
          <w:p>
            <w:pPr>
              <w:spacing w:after="0"/>
              <w:rPr>
                <w:sz w:val="16"/>
                <w:szCs w:val="16"/>
                <w:color w:val="auto"/>
              </w:rPr>
            </w:pPr>
          </w:p>
        </w:tc>
        <w:tc>
          <w:tcPr>
            <w:tcW w:w="1100" w:type="dxa"/>
            <w:vAlign w:val="bottom"/>
            <w:shd w:val="clear" w:color="auto" w:fill="F4F4F4"/>
          </w:tcPr>
          <w:p>
            <w:pPr>
              <w:spacing w:after="0"/>
              <w:rPr>
                <w:sz w:val="16"/>
                <w:szCs w:val="16"/>
                <w:color w:val="auto"/>
              </w:rPr>
            </w:pPr>
          </w:p>
        </w:tc>
        <w:tc>
          <w:tcPr>
            <w:tcW w:w="114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F4F4F4"/>
          </w:tcPr>
          <w:p>
            <w:pPr>
              <w:spacing w:after="0"/>
              <w:rPr>
                <w:sz w:val="18"/>
                <w:szCs w:val="18"/>
                <w:color w:val="auto"/>
              </w:rPr>
            </w:pPr>
          </w:p>
        </w:tc>
        <w:tc>
          <w:tcPr>
            <w:tcW w:w="3620" w:type="dxa"/>
            <w:vAlign w:val="bottom"/>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generally one year $</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314.2</w:t>
            </w:r>
          </w:p>
        </w:tc>
        <w:tc>
          <w:tcPr>
            <w:tcW w:w="28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302.8</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3620" w:type="dxa"/>
            <w:vAlign w:val="bottom"/>
            <w:gridSpan w:val="2"/>
          </w:tcPr>
          <w:p>
            <w:pPr>
              <w:jc w:val="right"/>
              <w:ind w:right="260"/>
              <w:spacing w:after="0"/>
              <w:rPr>
                <w:sz w:val="20"/>
                <w:szCs w:val="20"/>
                <w:color w:val="auto"/>
              </w:rPr>
            </w:pPr>
            <w:r>
              <w:rPr>
                <w:rFonts w:ascii="Arial" w:cs="Arial" w:eastAsia="Arial" w:hAnsi="Arial"/>
                <w:sz w:val="18"/>
                <w:szCs w:val="18"/>
                <w:color w:val="auto"/>
              </w:rPr>
              <w:t>As services are delivered</w:t>
            </w: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1140" w:type="dxa"/>
            <w:vAlign w:val="bottom"/>
          </w:tcPr>
          <w:p>
            <w:pPr>
              <w:jc w:val="right"/>
              <w:spacing w:after="0"/>
              <w:rPr>
                <w:sz w:val="20"/>
                <w:szCs w:val="20"/>
                <w:color w:val="auto"/>
              </w:rPr>
            </w:pPr>
            <w:r>
              <w:rPr>
                <w:rFonts w:ascii="Arial" w:cs="Arial" w:eastAsia="Arial" w:hAnsi="Arial"/>
                <w:sz w:val="18"/>
                <w:szCs w:val="18"/>
                <w:color w:val="auto"/>
              </w:rPr>
              <w:t>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F4F4F4"/>
            </w:tcBorders>
            <w:shd w:val="clear" w:color="auto" w:fill="F4F4F4"/>
          </w:tcPr>
          <w:p>
            <w:pPr>
              <w:ind w:left="140"/>
              <w:spacing w:after="0" w:line="223" w:lineRule="exact"/>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380" w:type="dxa"/>
            <w:vAlign w:val="bottom"/>
            <w:tcBorders>
              <w:top w:val="single" w:sz="8" w:color="F4F4F4"/>
            </w:tcBorders>
            <w:shd w:val="clear" w:color="auto" w:fill="F4F4F4"/>
          </w:tcPr>
          <w:p>
            <w:pPr>
              <w:spacing w:after="0"/>
              <w:rPr>
                <w:sz w:val="19"/>
                <w:szCs w:val="19"/>
                <w:color w:val="auto"/>
              </w:rPr>
            </w:pPr>
          </w:p>
        </w:tc>
        <w:tc>
          <w:tcPr>
            <w:tcW w:w="240" w:type="dxa"/>
            <w:vAlign w:val="bottom"/>
            <w:tcBorders>
              <w:top w:val="single" w:sz="8" w:color="auto"/>
            </w:tcBorders>
            <w:shd w:val="clear" w:color="auto" w:fill="F4F4F4"/>
          </w:tcPr>
          <w:p>
            <w:pPr>
              <w:spacing w:after="0"/>
              <w:rPr>
                <w:sz w:val="19"/>
                <w:szCs w:val="19"/>
                <w:color w:val="auto"/>
              </w:rPr>
            </w:pPr>
          </w:p>
        </w:tc>
        <w:tc>
          <w:tcPr>
            <w:tcW w:w="11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328.3</w:t>
            </w:r>
          </w:p>
        </w:tc>
        <w:tc>
          <w:tcPr>
            <w:tcW w:w="280" w:type="dxa"/>
            <w:vAlign w:val="bottom"/>
            <w:tcBorders>
              <w:top w:val="single" w:sz="8" w:color="auto"/>
            </w:tcBorders>
            <w:shd w:val="clear" w:color="auto" w:fill="F4F4F4"/>
          </w:tcPr>
          <w:p>
            <w:pPr>
              <w:spacing w:after="0"/>
              <w:rPr>
                <w:sz w:val="19"/>
                <w:szCs w:val="19"/>
                <w:color w:val="auto"/>
              </w:rPr>
            </w:pPr>
          </w:p>
        </w:tc>
        <w:tc>
          <w:tcPr>
            <w:tcW w:w="11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316.1</w:t>
            </w:r>
          </w:p>
        </w:tc>
        <w:tc>
          <w:tcPr>
            <w:tcW w:w="1140" w:type="dxa"/>
            <w:vAlign w:val="bottom"/>
            <w:tcBorders>
              <w:top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Long-term portion</w:t>
            </w:r>
          </w:p>
        </w:tc>
        <w:tc>
          <w:tcPr>
            <w:tcW w:w="3380" w:type="dxa"/>
            <w:vAlign w:val="bottom"/>
            <w:tcBorders>
              <w:bottom w:val="single" w:sz="8" w:color="F4F4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222.0 %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71BF43"/>
            </w:tcBorders>
            <w:shd w:val="clear" w:color="auto" w:fill="F4F4F4"/>
          </w:tcPr>
          <w:p>
            <w:pPr>
              <w:ind w:left="20"/>
              <w:spacing w:after="0" w:line="223" w:lineRule="exact"/>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3620" w:type="dxa"/>
            <w:vAlign w:val="bottom"/>
            <w:tcBorders>
              <w:bottom w:val="single" w:sz="8" w:color="71BF43"/>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322.5</w:t>
            </w:r>
          </w:p>
        </w:tc>
        <w:tc>
          <w:tcPr>
            <w:tcW w:w="280" w:type="dxa"/>
            <w:vAlign w:val="bottom"/>
            <w:tcBorders>
              <w:bottom w:val="single" w:sz="8" w:color="71BF43"/>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314.3</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of the contract term.</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Deferred revenue from recurring revenue contracts increased during the nine months ended September 30, 2020, primarily due a seasonal increase in customer contract renewals. Historically, due to the timing of customer budget cycles, we have an increase in customer contract renewals at or near the beginning of our third quarter. Deferred revenue from one-time services and other increased during the nine months ended September 30, 2020, primarily due an increase in the mix of retained and managed services contracts we present in one-time services and other beginning January 1, 2020, as discussed above.</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from customer arrangements predating the acquisition to fair value, which resulted in lower recorded deferred revenue as of the acquisition date than the actual amounts paid in advance for solutions and services under those customer arrangements. Therefore, our deferred revenue after an acquisition will not reflect the full amount of deferred revenue that would have been reported if the acquired deferred revenue was not written down to fair value. Further explanation of this impact is included below under the caption "Non-GAAP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420" w:type="dxa"/>
            <w:vAlign w:val="bottom"/>
            <w:shd w:val="clear" w:color="auto" w:fill="ACACAC"/>
          </w:tcPr>
          <w:p>
            <w:pPr>
              <w:spacing w:after="0"/>
              <w:rPr>
                <w:sz w:val="14"/>
                <w:szCs w:val="14"/>
                <w:color w:val="auto"/>
              </w:rPr>
            </w:pPr>
          </w:p>
        </w:tc>
        <w:tc>
          <w:tcPr>
            <w:tcW w:w="19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20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6"/>
        </w:trPr>
        <w:tc>
          <w:tcPr>
            <w:tcW w:w="3980" w:type="dxa"/>
            <w:vAlign w:val="bottom"/>
            <w:shd w:val="clear" w:color="auto" w:fill="ACACAC"/>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82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12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03"/>
        </w:trPr>
        <w:tc>
          <w:tcPr>
            <w:tcW w:w="39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60" w:type="dxa"/>
            <w:vAlign w:val="bottom"/>
            <w:tcBorders>
              <w:bottom w:val="single" w:sz="8" w:color="ACACAC"/>
            </w:tcBorders>
            <w:shd w:val="clear" w:color="auto" w:fill="ACACAC"/>
          </w:tcPr>
          <w:p>
            <w:pPr>
              <w:spacing w:after="0"/>
              <w:rPr>
                <w:sz w:val="17"/>
                <w:szCs w:val="17"/>
                <w:color w:val="auto"/>
              </w:rPr>
            </w:pPr>
          </w:p>
        </w:tc>
        <w:tc>
          <w:tcPr>
            <w:tcW w:w="8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17"/>
                <w:szCs w:val="17"/>
                <w:color w:val="auto"/>
              </w:rPr>
            </w:pPr>
          </w:p>
        </w:tc>
        <w:tc>
          <w:tcPr>
            <w:tcW w:w="360" w:type="dxa"/>
            <w:vAlign w:val="bottom"/>
            <w:tcBorders>
              <w:bottom w:val="single" w:sz="8" w:color="ACACAC"/>
            </w:tcBorders>
            <w:shd w:val="clear" w:color="auto" w:fill="ACACAC"/>
          </w:tcPr>
          <w:p>
            <w:pPr>
              <w:spacing w:after="0"/>
              <w:rPr>
                <w:sz w:val="17"/>
                <w:szCs w:val="17"/>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40" w:type="dxa"/>
            <w:vAlign w:val="bottom"/>
            <w:tcBorders>
              <w:bottom w:val="single" w:sz="8" w:color="ACACAC"/>
            </w:tcBorders>
            <w:shd w:val="clear" w:color="auto" w:fill="ACACAC"/>
          </w:tcPr>
          <w:p>
            <w:pPr>
              <w:spacing w:after="0"/>
              <w:rPr>
                <w:sz w:val="17"/>
                <w:szCs w:val="17"/>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2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3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F4F4F4"/>
          </w:tcPr>
          <w:p>
            <w:pPr>
              <w:jc w:val="right"/>
              <w:ind w:right="156"/>
              <w:spacing w:after="0"/>
              <w:rPr>
                <w:sz w:val="20"/>
                <w:szCs w:val="20"/>
                <w:color w:val="auto"/>
              </w:rPr>
            </w:pPr>
            <w:r>
              <w:rPr>
                <w:rFonts w:ascii="Arial" w:cs="Arial" w:eastAsia="Arial" w:hAnsi="Arial"/>
                <w:sz w:val="18"/>
                <w:szCs w:val="18"/>
                <w:color w:val="auto"/>
              </w:rPr>
              <w:t>1.8</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F4F4F4"/>
          </w:tcPr>
          <w:p>
            <w:pPr>
              <w:jc w:val="right"/>
              <w:ind w:right="159"/>
              <w:spacing w:after="0"/>
              <w:rPr>
                <w:sz w:val="20"/>
                <w:szCs w:val="20"/>
                <w:color w:val="auto"/>
              </w:rPr>
            </w:pPr>
            <w:r>
              <w:rPr>
                <w:rFonts w:ascii="Arial" w:cs="Arial" w:eastAsia="Arial" w:hAnsi="Arial"/>
                <w:sz w:val="18"/>
                <w:szCs w:val="18"/>
                <w:color w:val="auto"/>
              </w:rPr>
              <w:t>0.4</w:t>
            </w:r>
          </w:p>
        </w:tc>
        <w:tc>
          <w:tcPr>
            <w:tcW w:w="1660" w:type="dxa"/>
            <w:vAlign w:val="bottom"/>
            <w:gridSpan w:val="3"/>
            <w:shd w:val="clear" w:color="auto" w:fill="F4F4F4"/>
          </w:tcPr>
          <w:p>
            <w:pPr>
              <w:jc w:val="right"/>
              <w:ind w:right="240"/>
              <w:spacing w:after="0"/>
              <w:rPr>
                <w:sz w:val="20"/>
                <w:szCs w:val="20"/>
                <w:color w:val="auto"/>
              </w:rPr>
            </w:pPr>
            <w:r>
              <w:rPr>
                <w:rFonts w:ascii="Arial" w:cs="Arial" w:eastAsia="Arial" w:hAnsi="Arial"/>
                <w:sz w:val="18"/>
                <w:szCs w:val="18"/>
                <w:color w:val="auto"/>
              </w:rPr>
              <w:t>382.4 %  $</w:t>
            </w:r>
          </w:p>
        </w:tc>
        <w:tc>
          <w:tcPr>
            <w:tcW w:w="840" w:type="dxa"/>
            <w:vAlign w:val="bottom"/>
            <w:shd w:val="clear" w:color="auto" w:fill="F4F4F4"/>
          </w:tcPr>
          <w:p>
            <w:pPr>
              <w:jc w:val="right"/>
              <w:ind w:right="156"/>
              <w:spacing w:after="0"/>
              <w:rPr>
                <w:sz w:val="20"/>
                <w:szCs w:val="20"/>
                <w:color w:val="auto"/>
              </w:rPr>
            </w:pPr>
            <w:r>
              <w:rPr>
                <w:rFonts w:ascii="Arial" w:cs="Arial" w:eastAsia="Arial" w:hAnsi="Arial"/>
                <w:sz w:val="18"/>
                <w:szCs w:val="18"/>
                <w:color w:val="auto"/>
              </w:rPr>
              <w:t>6.9</w:t>
            </w:r>
          </w:p>
        </w:tc>
        <w:tc>
          <w:tcPr>
            <w:tcW w:w="34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4F4F4"/>
          </w:tcPr>
          <w:p>
            <w:pPr>
              <w:jc w:val="right"/>
              <w:ind w:right="159"/>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450.1 %</w:t>
            </w:r>
          </w:p>
        </w:tc>
        <w:tc>
          <w:tcPr>
            <w:tcW w:w="20" w:type="dxa"/>
            <w:vAlign w:val="bottom"/>
          </w:tcPr>
          <w:p>
            <w:pPr>
              <w:spacing w:after="0"/>
              <w:rPr>
                <w:sz w:val="19"/>
                <w:szCs w:val="19"/>
                <w:color w:val="auto"/>
              </w:rPr>
            </w:pPr>
          </w:p>
        </w:tc>
      </w:tr>
      <w:tr>
        <w:trPr>
          <w:trHeight w:val="230"/>
        </w:trPr>
        <w:tc>
          <w:tcPr>
            <w:tcW w:w="398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tcBorders>
              <w:bottom w:val="single" w:sz="8" w:color="71BF43"/>
            </w:tcBorders>
          </w:tcPr>
          <w:p>
            <w:pPr>
              <w:spacing w:after="0"/>
              <w:rPr>
                <w:sz w:val="19"/>
                <w:szCs w:val="19"/>
                <w:color w:val="auto"/>
              </w:rPr>
            </w:pPr>
          </w:p>
        </w:tc>
        <w:tc>
          <w:tcPr>
            <w:tcW w:w="82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26.5 %</w:t>
            </w:r>
          </w:p>
        </w:tc>
        <w:tc>
          <w:tcPr>
            <w:tcW w:w="420" w:type="dxa"/>
            <w:vAlign w:val="bottom"/>
            <w:tcBorders>
              <w:bottom w:val="single" w:sz="8" w:color="71BF43"/>
            </w:tcBorders>
          </w:tcPr>
          <w:p>
            <w:pPr>
              <w:spacing w:after="0"/>
              <w:rPr>
                <w:sz w:val="19"/>
                <w:szCs w:val="19"/>
                <w:color w:val="auto"/>
              </w:rPr>
            </w:pP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7.4 %</w:t>
            </w:r>
          </w:p>
        </w:tc>
        <w:tc>
          <w:tcPr>
            <w:tcW w:w="1200" w:type="dxa"/>
            <w:vAlign w:val="bottom"/>
            <w:tcBorders>
              <w:bottom w:val="single" w:sz="8" w:color="71BF43"/>
            </w:tcBorders>
          </w:tcPr>
          <w:p>
            <w:pPr>
              <w:spacing w:after="0"/>
              <w:rPr>
                <w:sz w:val="19"/>
                <w:szCs w:val="19"/>
                <w:color w:val="auto"/>
              </w:rPr>
            </w:pPr>
          </w:p>
        </w:tc>
        <w:tc>
          <w:tcPr>
            <w:tcW w:w="100" w:type="dxa"/>
            <w:vAlign w:val="bottom"/>
            <w:tcBorders>
              <w:bottom w:val="single" w:sz="8" w:color="71BF43"/>
            </w:tcBorders>
          </w:tcPr>
          <w:p>
            <w:pPr>
              <w:spacing w:after="0"/>
              <w:rPr>
                <w:sz w:val="19"/>
                <w:szCs w:val="19"/>
                <w:color w:val="auto"/>
              </w:rPr>
            </w:pPr>
          </w:p>
        </w:tc>
        <w:tc>
          <w:tcPr>
            <w:tcW w:w="360" w:type="dxa"/>
            <w:vAlign w:val="bottom"/>
            <w:tcBorders>
              <w:bottom w:val="single" w:sz="8" w:color="71BF43"/>
            </w:tcBorders>
          </w:tcPr>
          <w:p>
            <w:pPr>
              <w:spacing w:after="0"/>
              <w:rPr>
                <w:sz w:val="19"/>
                <w:szCs w:val="19"/>
                <w:color w:val="auto"/>
              </w:rPr>
            </w:pP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24.6 %</w:t>
            </w:r>
          </w:p>
        </w:tc>
        <w:tc>
          <w:tcPr>
            <w:tcW w:w="340" w:type="dxa"/>
            <w:vAlign w:val="bottom"/>
            <w:tcBorders>
              <w:bottom w:val="single" w:sz="8" w:color="71BF43"/>
            </w:tcBorders>
          </w:tcPr>
          <w:p>
            <w:pPr>
              <w:spacing w:after="0"/>
              <w:rPr>
                <w:sz w:val="19"/>
                <w:szCs w:val="19"/>
                <w:color w:val="auto"/>
              </w:rPr>
            </w:pPr>
          </w:p>
        </w:tc>
        <w:tc>
          <w:tcPr>
            <w:tcW w:w="8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10.7 %</w:t>
            </w:r>
          </w:p>
        </w:tc>
        <w:tc>
          <w:tcPr>
            <w:tcW w:w="1200" w:type="dxa"/>
            <w:vAlign w:val="bottom"/>
            <w:tcBorders>
              <w:bottom w:val="single" w:sz="8" w:color="71BF43"/>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-436245</wp:posOffset>
            </wp:positionV>
            <wp:extent cx="46202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increase in our effective tax rate for the three months ended September 30, 2020, when compared to the same period in 2019, was primarily attributable to higher 2019 discrete benefits against lower pre-tax income. The 2019 effective tax rate was positively impacted by a reduction to the liability for unrecognized tax benefits. The effective tax rate for 2020 was positively impacted by an adjustment to the prior year tax provision net of a tax charge resulting from an increase in the U.K. tax rate.</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increase in our effective tax rate for the nine months ended September 30, 2020, when compared to the same period in 2019, was primarily attributable to a reduction in benefits attributable to stock based compensation against increased 2020 profitability.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operating results analyzed below are presented on a non-GAAP basis. We use non-GAAP revenue, non-GAAP gross profit, non-GAAP gross margin, non -GAAP income from operations, non-GAAP operating margin, non-GAAP net income and non-GAAP diluted earnings per share internally in analyzing our operational performance. Accordingly, we</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745490" cy="1885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under arrangements predating the acquisition to fair value, which resulted in lower recognized revenue than the contributed purchase price until the related obligations to provide services under such arrangements are fulfilled. Therefore, our GAAP revenues after the acquisitions will not reflect the full amount of revenue that would have been reported if the acquired deferred revenue was not written down to fair value. The non-GAAP measures described below reverse the acquisition-related deferred revenue write-downs so that the full amount of revenue booked by the acquired companies is included, which we believe provides a more accurate representation of a revenue run-rate in a given period and, therefore, will provide more meaningful comparative results in future periods.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98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19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19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86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86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tcBorders>
              <w:bottom w:val="single" w:sz="8" w:color="ACACAC"/>
            </w:tcBorders>
            <w:shd w:val="clear" w:color="auto" w:fill="ACACAC"/>
          </w:tcPr>
          <w:p>
            <w:pPr>
              <w:spacing w:after="0"/>
              <w:rPr>
                <w:sz w:val="17"/>
                <w:szCs w:val="17"/>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tcBorders>
              <w:bottom w:val="single" w:sz="8" w:color="ACACAC"/>
            </w:tcBorders>
            <w:shd w:val="clear" w:color="auto" w:fill="ACACAC"/>
          </w:tcPr>
          <w:p>
            <w:pPr>
              <w:spacing w:after="0"/>
              <w:rPr>
                <w:sz w:val="17"/>
                <w:szCs w:val="17"/>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17"/>
                <w:szCs w:val="17"/>
                <w:color w:val="auto"/>
              </w:rPr>
            </w:pPr>
          </w:p>
        </w:tc>
        <w:tc>
          <w:tcPr>
            <w:tcW w:w="400" w:type="dxa"/>
            <w:vAlign w:val="bottom"/>
            <w:tcBorders>
              <w:bottom w:val="single" w:sz="8" w:color="ACACAC"/>
            </w:tcBorders>
            <w:shd w:val="clear" w:color="auto" w:fill="ACACAC"/>
          </w:tcPr>
          <w:p>
            <w:pPr>
              <w:spacing w:after="0"/>
              <w:rPr>
                <w:sz w:val="17"/>
                <w:szCs w:val="17"/>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0" w:type="dxa"/>
            <w:vAlign w:val="bottom"/>
            <w:tcBorders>
              <w:bottom w:val="single" w:sz="8" w:color="ACACAC"/>
            </w:tcBorders>
            <w:shd w:val="clear" w:color="auto" w:fill="ACACAC"/>
          </w:tcPr>
          <w:p>
            <w:pPr>
              <w:spacing w:after="0"/>
              <w:rPr>
                <w:sz w:val="17"/>
                <w:szCs w:val="17"/>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38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215.0</w:t>
            </w:r>
          </w:p>
        </w:tc>
        <w:tc>
          <w:tcPr>
            <w:tcW w:w="38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221.1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w:t>
            </w:r>
          </w:p>
        </w:tc>
        <w:tc>
          <w:tcPr>
            <w:tcW w:w="500" w:type="dxa"/>
            <w:vAlign w:val="bottom"/>
            <w:gridSpan w:val="2"/>
            <w:shd w:val="clear" w:color="auto" w:fill="F4F4F4"/>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670.6</w:t>
            </w:r>
          </w:p>
        </w:tc>
        <w:tc>
          <w:tcPr>
            <w:tcW w:w="40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662.6</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Add: Acquisition-related deferred revenue write-down</w:t>
            </w:r>
          </w:p>
        </w:tc>
        <w:tc>
          <w:tcPr>
            <w:tcW w:w="380" w:type="dxa"/>
            <w:vAlign w:val="bottom"/>
            <w:tcBorders>
              <w:bottom w:val="single" w:sz="8" w:color="auto"/>
            </w:tcBorders>
            <w:shd w:val="clear" w:color="auto" w:fill="F4F4F4"/>
          </w:tcPr>
          <w:p>
            <w:pPr>
              <w:spacing w:after="0"/>
              <w:rPr>
                <w:sz w:val="16"/>
                <w:szCs w:val="16"/>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4F4F4"/>
          </w:tcPr>
          <w:p>
            <w:pPr>
              <w:spacing w:after="0"/>
              <w:rPr>
                <w:sz w:val="16"/>
                <w:szCs w:val="16"/>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0.3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F4F4F4"/>
          </w:tcPr>
          <w:p>
            <w:pPr>
              <w:spacing w:after="0"/>
              <w:rPr>
                <w:sz w:val="16"/>
                <w:szCs w:val="16"/>
                <w:color w:val="auto"/>
              </w:rPr>
            </w:pPr>
          </w:p>
        </w:tc>
        <w:tc>
          <w:tcPr>
            <w:tcW w:w="400" w:type="dxa"/>
            <w:vAlign w:val="bottom"/>
            <w:tcBorders>
              <w:bottom w:val="single" w:sz="8" w:color="auto"/>
            </w:tcBorders>
            <w:shd w:val="clear" w:color="auto" w:fill="F4F4F4"/>
          </w:tcPr>
          <w:p>
            <w:pPr>
              <w:spacing w:after="0"/>
              <w:rPr>
                <w:sz w:val="16"/>
                <w:szCs w:val="16"/>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F4F4F4"/>
          </w:tcPr>
          <w:p>
            <w:pPr>
              <w:spacing w:after="0"/>
              <w:rPr>
                <w:sz w:val="16"/>
                <w:szCs w:val="16"/>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Non-GAAP revenue</w:t>
            </w:r>
            <w:r>
              <w:rPr>
                <w:rFonts w:ascii="Arial" w:cs="Arial" w:eastAsia="Arial" w:hAnsi="Arial"/>
                <w:sz w:val="18"/>
                <w:szCs w:val="18"/>
                <w:b w:val="1"/>
                <w:bCs w:val="1"/>
                <w:color w:val="auto"/>
                <w:vertAlign w:val="superscript"/>
              </w:rPr>
              <w:t>(1)</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215.0</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221.4</w:t>
            </w: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670.6</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664.3</w:t>
            </w:r>
          </w:p>
        </w:tc>
        <w:tc>
          <w:tcPr>
            <w:tcW w:w="1080" w:type="dxa"/>
            <w:vAlign w:val="bottom"/>
          </w:tcPr>
          <w:p>
            <w:pPr>
              <w:jc w:val="right"/>
              <w:spacing w:after="0"/>
              <w:rPr>
                <w:sz w:val="20"/>
                <w:szCs w:val="20"/>
                <w:color w:val="auto"/>
              </w:rPr>
            </w:pPr>
            <w:r>
              <w:rPr>
                <w:rFonts w:ascii="Arial" w:cs="Arial" w:eastAsia="Arial" w:hAnsi="Arial"/>
                <w:sz w:val="14"/>
                <w:szCs w:val="14"/>
                <w:color w:val="auto"/>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F4F4F4"/>
            </w:tcBorders>
            <w:shd w:val="clear" w:color="auto" w:fill="F4F4F4"/>
          </w:tcPr>
          <w:p>
            <w:pPr>
              <w:spacing w:after="0"/>
              <w:rPr>
                <w:sz w:val="17"/>
                <w:szCs w:val="17"/>
                <w:color w:val="auto"/>
              </w:rPr>
            </w:pPr>
          </w:p>
        </w:tc>
        <w:tc>
          <w:tcPr>
            <w:tcW w:w="380" w:type="dxa"/>
            <w:vAlign w:val="bottom"/>
            <w:tcBorders>
              <w:top w:val="single" w:sz="8" w:color="auto"/>
            </w:tcBorders>
            <w:shd w:val="clear" w:color="auto" w:fill="F4F4F4"/>
          </w:tcPr>
          <w:p>
            <w:pPr>
              <w:spacing w:after="0"/>
              <w:rPr>
                <w:sz w:val="17"/>
                <w:szCs w:val="17"/>
                <w:color w:val="auto"/>
              </w:rPr>
            </w:pPr>
          </w:p>
        </w:tc>
        <w:tc>
          <w:tcPr>
            <w:tcW w:w="840" w:type="dxa"/>
            <w:vAlign w:val="bottom"/>
            <w:tcBorders>
              <w:top w:val="single" w:sz="8" w:color="auto"/>
            </w:tcBorders>
            <w:shd w:val="clear" w:color="auto" w:fill="F4F4F4"/>
          </w:tcPr>
          <w:p>
            <w:pPr>
              <w:spacing w:after="0"/>
              <w:rPr>
                <w:sz w:val="17"/>
                <w:szCs w:val="17"/>
                <w:color w:val="auto"/>
              </w:rPr>
            </w:pPr>
          </w:p>
        </w:tc>
        <w:tc>
          <w:tcPr>
            <w:tcW w:w="380" w:type="dxa"/>
            <w:vAlign w:val="bottom"/>
            <w:tcBorders>
              <w:top w:val="single" w:sz="8" w:color="auto"/>
            </w:tcBorders>
            <w:shd w:val="clear" w:color="auto" w:fill="F4F4F4"/>
          </w:tcPr>
          <w:p>
            <w:pPr>
              <w:spacing w:after="0"/>
              <w:rPr>
                <w:sz w:val="17"/>
                <w:szCs w:val="17"/>
                <w:color w:val="auto"/>
              </w:rPr>
            </w:pPr>
          </w:p>
        </w:tc>
        <w:tc>
          <w:tcPr>
            <w:tcW w:w="840" w:type="dxa"/>
            <w:vAlign w:val="bottom"/>
            <w:tcBorders>
              <w:top w:val="single" w:sz="8" w:color="auto"/>
            </w:tcBorders>
            <w:shd w:val="clear" w:color="auto" w:fill="F4F4F4"/>
          </w:tcPr>
          <w:p>
            <w:pPr>
              <w:spacing w:after="0"/>
              <w:rPr>
                <w:sz w:val="17"/>
                <w:szCs w:val="17"/>
                <w:color w:val="auto"/>
              </w:rPr>
            </w:pPr>
          </w:p>
        </w:tc>
        <w:tc>
          <w:tcPr>
            <w:tcW w:w="1080" w:type="dxa"/>
            <w:vAlign w:val="bottom"/>
            <w:tcBorders>
              <w:top w:val="single" w:sz="8" w:color="F4F4F4"/>
            </w:tcBorders>
            <w:shd w:val="clear" w:color="auto" w:fill="F4F4F4"/>
          </w:tcPr>
          <w:p>
            <w:pPr>
              <w:spacing w:after="0"/>
              <w:rPr>
                <w:sz w:val="17"/>
                <w:szCs w:val="17"/>
                <w:color w:val="auto"/>
              </w:rPr>
            </w:pPr>
          </w:p>
        </w:tc>
        <w:tc>
          <w:tcPr>
            <w:tcW w:w="100" w:type="dxa"/>
            <w:vAlign w:val="bottom"/>
            <w:tcBorders>
              <w:top w:val="single" w:sz="8" w:color="F4F4F4"/>
            </w:tcBorders>
            <w:shd w:val="clear" w:color="auto" w:fill="F4F4F4"/>
          </w:tcPr>
          <w:p>
            <w:pPr>
              <w:spacing w:after="0"/>
              <w:rPr>
                <w:sz w:val="17"/>
                <w:szCs w:val="17"/>
                <w:color w:val="auto"/>
              </w:rPr>
            </w:pPr>
          </w:p>
        </w:tc>
        <w:tc>
          <w:tcPr>
            <w:tcW w:w="400" w:type="dxa"/>
            <w:vAlign w:val="bottom"/>
            <w:tcBorders>
              <w:top w:val="single" w:sz="8" w:color="auto"/>
            </w:tcBorders>
            <w:shd w:val="clear" w:color="auto" w:fill="F4F4F4"/>
          </w:tcPr>
          <w:p>
            <w:pPr>
              <w:spacing w:after="0"/>
              <w:rPr>
                <w:sz w:val="17"/>
                <w:szCs w:val="17"/>
                <w:color w:val="auto"/>
              </w:rPr>
            </w:pPr>
          </w:p>
        </w:tc>
        <w:tc>
          <w:tcPr>
            <w:tcW w:w="860" w:type="dxa"/>
            <w:vAlign w:val="bottom"/>
            <w:tcBorders>
              <w:top w:val="single" w:sz="8" w:color="auto"/>
            </w:tcBorders>
            <w:shd w:val="clear" w:color="auto" w:fill="F4F4F4"/>
          </w:tcPr>
          <w:p>
            <w:pPr>
              <w:spacing w:after="0"/>
              <w:rPr>
                <w:sz w:val="17"/>
                <w:szCs w:val="17"/>
                <w:color w:val="auto"/>
              </w:rPr>
            </w:pPr>
          </w:p>
        </w:tc>
        <w:tc>
          <w:tcPr>
            <w:tcW w:w="400" w:type="dxa"/>
            <w:vAlign w:val="bottom"/>
            <w:tcBorders>
              <w:top w:val="single" w:sz="8" w:color="auto"/>
            </w:tcBorders>
            <w:shd w:val="clear" w:color="auto" w:fill="F4F4F4"/>
          </w:tcPr>
          <w:p>
            <w:pPr>
              <w:spacing w:after="0"/>
              <w:rPr>
                <w:sz w:val="17"/>
                <w:szCs w:val="17"/>
                <w:color w:val="auto"/>
              </w:rPr>
            </w:pPr>
          </w:p>
        </w:tc>
        <w:tc>
          <w:tcPr>
            <w:tcW w:w="860" w:type="dxa"/>
            <w:vAlign w:val="bottom"/>
            <w:tcBorders>
              <w:top w:val="single" w:sz="8" w:color="auto"/>
            </w:tcBorders>
            <w:shd w:val="clear" w:color="auto" w:fill="F4F4F4"/>
          </w:tcPr>
          <w:p>
            <w:pPr>
              <w:spacing w:after="0"/>
              <w:rPr>
                <w:sz w:val="17"/>
                <w:szCs w:val="17"/>
                <w:color w:val="auto"/>
              </w:rPr>
            </w:pPr>
          </w:p>
        </w:tc>
        <w:tc>
          <w:tcPr>
            <w:tcW w:w="1080" w:type="dxa"/>
            <w:vAlign w:val="bottom"/>
            <w:tcBorders>
              <w:top w:val="single" w:sz="8" w:color="F4F4F4"/>
            </w:tcBorders>
            <w:shd w:val="clear" w:color="auto" w:fill="F4F4F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GAAP gross profit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116.3</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119.3</w:t>
            </w: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362.1</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360.7</w:t>
            </w:r>
          </w:p>
        </w:tc>
        <w:tc>
          <w:tcPr>
            <w:tcW w:w="1080" w:type="dxa"/>
            <w:vAlign w:val="bottom"/>
          </w:tcPr>
          <w:p>
            <w:pPr>
              <w:jc w:val="right"/>
              <w:spacing w:after="0"/>
              <w:rPr>
                <w:sz w:val="20"/>
                <w:szCs w:val="20"/>
                <w:color w:val="auto"/>
              </w:rPr>
            </w:pPr>
            <w:r>
              <w:rPr>
                <w:rFonts w:ascii="Arial" w:cs="Arial" w:eastAsia="Arial" w:hAnsi="Arial"/>
                <w:sz w:val="14"/>
                <w:szCs w:val="14"/>
                <w:color w:val="auto"/>
              </w:rPr>
              <w:t>0.4 %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F4F4F4"/>
          </w:tcPr>
          <w:p>
            <w:pPr>
              <w:ind w:left="120"/>
              <w:spacing w:after="0"/>
              <w:rPr>
                <w:sz w:val="20"/>
                <w:szCs w:val="20"/>
                <w:color w:val="auto"/>
              </w:rPr>
            </w:pPr>
            <w:r>
              <w:rPr>
                <w:rFonts w:ascii="Arial" w:cs="Arial" w:eastAsia="Arial" w:hAnsi="Arial"/>
                <w:sz w:val="14"/>
                <w:szCs w:val="14"/>
                <w:b w:val="1"/>
                <w:bCs w:val="1"/>
                <w:color w:val="auto"/>
              </w:rPr>
              <w:t>GAAP gross margin</w:t>
            </w:r>
          </w:p>
        </w:tc>
        <w:tc>
          <w:tcPr>
            <w:tcW w:w="380" w:type="dxa"/>
            <w:vAlign w:val="bottom"/>
            <w:shd w:val="clear" w:color="auto" w:fill="F4F4F4"/>
          </w:tcPr>
          <w:p>
            <w:pPr>
              <w:spacing w:after="0"/>
              <w:rPr>
                <w:sz w:val="16"/>
                <w:szCs w:val="16"/>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54.1 %</w:t>
            </w:r>
          </w:p>
        </w:tc>
        <w:tc>
          <w:tcPr>
            <w:tcW w:w="380" w:type="dxa"/>
            <w:vAlign w:val="bottom"/>
            <w:shd w:val="clear" w:color="auto" w:fill="F4F4F4"/>
          </w:tcPr>
          <w:p>
            <w:pPr>
              <w:spacing w:after="0"/>
              <w:rPr>
                <w:sz w:val="16"/>
                <w:szCs w:val="16"/>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54.0 %</w:t>
            </w:r>
          </w:p>
        </w:tc>
        <w:tc>
          <w:tcPr>
            <w:tcW w:w="1080" w:type="dxa"/>
            <w:vAlign w:val="bottom"/>
            <w:shd w:val="clear" w:color="auto" w:fill="F4F4F4"/>
          </w:tcPr>
          <w:p>
            <w:pPr>
              <w:spacing w:after="0"/>
              <w:rPr>
                <w:sz w:val="16"/>
                <w:szCs w:val="16"/>
                <w:color w:val="auto"/>
              </w:rPr>
            </w:pPr>
          </w:p>
        </w:tc>
        <w:tc>
          <w:tcPr>
            <w:tcW w:w="10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54.0 %</w:t>
            </w:r>
          </w:p>
        </w:tc>
        <w:tc>
          <w:tcPr>
            <w:tcW w:w="400" w:type="dxa"/>
            <w:vAlign w:val="bottom"/>
            <w:shd w:val="clear" w:color="auto" w:fill="F4F4F4"/>
          </w:tcPr>
          <w:p>
            <w:pPr>
              <w:spacing w:after="0"/>
              <w:rPr>
                <w:sz w:val="16"/>
                <w:szCs w:val="16"/>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54.4 %</w:t>
            </w:r>
          </w:p>
        </w:tc>
        <w:tc>
          <w:tcPr>
            <w:tcW w:w="108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Add: Acquisition-related deferred revenue write-down</w:t>
            </w:r>
          </w:p>
        </w:tc>
        <w:tc>
          <w:tcPr>
            <w:tcW w:w="38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F4F4F4"/>
          </w:tcPr>
          <w:p>
            <w:pPr>
              <w:spacing w:after="0"/>
              <w:rPr>
                <w:sz w:val="16"/>
                <w:szCs w:val="16"/>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Arial" w:cs="Arial" w:eastAsia="Arial" w:hAnsi="Arial"/>
                <w:sz w:val="14"/>
                <w:szCs w:val="14"/>
                <w:color w:val="auto"/>
              </w:rPr>
              <w:t>Add: Stock-based compensation expense</w:t>
            </w:r>
          </w:p>
        </w:tc>
        <w:tc>
          <w:tcPr>
            <w:tcW w:w="3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3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0.8</w:t>
            </w:r>
          </w:p>
        </w:tc>
        <w:tc>
          <w:tcPr>
            <w:tcW w:w="1080" w:type="dxa"/>
            <w:vAlign w:val="bottom"/>
          </w:tcPr>
          <w:p>
            <w:pPr>
              <w:jc w:val="right"/>
              <w:spacing w:after="0"/>
              <w:rPr>
                <w:sz w:val="20"/>
                <w:szCs w:val="20"/>
                <w:color w:val="auto"/>
              </w:rPr>
            </w:pPr>
            <w:r>
              <w:rPr>
                <w:rFonts w:ascii="Arial" w:cs="Arial" w:eastAsia="Arial" w:hAnsi="Arial"/>
                <w:sz w:val="14"/>
                <w:szCs w:val="14"/>
                <w:color w:val="auto"/>
              </w:rPr>
              <w:t>370.4 %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4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80" w:type="dxa"/>
            <w:vAlign w:val="bottom"/>
          </w:tcPr>
          <w:p>
            <w:pPr>
              <w:jc w:val="right"/>
              <w:spacing w:after="0"/>
              <w:rPr>
                <w:sz w:val="20"/>
                <w:szCs w:val="20"/>
                <w:color w:val="auto"/>
              </w:rPr>
            </w:pPr>
            <w:r>
              <w:rPr>
                <w:rFonts w:ascii="Arial" w:cs="Arial" w:eastAsia="Arial" w:hAnsi="Arial"/>
                <w:sz w:val="14"/>
                <w:szCs w:val="14"/>
                <w:color w:val="auto"/>
              </w:rPr>
              <w:t>179.4 %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80" w:type="dxa"/>
            <w:vAlign w:val="bottom"/>
            <w:shd w:val="clear" w:color="auto" w:fill="F4F4F4"/>
          </w:tcPr>
          <w:p>
            <w:pPr>
              <w:ind w:left="120"/>
              <w:spacing w:after="0" w:line="153" w:lineRule="exact"/>
              <w:rPr>
                <w:sz w:val="20"/>
                <w:szCs w:val="20"/>
                <w:color w:val="auto"/>
              </w:rPr>
            </w:pPr>
            <w:r>
              <w:rPr>
                <w:rFonts w:ascii="Arial" w:cs="Arial" w:eastAsia="Arial" w:hAnsi="Arial"/>
                <w:sz w:val="14"/>
                <w:szCs w:val="14"/>
                <w:color w:val="auto"/>
              </w:rPr>
              <w:t>Add: Amortization of intangibles from business</w:t>
            </w:r>
          </w:p>
        </w:tc>
        <w:tc>
          <w:tcPr>
            <w:tcW w:w="380" w:type="dxa"/>
            <w:vAlign w:val="bottom"/>
            <w:shd w:val="clear" w:color="auto" w:fill="F4F4F4"/>
          </w:tcPr>
          <w:p>
            <w:pPr>
              <w:spacing w:after="0"/>
              <w:rPr>
                <w:sz w:val="13"/>
                <w:szCs w:val="13"/>
                <w:color w:val="auto"/>
              </w:rPr>
            </w:pPr>
          </w:p>
        </w:tc>
        <w:tc>
          <w:tcPr>
            <w:tcW w:w="840" w:type="dxa"/>
            <w:vAlign w:val="bottom"/>
            <w:vMerge w:val="restart"/>
            <w:shd w:val="clear" w:color="auto" w:fill="F4F4F4"/>
          </w:tcPr>
          <w:p>
            <w:pPr>
              <w:jc w:val="right"/>
              <w:ind w:right="108"/>
              <w:spacing w:after="0"/>
              <w:rPr>
                <w:sz w:val="20"/>
                <w:szCs w:val="20"/>
                <w:color w:val="auto"/>
              </w:rPr>
            </w:pPr>
            <w:r>
              <w:rPr>
                <w:rFonts w:ascii="Arial" w:cs="Arial" w:eastAsia="Arial" w:hAnsi="Arial"/>
                <w:sz w:val="14"/>
                <w:szCs w:val="14"/>
                <w:color w:val="auto"/>
              </w:rPr>
              <w:t>9.2</w:t>
            </w:r>
          </w:p>
        </w:tc>
        <w:tc>
          <w:tcPr>
            <w:tcW w:w="380" w:type="dxa"/>
            <w:vAlign w:val="bottom"/>
            <w:shd w:val="clear" w:color="auto" w:fill="F4F4F4"/>
          </w:tcPr>
          <w:p>
            <w:pPr>
              <w:spacing w:after="0"/>
              <w:rPr>
                <w:sz w:val="13"/>
                <w:szCs w:val="13"/>
                <w:color w:val="auto"/>
              </w:rPr>
            </w:pPr>
          </w:p>
        </w:tc>
        <w:tc>
          <w:tcPr>
            <w:tcW w:w="840" w:type="dxa"/>
            <w:vAlign w:val="bottom"/>
            <w:vMerge w:val="restart"/>
            <w:shd w:val="clear" w:color="auto" w:fill="F4F4F4"/>
          </w:tcPr>
          <w:p>
            <w:pPr>
              <w:jc w:val="right"/>
              <w:ind w:right="108"/>
              <w:spacing w:after="0"/>
              <w:rPr>
                <w:sz w:val="20"/>
                <w:szCs w:val="20"/>
                <w:color w:val="auto"/>
              </w:rPr>
            </w:pPr>
            <w:r>
              <w:rPr>
                <w:rFonts w:ascii="Arial" w:cs="Arial" w:eastAsia="Arial" w:hAnsi="Arial"/>
                <w:sz w:val="14"/>
                <w:szCs w:val="14"/>
                <w:color w:val="auto"/>
              </w:rPr>
              <w:t>11.2</w:t>
            </w:r>
          </w:p>
        </w:tc>
        <w:tc>
          <w:tcPr>
            <w:tcW w:w="1080" w:type="dxa"/>
            <w:vAlign w:val="bottom"/>
            <w:vMerge w:val="restart"/>
            <w:shd w:val="clear" w:color="auto" w:fill="F4F4F4"/>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860" w:type="dxa"/>
            <w:vAlign w:val="bottom"/>
            <w:vMerge w:val="restart"/>
            <w:shd w:val="clear" w:color="auto" w:fill="F4F4F4"/>
          </w:tcPr>
          <w:p>
            <w:pPr>
              <w:jc w:val="right"/>
              <w:ind w:right="128"/>
              <w:spacing w:after="0"/>
              <w:rPr>
                <w:sz w:val="20"/>
                <w:szCs w:val="20"/>
                <w:color w:val="auto"/>
              </w:rPr>
            </w:pPr>
            <w:r>
              <w:rPr>
                <w:rFonts w:ascii="Arial" w:cs="Arial" w:eastAsia="Arial" w:hAnsi="Arial"/>
                <w:sz w:val="14"/>
                <w:szCs w:val="14"/>
                <w:color w:val="auto"/>
              </w:rPr>
              <w:t>29.8</w:t>
            </w:r>
          </w:p>
        </w:tc>
        <w:tc>
          <w:tcPr>
            <w:tcW w:w="400" w:type="dxa"/>
            <w:vAlign w:val="bottom"/>
            <w:shd w:val="clear" w:color="auto" w:fill="F4F4F4"/>
          </w:tcPr>
          <w:p>
            <w:pPr>
              <w:spacing w:after="0"/>
              <w:rPr>
                <w:sz w:val="13"/>
                <w:szCs w:val="13"/>
                <w:color w:val="auto"/>
              </w:rPr>
            </w:pPr>
          </w:p>
        </w:tc>
        <w:tc>
          <w:tcPr>
            <w:tcW w:w="860" w:type="dxa"/>
            <w:vAlign w:val="bottom"/>
            <w:vMerge w:val="restart"/>
            <w:shd w:val="clear" w:color="auto" w:fill="F4F4F4"/>
          </w:tcPr>
          <w:p>
            <w:pPr>
              <w:jc w:val="right"/>
              <w:ind w:right="128"/>
              <w:spacing w:after="0"/>
              <w:rPr>
                <w:sz w:val="20"/>
                <w:szCs w:val="20"/>
                <w:color w:val="auto"/>
              </w:rPr>
            </w:pPr>
            <w:r>
              <w:rPr>
                <w:rFonts w:ascii="Arial" w:cs="Arial" w:eastAsia="Arial" w:hAnsi="Arial"/>
                <w:sz w:val="14"/>
                <w:szCs w:val="14"/>
                <w:color w:val="auto"/>
              </w:rPr>
              <w:t>34.0</w:t>
            </w:r>
          </w:p>
        </w:tc>
        <w:tc>
          <w:tcPr>
            <w:tcW w:w="1080" w:type="dxa"/>
            <w:vAlign w:val="bottom"/>
            <w:vMerge w:val="restart"/>
            <w:shd w:val="clear" w:color="auto" w:fill="F4F4F4"/>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combinations</w:t>
            </w:r>
          </w:p>
        </w:tc>
        <w:tc>
          <w:tcPr>
            <w:tcW w:w="380" w:type="dxa"/>
            <w:vAlign w:val="bottom"/>
            <w:shd w:val="clear" w:color="auto" w:fill="F4F4F4"/>
          </w:tcPr>
          <w:p>
            <w:pPr>
              <w:spacing w:after="0"/>
              <w:rPr>
                <w:sz w:val="14"/>
                <w:szCs w:val="14"/>
                <w:color w:val="auto"/>
              </w:rPr>
            </w:pPr>
          </w:p>
        </w:tc>
        <w:tc>
          <w:tcPr>
            <w:tcW w:w="840" w:type="dxa"/>
            <w:vAlign w:val="bottom"/>
            <w:vMerge w:val="continue"/>
            <w:shd w:val="clear" w:color="auto" w:fill="F4F4F4"/>
          </w:tcPr>
          <w:p>
            <w:pPr>
              <w:spacing w:after="0"/>
              <w:rPr>
                <w:sz w:val="14"/>
                <w:szCs w:val="14"/>
                <w:color w:val="auto"/>
              </w:rPr>
            </w:pPr>
          </w:p>
        </w:tc>
        <w:tc>
          <w:tcPr>
            <w:tcW w:w="380" w:type="dxa"/>
            <w:vAlign w:val="bottom"/>
            <w:shd w:val="clear" w:color="auto" w:fill="F4F4F4"/>
          </w:tcPr>
          <w:p>
            <w:pPr>
              <w:spacing w:after="0"/>
              <w:rPr>
                <w:sz w:val="14"/>
                <w:szCs w:val="14"/>
                <w:color w:val="auto"/>
              </w:rPr>
            </w:pPr>
          </w:p>
        </w:tc>
        <w:tc>
          <w:tcPr>
            <w:tcW w:w="840" w:type="dxa"/>
            <w:vAlign w:val="bottom"/>
            <w:vMerge w:val="continue"/>
            <w:shd w:val="clear" w:color="auto" w:fill="F4F4F4"/>
          </w:tcPr>
          <w:p>
            <w:pPr>
              <w:spacing w:after="0"/>
              <w:rPr>
                <w:sz w:val="14"/>
                <w:szCs w:val="14"/>
                <w:color w:val="auto"/>
              </w:rPr>
            </w:pPr>
          </w:p>
        </w:tc>
        <w:tc>
          <w:tcPr>
            <w:tcW w:w="1080" w:type="dxa"/>
            <w:vAlign w:val="bottom"/>
            <w:vMerge w:val="continue"/>
            <w:shd w:val="clear" w:color="auto" w:fill="F4F4F4"/>
          </w:tcPr>
          <w:p>
            <w:pPr>
              <w:spacing w:after="0"/>
              <w:rPr>
                <w:sz w:val="14"/>
                <w:szCs w:val="14"/>
                <w:color w:val="auto"/>
              </w:rPr>
            </w:pPr>
          </w:p>
        </w:tc>
        <w:tc>
          <w:tcPr>
            <w:tcW w:w="100" w:type="dxa"/>
            <w:vAlign w:val="bottom"/>
            <w:shd w:val="clear" w:color="auto" w:fill="F4F4F4"/>
          </w:tcPr>
          <w:p>
            <w:pPr>
              <w:spacing w:after="0"/>
              <w:rPr>
                <w:sz w:val="14"/>
                <w:szCs w:val="14"/>
                <w:color w:val="auto"/>
              </w:rPr>
            </w:pPr>
          </w:p>
        </w:tc>
        <w:tc>
          <w:tcPr>
            <w:tcW w:w="400" w:type="dxa"/>
            <w:vAlign w:val="bottom"/>
            <w:shd w:val="clear" w:color="auto" w:fill="F4F4F4"/>
          </w:tcPr>
          <w:p>
            <w:pPr>
              <w:spacing w:after="0"/>
              <w:rPr>
                <w:sz w:val="14"/>
                <w:szCs w:val="14"/>
                <w:color w:val="auto"/>
              </w:rPr>
            </w:pPr>
          </w:p>
        </w:tc>
        <w:tc>
          <w:tcPr>
            <w:tcW w:w="860" w:type="dxa"/>
            <w:vAlign w:val="bottom"/>
            <w:vMerge w:val="continue"/>
            <w:shd w:val="clear" w:color="auto" w:fill="F4F4F4"/>
          </w:tcPr>
          <w:p>
            <w:pPr>
              <w:spacing w:after="0"/>
              <w:rPr>
                <w:sz w:val="14"/>
                <w:szCs w:val="14"/>
                <w:color w:val="auto"/>
              </w:rPr>
            </w:pPr>
          </w:p>
        </w:tc>
        <w:tc>
          <w:tcPr>
            <w:tcW w:w="400" w:type="dxa"/>
            <w:vAlign w:val="bottom"/>
            <w:shd w:val="clear" w:color="auto" w:fill="F4F4F4"/>
          </w:tcPr>
          <w:p>
            <w:pPr>
              <w:spacing w:after="0"/>
              <w:rPr>
                <w:sz w:val="14"/>
                <w:szCs w:val="14"/>
                <w:color w:val="auto"/>
              </w:rPr>
            </w:pPr>
          </w:p>
        </w:tc>
        <w:tc>
          <w:tcPr>
            <w:tcW w:w="860" w:type="dxa"/>
            <w:vAlign w:val="bottom"/>
            <w:vMerge w:val="continue"/>
            <w:shd w:val="clear" w:color="auto" w:fill="F4F4F4"/>
          </w:tcPr>
          <w:p>
            <w:pPr>
              <w:spacing w:after="0"/>
              <w:rPr>
                <w:sz w:val="14"/>
                <w:szCs w:val="14"/>
                <w:color w:val="auto"/>
              </w:rPr>
            </w:pPr>
          </w:p>
        </w:tc>
        <w:tc>
          <w:tcPr>
            <w:tcW w:w="1080" w:type="dxa"/>
            <w:vAlign w:val="bottom"/>
            <w:vMerge w:val="continue"/>
            <w:shd w:val="clear" w:color="auto" w:fill="F4F4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F4F4F4"/>
            </w:tcBorders>
          </w:tcPr>
          <w:p>
            <w:pPr>
              <w:ind w:left="120"/>
              <w:spacing w:after="0"/>
              <w:rPr>
                <w:sz w:val="20"/>
                <w:szCs w:val="20"/>
                <w:color w:val="auto"/>
              </w:rPr>
            </w:pPr>
            <w:r>
              <w:rPr>
                <w:rFonts w:ascii="Arial" w:cs="Arial" w:eastAsia="Arial" w:hAnsi="Arial"/>
                <w:sz w:val="14"/>
                <w:szCs w:val="14"/>
                <w:color w:val="auto"/>
              </w:rPr>
              <w:t>Add: Employee severance</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F4F4F4"/>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F4F4F4"/>
          </w:tcPr>
          <w:p>
            <w:pPr>
              <w:ind w:left="340"/>
              <w:spacing w:after="0" w:line="182" w:lineRule="exact"/>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380" w:type="dxa"/>
            <w:vAlign w:val="bottom"/>
            <w:tcBorders>
              <w:bottom w:val="single" w:sz="8" w:color="auto"/>
            </w:tcBorders>
            <w:shd w:val="clear" w:color="auto" w:fill="F4F4F4"/>
          </w:tcPr>
          <w:p>
            <w:pPr>
              <w:spacing w:after="0"/>
              <w:rPr>
                <w:sz w:val="15"/>
                <w:szCs w:val="15"/>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12.9</w:t>
            </w:r>
          </w:p>
        </w:tc>
        <w:tc>
          <w:tcPr>
            <w:tcW w:w="380" w:type="dxa"/>
            <w:vAlign w:val="bottom"/>
            <w:tcBorders>
              <w:bottom w:val="single" w:sz="8" w:color="auto"/>
            </w:tcBorders>
            <w:shd w:val="clear" w:color="auto" w:fill="F4F4F4"/>
          </w:tcPr>
          <w:p>
            <w:pPr>
              <w:spacing w:after="0"/>
              <w:rPr>
                <w:sz w:val="15"/>
                <w:szCs w:val="15"/>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F4F4F4"/>
          </w:tcPr>
          <w:p>
            <w:pPr>
              <w:spacing w:after="0"/>
              <w:rPr>
                <w:sz w:val="15"/>
                <w:szCs w:val="15"/>
                <w:color w:val="auto"/>
              </w:rPr>
            </w:pPr>
          </w:p>
        </w:tc>
        <w:tc>
          <w:tcPr>
            <w:tcW w:w="400" w:type="dxa"/>
            <w:vAlign w:val="bottom"/>
            <w:tcBorders>
              <w:bottom w:val="single" w:sz="8" w:color="auto"/>
            </w:tcBorders>
            <w:shd w:val="clear" w:color="auto" w:fill="F4F4F4"/>
          </w:tcPr>
          <w:p>
            <w:pPr>
              <w:spacing w:after="0"/>
              <w:rPr>
                <w:sz w:val="15"/>
                <w:szCs w:val="15"/>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37.8</w:t>
            </w:r>
          </w:p>
        </w:tc>
        <w:tc>
          <w:tcPr>
            <w:tcW w:w="400" w:type="dxa"/>
            <w:vAlign w:val="bottom"/>
            <w:tcBorders>
              <w:bottom w:val="single" w:sz="8" w:color="auto"/>
            </w:tcBorders>
            <w:shd w:val="clear" w:color="auto" w:fill="F4F4F4"/>
          </w:tcPr>
          <w:p>
            <w:pPr>
              <w:spacing w:after="0"/>
              <w:rPr>
                <w:sz w:val="15"/>
                <w:szCs w:val="15"/>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39.3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(1)</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129.2</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131.6</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399.9</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400.0</w:t>
            </w: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F4F4F4"/>
              <w:bottom w:val="single" w:sz="8" w:color="71BF43"/>
            </w:tcBorders>
            <w:shd w:val="clear" w:color="auto" w:fill="F4F4F4"/>
          </w:tcPr>
          <w:p>
            <w:pPr>
              <w:ind w:left="120"/>
              <w:spacing w:after="0"/>
              <w:rPr>
                <w:sz w:val="20"/>
                <w:szCs w:val="20"/>
                <w:color w:val="auto"/>
              </w:rPr>
            </w:pPr>
            <w:r>
              <w:rPr>
                <w:rFonts w:ascii="Arial" w:cs="Arial" w:eastAsia="Arial" w:hAnsi="Arial"/>
                <w:sz w:val="14"/>
                <w:szCs w:val="14"/>
                <w:b w:val="1"/>
                <w:bCs w:val="1"/>
                <w:color w:val="auto"/>
              </w:rPr>
              <w:t>Non-GAAP gross margin</w:t>
            </w:r>
          </w:p>
        </w:tc>
        <w:tc>
          <w:tcPr>
            <w:tcW w:w="380" w:type="dxa"/>
            <w:vAlign w:val="bottom"/>
            <w:tcBorders>
              <w:top w:val="single" w:sz="8" w:color="auto"/>
              <w:bottom w:val="single" w:sz="8" w:color="71BF43"/>
            </w:tcBorders>
            <w:shd w:val="clear" w:color="auto" w:fill="F4F4F4"/>
          </w:tcPr>
          <w:p>
            <w:pPr>
              <w:spacing w:after="0"/>
              <w:rPr>
                <w:sz w:val="15"/>
                <w:szCs w:val="15"/>
                <w:color w:val="auto"/>
              </w:rPr>
            </w:pPr>
          </w:p>
        </w:tc>
        <w:tc>
          <w:tcPr>
            <w:tcW w:w="84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60.1 %</w:t>
            </w:r>
          </w:p>
        </w:tc>
        <w:tc>
          <w:tcPr>
            <w:tcW w:w="380" w:type="dxa"/>
            <w:vAlign w:val="bottom"/>
            <w:tcBorders>
              <w:top w:val="single" w:sz="8" w:color="auto"/>
              <w:bottom w:val="single" w:sz="8" w:color="71BF43"/>
            </w:tcBorders>
            <w:shd w:val="clear" w:color="auto" w:fill="F4F4F4"/>
          </w:tcPr>
          <w:p>
            <w:pPr>
              <w:spacing w:after="0"/>
              <w:rPr>
                <w:sz w:val="15"/>
                <w:szCs w:val="15"/>
                <w:color w:val="auto"/>
              </w:rPr>
            </w:pPr>
          </w:p>
        </w:tc>
        <w:tc>
          <w:tcPr>
            <w:tcW w:w="84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59.5 %</w:t>
            </w:r>
          </w:p>
        </w:tc>
        <w:tc>
          <w:tcPr>
            <w:tcW w:w="1080" w:type="dxa"/>
            <w:vAlign w:val="bottom"/>
            <w:tcBorders>
              <w:top w:val="single" w:sz="8" w:color="F4F4F4"/>
              <w:bottom w:val="single" w:sz="8" w:color="71BF43"/>
            </w:tcBorders>
            <w:shd w:val="clear" w:color="auto" w:fill="F4F4F4"/>
          </w:tcPr>
          <w:p>
            <w:pPr>
              <w:spacing w:after="0"/>
              <w:rPr>
                <w:sz w:val="15"/>
                <w:szCs w:val="15"/>
                <w:color w:val="auto"/>
              </w:rPr>
            </w:pPr>
          </w:p>
        </w:tc>
        <w:tc>
          <w:tcPr>
            <w:tcW w:w="100" w:type="dxa"/>
            <w:vAlign w:val="bottom"/>
            <w:tcBorders>
              <w:top w:val="single" w:sz="8" w:color="F4F4F4"/>
              <w:bottom w:val="single" w:sz="8" w:color="71BF43"/>
            </w:tcBorders>
            <w:shd w:val="clear" w:color="auto" w:fill="F4F4F4"/>
          </w:tcPr>
          <w:p>
            <w:pPr>
              <w:spacing w:after="0"/>
              <w:rPr>
                <w:sz w:val="15"/>
                <w:szCs w:val="15"/>
                <w:color w:val="auto"/>
              </w:rPr>
            </w:pPr>
          </w:p>
        </w:tc>
        <w:tc>
          <w:tcPr>
            <w:tcW w:w="400" w:type="dxa"/>
            <w:vAlign w:val="bottom"/>
            <w:tcBorders>
              <w:top w:val="single" w:sz="8" w:color="auto"/>
              <w:bottom w:val="single" w:sz="8" w:color="71BF43"/>
            </w:tcBorders>
            <w:shd w:val="clear" w:color="auto" w:fill="F4F4F4"/>
          </w:tcPr>
          <w:p>
            <w:pPr>
              <w:spacing w:after="0"/>
              <w:rPr>
                <w:sz w:val="15"/>
                <w:szCs w:val="15"/>
                <w:color w:val="auto"/>
              </w:rPr>
            </w:pPr>
          </w:p>
        </w:tc>
        <w:tc>
          <w:tcPr>
            <w:tcW w:w="86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59.6 %</w:t>
            </w:r>
          </w:p>
        </w:tc>
        <w:tc>
          <w:tcPr>
            <w:tcW w:w="400" w:type="dxa"/>
            <w:vAlign w:val="bottom"/>
            <w:tcBorders>
              <w:top w:val="single" w:sz="8" w:color="auto"/>
              <w:bottom w:val="single" w:sz="8" w:color="71BF43"/>
            </w:tcBorders>
            <w:shd w:val="clear" w:color="auto" w:fill="F4F4F4"/>
          </w:tcPr>
          <w:p>
            <w:pPr>
              <w:spacing w:after="0"/>
              <w:rPr>
                <w:sz w:val="15"/>
                <w:szCs w:val="15"/>
                <w:color w:val="auto"/>
              </w:rPr>
            </w:pPr>
          </w:p>
        </w:tc>
        <w:tc>
          <w:tcPr>
            <w:tcW w:w="86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60.2 %</w:t>
            </w:r>
          </w:p>
        </w:tc>
        <w:tc>
          <w:tcPr>
            <w:tcW w:w="1080" w:type="dxa"/>
            <w:vAlign w:val="bottom"/>
            <w:tcBorders>
              <w:top w:val="single" w:sz="8" w:color="F4F4F4"/>
              <w:bottom w:val="single" w:sz="8" w:color="71BF43"/>
            </w:tcBorders>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-2082165</wp:posOffset>
            </wp:positionV>
            <wp:extent cx="46031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or non-GAAP gross profit due to rounding.</w:t>
      </w:r>
    </w:p>
    <w:p>
      <w:pPr>
        <w:spacing w:after="0" w:line="200" w:lineRule="exact"/>
        <w:rPr>
          <w:sz w:val="20"/>
          <w:szCs w:val="20"/>
          <w:color w:val="auto"/>
        </w:rPr>
      </w:pPr>
    </w:p>
    <w:p>
      <w:pPr>
        <w:spacing w:after="0" w:line="28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04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210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20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10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02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020" w:type="dxa"/>
            <w:vAlign w:val="bottom"/>
            <w:shd w:val="clear" w:color="auto" w:fill="ACACAC"/>
          </w:tcPr>
          <w:p>
            <w:pPr>
              <w:spacing w:after="0"/>
              <w:rPr>
                <w:sz w:val="15"/>
                <w:szCs w:val="15"/>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00" w:type="dxa"/>
            <w:vAlign w:val="bottom"/>
            <w:tcBorders>
              <w:bottom w:val="single" w:sz="8" w:color="ACACAC"/>
            </w:tcBorders>
            <w:shd w:val="clear" w:color="auto" w:fill="ACACAC"/>
          </w:tcPr>
          <w:p>
            <w:pPr>
              <w:spacing w:after="0"/>
              <w:rPr>
                <w:sz w:val="17"/>
                <w:szCs w:val="17"/>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tcBorders>
              <w:bottom w:val="single" w:sz="8" w:color="ACACAC"/>
            </w:tcBorders>
            <w:shd w:val="clear" w:color="auto" w:fill="ACACAC"/>
          </w:tcPr>
          <w:p>
            <w:pPr>
              <w:spacing w:after="0"/>
              <w:rPr>
                <w:sz w:val="17"/>
                <w:szCs w:val="17"/>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17"/>
                <w:szCs w:val="17"/>
                <w:color w:val="auto"/>
              </w:rPr>
            </w:pPr>
          </w:p>
        </w:tc>
        <w:tc>
          <w:tcPr>
            <w:tcW w:w="220" w:type="dxa"/>
            <w:vAlign w:val="bottom"/>
            <w:tcBorders>
              <w:bottom w:val="single" w:sz="8" w:color="ACACAC"/>
            </w:tcBorders>
            <w:shd w:val="clear" w:color="auto" w:fill="ACACAC"/>
          </w:tcPr>
          <w:p>
            <w:pPr>
              <w:spacing w:after="0"/>
              <w:rPr>
                <w:sz w:val="17"/>
                <w:szCs w:val="17"/>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tcBorders>
              <w:bottom w:val="single" w:sz="8" w:color="ACACAC"/>
            </w:tcBorders>
            <w:shd w:val="clear" w:color="auto" w:fill="ACACAC"/>
          </w:tcPr>
          <w:p>
            <w:pPr>
              <w:spacing w:after="0"/>
              <w:rPr>
                <w:sz w:val="17"/>
                <w:szCs w:val="17"/>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from operations</w:t>
            </w:r>
          </w:p>
        </w:tc>
        <w:tc>
          <w:tcPr>
            <w:tcW w:w="20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10.1</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28.0 %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38.1</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b w:val="1"/>
                <w:bCs w:val="1"/>
                <w:color w:val="auto"/>
              </w:rPr>
              <w:t>GAAP operating margin</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4.7 %</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3.6 %</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5.7 %</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3.6 %</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1060" w:type="dxa"/>
            <w:vAlign w:val="bottom"/>
            <w:tcBorders>
              <w:right w:val="single" w:sz="8" w:color="F4F4F4"/>
            </w:tcBorders>
            <w:shd w:val="clear" w:color="auto" w:fill="F4F4F4"/>
          </w:tcPr>
          <w:p>
            <w:pPr>
              <w:spacing w:after="0"/>
              <w:rPr>
                <w:sz w:val="16"/>
                <w:szCs w:val="16"/>
                <w:color w:val="auto"/>
              </w:rPr>
            </w:pP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color w:val="auto"/>
              </w:rPr>
              <w:t>Add: Acquisition-related deferred revenue write-down</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Add: Stock-based compensation expense</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20.8</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14.9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40.2 %</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54.6</w:t>
            </w: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43.6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color w:val="auto"/>
              </w:rPr>
              <w:t>Add: Amortization of intangibles from business combinations</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11.9</w:t>
            </w:r>
          </w:p>
        </w:tc>
        <w:tc>
          <w:tcPr>
            <w:tcW w:w="106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32.1</w:t>
            </w: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37.2</w:t>
            </w:r>
          </w:p>
        </w:tc>
        <w:tc>
          <w:tcPr>
            <w:tcW w:w="1040" w:type="dxa"/>
            <w:vAlign w:val="bottom"/>
          </w:tcPr>
          <w:p>
            <w:pPr>
              <w:jc w:val="right"/>
              <w:spacing w:after="0"/>
              <w:rPr>
                <w:sz w:val="20"/>
                <w:szCs w:val="20"/>
                <w:color w:val="auto"/>
              </w:rPr>
            </w:pPr>
            <w:r>
              <w:rPr>
                <w:rFonts w:ascii="Arial" w:cs="Arial" w:eastAsia="Arial" w:hAnsi="Arial"/>
                <w:sz w:val="14"/>
                <w:szCs w:val="14"/>
                <w:color w:val="auto"/>
              </w:rPr>
              <w:t>(13.8)%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Add: Employee severance</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0.2</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383.3 %</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4.6</w:t>
            </w: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3.7</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color w:val="auto"/>
              </w:rPr>
              <w:t>Add: Acquisition-related integration costs</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6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040" w:type="dxa"/>
            <w:vAlign w:val="bottom"/>
          </w:tcPr>
          <w:p>
            <w:pPr>
              <w:jc w:val="right"/>
              <w:spacing w:after="0"/>
              <w:rPr>
                <w:sz w:val="20"/>
                <w:szCs w:val="20"/>
                <w:color w:val="auto"/>
              </w:rPr>
            </w:pPr>
            <w:r>
              <w:rPr>
                <w:rFonts w:ascii="Arial" w:cs="Arial" w:eastAsia="Arial" w:hAnsi="Arial"/>
                <w:sz w:val="14"/>
                <w:szCs w:val="14"/>
                <w:color w:val="auto"/>
              </w:rPr>
              <w:t>(105.3)%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Add: Acquisition-related expenses</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0.2</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0.3</w:t>
            </w: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F4F4F4"/>
            </w:tcBorders>
          </w:tcPr>
          <w:p>
            <w:pPr>
              <w:ind w:left="120"/>
              <w:spacing w:after="0"/>
              <w:rPr>
                <w:sz w:val="20"/>
                <w:szCs w:val="20"/>
                <w:color w:val="auto"/>
              </w:rPr>
            </w:pPr>
            <w:r>
              <w:rPr>
                <w:rFonts w:ascii="Arial" w:cs="Arial" w:eastAsia="Arial" w:hAnsi="Arial"/>
                <w:sz w:val="14"/>
                <w:szCs w:val="14"/>
                <w:color w:val="auto"/>
              </w:rPr>
              <w:t>Add: Restructuring and other real estate activities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0.4</w:t>
            </w:r>
          </w:p>
        </w:tc>
        <w:tc>
          <w:tcPr>
            <w:tcW w:w="106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1,635.8 %</w:t>
            </w:r>
          </w:p>
        </w:tc>
        <w:tc>
          <w:tcPr>
            <w:tcW w:w="100" w:type="dxa"/>
            <w:vAlign w:val="bottom"/>
            <w:tcBorders>
              <w:bottom w:val="single" w:sz="8" w:color="F4F4F4"/>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127.6 %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F4F4F4"/>
          </w:tcPr>
          <w:p>
            <w:pPr>
              <w:ind w:left="360"/>
              <w:spacing w:after="0" w:line="182" w:lineRule="exact"/>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F4F4F4"/>
          </w:tcPr>
          <w:p>
            <w:pPr>
              <w:spacing w:after="0"/>
              <w:rPr>
                <w:sz w:val="15"/>
                <w:szCs w:val="15"/>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38.0</w:t>
            </w:r>
          </w:p>
        </w:tc>
        <w:tc>
          <w:tcPr>
            <w:tcW w:w="200" w:type="dxa"/>
            <w:vAlign w:val="bottom"/>
            <w:tcBorders>
              <w:bottom w:val="single" w:sz="8" w:color="auto"/>
            </w:tcBorders>
            <w:shd w:val="clear" w:color="auto" w:fill="F4F4F4"/>
          </w:tcPr>
          <w:p>
            <w:pPr>
              <w:spacing w:after="0"/>
              <w:rPr>
                <w:sz w:val="15"/>
                <w:szCs w:val="15"/>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28.7</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32.3 %</w:t>
            </w:r>
          </w:p>
        </w:tc>
        <w:tc>
          <w:tcPr>
            <w:tcW w:w="100" w:type="dxa"/>
            <w:vAlign w:val="bottom"/>
            <w:shd w:val="clear" w:color="auto" w:fill="F4F4F4"/>
          </w:tcPr>
          <w:p>
            <w:pPr>
              <w:spacing w:after="0"/>
              <w:rPr>
                <w:sz w:val="15"/>
                <w:szCs w:val="15"/>
                <w:color w:val="auto"/>
              </w:rPr>
            </w:pPr>
          </w:p>
        </w:tc>
        <w:tc>
          <w:tcPr>
            <w:tcW w:w="220" w:type="dxa"/>
            <w:vAlign w:val="bottom"/>
            <w:tcBorders>
              <w:bottom w:val="single" w:sz="8" w:color="auto"/>
            </w:tcBorders>
            <w:shd w:val="clear" w:color="auto" w:fill="F4F4F4"/>
          </w:tcPr>
          <w:p>
            <w:pPr>
              <w:spacing w:after="0"/>
              <w:rPr>
                <w:sz w:val="15"/>
                <w:szCs w:val="15"/>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98.4</w:t>
            </w:r>
          </w:p>
        </w:tc>
        <w:tc>
          <w:tcPr>
            <w:tcW w:w="220" w:type="dxa"/>
            <w:vAlign w:val="bottom"/>
            <w:tcBorders>
              <w:bottom w:val="single" w:sz="8" w:color="auto"/>
            </w:tcBorders>
            <w:shd w:val="clear" w:color="auto" w:fill="F4F4F4"/>
          </w:tcPr>
          <w:p>
            <w:pPr>
              <w:spacing w:after="0"/>
              <w:rPr>
                <w:sz w:val="15"/>
                <w:szCs w:val="15"/>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92.5</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48.1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36.6</w:t>
            </w:r>
          </w:p>
        </w:tc>
        <w:tc>
          <w:tcPr>
            <w:tcW w:w="1060" w:type="dxa"/>
            <w:vAlign w:val="bottom"/>
          </w:tcPr>
          <w:p>
            <w:pPr>
              <w:jc w:val="right"/>
              <w:spacing w:after="0"/>
              <w:rPr>
                <w:sz w:val="20"/>
                <w:szCs w:val="20"/>
                <w:color w:val="auto"/>
              </w:rPr>
            </w:pPr>
            <w:r>
              <w:rPr>
                <w:rFonts w:ascii="Arial" w:cs="Arial" w:eastAsia="Arial" w:hAnsi="Arial"/>
                <w:sz w:val="14"/>
                <w:szCs w:val="14"/>
                <w:color w:val="auto"/>
              </w:rPr>
              <w:t>31.4 %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136.5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116.1</w:t>
            </w:r>
          </w:p>
        </w:tc>
        <w:tc>
          <w:tcPr>
            <w:tcW w:w="1040" w:type="dxa"/>
            <w:vAlign w:val="bottom"/>
          </w:tcPr>
          <w:p>
            <w:pPr>
              <w:jc w:val="right"/>
              <w:spacing w:after="0"/>
              <w:rPr>
                <w:sz w:val="20"/>
                <w:szCs w:val="20"/>
                <w:color w:val="auto"/>
              </w:rPr>
            </w:pPr>
            <w:r>
              <w:rPr>
                <w:rFonts w:ascii="Arial" w:cs="Arial" w:eastAsia="Arial" w:hAnsi="Arial"/>
                <w:sz w:val="14"/>
                <w:szCs w:val="14"/>
                <w:color w:val="auto"/>
              </w:rPr>
              <w:t>17.6 %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tcBorders>
              <w:top w:val="single" w:sz="8" w:color="F4F4F4"/>
            </w:tcBorders>
            <w:shd w:val="clear" w:color="auto" w:fill="F4F4F4"/>
          </w:tcPr>
          <w:p>
            <w:pPr>
              <w:ind w:left="120"/>
              <w:spacing w:after="0"/>
              <w:rPr>
                <w:sz w:val="20"/>
                <w:szCs w:val="20"/>
                <w:color w:val="auto"/>
              </w:rPr>
            </w:pPr>
            <w:r>
              <w:rPr>
                <w:rFonts w:ascii="Arial" w:cs="Arial" w:eastAsia="Arial" w:hAnsi="Arial"/>
                <w:sz w:val="14"/>
                <w:szCs w:val="14"/>
                <w:b w:val="1"/>
                <w:bCs w:val="1"/>
                <w:color w:val="auto"/>
              </w:rPr>
              <w:t>Non-GAAP operating margin</w:t>
            </w:r>
          </w:p>
        </w:tc>
        <w:tc>
          <w:tcPr>
            <w:tcW w:w="200" w:type="dxa"/>
            <w:vAlign w:val="bottom"/>
            <w:tcBorders>
              <w:top w:val="single" w:sz="8" w:color="auto"/>
            </w:tcBorders>
            <w:shd w:val="clear" w:color="auto" w:fill="F4F4F4"/>
          </w:tcPr>
          <w:p>
            <w:pPr>
              <w:spacing w:after="0"/>
              <w:rPr>
                <w:sz w:val="15"/>
                <w:szCs w:val="15"/>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22.4 %</w:t>
            </w:r>
          </w:p>
        </w:tc>
        <w:tc>
          <w:tcPr>
            <w:tcW w:w="200" w:type="dxa"/>
            <w:vAlign w:val="bottom"/>
            <w:tcBorders>
              <w:top w:val="single" w:sz="8" w:color="auto"/>
            </w:tcBorders>
            <w:shd w:val="clear" w:color="auto" w:fill="F4F4F4"/>
          </w:tcPr>
          <w:p>
            <w:pPr>
              <w:spacing w:after="0"/>
              <w:rPr>
                <w:sz w:val="15"/>
                <w:szCs w:val="15"/>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16.5 %</w:t>
            </w:r>
          </w:p>
        </w:tc>
        <w:tc>
          <w:tcPr>
            <w:tcW w:w="1060" w:type="dxa"/>
            <w:vAlign w:val="bottom"/>
            <w:tcBorders>
              <w:top w:val="single" w:sz="8" w:color="F4F4F4"/>
              <w:right w:val="single" w:sz="8" w:color="F4F4F4"/>
            </w:tcBorders>
            <w:shd w:val="clear" w:color="auto" w:fill="F4F4F4"/>
          </w:tcPr>
          <w:p>
            <w:pPr>
              <w:spacing w:after="0"/>
              <w:rPr>
                <w:sz w:val="15"/>
                <w:szCs w:val="15"/>
                <w:color w:val="auto"/>
              </w:rPr>
            </w:pPr>
          </w:p>
        </w:tc>
        <w:tc>
          <w:tcPr>
            <w:tcW w:w="100" w:type="dxa"/>
            <w:vAlign w:val="bottom"/>
            <w:tcBorders>
              <w:top w:val="single" w:sz="8" w:color="F4F4F4"/>
            </w:tcBorders>
            <w:shd w:val="clear" w:color="auto" w:fill="F4F4F4"/>
          </w:tcPr>
          <w:p>
            <w:pPr>
              <w:spacing w:after="0"/>
              <w:rPr>
                <w:sz w:val="15"/>
                <w:szCs w:val="15"/>
                <w:color w:val="auto"/>
              </w:rPr>
            </w:pPr>
          </w:p>
        </w:tc>
        <w:tc>
          <w:tcPr>
            <w:tcW w:w="220" w:type="dxa"/>
            <w:vAlign w:val="bottom"/>
            <w:tcBorders>
              <w:top w:val="single" w:sz="8" w:color="auto"/>
            </w:tcBorders>
            <w:shd w:val="clear" w:color="auto" w:fill="F4F4F4"/>
          </w:tcPr>
          <w:p>
            <w:pPr>
              <w:spacing w:after="0"/>
              <w:rPr>
                <w:sz w:val="15"/>
                <w:szCs w:val="15"/>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20.4 %</w:t>
            </w:r>
          </w:p>
        </w:tc>
        <w:tc>
          <w:tcPr>
            <w:tcW w:w="220" w:type="dxa"/>
            <w:vAlign w:val="bottom"/>
            <w:tcBorders>
              <w:top w:val="single" w:sz="8" w:color="auto"/>
            </w:tcBorders>
            <w:shd w:val="clear" w:color="auto" w:fill="F4F4F4"/>
          </w:tcPr>
          <w:p>
            <w:pPr>
              <w:spacing w:after="0"/>
              <w:rPr>
                <w:sz w:val="15"/>
                <w:szCs w:val="15"/>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17.5 %</w:t>
            </w:r>
          </w:p>
        </w:tc>
        <w:tc>
          <w:tcPr>
            <w:tcW w:w="1040" w:type="dxa"/>
            <w:vAlign w:val="bottom"/>
            <w:tcBorders>
              <w:top w:val="single" w:sz="8" w:color="F4F4F4"/>
            </w:tcBorders>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0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6.6</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34.5 %</w:t>
            </w:r>
          </w:p>
        </w:tc>
        <w:tc>
          <w:tcPr>
            <w:tcW w:w="32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28.3</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138.8 %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GAAP 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1060" w:type="dxa"/>
            <w:vAlign w:val="bottom"/>
          </w:tcPr>
          <w:p>
            <w:pPr>
              <w:jc w:val="right"/>
              <w:spacing w:after="0"/>
              <w:rPr>
                <w:sz w:val="20"/>
                <w:szCs w:val="20"/>
                <w:color w:val="auto"/>
              </w:rPr>
            </w:pPr>
            <w:r>
              <w:rPr>
                <w:rFonts w:ascii="Arial" w:cs="Arial" w:eastAsia="Arial" w:hAnsi="Arial"/>
                <w:sz w:val="14"/>
                <w:szCs w:val="14"/>
                <w:color w:val="auto"/>
              </w:rPr>
              <w:t>6.8 %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1040" w:type="dxa"/>
            <w:vAlign w:val="bottom"/>
          </w:tcPr>
          <w:p>
            <w:pPr>
              <w:jc w:val="right"/>
              <w:spacing w:after="0"/>
              <w:rPr>
                <w:sz w:val="20"/>
                <w:szCs w:val="20"/>
                <w:color w:val="auto"/>
              </w:rPr>
            </w:pPr>
            <w:r>
              <w:rPr>
                <w:rFonts w:ascii="Arial" w:cs="Arial" w:eastAsia="Arial" w:hAnsi="Arial"/>
                <w:sz w:val="14"/>
                <w:szCs w:val="14"/>
                <w:color w:val="auto"/>
              </w:rPr>
              <w:t>101.6 %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GAAP diluted earnings per share</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48,859,707</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48,464,529</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48,582,068</w:t>
            </w: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48,223,712</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b w:val="1"/>
                <w:bCs w:val="1"/>
                <w:color w:val="auto"/>
              </w:rPr>
              <w:t>GAAP diluted earnings per share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0.09</w:t>
            </w:r>
          </w:p>
        </w:tc>
        <w:tc>
          <w:tcPr>
            <w:tcW w:w="1060" w:type="dxa"/>
            <w:vAlign w:val="bottom"/>
          </w:tcPr>
          <w:p>
            <w:pPr>
              <w:jc w:val="right"/>
              <w:spacing w:after="0"/>
              <w:rPr>
                <w:sz w:val="20"/>
                <w:szCs w:val="20"/>
                <w:color w:val="auto"/>
              </w:rPr>
            </w:pPr>
            <w:r>
              <w:rPr>
                <w:rFonts w:ascii="Arial" w:cs="Arial" w:eastAsia="Arial" w:hAnsi="Arial"/>
                <w:sz w:val="14"/>
                <w:szCs w:val="14"/>
                <w:color w:val="auto"/>
              </w:rPr>
              <w:t>11.1 %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0.44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0.22</w:t>
            </w:r>
          </w:p>
        </w:tc>
        <w:tc>
          <w:tcPr>
            <w:tcW w:w="1040" w:type="dxa"/>
            <w:vAlign w:val="bottom"/>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1060" w:type="dxa"/>
            <w:vAlign w:val="bottom"/>
            <w:tcBorders>
              <w:right w:val="single" w:sz="8" w:color="F4F4F4"/>
            </w:tcBorders>
            <w:shd w:val="clear" w:color="auto" w:fill="F4F4F4"/>
          </w:tcPr>
          <w:p>
            <w:pPr>
              <w:spacing w:after="0"/>
              <w:rPr>
                <w:sz w:val="16"/>
                <w:szCs w:val="16"/>
                <w:color w:val="auto"/>
              </w:rPr>
            </w:pPr>
          </w:p>
        </w:tc>
        <w:tc>
          <w:tcPr>
            <w:tcW w:w="10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102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20"/>
              <w:spacing w:after="0"/>
              <w:rPr>
                <w:sz w:val="20"/>
                <w:szCs w:val="20"/>
                <w:color w:val="auto"/>
              </w:rPr>
            </w:pPr>
            <w:r>
              <w:rPr>
                <w:rFonts w:ascii="Arial" w:cs="Arial" w:eastAsia="Arial" w:hAnsi="Arial"/>
                <w:sz w:val="14"/>
                <w:szCs w:val="14"/>
                <w:color w:val="auto"/>
              </w:rPr>
              <w:t>Add: GAAP income tax provision</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0.4</w:t>
            </w:r>
          </w:p>
        </w:tc>
        <w:tc>
          <w:tcPr>
            <w:tcW w:w="1060" w:type="dxa"/>
            <w:vAlign w:val="bottom"/>
          </w:tcPr>
          <w:p>
            <w:pPr>
              <w:jc w:val="right"/>
              <w:spacing w:after="0"/>
              <w:rPr>
                <w:sz w:val="20"/>
                <w:szCs w:val="20"/>
                <w:color w:val="auto"/>
              </w:rPr>
            </w:pPr>
            <w:r>
              <w:rPr>
                <w:rFonts w:ascii="Arial" w:cs="Arial" w:eastAsia="Arial" w:hAnsi="Arial"/>
                <w:sz w:val="14"/>
                <w:szCs w:val="14"/>
                <w:color w:val="auto"/>
              </w:rPr>
              <w:t>382.4 %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040" w:type="dxa"/>
            <w:vAlign w:val="bottom"/>
          </w:tcPr>
          <w:p>
            <w:pPr>
              <w:jc w:val="right"/>
              <w:spacing w:after="0"/>
              <w:rPr>
                <w:sz w:val="20"/>
                <w:szCs w:val="20"/>
                <w:color w:val="auto"/>
              </w:rPr>
            </w:pPr>
            <w:r>
              <w:rPr>
                <w:rFonts w:ascii="Arial" w:cs="Arial" w:eastAsia="Arial" w:hAnsi="Arial"/>
                <w:sz w:val="14"/>
                <w:szCs w:val="14"/>
                <w:color w:val="auto"/>
              </w:rPr>
              <w:t>450.1 %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F4F4F4"/>
          </w:tcPr>
          <w:p>
            <w:pPr>
              <w:ind w:left="120"/>
              <w:spacing w:after="0" w:line="153" w:lineRule="exact"/>
              <w:rPr>
                <w:sz w:val="20"/>
                <w:szCs w:val="20"/>
                <w:color w:val="auto"/>
              </w:rPr>
            </w:pPr>
            <w:r>
              <w:rPr>
                <w:rFonts w:ascii="Arial" w:cs="Arial" w:eastAsia="Arial" w:hAnsi="Arial"/>
                <w:sz w:val="14"/>
                <w:szCs w:val="14"/>
                <w:color w:val="auto"/>
              </w:rPr>
              <w:t>Add: Total non-GAAP adjustments affecting income from</w:t>
            </w:r>
          </w:p>
        </w:tc>
        <w:tc>
          <w:tcPr>
            <w:tcW w:w="200" w:type="dxa"/>
            <w:vAlign w:val="bottom"/>
            <w:shd w:val="clear" w:color="auto" w:fill="F4F4F4"/>
          </w:tcPr>
          <w:p>
            <w:pPr>
              <w:spacing w:after="0"/>
              <w:rPr>
                <w:sz w:val="13"/>
                <w:szCs w:val="13"/>
                <w:color w:val="auto"/>
              </w:rPr>
            </w:pPr>
          </w:p>
        </w:tc>
        <w:tc>
          <w:tcPr>
            <w:tcW w:w="1040" w:type="dxa"/>
            <w:vAlign w:val="bottom"/>
            <w:vMerge w:val="restart"/>
            <w:shd w:val="clear" w:color="auto" w:fill="F4F4F4"/>
          </w:tcPr>
          <w:p>
            <w:pPr>
              <w:jc w:val="right"/>
              <w:ind w:right="128"/>
              <w:spacing w:after="0"/>
              <w:rPr>
                <w:sz w:val="20"/>
                <w:szCs w:val="20"/>
                <w:color w:val="auto"/>
              </w:rPr>
            </w:pPr>
            <w:r>
              <w:rPr>
                <w:rFonts w:ascii="Arial" w:cs="Arial" w:eastAsia="Arial" w:hAnsi="Arial"/>
                <w:sz w:val="14"/>
                <w:szCs w:val="14"/>
                <w:color w:val="auto"/>
              </w:rPr>
              <w:t>38.0</w:t>
            </w:r>
          </w:p>
        </w:tc>
        <w:tc>
          <w:tcPr>
            <w:tcW w:w="200" w:type="dxa"/>
            <w:vAlign w:val="bottom"/>
            <w:shd w:val="clear" w:color="auto" w:fill="F4F4F4"/>
          </w:tcPr>
          <w:p>
            <w:pPr>
              <w:spacing w:after="0"/>
              <w:rPr>
                <w:sz w:val="13"/>
                <w:szCs w:val="13"/>
                <w:color w:val="auto"/>
              </w:rPr>
            </w:pPr>
          </w:p>
        </w:tc>
        <w:tc>
          <w:tcPr>
            <w:tcW w:w="1040" w:type="dxa"/>
            <w:vAlign w:val="bottom"/>
            <w:vMerge w:val="restart"/>
            <w:shd w:val="clear" w:color="auto" w:fill="F4F4F4"/>
          </w:tcPr>
          <w:p>
            <w:pPr>
              <w:jc w:val="right"/>
              <w:ind w:right="128"/>
              <w:spacing w:after="0"/>
              <w:rPr>
                <w:sz w:val="20"/>
                <w:szCs w:val="20"/>
                <w:color w:val="auto"/>
              </w:rPr>
            </w:pPr>
            <w:r>
              <w:rPr>
                <w:rFonts w:ascii="Arial" w:cs="Arial" w:eastAsia="Arial" w:hAnsi="Arial"/>
                <w:sz w:val="14"/>
                <w:szCs w:val="14"/>
                <w:color w:val="auto"/>
              </w:rPr>
              <w:t>28.7</w:t>
            </w:r>
          </w:p>
        </w:tc>
        <w:tc>
          <w:tcPr>
            <w:tcW w:w="1060" w:type="dxa"/>
            <w:vAlign w:val="bottom"/>
            <w:tcBorders>
              <w:right w:val="single" w:sz="8" w:color="F4F4F4"/>
            </w:tcBorders>
            <w:vMerge w:val="restart"/>
            <w:shd w:val="clear" w:color="auto" w:fill="F4F4F4"/>
          </w:tcPr>
          <w:p>
            <w:pPr>
              <w:jc w:val="right"/>
              <w:spacing w:after="0"/>
              <w:rPr>
                <w:sz w:val="20"/>
                <w:szCs w:val="20"/>
                <w:color w:val="auto"/>
              </w:rPr>
            </w:pPr>
            <w:r>
              <w:rPr>
                <w:rFonts w:ascii="Arial" w:cs="Arial" w:eastAsia="Arial" w:hAnsi="Arial"/>
                <w:sz w:val="14"/>
                <w:szCs w:val="14"/>
                <w:color w:val="auto"/>
              </w:rPr>
              <w:t>32.3 %</w:t>
            </w:r>
          </w:p>
        </w:tc>
        <w:tc>
          <w:tcPr>
            <w:tcW w:w="100" w:type="dxa"/>
            <w:vAlign w:val="bottom"/>
            <w:shd w:val="clear" w:color="auto" w:fill="F4F4F4"/>
          </w:tcPr>
          <w:p>
            <w:pPr>
              <w:spacing w:after="0"/>
              <w:rPr>
                <w:sz w:val="13"/>
                <w:szCs w:val="13"/>
                <w:color w:val="auto"/>
              </w:rPr>
            </w:pPr>
          </w:p>
        </w:tc>
        <w:tc>
          <w:tcPr>
            <w:tcW w:w="220" w:type="dxa"/>
            <w:vAlign w:val="bottom"/>
            <w:shd w:val="clear" w:color="auto" w:fill="F4F4F4"/>
          </w:tcPr>
          <w:p>
            <w:pPr>
              <w:spacing w:after="0"/>
              <w:rPr>
                <w:sz w:val="13"/>
                <w:szCs w:val="13"/>
                <w:color w:val="auto"/>
              </w:rPr>
            </w:pPr>
          </w:p>
        </w:tc>
        <w:tc>
          <w:tcPr>
            <w:tcW w:w="1020" w:type="dxa"/>
            <w:vAlign w:val="bottom"/>
            <w:vMerge w:val="restart"/>
            <w:shd w:val="clear" w:color="auto" w:fill="F4F4F4"/>
          </w:tcPr>
          <w:p>
            <w:pPr>
              <w:jc w:val="right"/>
              <w:ind w:right="10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F4F4F4"/>
          </w:tcPr>
          <w:p>
            <w:pPr>
              <w:spacing w:after="0"/>
              <w:rPr>
                <w:sz w:val="13"/>
                <w:szCs w:val="13"/>
                <w:color w:val="auto"/>
              </w:rPr>
            </w:pPr>
          </w:p>
        </w:tc>
        <w:tc>
          <w:tcPr>
            <w:tcW w:w="1020" w:type="dxa"/>
            <w:vAlign w:val="bottom"/>
            <w:vMerge w:val="restart"/>
            <w:shd w:val="clear" w:color="auto" w:fill="F4F4F4"/>
          </w:tcPr>
          <w:p>
            <w:pPr>
              <w:jc w:val="right"/>
              <w:ind w:right="108"/>
              <w:spacing w:after="0"/>
              <w:rPr>
                <w:sz w:val="20"/>
                <w:szCs w:val="20"/>
                <w:color w:val="auto"/>
              </w:rPr>
            </w:pPr>
            <w:r>
              <w:rPr>
                <w:rFonts w:ascii="Arial" w:cs="Arial" w:eastAsia="Arial" w:hAnsi="Arial"/>
                <w:sz w:val="14"/>
                <w:szCs w:val="14"/>
                <w:color w:val="auto"/>
              </w:rPr>
              <w:t>92.5</w:t>
            </w:r>
          </w:p>
        </w:tc>
        <w:tc>
          <w:tcPr>
            <w:tcW w:w="1040" w:type="dxa"/>
            <w:vAlign w:val="bottom"/>
            <w:vMerge w:val="restart"/>
            <w:shd w:val="clear" w:color="auto" w:fill="F4F4F4"/>
          </w:tcPr>
          <w:p>
            <w:pPr>
              <w:jc w:val="right"/>
              <w:spacing w:after="0"/>
              <w:rPr>
                <w:sz w:val="20"/>
                <w:szCs w:val="20"/>
                <w:color w:val="auto"/>
              </w:rPr>
            </w:pPr>
            <w:r>
              <w:rPr>
                <w:rFonts w:ascii="Arial" w:cs="Arial" w:eastAsia="Arial" w:hAnsi="Arial"/>
                <w:sz w:val="14"/>
                <w:szCs w:val="14"/>
                <w:color w:val="auto"/>
              </w:rPr>
              <w:t>6.4 %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F4F4F4"/>
          </w:tcPr>
          <w:p>
            <w:pPr>
              <w:ind w:left="120"/>
              <w:spacing w:after="0"/>
              <w:rPr>
                <w:sz w:val="20"/>
                <w:szCs w:val="20"/>
                <w:color w:val="auto"/>
              </w:rPr>
            </w:pPr>
            <w:r>
              <w:rPr>
                <w:rFonts w:ascii="Arial" w:cs="Arial" w:eastAsia="Arial" w:hAnsi="Arial"/>
                <w:sz w:val="14"/>
                <w:szCs w:val="14"/>
                <w:color w:val="auto"/>
              </w:rPr>
              <w:t>operations</w:t>
            </w:r>
          </w:p>
        </w:tc>
        <w:tc>
          <w:tcPr>
            <w:tcW w:w="200" w:type="dxa"/>
            <w:vAlign w:val="bottom"/>
            <w:tcBorders>
              <w:bottom w:val="single" w:sz="8" w:color="auto"/>
            </w:tcBorders>
            <w:shd w:val="clear" w:color="auto" w:fill="F4F4F4"/>
          </w:tcPr>
          <w:p>
            <w:pPr>
              <w:spacing w:after="0"/>
              <w:rPr>
                <w:sz w:val="14"/>
                <w:szCs w:val="14"/>
                <w:color w:val="auto"/>
              </w:rPr>
            </w:pPr>
          </w:p>
        </w:tc>
        <w:tc>
          <w:tcPr>
            <w:tcW w:w="1040" w:type="dxa"/>
            <w:vAlign w:val="bottom"/>
            <w:tcBorders>
              <w:bottom w:val="single" w:sz="8" w:color="auto"/>
            </w:tcBorders>
            <w:vMerge w:val="continue"/>
            <w:shd w:val="clear" w:color="auto" w:fill="F4F4F4"/>
          </w:tcPr>
          <w:p>
            <w:pPr>
              <w:spacing w:after="0"/>
              <w:rPr>
                <w:sz w:val="14"/>
                <w:szCs w:val="14"/>
                <w:color w:val="auto"/>
              </w:rPr>
            </w:pPr>
          </w:p>
        </w:tc>
        <w:tc>
          <w:tcPr>
            <w:tcW w:w="200" w:type="dxa"/>
            <w:vAlign w:val="bottom"/>
            <w:tcBorders>
              <w:bottom w:val="single" w:sz="8" w:color="auto"/>
            </w:tcBorders>
            <w:shd w:val="clear" w:color="auto" w:fill="F4F4F4"/>
          </w:tcPr>
          <w:p>
            <w:pPr>
              <w:spacing w:after="0"/>
              <w:rPr>
                <w:sz w:val="14"/>
                <w:szCs w:val="14"/>
                <w:color w:val="auto"/>
              </w:rPr>
            </w:pPr>
          </w:p>
        </w:tc>
        <w:tc>
          <w:tcPr>
            <w:tcW w:w="1040" w:type="dxa"/>
            <w:vAlign w:val="bottom"/>
            <w:tcBorders>
              <w:bottom w:val="single" w:sz="8" w:color="auto"/>
            </w:tcBorders>
            <w:vMerge w:val="continue"/>
            <w:shd w:val="clear" w:color="auto" w:fill="F4F4F4"/>
          </w:tcPr>
          <w:p>
            <w:pPr>
              <w:spacing w:after="0"/>
              <w:rPr>
                <w:sz w:val="14"/>
                <w:szCs w:val="14"/>
                <w:color w:val="auto"/>
              </w:rPr>
            </w:pPr>
          </w:p>
        </w:tc>
        <w:tc>
          <w:tcPr>
            <w:tcW w:w="1060" w:type="dxa"/>
            <w:vAlign w:val="bottom"/>
            <w:tcBorders>
              <w:right w:val="single" w:sz="8" w:color="F4F4F4"/>
            </w:tcBorders>
            <w:vMerge w:val="continue"/>
            <w:shd w:val="clear" w:color="auto" w:fill="F4F4F4"/>
          </w:tcPr>
          <w:p>
            <w:pPr>
              <w:spacing w:after="0"/>
              <w:rPr>
                <w:sz w:val="14"/>
                <w:szCs w:val="14"/>
                <w:color w:val="auto"/>
              </w:rPr>
            </w:pPr>
          </w:p>
        </w:tc>
        <w:tc>
          <w:tcPr>
            <w:tcW w:w="100" w:type="dxa"/>
            <w:vAlign w:val="bottom"/>
            <w:shd w:val="clear" w:color="auto" w:fill="F4F4F4"/>
          </w:tcPr>
          <w:p>
            <w:pPr>
              <w:spacing w:after="0"/>
              <w:rPr>
                <w:sz w:val="14"/>
                <w:szCs w:val="14"/>
                <w:color w:val="auto"/>
              </w:rPr>
            </w:pPr>
          </w:p>
        </w:tc>
        <w:tc>
          <w:tcPr>
            <w:tcW w:w="220" w:type="dxa"/>
            <w:vAlign w:val="bottom"/>
            <w:tcBorders>
              <w:bottom w:val="single" w:sz="8" w:color="auto"/>
            </w:tcBorders>
            <w:shd w:val="clear" w:color="auto" w:fill="F4F4F4"/>
          </w:tcPr>
          <w:p>
            <w:pPr>
              <w:spacing w:after="0"/>
              <w:rPr>
                <w:sz w:val="14"/>
                <w:szCs w:val="14"/>
                <w:color w:val="auto"/>
              </w:rPr>
            </w:pPr>
          </w:p>
        </w:tc>
        <w:tc>
          <w:tcPr>
            <w:tcW w:w="1020" w:type="dxa"/>
            <w:vAlign w:val="bottom"/>
            <w:tcBorders>
              <w:bottom w:val="single" w:sz="8" w:color="auto"/>
            </w:tcBorders>
            <w:vMerge w:val="continue"/>
            <w:shd w:val="clear" w:color="auto" w:fill="F4F4F4"/>
          </w:tcPr>
          <w:p>
            <w:pPr>
              <w:spacing w:after="0"/>
              <w:rPr>
                <w:sz w:val="14"/>
                <w:szCs w:val="14"/>
                <w:color w:val="auto"/>
              </w:rPr>
            </w:pPr>
          </w:p>
        </w:tc>
        <w:tc>
          <w:tcPr>
            <w:tcW w:w="220" w:type="dxa"/>
            <w:vAlign w:val="bottom"/>
            <w:tcBorders>
              <w:bottom w:val="single" w:sz="8" w:color="auto"/>
            </w:tcBorders>
            <w:shd w:val="clear" w:color="auto" w:fill="F4F4F4"/>
          </w:tcPr>
          <w:p>
            <w:pPr>
              <w:spacing w:after="0"/>
              <w:rPr>
                <w:sz w:val="14"/>
                <w:szCs w:val="14"/>
                <w:color w:val="auto"/>
              </w:rPr>
            </w:pPr>
          </w:p>
        </w:tc>
        <w:tc>
          <w:tcPr>
            <w:tcW w:w="1020" w:type="dxa"/>
            <w:vAlign w:val="bottom"/>
            <w:tcBorders>
              <w:bottom w:val="single" w:sz="8" w:color="auto"/>
            </w:tcBorders>
            <w:vMerge w:val="continue"/>
            <w:shd w:val="clear" w:color="auto" w:fill="F4F4F4"/>
          </w:tcPr>
          <w:p>
            <w:pPr>
              <w:spacing w:after="0"/>
              <w:rPr>
                <w:sz w:val="14"/>
                <w:szCs w:val="14"/>
                <w:color w:val="auto"/>
              </w:rPr>
            </w:pPr>
          </w:p>
        </w:tc>
        <w:tc>
          <w:tcPr>
            <w:tcW w:w="1040" w:type="dxa"/>
            <w:vAlign w:val="bottom"/>
            <w:vMerge w:val="continue"/>
            <w:shd w:val="clear" w:color="auto" w:fill="F4F4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1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0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44.7</w:t>
            </w:r>
          </w:p>
        </w:tc>
        <w:tc>
          <w:tcPr>
            <w:tcW w:w="20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33.7</w:t>
            </w:r>
          </w:p>
        </w:tc>
        <w:tc>
          <w:tcPr>
            <w:tcW w:w="1060" w:type="dxa"/>
            <w:vAlign w:val="bottom"/>
          </w:tcPr>
          <w:p>
            <w:pPr>
              <w:jc w:val="right"/>
              <w:spacing w:after="0"/>
              <w:rPr>
                <w:sz w:val="20"/>
                <w:szCs w:val="20"/>
                <w:color w:val="auto"/>
              </w:rPr>
            </w:pPr>
            <w:r>
              <w:rPr>
                <w:rFonts w:ascii="Arial" w:cs="Arial" w:eastAsia="Arial" w:hAnsi="Arial"/>
                <w:sz w:val="14"/>
                <w:szCs w:val="14"/>
                <w:color w:val="auto"/>
              </w:rPr>
              <w:t>32.6 %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126.7</w:t>
            </w:r>
          </w:p>
        </w:tc>
        <w:tc>
          <w:tcPr>
            <w:tcW w:w="22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104.3</w:t>
            </w:r>
          </w:p>
        </w:tc>
        <w:tc>
          <w:tcPr>
            <w:tcW w:w="1040" w:type="dxa"/>
            <w:vAlign w:val="bottom"/>
          </w:tcPr>
          <w:p>
            <w:pPr>
              <w:jc w:val="right"/>
              <w:spacing w:after="0"/>
              <w:rPr>
                <w:sz w:val="20"/>
                <w:szCs w:val="20"/>
                <w:color w:val="auto"/>
              </w:rPr>
            </w:pPr>
            <w:r>
              <w:rPr>
                <w:rFonts w:ascii="Arial" w:cs="Arial" w:eastAsia="Arial" w:hAnsi="Arial"/>
                <w:sz w:val="14"/>
                <w:szCs w:val="14"/>
                <w:color w:val="auto"/>
              </w:rPr>
              <w:t>21.4 %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F4F4F4"/>
          </w:tcPr>
          <w:p>
            <w:pPr>
              <w:ind w:left="140"/>
              <w:spacing w:after="0" w:line="189" w:lineRule="exact"/>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(2)</w:t>
            </w:r>
          </w:p>
        </w:tc>
        <w:tc>
          <w:tcPr>
            <w:tcW w:w="20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6.7</w:t>
            </w:r>
          </w:p>
        </w:tc>
        <w:tc>
          <w:tcPr>
            <w:tcW w:w="106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32.6 %</w:t>
            </w:r>
          </w:p>
        </w:tc>
        <w:tc>
          <w:tcPr>
            <w:tcW w:w="100" w:type="dxa"/>
            <w:vAlign w:val="bottom"/>
            <w:shd w:val="clear" w:color="auto" w:fill="F4F4F4"/>
          </w:tcPr>
          <w:p>
            <w:pPr>
              <w:spacing w:after="0"/>
              <w:rPr>
                <w:sz w:val="16"/>
                <w:szCs w:val="16"/>
                <w:color w:val="auto"/>
              </w:rPr>
            </w:pPr>
          </w:p>
        </w:tc>
        <w:tc>
          <w:tcPr>
            <w:tcW w:w="22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25.3</w:t>
            </w:r>
          </w:p>
        </w:tc>
        <w:tc>
          <w:tcPr>
            <w:tcW w:w="22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20.9</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21.4 %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35.7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26.9</w:t>
            </w:r>
          </w:p>
        </w:tc>
        <w:tc>
          <w:tcPr>
            <w:tcW w:w="1060" w:type="dxa"/>
            <w:vAlign w:val="bottom"/>
          </w:tcPr>
          <w:p>
            <w:pPr>
              <w:jc w:val="right"/>
              <w:spacing w:after="0"/>
              <w:rPr>
                <w:sz w:val="20"/>
                <w:szCs w:val="20"/>
                <w:color w:val="auto"/>
              </w:rPr>
            </w:pPr>
            <w:r>
              <w:rPr>
                <w:rFonts w:ascii="Arial" w:cs="Arial" w:eastAsia="Arial" w:hAnsi="Arial"/>
                <w:sz w:val="14"/>
                <w:szCs w:val="14"/>
                <w:color w:val="auto"/>
              </w:rPr>
              <w:t>32.6 %</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83.5</w:t>
            </w:r>
          </w:p>
        </w:tc>
        <w:tc>
          <w:tcPr>
            <w:tcW w:w="1040" w:type="dxa"/>
            <w:vAlign w:val="bottom"/>
          </w:tcPr>
          <w:p>
            <w:pPr>
              <w:jc w:val="right"/>
              <w:spacing w:after="0"/>
              <w:rPr>
                <w:sz w:val="20"/>
                <w:szCs w:val="20"/>
                <w:color w:val="auto"/>
              </w:rPr>
            </w:pPr>
            <w:r>
              <w:rPr>
                <w:rFonts w:ascii="Arial" w:cs="Arial" w:eastAsia="Arial" w:hAnsi="Arial"/>
                <w:sz w:val="14"/>
                <w:szCs w:val="14"/>
                <w:color w:val="auto"/>
              </w:rPr>
              <w:t>21.4 %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80" w:type="dxa"/>
            <w:vAlign w:val="bottom"/>
            <w:tcBorders>
              <w:top w:val="single" w:sz="8" w:color="F4F4F4"/>
            </w:tcBorders>
            <w:shd w:val="clear" w:color="auto" w:fill="F4F4F4"/>
          </w:tcPr>
          <w:p>
            <w:pPr>
              <w:spacing w:after="0"/>
              <w:rPr>
                <w:sz w:val="11"/>
                <w:szCs w:val="11"/>
                <w:color w:val="auto"/>
              </w:rPr>
            </w:pPr>
          </w:p>
        </w:tc>
        <w:tc>
          <w:tcPr>
            <w:tcW w:w="20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20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1060" w:type="dxa"/>
            <w:vAlign w:val="bottom"/>
            <w:tcBorders>
              <w:top w:val="single" w:sz="8" w:color="F4F4F4"/>
              <w:right w:val="single" w:sz="8" w:color="F4F4F4"/>
            </w:tcBorders>
            <w:shd w:val="clear" w:color="auto" w:fill="F4F4F4"/>
          </w:tcPr>
          <w:p>
            <w:pPr>
              <w:spacing w:after="0"/>
              <w:rPr>
                <w:sz w:val="11"/>
                <w:szCs w:val="11"/>
                <w:color w:val="auto"/>
              </w:rPr>
            </w:pPr>
          </w:p>
        </w:tc>
        <w:tc>
          <w:tcPr>
            <w:tcW w:w="100" w:type="dxa"/>
            <w:vAlign w:val="bottom"/>
            <w:tcBorders>
              <w:top w:val="single" w:sz="8" w:color="F4F4F4"/>
            </w:tcBorders>
            <w:shd w:val="clear" w:color="auto" w:fill="F4F4F4"/>
          </w:tcPr>
          <w:p>
            <w:pPr>
              <w:spacing w:after="0"/>
              <w:rPr>
                <w:sz w:val="11"/>
                <w:szCs w:val="11"/>
                <w:color w:val="auto"/>
              </w:rPr>
            </w:pPr>
          </w:p>
        </w:tc>
        <w:tc>
          <w:tcPr>
            <w:tcW w:w="220" w:type="dxa"/>
            <w:vAlign w:val="bottom"/>
            <w:tcBorders>
              <w:top w:val="single" w:sz="8" w:color="auto"/>
            </w:tcBorders>
            <w:shd w:val="clear" w:color="auto" w:fill="F4F4F4"/>
          </w:tcPr>
          <w:p>
            <w:pPr>
              <w:spacing w:after="0"/>
              <w:rPr>
                <w:sz w:val="11"/>
                <w:szCs w:val="11"/>
                <w:color w:val="auto"/>
              </w:rPr>
            </w:pPr>
          </w:p>
        </w:tc>
        <w:tc>
          <w:tcPr>
            <w:tcW w:w="1020" w:type="dxa"/>
            <w:vAlign w:val="bottom"/>
            <w:tcBorders>
              <w:top w:val="single" w:sz="8" w:color="auto"/>
            </w:tcBorders>
            <w:shd w:val="clear" w:color="auto" w:fill="F4F4F4"/>
          </w:tcPr>
          <w:p>
            <w:pPr>
              <w:spacing w:after="0"/>
              <w:rPr>
                <w:sz w:val="11"/>
                <w:szCs w:val="11"/>
                <w:color w:val="auto"/>
              </w:rPr>
            </w:pPr>
          </w:p>
        </w:tc>
        <w:tc>
          <w:tcPr>
            <w:tcW w:w="220" w:type="dxa"/>
            <w:vAlign w:val="bottom"/>
            <w:tcBorders>
              <w:top w:val="single" w:sz="8" w:color="auto"/>
            </w:tcBorders>
            <w:shd w:val="clear" w:color="auto" w:fill="F4F4F4"/>
          </w:tcPr>
          <w:p>
            <w:pPr>
              <w:spacing w:after="0"/>
              <w:rPr>
                <w:sz w:val="11"/>
                <w:szCs w:val="11"/>
                <w:color w:val="auto"/>
              </w:rPr>
            </w:pPr>
          </w:p>
        </w:tc>
        <w:tc>
          <w:tcPr>
            <w:tcW w:w="102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F4F4F4"/>
            </w:tcBorders>
            <w:shd w:val="clear" w:color="auto" w:fill="F4F4F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80" w:type="dxa"/>
            <w:vAlign w:val="bottom"/>
          </w:tcPr>
          <w:p>
            <w:pPr>
              <w:ind w:left="20"/>
              <w:spacing w:after="0" w:line="153" w:lineRule="exact"/>
              <w:rPr>
                <w:sz w:val="20"/>
                <w:szCs w:val="20"/>
                <w:color w:val="auto"/>
              </w:rPr>
            </w:pPr>
            <w:r>
              <w:rPr>
                <w:rFonts w:ascii="Arial" w:cs="Arial" w:eastAsia="Arial" w:hAnsi="Arial"/>
                <w:sz w:val="14"/>
                <w:szCs w:val="14"/>
                <w:color w:val="auto"/>
              </w:rPr>
              <w:t>Shares used in computing non-GAAP diluted earnings per</w:t>
            </w:r>
          </w:p>
        </w:tc>
        <w:tc>
          <w:tcPr>
            <w:tcW w:w="20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48,859,707</w:t>
            </w:r>
          </w:p>
        </w:tc>
        <w:tc>
          <w:tcPr>
            <w:tcW w:w="20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48,464,529</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48,582,068</w:t>
            </w:r>
          </w:p>
        </w:tc>
        <w:tc>
          <w:tcPr>
            <w:tcW w:w="22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48,223,712</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71BF43"/>
            </w:tcBorders>
            <w:shd w:val="clear" w:color="auto" w:fill="F4F4F4"/>
          </w:tcPr>
          <w:p>
            <w:pPr>
              <w:ind w:left="120"/>
              <w:spacing w:after="0"/>
              <w:rPr>
                <w:sz w:val="20"/>
                <w:szCs w:val="20"/>
                <w:color w:val="auto"/>
              </w:rPr>
            </w:pPr>
            <w:r>
              <w:rPr>
                <w:rFonts w:ascii="Arial" w:cs="Arial" w:eastAsia="Arial" w:hAnsi="Arial"/>
                <w:sz w:val="14"/>
                <w:szCs w:val="14"/>
                <w:b w:val="1"/>
                <w:bCs w:val="1"/>
                <w:color w:val="auto"/>
              </w:rPr>
              <w:t>Non-GAAP diluted earnings per share</w:t>
            </w:r>
          </w:p>
        </w:tc>
        <w:tc>
          <w:tcPr>
            <w:tcW w:w="200" w:type="dxa"/>
            <w:vAlign w:val="bottom"/>
            <w:tcBorders>
              <w:bottom w:val="single" w:sz="8" w:color="71BF43"/>
            </w:tcBorders>
            <w:shd w:val="clear" w:color="auto" w:fill="F4F4F4"/>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0.73</w:t>
            </w:r>
          </w:p>
        </w:tc>
        <w:tc>
          <w:tcPr>
            <w:tcW w:w="200" w:type="dxa"/>
            <w:vAlign w:val="bottom"/>
            <w:tcBorders>
              <w:bottom w:val="single" w:sz="8" w:color="71BF43"/>
            </w:tcBorders>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0.56</w:t>
            </w:r>
          </w:p>
        </w:tc>
        <w:tc>
          <w:tcPr>
            <w:tcW w:w="1060" w:type="dxa"/>
            <w:vAlign w:val="bottom"/>
            <w:tcBorders>
              <w:bottom w:val="single" w:sz="8" w:color="71BF43"/>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30.4 %</w:t>
            </w:r>
          </w:p>
        </w:tc>
        <w:tc>
          <w:tcPr>
            <w:tcW w:w="320" w:type="dxa"/>
            <w:vAlign w:val="bottom"/>
            <w:tcBorders>
              <w:bottom w:val="single" w:sz="8" w:color="71BF43"/>
            </w:tcBorders>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2.09</w:t>
            </w:r>
          </w:p>
        </w:tc>
        <w:tc>
          <w:tcPr>
            <w:tcW w:w="220" w:type="dxa"/>
            <w:vAlign w:val="bottom"/>
            <w:tcBorders>
              <w:bottom w:val="single" w:sz="8" w:color="71BF43"/>
            </w:tcBorders>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1.73</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20.8 %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-3548380</wp:posOffset>
            </wp:positionV>
            <wp:extent cx="45605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income from operations or non-GAAP net income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shd w:val="clear" w:color="auto" w:fill="ACACAC"/>
          </w:tcPr>
          <w:p>
            <w:pPr>
              <w:spacing w:after="0"/>
              <w:rPr>
                <w:sz w:val="14"/>
                <w:szCs w:val="14"/>
                <w:color w:val="auto"/>
              </w:rPr>
            </w:pPr>
          </w:p>
        </w:tc>
        <w:tc>
          <w:tcPr>
            <w:tcW w:w="602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21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4"/>
                <w:szCs w:val="14"/>
                <w:color w:val="auto"/>
              </w:rPr>
            </w:pPr>
          </w:p>
        </w:tc>
      </w:tr>
      <w:tr>
        <w:trPr>
          <w:trHeight w:val="175"/>
        </w:trPr>
        <w:tc>
          <w:tcPr>
            <w:tcW w:w="1540" w:type="dxa"/>
            <w:vAlign w:val="bottom"/>
            <w:shd w:val="clear" w:color="auto" w:fill="ACACAC"/>
          </w:tcPr>
          <w:p>
            <w:pPr>
              <w:spacing w:after="0"/>
              <w:rPr>
                <w:sz w:val="15"/>
                <w:szCs w:val="15"/>
                <w:color w:val="auto"/>
              </w:rPr>
            </w:pPr>
          </w:p>
        </w:tc>
        <w:tc>
          <w:tcPr>
            <w:tcW w:w="602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800" w:type="dxa"/>
            <w:vAlign w:val="bottom"/>
            <w:shd w:val="clear" w:color="auto" w:fill="ACACAC"/>
          </w:tcPr>
          <w:p>
            <w:pPr>
              <w:spacing w:after="0"/>
              <w:rPr>
                <w:sz w:val="15"/>
                <w:szCs w:val="15"/>
                <w:color w:val="auto"/>
              </w:rPr>
            </w:pPr>
          </w:p>
        </w:tc>
        <w:tc>
          <w:tcPr>
            <w:tcW w:w="380" w:type="dxa"/>
            <w:vAlign w:val="bottom"/>
            <w:shd w:val="clear" w:color="auto" w:fill="ACACAC"/>
          </w:tcPr>
          <w:p>
            <w:pPr>
              <w:spacing w:after="0"/>
              <w:rPr>
                <w:sz w:val="15"/>
                <w:szCs w:val="15"/>
                <w:color w:val="auto"/>
              </w:rPr>
            </w:pPr>
          </w:p>
        </w:tc>
        <w:tc>
          <w:tcPr>
            <w:tcW w:w="800" w:type="dxa"/>
            <w:vAlign w:val="bottom"/>
            <w:shd w:val="clear" w:color="auto" w:fill="ACACAC"/>
          </w:tcPr>
          <w:p>
            <w:pPr>
              <w:spacing w:after="0"/>
              <w:rPr>
                <w:sz w:val="15"/>
                <w:szCs w:val="15"/>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216"/>
        </w:trPr>
        <w:tc>
          <w:tcPr>
            <w:tcW w:w="1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6020" w:type="dxa"/>
            <w:vAlign w:val="bottom"/>
            <w:shd w:val="clear" w:color="auto" w:fill="ACACAC"/>
          </w:tcPr>
          <w:p>
            <w:pPr>
              <w:spacing w:after="0"/>
              <w:rPr>
                <w:sz w:val="18"/>
                <w:szCs w:val="18"/>
                <w:color w:val="auto"/>
              </w:rPr>
            </w:pPr>
          </w:p>
        </w:tc>
        <w:tc>
          <w:tcPr>
            <w:tcW w:w="400" w:type="dxa"/>
            <w:vAlign w:val="bottom"/>
            <w:shd w:val="clear" w:color="auto" w:fill="ACACAC"/>
          </w:tcPr>
          <w:p>
            <w:pPr>
              <w:spacing w:after="0"/>
              <w:rPr>
                <w:sz w:val="18"/>
                <w:szCs w:val="18"/>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8"/>
                <w:szCs w:val="18"/>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r>
      <w:tr>
        <w:trPr>
          <w:trHeight w:val="230"/>
        </w:trPr>
        <w:tc>
          <w:tcPr>
            <w:tcW w:w="7560" w:type="dxa"/>
            <w:vAlign w:val="bottom"/>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109.2</w:t>
            </w: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122.1</w:t>
            </w:r>
          </w:p>
        </w:tc>
        <w:tc>
          <w:tcPr>
            <w:tcW w:w="13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30"/>
        </w:trPr>
        <w:tc>
          <w:tcPr>
            <w:tcW w:w="7560" w:type="dxa"/>
            <w:vAlign w:val="bottom"/>
            <w:gridSpan w:val="2"/>
          </w:tcPr>
          <w:p>
            <w:pPr>
              <w:ind w:left="120"/>
              <w:spacing w:after="0"/>
              <w:rPr>
                <w:sz w:val="20"/>
                <w:szCs w:val="20"/>
                <w:color w:val="auto"/>
              </w:rPr>
            </w:pPr>
            <w:r>
              <w:rPr>
                <w:rFonts w:ascii="Arial" w:cs="Arial" w:eastAsia="Arial" w:hAnsi="Arial"/>
                <w:sz w:val="18"/>
                <w:szCs w:val="18"/>
                <w:color w:val="auto"/>
              </w:rPr>
              <w:t>Less: purchase of property and equipment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300" w:type="dxa"/>
            <w:vAlign w:val="bottom"/>
          </w:tcPr>
          <w:p>
            <w:pPr>
              <w:jc w:val="right"/>
              <w:spacing w:after="0"/>
              <w:rPr>
                <w:sz w:val="20"/>
                <w:szCs w:val="20"/>
                <w:color w:val="auto"/>
              </w:rPr>
            </w:pPr>
            <w:r>
              <w:rPr>
                <w:rFonts w:ascii="Arial" w:cs="Arial" w:eastAsia="Arial" w:hAnsi="Arial"/>
                <w:sz w:val="18"/>
                <w:szCs w:val="18"/>
                <w:color w:val="auto"/>
              </w:rPr>
              <w:t>169.2 %</w:t>
            </w:r>
          </w:p>
        </w:tc>
        <w:tc>
          <w:tcPr>
            <w:tcW w:w="20" w:type="dxa"/>
            <w:vAlign w:val="bottom"/>
          </w:tcPr>
          <w:p>
            <w:pPr>
              <w:spacing w:after="0"/>
              <w:rPr>
                <w:sz w:val="19"/>
                <w:szCs w:val="19"/>
                <w:color w:val="auto"/>
              </w:rPr>
            </w:pPr>
          </w:p>
        </w:tc>
      </w:tr>
      <w:tr>
        <w:trPr>
          <w:trHeight w:val="230"/>
        </w:trPr>
        <w:tc>
          <w:tcPr>
            <w:tcW w:w="7560" w:type="dxa"/>
            <w:vAlign w:val="bottom"/>
            <w:gridSpan w:val="2"/>
            <w:shd w:val="clear" w:color="auto" w:fill="F4F4F4"/>
          </w:tcPr>
          <w:p>
            <w:pPr>
              <w:ind w:left="120"/>
              <w:spacing w:after="0"/>
              <w:rPr>
                <w:sz w:val="20"/>
                <w:szCs w:val="20"/>
                <w:color w:val="auto"/>
              </w:rPr>
            </w:pPr>
            <w:r>
              <w:rPr>
                <w:rFonts w:ascii="Arial" w:cs="Arial" w:eastAsia="Arial" w:hAnsi="Arial"/>
                <w:sz w:val="18"/>
                <w:szCs w:val="18"/>
                <w:color w:val="auto"/>
              </w:rPr>
              <w:t>Less: capitalized software development costs</w:t>
            </w:r>
          </w:p>
        </w:tc>
        <w:tc>
          <w:tcPr>
            <w:tcW w:w="400" w:type="dxa"/>
            <w:vAlign w:val="bottom"/>
            <w:tcBorders>
              <w:bottom w:val="single" w:sz="8" w:color="auto"/>
            </w:tcBorders>
            <w:shd w:val="clear" w:color="auto" w:fill="F4F4F4"/>
          </w:tcPr>
          <w:p>
            <w:pPr>
              <w:spacing w:after="0"/>
              <w:rPr>
                <w:sz w:val="19"/>
                <w:szCs w:val="19"/>
                <w:color w:val="auto"/>
              </w:rPr>
            </w:pPr>
          </w:p>
        </w:tc>
        <w:tc>
          <w:tcPr>
            <w:tcW w:w="8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(32.0)</w:t>
            </w:r>
          </w:p>
        </w:tc>
        <w:tc>
          <w:tcPr>
            <w:tcW w:w="380" w:type="dxa"/>
            <w:vAlign w:val="bottom"/>
            <w:tcBorders>
              <w:bottom w:val="single" w:sz="8" w:color="auto"/>
            </w:tcBorders>
            <w:shd w:val="clear" w:color="auto" w:fill="F4F4F4"/>
          </w:tcPr>
          <w:p>
            <w:pPr>
              <w:spacing w:after="0"/>
              <w:rPr>
                <w:sz w:val="19"/>
                <w:szCs w:val="19"/>
                <w:color w:val="auto"/>
              </w:rPr>
            </w:pPr>
          </w:p>
        </w:tc>
        <w:tc>
          <w:tcPr>
            <w:tcW w:w="8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(34.5)</w:t>
            </w:r>
          </w:p>
        </w:tc>
        <w:tc>
          <w:tcPr>
            <w:tcW w:w="13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71BF43"/>
            </w:tcBorders>
            <w:gridSpan w:val="2"/>
          </w:tcPr>
          <w:p>
            <w:pPr>
              <w:ind w:left="20"/>
              <w:spacing w:after="0"/>
              <w:rPr>
                <w:sz w:val="20"/>
                <w:szCs w:val="20"/>
                <w:color w:val="auto"/>
              </w:rPr>
            </w:pPr>
            <w:r>
              <w:rPr>
                <w:rFonts w:ascii="Arial" w:cs="Arial" w:eastAsia="Arial" w:hAnsi="Arial"/>
                <w:sz w:val="18"/>
                <w:szCs w:val="18"/>
                <w:b w:val="1"/>
                <w:bCs w:val="1"/>
                <w:color w:val="auto"/>
              </w:rPr>
              <w:t>Non-GAAP free cash flow</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51.3</w:t>
            </w:r>
          </w:p>
        </w:tc>
        <w:tc>
          <w:tcPr>
            <w:tcW w:w="380" w:type="dxa"/>
            <w:vAlign w:val="bottom"/>
            <w:tcBorders>
              <w:bottom w:val="single" w:sz="8" w:color="71BF43"/>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78.0</w:t>
            </w:r>
          </w:p>
        </w:tc>
        <w:tc>
          <w:tcPr>
            <w:tcW w:w="13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r>
      <w:tr>
        <w:trPr>
          <w:trHeight w:val="900"/>
        </w:trPr>
        <w:tc>
          <w:tcPr>
            <w:tcW w:w="1540" w:type="dxa"/>
            <w:vAlign w:val="bottom"/>
          </w:tcPr>
          <w:p>
            <w:pPr>
              <w:ind w:left="240"/>
              <w:spacing w:after="0"/>
              <w:rPr>
                <w:sz w:val="20"/>
                <w:szCs w:val="20"/>
                <w:color w:val="auto"/>
              </w:rPr>
            </w:pPr>
            <w:r>
              <w:rPr>
                <w:rFonts w:ascii="Arial" w:cs="Arial" w:eastAsia="Arial" w:hAnsi="Arial"/>
                <w:sz w:val="14"/>
                <w:szCs w:val="14"/>
                <w:color w:val="auto"/>
              </w:rPr>
              <w:t>40</w:t>
            </w:r>
          </w:p>
        </w:tc>
        <w:tc>
          <w:tcPr>
            <w:tcW w:w="6020" w:type="dxa"/>
            <w:vAlign w:val="bottom"/>
          </w:tcPr>
          <w:p>
            <w:pPr>
              <w:ind w:left="180"/>
              <w:spacing w:after="0"/>
              <w:rPr>
                <w:sz w:val="20"/>
                <w:szCs w:val="20"/>
                <w:color w:val="auto"/>
              </w:rPr>
            </w:pPr>
            <w:r>
              <w:rPr>
                <w:rFonts w:ascii="Arial" w:cs="Arial" w:eastAsia="Arial" w:hAnsi="Arial"/>
                <w:sz w:val="14"/>
                <w:szCs w:val="14"/>
                <w:color w:val="auto"/>
              </w:rPr>
              <w:t>Third Quarter 2020 Form 10-Q</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1540" w:type="dxa"/>
            <w:vAlign w:val="bottom"/>
            <w:tcBorders>
              <w:bottom w:val="single" w:sz="8" w:color="9A9A9A"/>
            </w:tcBorders>
          </w:tcPr>
          <w:p>
            <w:pPr>
              <w:spacing w:after="0"/>
              <w:rPr>
                <w:sz w:val="9"/>
                <w:szCs w:val="9"/>
                <w:color w:val="auto"/>
              </w:rPr>
            </w:pPr>
          </w:p>
        </w:tc>
        <w:tc>
          <w:tcPr>
            <w:tcW w:w="6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-1396365</wp:posOffset>
            </wp:positionV>
            <wp:extent cx="23399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74549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discuss non-GAAP organic revenue growth, non-GAAP organic revenue growth on a constant currency basis and non-GAAP organic recurring revenue growth, in analyzing our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21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214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ACACAC"/>
          </w:tcPr>
          <w:p>
            <w:pPr>
              <w:spacing w:after="0"/>
              <w:rPr>
                <w:sz w:val="17"/>
                <w:szCs w:val="17"/>
                <w:color w:val="auto"/>
              </w:rPr>
            </w:pPr>
          </w:p>
        </w:tc>
      </w:tr>
      <w:tr>
        <w:trPr>
          <w:trHeight w:val="176"/>
        </w:trPr>
        <w:tc>
          <w:tcPr>
            <w:tcW w:w="596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60" w:type="dxa"/>
            <w:vAlign w:val="bottom"/>
            <w:shd w:val="clear" w:color="auto" w:fill="ACACAC"/>
          </w:tcPr>
          <w:p>
            <w:pPr>
              <w:spacing w:after="0"/>
              <w:rPr>
                <w:sz w:val="15"/>
                <w:szCs w:val="15"/>
                <w:color w:val="auto"/>
              </w:rPr>
            </w:pPr>
          </w:p>
        </w:tc>
        <w:tc>
          <w:tcPr>
            <w:tcW w:w="10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16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ACACAC"/>
          </w:tcPr>
          <w:p>
            <w:pPr>
              <w:spacing w:after="0"/>
              <w:rPr>
                <w:sz w:val="15"/>
                <w:szCs w:val="15"/>
                <w:color w:val="auto"/>
              </w:rPr>
            </w:pPr>
          </w:p>
        </w:tc>
      </w:tr>
      <w:tr>
        <w:trPr>
          <w:trHeight w:val="364"/>
        </w:trPr>
        <w:tc>
          <w:tcPr>
            <w:tcW w:w="59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tcBorders>
              <w:bottom w:val="single" w:sz="8" w:color="ACACAC"/>
            </w:tcBorders>
            <w:shd w:val="clear" w:color="auto" w:fill="ACACAC"/>
          </w:tcPr>
          <w:p>
            <w:pPr>
              <w:spacing w:after="0"/>
              <w:rPr>
                <w:sz w:val="24"/>
                <w:szCs w:val="24"/>
                <w:color w:val="auto"/>
              </w:rPr>
            </w:pPr>
          </w:p>
        </w:tc>
        <w:tc>
          <w:tcPr>
            <w:tcW w:w="10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80" w:type="dxa"/>
            <w:vAlign w:val="bottom"/>
            <w:tcBorders>
              <w:bottom w:val="single" w:sz="8" w:color="F4F4F4"/>
            </w:tcBorders>
          </w:tcPr>
          <w:p>
            <w:pPr>
              <w:spacing w:after="0"/>
              <w:rPr>
                <w:sz w:val="24"/>
                <w:szCs w:val="24"/>
                <w:color w:val="auto"/>
              </w:rPr>
            </w:pP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60" w:type="dxa"/>
            <w:vAlign w:val="bottom"/>
            <w:tcBorders>
              <w:bottom w:val="single" w:sz="8" w:color="ACACAC"/>
            </w:tcBorders>
            <w:shd w:val="clear" w:color="auto" w:fill="ACACAC"/>
          </w:tcPr>
          <w:p>
            <w:pPr>
              <w:spacing w:after="0"/>
              <w:rPr>
                <w:sz w:val="24"/>
                <w:szCs w:val="24"/>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20" w:type="dxa"/>
            <w:vAlign w:val="bottom"/>
            <w:tcBorders>
              <w:bottom w:val="single" w:sz="8" w:color="ACACAC"/>
            </w:tcBorders>
            <w:shd w:val="clear" w:color="auto" w:fill="ACACAC"/>
          </w:tcPr>
          <w:p>
            <w:pPr>
              <w:spacing w:after="0"/>
              <w:rPr>
                <w:sz w:val="24"/>
                <w:szCs w:val="24"/>
                <w:color w:val="auto"/>
              </w:rPr>
            </w:pPr>
          </w:p>
        </w:tc>
      </w:tr>
      <w:tr>
        <w:trPr>
          <w:trHeight w:val="183"/>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215.0</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221.1</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670.6</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662.6</w:t>
            </w:r>
          </w:p>
        </w:tc>
        <w:tc>
          <w:tcPr>
            <w:tcW w:w="20" w:type="dxa"/>
            <w:vAlign w:val="bottom"/>
          </w:tcPr>
          <w:p>
            <w:pPr>
              <w:spacing w:after="0"/>
              <w:rPr>
                <w:sz w:val="15"/>
                <w:szCs w:val="15"/>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1.2 %</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960" w:type="dxa"/>
            <w:vAlign w:val="bottom"/>
            <w:shd w:val="clear" w:color="auto" w:fill="F4F4F4"/>
          </w:tcPr>
          <w:p>
            <w:pPr>
              <w:ind w:left="140"/>
              <w:spacing w:after="0" w:line="189" w:lineRule="exact"/>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8"/>
                <w:szCs w:val="18"/>
                <w:color w:val="auto"/>
                <w:vertAlign w:val="superscript"/>
              </w:rPr>
              <w:t>(1)</w:t>
            </w:r>
          </w:p>
        </w:tc>
        <w:tc>
          <w:tcPr>
            <w:tcW w:w="460" w:type="dxa"/>
            <w:vAlign w:val="bottom"/>
            <w:tcBorders>
              <w:bottom w:val="single" w:sz="8" w:color="4D5259"/>
            </w:tcBorders>
            <w:shd w:val="clear" w:color="auto" w:fill="F4F4F4"/>
          </w:tcPr>
          <w:p>
            <w:pPr>
              <w:spacing w:after="0"/>
              <w:rPr>
                <w:sz w:val="16"/>
                <w:szCs w:val="16"/>
                <w:color w:val="auto"/>
              </w:rPr>
            </w:pPr>
          </w:p>
        </w:tc>
        <w:tc>
          <w:tcPr>
            <w:tcW w:w="900" w:type="dxa"/>
            <w:vAlign w:val="bottom"/>
            <w:tcBorders>
              <w:bottom w:val="single" w:sz="8" w:color="4D5259"/>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D5259"/>
            </w:tcBorders>
            <w:shd w:val="clear" w:color="auto" w:fill="F4F4F4"/>
          </w:tcPr>
          <w:p>
            <w:pPr>
              <w:spacing w:after="0"/>
              <w:rPr>
                <w:sz w:val="16"/>
                <w:szCs w:val="16"/>
                <w:color w:val="auto"/>
              </w:rPr>
            </w:pPr>
          </w:p>
        </w:tc>
        <w:tc>
          <w:tcPr>
            <w:tcW w:w="1080" w:type="dxa"/>
            <w:vAlign w:val="bottom"/>
            <w:tcBorders>
              <w:bottom w:val="single" w:sz="8" w:color="4D5259"/>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F4F4F4"/>
          </w:tcPr>
          <w:p>
            <w:pPr>
              <w:spacing w:after="0"/>
              <w:rPr>
                <w:sz w:val="16"/>
                <w:szCs w:val="16"/>
                <w:color w:val="auto"/>
              </w:rPr>
            </w:pPr>
          </w:p>
        </w:tc>
        <w:tc>
          <w:tcPr>
            <w:tcW w:w="460" w:type="dxa"/>
            <w:vAlign w:val="bottom"/>
            <w:tcBorders>
              <w:bottom w:val="single" w:sz="8" w:color="auto"/>
            </w:tcBorders>
            <w:shd w:val="clear" w:color="auto" w:fill="F4F4F4"/>
          </w:tcPr>
          <w:p>
            <w:pPr>
              <w:spacing w:after="0"/>
              <w:rPr>
                <w:sz w:val="16"/>
                <w:szCs w:val="16"/>
                <w:color w:val="auto"/>
              </w:rPr>
            </w:pPr>
          </w:p>
        </w:tc>
        <w:tc>
          <w:tcPr>
            <w:tcW w:w="90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4F4F4"/>
          </w:tcPr>
          <w:p>
            <w:pPr>
              <w:spacing w:after="0"/>
              <w:rPr>
                <w:sz w:val="16"/>
                <w:szCs w:val="16"/>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r>
      <w:tr>
        <w:trPr>
          <w:trHeight w:val="183"/>
        </w:trPr>
        <w:tc>
          <w:tcPr>
            <w:tcW w:w="596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8"/>
                <w:szCs w:val="18"/>
                <w:color w:val="auto"/>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221.4</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670.6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664.3</w:t>
            </w:r>
          </w:p>
        </w:tc>
        <w:tc>
          <w:tcPr>
            <w:tcW w:w="20" w:type="dxa"/>
            <w:vAlign w:val="bottom"/>
          </w:tcPr>
          <w:p>
            <w:pPr>
              <w:spacing w:after="0"/>
              <w:rPr>
                <w:sz w:val="15"/>
                <w:szCs w:val="15"/>
                <w:color w:val="auto"/>
              </w:rPr>
            </w:pPr>
          </w:p>
        </w:tc>
      </w:tr>
      <w:tr>
        <w:trPr>
          <w:trHeight w:val="183"/>
        </w:trPr>
        <w:tc>
          <w:tcPr>
            <w:tcW w:w="5960" w:type="dxa"/>
            <w:vAlign w:val="bottom"/>
            <w:tcBorders>
              <w:top w:val="single" w:sz="8" w:color="F4F4F4"/>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60" w:type="dxa"/>
            <w:vAlign w:val="bottom"/>
            <w:tcBorders>
              <w:top w:val="single" w:sz="8" w:color="4D5259"/>
            </w:tcBorders>
            <w:shd w:val="clear" w:color="auto" w:fill="F4F4F4"/>
          </w:tcPr>
          <w:p>
            <w:pPr>
              <w:spacing w:after="0"/>
              <w:rPr>
                <w:sz w:val="15"/>
                <w:szCs w:val="15"/>
                <w:color w:val="auto"/>
              </w:rPr>
            </w:pPr>
          </w:p>
        </w:tc>
        <w:tc>
          <w:tcPr>
            <w:tcW w:w="900" w:type="dxa"/>
            <w:vAlign w:val="bottom"/>
            <w:tcBorders>
              <w:top w:val="single" w:sz="8" w:color="4D5259"/>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(2.9)%</w:t>
            </w:r>
          </w:p>
        </w:tc>
        <w:tc>
          <w:tcPr>
            <w:tcW w:w="160" w:type="dxa"/>
            <w:vAlign w:val="bottom"/>
            <w:tcBorders>
              <w:top w:val="single" w:sz="8" w:color="4D5259"/>
            </w:tcBorders>
            <w:shd w:val="clear" w:color="auto" w:fill="F4F4F4"/>
          </w:tcPr>
          <w:p>
            <w:pPr>
              <w:spacing w:after="0"/>
              <w:rPr>
                <w:sz w:val="15"/>
                <w:szCs w:val="15"/>
                <w:color w:val="auto"/>
              </w:rPr>
            </w:pPr>
          </w:p>
        </w:tc>
        <w:tc>
          <w:tcPr>
            <w:tcW w:w="1080" w:type="dxa"/>
            <w:vAlign w:val="bottom"/>
            <w:tcBorders>
              <w:top w:val="single" w:sz="8" w:color="4D5259"/>
              <w:right w:val="single" w:sz="8" w:color="F4F4F4"/>
            </w:tcBorders>
            <w:shd w:val="clear" w:color="auto" w:fill="F4F4F4"/>
          </w:tcPr>
          <w:p>
            <w:pPr>
              <w:spacing w:after="0"/>
              <w:rPr>
                <w:sz w:val="15"/>
                <w:szCs w:val="15"/>
                <w:color w:val="auto"/>
              </w:rPr>
            </w:pPr>
          </w:p>
        </w:tc>
        <w:tc>
          <w:tcPr>
            <w:tcW w:w="80" w:type="dxa"/>
            <w:vAlign w:val="bottom"/>
            <w:tcBorders>
              <w:top w:val="single" w:sz="8" w:color="F4F4F4"/>
            </w:tcBorders>
            <w:shd w:val="clear" w:color="auto" w:fill="F4F4F4"/>
          </w:tcPr>
          <w:p>
            <w:pPr>
              <w:spacing w:after="0"/>
              <w:rPr>
                <w:sz w:val="15"/>
                <w:szCs w:val="15"/>
                <w:color w:val="auto"/>
              </w:rPr>
            </w:pPr>
          </w:p>
        </w:tc>
        <w:tc>
          <w:tcPr>
            <w:tcW w:w="460" w:type="dxa"/>
            <w:vAlign w:val="bottom"/>
            <w:tcBorders>
              <w:top w:val="single" w:sz="8" w:color="auto"/>
            </w:tcBorders>
            <w:shd w:val="clear" w:color="auto" w:fill="F4F4F4"/>
          </w:tcPr>
          <w:p>
            <w:pPr>
              <w:spacing w:after="0"/>
              <w:rPr>
                <w:sz w:val="15"/>
                <w:szCs w:val="15"/>
                <w:color w:val="auto"/>
              </w:rPr>
            </w:pPr>
          </w:p>
        </w:tc>
        <w:tc>
          <w:tcPr>
            <w:tcW w:w="9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1.0 %</w:t>
            </w:r>
          </w:p>
        </w:tc>
        <w:tc>
          <w:tcPr>
            <w:tcW w:w="160" w:type="dxa"/>
            <w:vAlign w:val="bottom"/>
            <w:tcBorders>
              <w:top w:val="single" w:sz="8" w:color="auto"/>
            </w:tcBorders>
            <w:shd w:val="clear" w:color="auto" w:fill="F4F4F4"/>
          </w:tcPr>
          <w:p>
            <w:pPr>
              <w:spacing w:after="0"/>
              <w:rPr>
                <w:sz w:val="15"/>
                <w:szCs w:val="15"/>
                <w:color w:val="auto"/>
              </w:rPr>
            </w:pPr>
          </w:p>
        </w:tc>
        <w:tc>
          <w:tcPr>
            <w:tcW w:w="1080" w:type="dxa"/>
            <w:vAlign w:val="bottom"/>
            <w:tcBorders>
              <w:top w:val="single" w:sz="8" w:color="auto"/>
            </w:tcBorders>
            <w:shd w:val="clear" w:color="auto" w:fill="F4F4F4"/>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5960" w:type="dxa"/>
            <w:vAlign w:val="bottom"/>
            <w:shd w:val="clear" w:color="auto" w:fill="F4F4F4"/>
          </w:tcPr>
          <w:p>
            <w:pPr>
              <w:ind w:left="20"/>
              <w:spacing w:after="0" w:line="189" w:lineRule="exact"/>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8"/>
                <w:szCs w:val="18"/>
                <w:color w:val="auto"/>
                <w:vertAlign w:val="superscript"/>
              </w:rPr>
              <w:t>(2)</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215.0</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221.4</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670.6</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664.3</w:t>
            </w:r>
          </w:p>
        </w:tc>
        <w:tc>
          <w:tcPr>
            <w:tcW w:w="20" w:type="dxa"/>
            <w:vAlign w:val="bottom"/>
          </w:tcPr>
          <w:p>
            <w:pPr>
              <w:spacing w:after="0"/>
              <w:rPr>
                <w:sz w:val="16"/>
                <w:szCs w:val="16"/>
                <w:color w:val="auto"/>
              </w:rPr>
            </w:pPr>
          </w:p>
        </w:tc>
      </w:tr>
      <w:tr>
        <w:trPr>
          <w:trHeight w:val="189"/>
        </w:trPr>
        <w:tc>
          <w:tcPr>
            <w:tcW w:w="5960" w:type="dxa"/>
            <w:vAlign w:val="bottom"/>
            <w:tcBorders>
              <w:bottom w:val="single" w:sz="8" w:color="F4F4F4"/>
            </w:tcBorders>
          </w:tcPr>
          <w:p>
            <w:pPr>
              <w:ind w:left="20"/>
              <w:spacing w:after="0" w:line="189" w:lineRule="exact"/>
              <w:rPr>
                <w:sz w:val="20"/>
                <w:szCs w:val="20"/>
                <w:color w:val="auto"/>
              </w:rPr>
            </w:pPr>
            <w:r>
              <w:rPr>
                <w:rFonts w:ascii="Arial" w:cs="Arial" w:eastAsia="Arial" w:hAnsi="Arial"/>
                <w:sz w:val="14"/>
                <w:szCs w:val="14"/>
                <w:color w:val="auto"/>
              </w:rPr>
              <w:t xml:space="preserve">Foreign currency impact on Non-GAAP organic revenue </w:t>
            </w:r>
            <w:r>
              <w:rPr>
                <w:rFonts w:ascii="Arial" w:cs="Arial" w:eastAsia="Arial" w:hAnsi="Arial"/>
                <w:sz w:val="18"/>
                <w:szCs w:val="18"/>
                <w:color w:val="auto"/>
                <w:vertAlign w:val="superscript"/>
              </w:rPr>
              <w:t>(3)</w:t>
            </w:r>
          </w:p>
        </w:tc>
        <w:tc>
          <w:tcPr>
            <w:tcW w:w="460" w:type="dxa"/>
            <w:vAlign w:val="bottom"/>
            <w:tcBorders>
              <w:bottom w:val="single" w:sz="8" w:color="4D5259"/>
            </w:tcBorders>
          </w:tcPr>
          <w:p>
            <w:pPr>
              <w:spacing w:after="0"/>
              <w:rPr>
                <w:sz w:val="16"/>
                <w:szCs w:val="16"/>
                <w:color w:val="auto"/>
              </w:rPr>
            </w:pPr>
          </w:p>
        </w:tc>
        <w:tc>
          <w:tcPr>
            <w:tcW w:w="900" w:type="dxa"/>
            <w:vAlign w:val="bottom"/>
            <w:tcBorders>
              <w:bottom w:val="single" w:sz="8" w:color="4D5259"/>
            </w:tcBorders>
          </w:tcPr>
          <w:p>
            <w:pPr>
              <w:jc w:val="right"/>
              <w:ind w:right="88"/>
              <w:spacing w:after="0"/>
              <w:rPr>
                <w:sz w:val="20"/>
                <w:szCs w:val="20"/>
                <w:color w:val="auto"/>
              </w:rPr>
            </w:pPr>
            <w:r>
              <w:rPr>
                <w:rFonts w:ascii="Arial" w:cs="Arial" w:eastAsia="Arial" w:hAnsi="Arial"/>
                <w:sz w:val="14"/>
                <w:szCs w:val="14"/>
                <w:color w:val="auto"/>
              </w:rPr>
              <w:t>(0.8)</w:t>
            </w:r>
          </w:p>
        </w:tc>
        <w:tc>
          <w:tcPr>
            <w:tcW w:w="160" w:type="dxa"/>
            <w:vAlign w:val="bottom"/>
            <w:tcBorders>
              <w:bottom w:val="single" w:sz="8" w:color="4D5259"/>
            </w:tcBorders>
          </w:tcPr>
          <w:p>
            <w:pPr>
              <w:spacing w:after="0"/>
              <w:rPr>
                <w:sz w:val="16"/>
                <w:szCs w:val="16"/>
                <w:color w:val="auto"/>
              </w:rPr>
            </w:pPr>
          </w:p>
        </w:tc>
        <w:tc>
          <w:tcPr>
            <w:tcW w:w="10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3"/>
        </w:trPr>
        <w:tc>
          <w:tcPr>
            <w:tcW w:w="5960" w:type="dxa"/>
            <w:vAlign w:val="bottom"/>
            <w:shd w:val="clear" w:color="auto" w:fill="F4F4F4"/>
          </w:tcPr>
          <w:p>
            <w:pPr>
              <w:ind w:left="20"/>
              <w:spacing w:after="0" w:line="182" w:lineRule="exact"/>
              <w:rPr>
                <w:sz w:val="20"/>
                <w:szCs w:val="20"/>
                <w:color w:val="auto"/>
              </w:rPr>
            </w:pPr>
            <w:r>
              <w:rPr>
                <w:rFonts w:ascii="Arial" w:cs="Arial" w:eastAsia="Arial" w:hAnsi="Arial"/>
                <w:sz w:val="14"/>
                <w:szCs w:val="14"/>
                <w:color w:val="auto"/>
              </w:rPr>
              <w:t xml:space="preserve">Non-GAAP organic revenue on constant currency basis </w:t>
            </w:r>
            <w:r>
              <w:rPr>
                <w:rFonts w:ascii="Arial" w:cs="Arial" w:eastAsia="Arial" w:hAnsi="Arial"/>
                <w:sz w:val="18"/>
                <w:szCs w:val="18"/>
                <w:color w:val="auto"/>
                <w:vertAlign w:val="superscript"/>
              </w:rPr>
              <w:t>(3)</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214.2</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221.4</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672.1</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664.3</w:t>
            </w:r>
          </w:p>
        </w:tc>
        <w:tc>
          <w:tcPr>
            <w:tcW w:w="20" w:type="dxa"/>
            <w:vAlign w:val="bottom"/>
          </w:tcPr>
          <w:p>
            <w:pPr>
              <w:spacing w:after="0"/>
              <w:rPr>
                <w:sz w:val="15"/>
                <w:szCs w:val="15"/>
                <w:color w:val="auto"/>
              </w:rPr>
            </w:pPr>
          </w:p>
        </w:tc>
      </w:tr>
      <w:tr>
        <w:trPr>
          <w:trHeight w:val="183"/>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60" w:type="dxa"/>
            <w:vAlign w:val="bottom"/>
            <w:tcBorders>
              <w:top w:val="single" w:sz="8" w:color="4D5259"/>
            </w:tcBorders>
          </w:tcPr>
          <w:p>
            <w:pPr>
              <w:spacing w:after="0"/>
              <w:rPr>
                <w:sz w:val="15"/>
                <w:szCs w:val="15"/>
                <w:color w:val="auto"/>
              </w:rPr>
            </w:pPr>
          </w:p>
        </w:tc>
        <w:tc>
          <w:tcPr>
            <w:tcW w:w="90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(3.2)%</w:t>
            </w:r>
          </w:p>
        </w:tc>
        <w:tc>
          <w:tcPr>
            <w:tcW w:w="160" w:type="dxa"/>
            <w:vAlign w:val="bottom"/>
            <w:tcBorders>
              <w:top w:val="single" w:sz="8" w:color="4D5259"/>
            </w:tcBorders>
          </w:tcPr>
          <w:p>
            <w:pPr>
              <w:spacing w:after="0"/>
              <w:rPr>
                <w:sz w:val="15"/>
                <w:szCs w:val="15"/>
                <w:color w:val="auto"/>
              </w:rPr>
            </w:pPr>
          </w:p>
        </w:tc>
        <w:tc>
          <w:tcPr>
            <w:tcW w:w="1080" w:type="dxa"/>
            <w:vAlign w:val="bottom"/>
            <w:tcBorders>
              <w:top w:val="single" w:sz="8" w:color="4D5259"/>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1.2 %</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5960" w:type="dxa"/>
            <w:vAlign w:val="bottom"/>
            <w:shd w:val="clear" w:color="auto" w:fill="F4F4F4"/>
          </w:tcPr>
          <w:p>
            <w:pPr>
              <w:spacing w:after="0"/>
              <w:rPr>
                <w:sz w:val="12"/>
                <w:szCs w:val="12"/>
                <w:color w:val="auto"/>
              </w:rPr>
            </w:pPr>
          </w:p>
        </w:tc>
        <w:tc>
          <w:tcPr>
            <w:tcW w:w="460" w:type="dxa"/>
            <w:vAlign w:val="bottom"/>
            <w:shd w:val="clear" w:color="auto" w:fill="F4F4F4"/>
          </w:tcPr>
          <w:p>
            <w:pPr>
              <w:spacing w:after="0"/>
              <w:rPr>
                <w:sz w:val="12"/>
                <w:szCs w:val="12"/>
                <w:color w:val="auto"/>
              </w:rPr>
            </w:pPr>
          </w:p>
        </w:tc>
        <w:tc>
          <w:tcPr>
            <w:tcW w:w="900" w:type="dxa"/>
            <w:vAlign w:val="bottom"/>
            <w:shd w:val="clear" w:color="auto" w:fill="F4F4F4"/>
          </w:tcPr>
          <w:p>
            <w:pPr>
              <w:spacing w:after="0"/>
              <w:rPr>
                <w:sz w:val="12"/>
                <w:szCs w:val="12"/>
                <w:color w:val="auto"/>
              </w:rPr>
            </w:pPr>
          </w:p>
        </w:tc>
        <w:tc>
          <w:tcPr>
            <w:tcW w:w="160" w:type="dxa"/>
            <w:vAlign w:val="bottom"/>
            <w:shd w:val="clear" w:color="auto" w:fill="F4F4F4"/>
          </w:tcPr>
          <w:p>
            <w:pPr>
              <w:spacing w:after="0"/>
              <w:rPr>
                <w:sz w:val="12"/>
                <w:szCs w:val="12"/>
                <w:color w:val="auto"/>
              </w:rPr>
            </w:pPr>
          </w:p>
        </w:tc>
        <w:tc>
          <w:tcPr>
            <w:tcW w:w="1080" w:type="dxa"/>
            <w:vAlign w:val="bottom"/>
            <w:tcBorders>
              <w:right w:val="single" w:sz="8" w:color="F4F4F4"/>
            </w:tcBorders>
            <w:shd w:val="clear" w:color="auto" w:fill="F4F4F4"/>
          </w:tcPr>
          <w:p>
            <w:pPr>
              <w:spacing w:after="0"/>
              <w:rPr>
                <w:sz w:val="12"/>
                <w:szCs w:val="12"/>
                <w:color w:val="auto"/>
              </w:rPr>
            </w:pPr>
          </w:p>
        </w:tc>
        <w:tc>
          <w:tcPr>
            <w:tcW w:w="80" w:type="dxa"/>
            <w:vAlign w:val="bottom"/>
            <w:shd w:val="clear" w:color="auto" w:fill="F4F4F4"/>
          </w:tcPr>
          <w:p>
            <w:pPr>
              <w:spacing w:after="0"/>
              <w:rPr>
                <w:sz w:val="12"/>
                <w:szCs w:val="12"/>
                <w:color w:val="auto"/>
              </w:rPr>
            </w:pPr>
          </w:p>
        </w:tc>
        <w:tc>
          <w:tcPr>
            <w:tcW w:w="460" w:type="dxa"/>
            <w:vAlign w:val="bottom"/>
            <w:shd w:val="clear" w:color="auto" w:fill="F4F4F4"/>
          </w:tcPr>
          <w:p>
            <w:pPr>
              <w:spacing w:after="0"/>
              <w:rPr>
                <w:sz w:val="12"/>
                <w:szCs w:val="12"/>
                <w:color w:val="auto"/>
              </w:rPr>
            </w:pPr>
          </w:p>
        </w:tc>
        <w:tc>
          <w:tcPr>
            <w:tcW w:w="900" w:type="dxa"/>
            <w:vAlign w:val="bottom"/>
            <w:shd w:val="clear" w:color="auto" w:fill="F4F4F4"/>
          </w:tcPr>
          <w:p>
            <w:pPr>
              <w:spacing w:after="0"/>
              <w:rPr>
                <w:sz w:val="12"/>
                <w:szCs w:val="12"/>
                <w:color w:val="auto"/>
              </w:rPr>
            </w:pPr>
          </w:p>
        </w:tc>
        <w:tc>
          <w:tcPr>
            <w:tcW w:w="160" w:type="dxa"/>
            <w:vAlign w:val="bottom"/>
            <w:shd w:val="clear" w:color="auto" w:fill="F4F4F4"/>
          </w:tcPr>
          <w:p>
            <w:pPr>
              <w:spacing w:after="0"/>
              <w:rPr>
                <w:sz w:val="12"/>
                <w:szCs w:val="12"/>
                <w:color w:val="auto"/>
              </w:rPr>
            </w:pPr>
          </w:p>
        </w:tc>
        <w:tc>
          <w:tcPr>
            <w:tcW w:w="1080" w:type="dxa"/>
            <w:vAlign w:val="bottom"/>
            <w:shd w:val="clear" w:color="auto" w:fill="F4F4F4"/>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596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200.1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205.2</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621.2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611.8</w:t>
            </w:r>
          </w:p>
        </w:tc>
        <w:tc>
          <w:tcPr>
            <w:tcW w:w="20" w:type="dxa"/>
            <w:vAlign w:val="bottom"/>
          </w:tcPr>
          <w:p>
            <w:pPr>
              <w:spacing w:after="0"/>
              <w:rPr>
                <w:sz w:val="16"/>
                <w:szCs w:val="16"/>
                <w:color w:val="auto"/>
              </w:rPr>
            </w:pPr>
          </w:p>
        </w:tc>
      </w:tr>
      <w:tr>
        <w:trPr>
          <w:trHeight w:val="189"/>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60" w:type="dxa"/>
            <w:vAlign w:val="bottom"/>
            <w:shd w:val="clear" w:color="auto" w:fill="F4F4F4"/>
          </w:tcPr>
          <w:p>
            <w:pPr>
              <w:spacing w:after="0"/>
              <w:rPr>
                <w:sz w:val="16"/>
                <w:szCs w:val="16"/>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shd w:val="clear" w:color="auto" w:fill="F4F4F4"/>
          </w:tcPr>
          <w:p>
            <w:pPr>
              <w:spacing w:after="0"/>
              <w:rPr>
                <w:sz w:val="16"/>
                <w:szCs w:val="16"/>
                <w:color w:val="auto"/>
              </w:rPr>
            </w:pPr>
          </w:p>
        </w:tc>
        <w:tc>
          <w:tcPr>
            <w:tcW w:w="1080" w:type="dxa"/>
            <w:vAlign w:val="bottom"/>
            <w:tcBorders>
              <w:right w:val="single" w:sz="8" w:color="F4F4F4"/>
            </w:tcBorders>
            <w:shd w:val="clear" w:color="auto" w:fill="F4F4F4"/>
          </w:tcPr>
          <w:p>
            <w:pPr>
              <w:spacing w:after="0"/>
              <w:rPr>
                <w:sz w:val="16"/>
                <w:szCs w:val="16"/>
                <w:color w:val="auto"/>
              </w:rPr>
            </w:pPr>
          </w:p>
        </w:tc>
        <w:tc>
          <w:tcPr>
            <w:tcW w:w="80" w:type="dxa"/>
            <w:vAlign w:val="bottom"/>
            <w:shd w:val="clear" w:color="auto" w:fill="F4F4F4"/>
          </w:tcPr>
          <w:p>
            <w:pPr>
              <w:spacing w:after="0"/>
              <w:rPr>
                <w:sz w:val="16"/>
                <w:szCs w:val="16"/>
                <w:color w:val="auto"/>
              </w:rPr>
            </w:pPr>
          </w:p>
        </w:tc>
        <w:tc>
          <w:tcPr>
            <w:tcW w:w="460" w:type="dxa"/>
            <w:vAlign w:val="bottom"/>
            <w:shd w:val="clear" w:color="auto" w:fill="F4F4F4"/>
          </w:tcPr>
          <w:p>
            <w:pPr>
              <w:spacing w:after="0"/>
              <w:rPr>
                <w:sz w:val="16"/>
                <w:szCs w:val="16"/>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1.5 %</w:t>
            </w:r>
          </w:p>
        </w:tc>
        <w:tc>
          <w:tcPr>
            <w:tcW w:w="160" w:type="dxa"/>
            <w:vAlign w:val="bottom"/>
            <w:shd w:val="clear" w:color="auto" w:fill="F4F4F4"/>
          </w:tcPr>
          <w:p>
            <w:pPr>
              <w:spacing w:after="0"/>
              <w:rPr>
                <w:sz w:val="16"/>
                <w:szCs w:val="16"/>
                <w:color w:val="auto"/>
              </w:rPr>
            </w:pPr>
          </w:p>
        </w:tc>
        <w:tc>
          <w:tcPr>
            <w:tcW w:w="108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960" w:type="dxa"/>
            <w:vAlign w:val="bottom"/>
            <w:tcBorders>
              <w:bottom w:val="single" w:sz="8" w:color="F4F4F4"/>
            </w:tcBorders>
          </w:tcPr>
          <w:p>
            <w:pPr>
              <w:ind w:left="140"/>
              <w:spacing w:after="0" w:line="189" w:lineRule="exact"/>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8"/>
                <w:szCs w:val="18"/>
                <w:color w:val="auto"/>
                <w:vertAlign w:val="superscript"/>
              </w:rPr>
              <w:t>(1)</w:t>
            </w:r>
          </w:p>
        </w:tc>
        <w:tc>
          <w:tcPr>
            <w:tcW w:w="460" w:type="dxa"/>
            <w:vAlign w:val="bottom"/>
            <w:tcBorders>
              <w:bottom w:val="single" w:sz="8" w:color="4D5259"/>
            </w:tcBorders>
          </w:tcPr>
          <w:p>
            <w:pPr>
              <w:spacing w:after="0"/>
              <w:rPr>
                <w:sz w:val="16"/>
                <w:szCs w:val="16"/>
                <w:color w:val="auto"/>
              </w:rPr>
            </w:pPr>
          </w:p>
        </w:tc>
        <w:tc>
          <w:tcPr>
            <w:tcW w:w="900" w:type="dxa"/>
            <w:vAlign w:val="bottom"/>
            <w:tcBorders>
              <w:bottom w:val="single" w:sz="8" w:color="4D5259"/>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4D5259"/>
            </w:tcBorders>
          </w:tcPr>
          <w:p>
            <w:pPr>
              <w:spacing w:after="0"/>
              <w:rPr>
                <w:sz w:val="16"/>
                <w:szCs w:val="16"/>
                <w:color w:val="auto"/>
              </w:rPr>
            </w:pPr>
          </w:p>
        </w:tc>
        <w:tc>
          <w:tcPr>
            <w:tcW w:w="10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F4F4F4"/>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r>
      <w:tr>
        <w:trPr>
          <w:trHeight w:val="183"/>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200.1</w:t>
            </w:r>
          </w:p>
        </w:tc>
        <w:tc>
          <w:tcPr>
            <w:tcW w:w="1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205.5</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621.2</w:t>
            </w:r>
          </w:p>
        </w:tc>
        <w:tc>
          <w:tcPr>
            <w:tcW w:w="1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613.5</w:t>
            </w:r>
          </w:p>
        </w:tc>
        <w:tc>
          <w:tcPr>
            <w:tcW w:w="20" w:type="dxa"/>
            <w:vAlign w:val="bottom"/>
          </w:tcPr>
          <w:p>
            <w:pPr>
              <w:spacing w:after="0"/>
              <w:rPr>
                <w:sz w:val="15"/>
                <w:szCs w:val="15"/>
                <w:color w:val="auto"/>
              </w:rPr>
            </w:pPr>
          </w:p>
        </w:tc>
      </w:tr>
      <w:tr>
        <w:trPr>
          <w:trHeight w:val="183"/>
        </w:trPr>
        <w:tc>
          <w:tcPr>
            <w:tcW w:w="596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60" w:type="dxa"/>
            <w:vAlign w:val="bottom"/>
            <w:tcBorders>
              <w:top w:val="single" w:sz="8" w:color="4D5259"/>
              <w:bottom w:val="single" w:sz="8" w:color="71BF43"/>
            </w:tcBorders>
          </w:tcPr>
          <w:p>
            <w:pPr>
              <w:spacing w:after="0"/>
              <w:rPr>
                <w:sz w:val="15"/>
                <w:szCs w:val="15"/>
                <w:color w:val="auto"/>
              </w:rPr>
            </w:pPr>
          </w:p>
        </w:tc>
        <w:tc>
          <w:tcPr>
            <w:tcW w:w="900" w:type="dxa"/>
            <w:vAlign w:val="bottom"/>
            <w:tcBorders>
              <w:top w:val="single" w:sz="8" w:color="4D5259"/>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Borders>
              <w:top w:val="single" w:sz="8" w:color="4D5259"/>
              <w:bottom w:val="single" w:sz="8" w:color="71BF43"/>
            </w:tcBorders>
          </w:tcPr>
          <w:p>
            <w:pPr>
              <w:spacing w:after="0"/>
              <w:rPr>
                <w:sz w:val="15"/>
                <w:szCs w:val="15"/>
                <w:color w:val="auto"/>
              </w:rPr>
            </w:pPr>
          </w:p>
        </w:tc>
        <w:tc>
          <w:tcPr>
            <w:tcW w:w="1080" w:type="dxa"/>
            <w:vAlign w:val="bottom"/>
            <w:tcBorders>
              <w:top w:val="single" w:sz="8" w:color="4D5259"/>
              <w:bottom w:val="single" w:sz="8" w:color="71BF43"/>
            </w:tcBorders>
          </w:tcPr>
          <w:p>
            <w:pPr>
              <w:spacing w:after="0"/>
              <w:rPr>
                <w:sz w:val="15"/>
                <w:szCs w:val="15"/>
                <w:color w:val="auto"/>
              </w:rPr>
            </w:pPr>
          </w:p>
        </w:tc>
        <w:tc>
          <w:tcPr>
            <w:tcW w:w="80" w:type="dxa"/>
            <w:vAlign w:val="bottom"/>
            <w:tcBorders>
              <w:bottom w:val="single" w:sz="8" w:color="71BF43"/>
            </w:tcBorders>
          </w:tcPr>
          <w:p>
            <w:pPr>
              <w:spacing w:after="0"/>
              <w:rPr>
                <w:sz w:val="15"/>
                <w:szCs w:val="15"/>
                <w:color w:val="auto"/>
              </w:rPr>
            </w:pPr>
          </w:p>
        </w:tc>
        <w:tc>
          <w:tcPr>
            <w:tcW w:w="460" w:type="dxa"/>
            <w:vAlign w:val="bottom"/>
            <w:tcBorders>
              <w:top w:val="single" w:sz="8" w:color="auto"/>
              <w:bottom w:val="single" w:sz="8" w:color="71BF43"/>
            </w:tcBorders>
          </w:tcPr>
          <w:p>
            <w:pPr>
              <w:spacing w:after="0"/>
              <w:rPr>
                <w:sz w:val="15"/>
                <w:szCs w:val="15"/>
                <w:color w:val="auto"/>
              </w:rPr>
            </w:pPr>
          </w:p>
        </w:tc>
        <w:tc>
          <w:tcPr>
            <w:tcW w:w="900" w:type="dxa"/>
            <w:vAlign w:val="bottom"/>
            <w:tcBorders>
              <w:top w:val="single" w:sz="8" w:color="auto"/>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1.3 %</w:t>
            </w:r>
          </w:p>
        </w:tc>
        <w:tc>
          <w:tcPr>
            <w:tcW w:w="160" w:type="dxa"/>
            <w:vAlign w:val="bottom"/>
            <w:tcBorders>
              <w:top w:val="single" w:sz="8" w:color="auto"/>
              <w:bottom w:val="single" w:sz="8" w:color="71BF43"/>
            </w:tcBorders>
          </w:tcPr>
          <w:p>
            <w:pPr>
              <w:spacing w:after="0"/>
              <w:rPr>
                <w:sz w:val="15"/>
                <w:szCs w:val="15"/>
                <w:color w:val="auto"/>
              </w:rPr>
            </w:pPr>
          </w:p>
        </w:tc>
        <w:tc>
          <w:tcPr>
            <w:tcW w:w="1080" w:type="dxa"/>
            <w:vAlign w:val="bottom"/>
            <w:tcBorders>
              <w:top w:val="single" w:sz="8" w:color="auto"/>
              <w:bottom w:val="single" w:sz="8" w:color="71BF43"/>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-2168525</wp:posOffset>
            </wp:positionV>
            <wp:extent cx="33604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66" w:lineRule="exact"/>
        <w:rPr>
          <w:sz w:val="20"/>
          <w:szCs w:val="20"/>
          <w:color w:val="auto"/>
        </w:rPr>
      </w:pPr>
    </w:p>
    <w:p>
      <w:pPr>
        <w:jc w:val="both"/>
        <w:ind w:left="340" w:right="20" w:hanging="332"/>
        <w:spacing w:after="0" w:line="241"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65"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transaction revenue has historically been at its lowest in the first quarter due to the timing of customer fundraising initiatives and events. Our revenue from payment services has historically increased during the fourth quarter due to year-end giving.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 Our cash flow from operations normally fluctuates quarterly due to the combination of the timing of customer contract renewals including renewals associated with customers of acquired companies, delivery of professional services and occurrence of customer events, the payment of bonuses, as well as merit-based salary increases, among other factors. Historically, due to lower revenues in our first quarter, combined with the payment of bonuses from the prior year in our first quarter and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merit-based salary increases, which are generally effective in April each year.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September 30,</w:t>
            </w:r>
          </w:p>
        </w:tc>
        <w:tc>
          <w:tcPr>
            <w:tcW w:w="24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vMerge w:val="continue"/>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48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31.8</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1480" w:type="dxa"/>
            <w:vAlign w:val="bottom"/>
          </w:tcPr>
          <w:p>
            <w:pPr>
              <w:jc w:val="right"/>
              <w:spacing w:after="0"/>
              <w:rPr>
                <w:sz w:val="20"/>
                <w:szCs w:val="20"/>
                <w:color w:val="auto"/>
              </w:rPr>
            </w:pPr>
            <w:r>
              <w:rPr>
                <w:rFonts w:ascii="Arial" w:cs="Arial" w:eastAsia="Arial" w:hAnsi="Arial"/>
                <w:sz w:val="18"/>
                <w:szCs w:val="18"/>
                <w:color w:val="auto"/>
              </w:rPr>
              <w:t>208.0 %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24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101.3</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467.1</w:t>
            </w:r>
          </w:p>
        </w:tc>
        <w:tc>
          <w:tcPr>
            <w:tcW w:w="1480" w:type="dxa"/>
            <w:vAlign w:val="bottom"/>
          </w:tcPr>
          <w:p>
            <w:pPr>
              <w:jc w:val="right"/>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71BF43"/>
            </w:tcBorders>
            <w:shd w:val="clear" w:color="auto" w:fill="F4F4F4"/>
          </w:tcPr>
          <w:p>
            <w:pPr>
              <w:spacing w:after="0"/>
              <w:rPr>
                <w:sz w:val="19"/>
                <w:szCs w:val="19"/>
                <w:color w:val="auto"/>
              </w:rPr>
            </w:pP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Borders>
              <w:bottom w:val="single" w:sz="8" w:color="71BF43"/>
            </w:tcBorders>
            <w:shd w:val="clear" w:color="auto" w:fill="F4F4F4"/>
          </w:tcPr>
          <w:p>
            <w:pPr>
              <w:spacing w:after="0"/>
              <w:rPr>
                <w:sz w:val="19"/>
                <w:szCs w:val="19"/>
                <w:color w:val="auto"/>
              </w:rPr>
            </w:pP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(254.3)</w:t>
            </w:r>
          </w:p>
        </w:tc>
        <w:tc>
          <w:tcPr>
            <w:tcW w:w="14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18.4 %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100" w:type="dxa"/>
            <w:vAlign w:val="bottom"/>
          </w:tcPr>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110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25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Nine months ended September 30,</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shd w:val="clear" w:color="auto" w:fill="ACACAC"/>
          </w:tcPr>
          <w:p>
            <w:pPr>
              <w:spacing w:after="0"/>
              <w:rPr>
                <w:sz w:val="18"/>
                <w:szCs w:val="18"/>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4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2019</w:t>
            </w:r>
          </w:p>
        </w:tc>
        <w:tc>
          <w:tcPr>
            <w:tcW w:w="14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122.1</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w:t>
            </w:r>
          </w:p>
        </w:tc>
        <w:tc>
          <w:tcPr>
            <w:tcW w:w="1480" w:type="dxa"/>
            <w:vAlign w:val="bottom"/>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71BF43"/>
            </w:tcBorders>
            <w:shd w:val="clear" w:color="auto" w:fill="F4F4F4"/>
          </w:tcPr>
          <w:p>
            <w:pPr>
              <w:spacing w:after="0"/>
              <w:rPr>
                <w:sz w:val="19"/>
                <w:szCs w:val="19"/>
                <w:color w:val="auto"/>
              </w:rPr>
            </w:pP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(393.8)</w:t>
            </w:r>
          </w:p>
        </w:tc>
        <w:tc>
          <w:tcPr>
            <w:tcW w:w="240" w:type="dxa"/>
            <w:vAlign w:val="bottom"/>
            <w:tcBorders>
              <w:bottom w:val="single" w:sz="8" w:color="71BF43"/>
            </w:tcBorders>
            <w:shd w:val="clear" w:color="auto" w:fill="F4F4F4"/>
          </w:tcPr>
          <w:p>
            <w:pPr>
              <w:spacing w:after="0"/>
              <w:rPr>
                <w:sz w:val="19"/>
                <w:szCs w:val="19"/>
                <w:color w:val="auto"/>
              </w:rPr>
            </w:pP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(144.6)</w:t>
            </w:r>
          </w:p>
        </w:tc>
        <w:tc>
          <w:tcPr>
            <w:tcW w:w="14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172.3 %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-582295</wp:posOffset>
            </wp:positionV>
            <wp:extent cx="2623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4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42 </w:t>
      </w:r>
      <w:r>
        <w:rPr>
          <w:sz w:val="1"/>
          <w:szCs w:val="1"/>
          <w:color w:val="auto"/>
        </w:rPr>
        <w:drawing>
          <wp:inline distT="0" distB="0" distL="0" distR="0">
            <wp:extent cx="745490" cy="1885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better enable us to weather the extraordinary business challenges brought about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Some of these actions include the following:</w:t>
      </w:r>
    </w:p>
    <w:p>
      <w:pPr>
        <w:spacing w:after="0" w:line="96" w:lineRule="exact"/>
        <w:rPr>
          <w:sz w:val="20"/>
          <w:szCs w:val="20"/>
          <w:color w:val="auto"/>
        </w:rPr>
      </w:pPr>
    </w:p>
    <w:p>
      <w:pPr>
        <w:jc w:val="both"/>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Temporarily suspended our 401(k)-match program, whereby we have historically matched 50% of qualified U.S. employees' contributions to our 401(k) plan up to 6% of their salaries, effective with the payroll period commencing April 1, 2020;</w:t>
      </w:r>
    </w:p>
    <w:p>
      <w:pPr>
        <w:ind w:left="500" w:right="2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Temporarily froze our hiring efforts and implemented a modest and targeted headcount reduction, though we have since began backfilling key roles, including engineering positions;</w:t>
      </w:r>
    </w:p>
    <w:p>
      <w:pPr>
        <w:jc w:val="both"/>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between April 1, 2020 and June 16, 2020;</w:t>
      </w:r>
    </w:p>
    <w:p>
      <w:pPr>
        <w:spacing w:after="0" w:line="1" w:lineRule="exact"/>
        <w:rPr>
          <w:rFonts w:ascii="Arial" w:cs="Arial" w:eastAsia="Arial" w:hAnsi="Arial"/>
          <w:sz w:val="18"/>
          <w:szCs w:val="18"/>
          <w:color w:val="auto"/>
        </w:rPr>
      </w:pPr>
    </w:p>
    <w:p>
      <w:pPr>
        <w:ind w:left="460" w:hanging="128"/>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containment actions;</w:t>
      </w:r>
    </w:p>
    <w:p>
      <w:pPr>
        <w:spacing w:after="0" w:line="9" w:lineRule="exact"/>
        <w:rPr>
          <w:rFonts w:ascii="Arial" w:cs="Arial" w:eastAsia="Arial" w:hAnsi="Arial"/>
          <w:sz w:val="18"/>
          <w:szCs w:val="18"/>
          <w:color w:val="auto"/>
        </w:rPr>
      </w:pPr>
    </w:p>
    <w:p>
      <w:pPr>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May 1, 2020, we granted RSUs to our employees that were eligible for base salary merit increases in lieu of such increases, which will vest on May 1, 2021 subject to the recipient's continued employment with us; and</w:t>
      </w:r>
    </w:p>
    <w:p>
      <w:pPr>
        <w:jc w:val="both"/>
        <w:ind w:left="500" w:hanging="168"/>
        <w:spacing w:after="0" w:line="250"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May 1, 2020, we granted PRSUs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 w:lineRule="exact"/>
        <w:rPr>
          <w:rFonts w:ascii="Arial" w:cs="Arial" w:eastAsia="Arial" w:hAnsi="Arial"/>
          <w:sz w:val="18"/>
          <w:szCs w:val="18"/>
          <w:color w:val="auto"/>
        </w:rPr>
      </w:pPr>
    </w:p>
    <w:p>
      <w:pPr>
        <w:jc w:val="both"/>
        <w:ind w:left="500" w:hanging="168"/>
        <w:spacing w:after="0" w:line="252" w:lineRule="auto"/>
        <w:tabs>
          <w:tab w:leader="none" w:pos="4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third quarter of 2020, we adjusted our workforce strategy to provide more flexibility for our employees to work remotely when our offices reopen. This change also expands our access to a larger and more diverse talent pool, empowers our leaders to make decisions based on skills and business need rather than location, and it is expected to create efficiencies within our real estate strategy as we optimize our footprint and shift toward more collaborative workspaces within our offices. We currently expect most of the transactions related to these real estate activities will close during the fourth quarter of 2020 with a one-time cash outlay of between $20.0 million and $25.0 million during the third and fourth quarters of 2020. We incurred approximately $6.8 million of pre-tax costs related to these real estate activities during the third quarter of 2020.</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initial actions we have taken to date, we are continuously evaluating further possible actions in order to respond quickly to rapidly changing conditions, if needed.</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experiencing an increase in our aging of receivables and observed changes in some of our customers' payment behavior associated with the COVID-19 pandemic and this development may continue in the near term. We have received short-term payment relief requests as a result of COVID-19, most often in the form of payment deferral requests. We are evaluating each request on a case-by-case basis to assess the customer's ability to pay. Not all customer requests will ultimately result in modified payment terms, nor are we forgoing our contractual rights under customer agreements. During the three and nine months ended September 30, 2020, our bad debt expense increased by $2.4 million and $5.3 million, respectively, compared to the same periods in 2019. We are continually monitoring our customer receivable balances, payment terms, and creditworthiness for changes that could have a significant impact on the collectability of our accounts receivables, our operating results and financial position.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2020, our total cash and cash equivalents balance included approximately $17.2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by $13.0 million during the nine months ended September 30, 2020, when compared to the same period in 2019, primarily due to a $ 45.5 million decrease in cash flow from operations associated with working capital, partially offset by a $32.5 million increase in net income adjusted for non-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 The increase in net income adjusted for non-cash expenses was primarily from operating cost reductions put in place in response to COVID-19 and the increased use of stock-based compensation in lieu of cash-based compensation.</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decrease in cash flow from operations associated with working capital during the nine months ended September 30, 2020, when compared to the same period in 2019, was primarily due to:</w:t>
      </w:r>
    </w:p>
    <w:p>
      <w:pPr>
        <w:spacing w:after="0" w:line="148" w:lineRule="exact"/>
        <w:rPr>
          <w:sz w:val="20"/>
          <w:szCs w:val="20"/>
          <w:color w:val="auto"/>
        </w:rPr>
      </w:pPr>
    </w:p>
    <w:p>
      <w:pPr>
        <w:ind w:left="660" w:hanging="328"/>
        <w:spacing w:after="0" w:line="26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current period bonus payments as a result of an increase in amounts accrued as of December 31, 2019 for over-performance against 2019 targets;</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the current period bonus accrual due to our decision to replace cash payments for our 2020 bonus plans with performance-based equity awards;</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the aging of customer receivable balances primarily due to the COVID-19 pandemic;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of $57.9 million decreased by $95.1 million during the nine months ended September 30, 2020, when compared to the same period in 2019.</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2019, we used net cash of $109.4 million for our acquisition of YourCause and we did not make any similar investments during the same period in 2020. During the nine months ended September 30, 2020, we used $32.0 million for software development costs, which was relatively consistent with cash spent during the same period in 2019. We continue to invest in our innovative cloud solutions, as well as development activities for Blackbaud SKY, our modern cloud platform.</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spent $25.8 million of cash for purchases of property and equipment during the nine months ended September 30, 2020, which was an increase of $16.2 million when compared to the same period in 2019. The additional cash expended was primarily used to purchase our Headquarters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we had a net decrease in borrowings of $23.6 million.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paid $21.3 million to satisfy tax obligations of employees upon settlement of equity awards during the nine months ended September 30, 2020 compared to $20.3 million during the same period in 2019. The amount of taxes paid by us on the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 In addition, during the nine months ended September 30, 2020, we paid dividends of $6.0 million, down from $17.7 million during the same period of 2019, as we discontinued the declaration and payment of all cash dividends, beginning with the second quarter of 2020.</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used in financing activities associated with changes in restricted cash due to customers increased $121.9 million during the nine months ended September 30, 2020 when compared to the same period in 2019, as the amount of restricted cash held and payable by us to customers as of December 31, 2019 was significantly larger than at the same date in 2018 primarily due to the timing of year-end donations. Additionally, effective August 3, 2020, a significant amount of restricted cash related to charitable giving transacted through our social responsibility and grantmaking solutions is now held and disbursed by the Blackbaud Giving Fund, an independent nonprofit organization, strategic partner of ours, and sponsoring organization for a donor advised fund. This change was made primarily to facilitate faster tax receipts for our customers and their employees.</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44 </w:t>
      </w:r>
      <w:r>
        <w:rPr>
          <w:sz w:val="1"/>
          <w:szCs w:val="1"/>
          <w:color w:val="auto"/>
        </w:rPr>
        <w:drawing>
          <wp:inline distT="0" distB="0" distL="0" distR="0">
            <wp:extent cx="745490" cy="18859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drawn on our credit facility from time to time to help us meet financial needs, such as financing for business acquisitions. At September 30, 2020, our available borrowing capacity under the 2017 Credit Facility was $229.6 million. The 2017 Credit Facility matures in June 2022.</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2020, the carrying amount of our debt under the 2017 Credit Facility was $444.0 million. Our average daily borrowings during the three and nine months ended September 30, 2020 were $472.7 million and $496.7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2017 Credit Facility: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9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5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6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September 30, 2020</w:t>
            </w:r>
          </w:p>
        </w:tc>
        <w:tc>
          <w:tcPr>
            <w:tcW w:w="20" w:type="dxa"/>
            <w:vAlign w:val="bottom"/>
            <w:shd w:val="clear" w:color="auto" w:fill="ACACAC"/>
          </w:tcPr>
          <w:p>
            <w:pPr>
              <w:spacing w:after="0"/>
              <w:rPr>
                <w:sz w:val="18"/>
                <w:szCs w:val="18"/>
                <w:color w:val="auto"/>
              </w:rPr>
            </w:pPr>
          </w:p>
        </w:tc>
      </w:tr>
      <w:tr>
        <w:trPr>
          <w:trHeight w:val="230"/>
        </w:trPr>
        <w:tc>
          <w:tcPr>
            <w:tcW w:w="499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p>
        </w:tc>
        <w:tc>
          <w:tcPr>
            <w:tcW w:w="285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 3.50 to 1.00</w:t>
            </w:r>
          </w:p>
        </w:tc>
        <w:tc>
          <w:tcPr>
            <w:tcW w:w="336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1.95 to 1.00</w:t>
            </w:r>
          </w:p>
        </w:tc>
        <w:tc>
          <w:tcPr>
            <w:tcW w:w="20" w:type="dxa"/>
            <w:vAlign w:val="bottom"/>
          </w:tcPr>
          <w:p>
            <w:pPr>
              <w:spacing w:after="0"/>
              <w:rPr>
                <w:sz w:val="19"/>
                <w:szCs w:val="19"/>
                <w:color w:val="auto"/>
              </w:rPr>
            </w:pPr>
          </w:p>
        </w:tc>
      </w:tr>
      <w:tr>
        <w:trPr>
          <w:trHeight w:val="229"/>
        </w:trPr>
        <w:tc>
          <w:tcPr>
            <w:tcW w:w="499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Interest coverage ratio</w:t>
            </w:r>
          </w:p>
        </w:tc>
        <w:tc>
          <w:tcPr>
            <w:tcW w:w="2850" w:type="dxa"/>
            <w:vAlign w:val="bottom"/>
            <w:tcBorders>
              <w:bottom w:val="single" w:sz="8" w:color="71BF43"/>
            </w:tcBorders>
          </w:tcPr>
          <w:p>
            <w:pPr>
              <w:jc w:val="center"/>
              <w:spacing w:after="0"/>
              <w:rPr>
                <w:sz w:val="20"/>
                <w:szCs w:val="20"/>
                <w:color w:val="auto"/>
              </w:rPr>
            </w:pPr>
            <w:r>
              <w:rPr>
                <w:rFonts w:ascii="Arial" w:cs="Arial" w:eastAsia="Arial" w:hAnsi="Arial"/>
                <w:sz w:val="18"/>
                <w:szCs w:val="18"/>
                <w:color w:val="auto"/>
                <w:w w:val="99"/>
              </w:rPr>
              <w:t>≥ 2.50 to 1.00</w:t>
            </w:r>
          </w:p>
        </w:tc>
        <w:tc>
          <w:tcPr>
            <w:tcW w:w="3360" w:type="dxa"/>
            <w:vAlign w:val="bottom"/>
            <w:tcBorders>
              <w:bottom w:val="single" w:sz="8" w:color="71BF43"/>
            </w:tcBorders>
          </w:tcPr>
          <w:p>
            <w:pPr>
              <w:jc w:val="center"/>
              <w:spacing w:after="0"/>
              <w:rPr>
                <w:sz w:val="20"/>
                <w:szCs w:val="20"/>
                <w:color w:val="auto"/>
              </w:rPr>
            </w:pPr>
            <w:r>
              <w:rPr>
                <w:rFonts w:ascii="Arial" w:cs="Arial" w:eastAsia="Arial" w:hAnsi="Arial"/>
                <w:sz w:val="18"/>
                <w:szCs w:val="18"/>
                <w:color w:val="auto"/>
                <w:w w:val="98"/>
              </w:rPr>
              <w:t>13.84 to 1.00</w:t>
            </w:r>
          </w:p>
        </w:tc>
        <w:tc>
          <w:tcPr>
            <w:tcW w:w="20" w:type="dxa"/>
            <w:vAlign w:val="bottom"/>
          </w:tcPr>
          <w:p>
            <w:pPr>
              <w:spacing w:after="0"/>
              <w:rPr>
                <w:sz w:val="19"/>
                <w:szCs w:val="19"/>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2017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2017 Credit Facility, and (ii) our pro forma net leverage ratio, as set forth in the 2017 Credit Facility, must be 0.25 less than the net leverage ratio requirement at the time of dividend declaration or share repurchase. At September 30, 2020, we were in compliance with our debt covenants under the 2017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2020 refinancing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30, 2020, we entered into the 2020 Credit Facility. The 2020 Credit Facility matures in October 2025 and replaces the 2017 Credit Facility by amending and restating it to (a) increase the amount available under the revolving credit facility to $500.0 million, (b) increase the amount available under the term loan facility to $400.0 million and (c) provide for a net leverage ratio of, (i) commencing with the first fiscal quarter ending December 31, 2020 and through September 30, 2022, 4.00 to 1.00 and (ii) commencing with the fiscal quarter ending December 31, 2022 and thereafter, 3.75 to 1.00, among other changes. See Part II, Item 5. “Other Information” for detailed information relating to the terms of the 2020 Credit Facility.</w:t>
      </w:r>
    </w:p>
    <w:p>
      <w:pPr>
        <w:spacing w:after="0" w:line="200" w:lineRule="exact"/>
        <w:rPr>
          <w:sz w:val="20"/>
          <w:szCs w:val="20"/>
          <w:color w:val="auto"/>
        </w:rPr>
      </w:pPr>
    </w:p>
    <w:p>
      <w:pPr>
        <w:spacing w:after="0" w:line="278"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2020, we had contractual obligations with future minimum commitments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4972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5175" cy="49720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Recorded contractual obligations:</w:t>
      </w:r>
    </w:p>
    <w:p>
      <w:pPr>
        <w:ind w:left="140"/>
        <w:spacing w:after="0"/>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(1)</w:t>
      </w:r>
    </w:p>
    <w:p>
      <w:pPr>
        <w:ind w:left="140"/>
        <w:spacing w:after="0" w:line="208" w:lineRule="auto"/>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(2)</w:t>
      </w:r>
    </w:p>
    <w:p>
      <w:pPr>
        <w:ind w:left="1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(3)</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Unrecorded contractual obligations:</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(4)</w:t>
      </w:r>
    </w:p>
    <w:p>
      <w:pPr>
        <w:ind w:left="140"/>
        <w:spacing w:after="0" w:line="229" w:lineRule="auto"/>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contractual obligations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FFFFFF"/>
        </w:rPr>
        <w:t>Payments due by period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shd w:val="clear" w:color="auto" w:fill="ACACAC"/>
          </w:tcPr>
          <w:p>
            <w:pPr>
              <w:spacing w:after="0"/>
              <w:rPr>
                <w:sz w:val="14"/>
                <w:szCs w:val="14"/>
                <w:color w:val="auto"/>
              </w:rPr>
            </w:pPr>
          </w:p>
        </w:tc>
        <w:tc>
          <w:tcPr>
            <w:tcW w:w="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36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 1</w:t>
            </w:r>
          </w:p>
        </w:tc>
        <w:tc>
          <w:tcPr>
            <w:tcW w:w="440" w:type="dxa"/>
            <w:vAlign w:val="bottom"/>
            <w:shd w:val="clear" w:color="auto" w:fill="ACACAC"/>
          </w:tcPr>
          <w:p>
            <w:pPr>
              <w:spacing w:after="0"/>
              <w:rPr>
                <w:sz w:val="14"/>
                <w:szCs w:val="14"/>
                <w:color w:val="auto"/>
              </w:rPr>
            </w:pPr>
          </w:p>
        </w:tc>
        <w:tc>
          <w:tcPr>
            <w:tcW w:w="9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34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 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ACACAC"/>
            </w:tcBorders>
            <w:shd w:val="clear" w:color="auto" w:fill="ACACAC"/>
          </w:tcPr>
          <w:p>
            <w:pPr>
              <w:spacing w:after="0"/>
              <w:rPr>
                <w:sz w:val="15"/>
                <w:szCs w:val="15"/>
                <w:color w:val="auto"/>
              </w:rPr>
            </w:pPr>
          </w:p>
        </w:tc>
        <w:tc>
          <w:tcPr>
            <w:tcW w:w="900" w:type="dxa"/>
            <w:vAlign w:val="bottom"/>
            <w:tcBorders>
              <w:bottom w:val="single" w:sz="8" w:color="ACACAC"/>
            </w:tcBorders>
            <w:vMerge w:val="continue"/>
            <w:shd w:val="clear" w:color="auto" w:fill="ACACAC"/>
          </w:tcPr>
          <w:p>
            <w:pPr>
              <w:spacing w:after="0"/>
              <w:rPr>
                <w:sz w:val="15"/>
                <w:szCs w:val="15"/>
                <w:color w:val="auto"/>
              </w:rPr>
            </w:pPr>
          </w:p>
        </w:tc>
        <w:tc>
          <w:tcPr>
            <w:tcW w:w="360" w:type="dxa"/>
            <w:vAlign w:val="bottom"/>
            <w:tcBorders>
              <w:bottom w:val="single" w:sz="8" w:color="ACACAC"/>
            </w:tcBorders>
            <w:shd w:val="clear" w:color="auto" w:fill="ACACAC"/>
          </w:tcPr>
          <w:p>
            <w:pPr>
              <w:spacing w:after="0"/>
              <w:rPr>
                <w:sz w:val="15"/>
                <w:szCs w:val="15"/>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c>
          <w:tcPr>
            <w:tcW w:w="440" w:type="dxa"/>
            <w:vAlign w:val="bottom"/>
            <w:tcBorders>
              <w:bottom w:val="single" w:sz="8" w:color="ACACAC"/>
            </w:tcBorders>
            <w:shd w:val="clear" w:color="auto" w:fill="ACACAC"/>
          </w:tcPr>
          <w:p>
            <w:pPr>
              <w:spacing w:after="0"/>
              <w:rPr>
                <w:sz w:val="15"/>
                <w:szCs w:val="15"/>
                <w:color w:val="auto"/>
              </w:rPr>
            </w:pPr>
          </w:p>
        </w:tc>
        <w:tc>
          <w:tcPr>
            <w:tcW w:w="980" w:type="dxa"/>
            <w:vAlign w:val="bottom"/>
            <w:tcBorders>
              <w:bottom w:val="single" w:sz="8" w:color="ACACAC"/>
            </w:tcBorders>
            <w:vMerge w:val="continue"/>
            <w:shd w:val="clear" w:color="auto" w:fill="ACACAC"/>
          </w:tcPr>
          <w:p>
            <w:pPr>
              <w:spacing w:after="0"/>
              <w:rPr>
                <w:sz w:val="15"/>
                <w:szCs w:val="15"/>
                <w:color w:val="auto"/>
              </w:rPr>
            </w:pPr>
          </w:p>
        </w:tc>
        <w:tc>
          <w:tcPr>
            <w:tcW w:w="440" w:type="dxa"/>
            <w:vAlign w:val="bottom"/>
            <w:tcBorders>
              <w:bottom w:val="single" w:sz="8" w:color="ACACAC"/>
            </w:tcBorders>
            <w:shd w:val="clear" w:color="auto" w:fill="ACACAC"/>
          </w:tcPr>
          <w:p>
            <w:pPr>
              <w:spacing w:after="0"/>
              <w:rPr>
                <w:sz w:val="15"/>
                <w:szCs w:val="15"/>
                <w:color w:val="auto"/>
              </w:rPr>
            </w:pPr>
          </w:p>
        </w:tc>
        <w:tc>
          <w:tcPr>
            <w:tcW w:w="960" w:type="dxa"/>
            <w:vAlign w:val="bottom"/>
            <w:tcBorders>
              <w:bottom w:val="single" w:sz="8" w:color="ACACAC"/>
            </w:tcBorders>
            <w:vMerge w:val="continue"/>
            <w:shd w:val="clear" w:color="auto" w:fill="ACACAC"/>
          </w:tcPr>
          <w:p>
            <w:pPr>
              <w:spacing w:after="0"/>
              <w:rPr>
                <w:sz w:val="15"/>
                <w:szCs w:val="15"/>
                <w:color w:val="auto"/>
              </w:rPr>
            </w:pPr>
          </w:p>
        </w:tc>
        <w:tc>
          <w:tcPr>
            <w:tcW w:w="340" w:type="dxa"/>
            <w:vAlign w:val="bottom"/>
            <w:tcBorders>
              <w:bottom w:val="single" w:sz="8" w:color="ACACAC"/>
            </w:tcBorders>
            <w:shd w:val="clear" w:color="auto" w:fill="ACACAC"/>
          </w:tcPr>
          <w:p>
            <w:pPr>
              <w:spacing w:after="0"/>
              <w:rPr>
                <w:sz w:val="15"/>
                <w:szCs w:val="15"/>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20" w:type="dxa"/>
            <w:vAlign w:val="bottom"/>
            <w:tcBorders>
              <w:bottom w:val="single" w:sz="8" w:color="ACACAC"/>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695.4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-1053465</wp:posOffset>
            </wp:positionV>
            <wp:extent cx="710628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-762635</wp:posOffset>
            </wp:positionV>
            <wp:extent cx="710628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-445135</wp:posOffset>
            </wp:positionV>
            <wp:extent cx="710628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-153670</wp:posOffset>
            </wp:positionV>
            <wp:extent cx="7106285"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3440" w:space="720"/>
            <w:col w:w="7080"/>
          </w:cols>
          <w:pgMar w:left="320" w:top="126" w:right="339" w:bottom="1440" w:gutter="0" w:footer="0" w:header="0"/>
          <w:type w:val="continuous"/>
        </w:sectPr>
      </w:pPr>
    </w:p>
    <w:p>
      <w:pPr>
        <w:jc w:val="both"/>
        <w:ind w:left="340" w:hanging="332"/>
        <w:spacing w:after="0" w:line="241" w:lineRule="auto"/>
        <w:tabs>
          <w:tab w:leader="none" w:pos="3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2017 Credit Facility, our Real Estate Loans and our other debt at September 30, 2020 will remain outstanding until maturity, with minimum payments occurring as currently scheduled, and (ii) that there are no assumed future borrowings on the 2017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hanging="332"/>
        <w:spacing w:after="0" w:line="241" w:lineRule="auto"/>
        <w:tabs>
          <w:tab w:leader="none" w:pos="3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(1) above.</w:t>
      </w:r>
    </w:p>
    <w:p>
      <w:pPr>
        <w:ind w:left="340" w:hanging="332"/>
        <w:spacing w:after="0" w:line="258" w:lineRule="auto"/>
        <w:tabs>
          <w:tab w:leader="none" w:pos="354"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loan under the 2017 Credit Facility required, and the 2020 Credit Facility (as described below at Part II, Item 5. “Other Information”) requires, periodic principal payments. The balance of the term loans and any amounts drawn on the revolving credit loans previously were due in June 2022 under the 2017 Credit Facility and now will be due in October 2025 under the 2020 Credit Facility. The Real Estate Loans also require periodic principal payments and the balance of the Real Estate Loans are due upon maturity in April 2038.</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September 30, 2020 and December 31, 2019, was $4.8 million and $4.3 million, respectively. Our accrued interest and penalties related to tax positions taken on our tax returns was $1.1 million and $1.0 million as of September 30, 2020 and December 31, 2019, respectively.</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September 30, 2020, we did not have any off-balance sheet arrangements as defined in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16% of our total revenue for the nine months ended September 30, 2020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$5.9 million as of September 30, 2020 and a loss of $4.0 million as of December 31, 2019.</w:t>
      </w:r>
    </w:p>
    <w:p>
      <w:pPr>
        <w:spacing w:after="0" w:line="200" w:lineRule="exact"/>
        <w:rPr>
          <w:sz w:val="20"/>
          <w:szCs w:val="20"/>
          <w:color w:val="auto"/>
        </w:rPr>
      </w:pPr>
    </w:p>
    <w:p>
      <w:pPr>
        <w:spacing w:after="0" w:line="27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46 </w:t>
      </w:r>
      <w:r>
        <w:rPr>
          <w:sz w:val="1"/>
          <w:szCs w:val="1"/>
          <w:color w:val="auto"/>
        </w:rPr>
        <w:drawing>
          <wp:inline distT="0" distB="0" distL="0" distR="0">
            <wp:extent cx="745490" cy="1885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nine months ended September 30, 2020,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nine months ended September 30, 2020, the fluctuation in foreign currency exchange rates reduced our total revenue and our income from operations by $1.5 million and $ 0.8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2020 as compared to those disclosed in “Management’s Discussion and Analysis of Financial Condition and Results of Operations” included in our Annual Report on Form 10-K for the fiscal year ended December 31, 2019.</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condensed consolidated financial statements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 Due to the nature of our debt, the materiality of the fair values of the derivative instruments and the highly liquid, short-term nature and level of our cash and cash equivalents as of September 30, 2020, we believe that the risk of exposure to changing interest rates for those positions is immaterial. There were no significant changes in how we manage interest rate risk between December 31, 2019 and September 30, 2020.</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00" w:lineRule="exact"/>
        <w:rPr>
          <w:sz w:val="20"/>
          <w:szCs w:val="20"/>
          <w:color w:val="auto"/>
        </w:rPr>
      </w:pPr>
    </w:p>
    <w:p>
      <w:pPr>
        <w:spacing w:after="0" w:line="267"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September 30, 2020 with respect to our operations, which have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48 </w:t>
      </w:r>
      <w:r>
        <w:rPr>
          <w:sz w:val="1"/>
          <w:szCs w:val="1"/>
          <w:color w:val="auto"/>
        </w:rPr>
        <w:drawing>
          <wp:inline distT="0" distB="0" distL="0" distR="0">
            <wp:extent cx="745490" cy="18859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sz w:val="1"/>
          <w:szCs w:val="1"/>
          <w:color w:val="auto"/>
        </w:rPr>
        <w:drawing>
          <wp:inline distT="0" distB="0" distL="0" distR="0">
            <wp:extent cx="180340" cy="22288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10 to our condensed consolidated financial statements in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2019, as filed with the Securities and Exchange Commission on February 20, 2020 (the “Annual Report”). The following risk factors should be read in conjunction with the risk factors set forth in that Annual Report.</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(“COVID-19”) has disrupted, and is expected to continue to disrupt, our business, which is likely to adversely affect our operations and financial performance.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outbreak of COVID-19 in numerous countries across the globe, including each country in which we currently operate, has adversely impacted the U.S. and global economies. We have experienced disruptions to our business thus far from COVID-19, and the pandemic continues to impact each of our markets. Governmental authorities have taken, and continue to take, countermeasures to slow the outbreak, including shelter-in-place and business closure orders and large-scale restrictions on travel. Furthermore, because the pandemic is a rapidly evolving situation, we cannot anticipate with certainty the length, scope or severity of such restrictions in the jurisdictions in which we operate.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Certain vertical markets we serve are especially vulnerable to the ongoing global business disruption. For example:</w:t>
      </w:r>
    </w:p>
    <w:p>
      <w:pPr>
        <w:spacing w:after="0" w:line="225" w:lineRule="exact"/>
        <w:rPr>
          <w:sz w:val="20"/>
          <w:szCs w:val="20"/>
          <w:color w:val="auto"/>
        </w:rPr>
      </w:pPr>
    </w:p>
    <w:p>
      <w:pPr>
        <w:jc w:val="both"/>
        <w:ind w:left="660" w:hanging="328"/>
        <w:spacing w:after="0" w:line="256"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Many arts and cultural organizations, including museums, zoos, performing arts centers and theaters, among others, have had to cancel events or have seen a significant decline in attendance due to COVID-19. Many of these organizations have also suspended their operations temporarily.</w:t>
      </w:r>
    </w:p>
    <w:p>
      <w:pPr>
        <w:spacing w:after="0" w:line="201"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believe that a number of K-12 private schools, that would have ordinarily considered purchasing our cloud solutions for the 2020-2021 academic school year, have delayed their expenditure decisions due to the uncertainty of COVID-19.</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number of our nonprofit customers have also been negatively impacted by the postponement or cancellation of mass-participation events, such as marathons and other endurance sporting events, galas, auctions and other fundraisers.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COVID-19 has impacted and will continue to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 This impact could include:</w:t>
      </w:r>
    </w:p>
    <w:p>
      <w:pPr>
        <w:spacing w:after="0" w:line="150"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customer demand;</w:t>
      </w:r>
    </w:p>
    <w:p>
      <w:pPr>
        <w:spacing w:after="0" w:line="171"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our service providers, suppliers and business partners, including their ability to fulfill their obligations to us;</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further declines in our customers' ability to pay for our solutions and services;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workforce availability and productivity due to working remotely using different technologies and potential health effects and concerns;</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indebtedness (including available borrowing capacity, compliance with financial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covenants and ability to refinance or repay indebtedness on favorable terms);</w:t>
      </w:r>
    </w:p>
    <w:p>
      <w:pPr>
        <w:spacing w:after="0" w:line="171" w:lineRule="exact"/>
        <w:rPr>
          <w:sz w:val="20"/>
          <w:szCs w:val="20"/>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adequacy of our cash flows and earnings and other conditions that may affect our liquidity;</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disruptions to our technology network and other critical systems;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impairment charges against our goodwill and other intangible assets, operating lease right-of-use assets and other long-lived assets.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U.S. and global economies and may materially adversely impact our business, financial condition and results of operations.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security of our software is breached, we fail to securely collect, store and transmit customer information, or we fail to safeguard confidential donor data, we could be exposed to liability, litigation, penalties and remedial costs and our reputation and business could suffer.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Fundamental to the use of our solutions is the secure collection, storage and transmission of confidential donor and end user data and transaction data, including in our payment services. Despite the network, application and physical security procedures and internal control measures we employ to safeguard our systems, we may still be vulnerable to a security breach, intrusion, loss or theft of confidential donor data and transaction data, which may harm our business, reputation and future financial results. Furthermore, our increased reliance on remote access to information systems and global disruptions in response to COVID-19, as described above, increase our exposure to potential cybersecurity incidents.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Like many major businesses, we are, from time to time, a target of cyberattacks, phishing and social engineering schemes, such as the Security Incident (as described in Note 10 of the unaudited condensed consolidated financial statements in this report), and we expect these threats to continue, some of which may be successful to varying degrees. Because the numerous and evolving cybersecurity threats used to obtain unauthorized access, disable, degrade or sabotage systems have become increasingly more complex and sophisticated, it may be difficult to anticipate these acts or to detect them for periods of time, as with the Security Incident, and we may be unable to respond adequately or timely. As these threats continue to evolve and increase, we may be required to devote significant additional resources in order to modify and enhance our security controls and to identify and remediate any security vulnerabilities.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compromise of our data security that results in customer or customer constituent personal or payment card data being obtained by unauthorized persons could adversely affect our reputation with our customers and others, as well as our operations, results of operations, financial condition and liquidity and could result in litigation against us or the imposition of fines and penalties. We might be required to expend significant additional capital and other resources to rectify problems caused by a security breach, including notification under data privacy laws and regulations, and incur expenses related to remediating our information security systems. Even though we carry cyber-technology insurance policies that may provide insurance coverage under certain circumstances, we might suffer losses as a result of a security breach that exceed the coverage available under our insurance policies or for which we do not have coverage. A security breach and any efforts we make to address such breach could also result in a disruption of our operations, particularly our online sales operations.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occurrence of actual cyber security events, such as the Security Incident, could magnify the severity of the adverse effects of future incidents on our business. The techniques used to obtain unauthorized access, disable or degrade service, or sabotage information systems can be difficult to detect for long periods of time and can involve difficult or prolonged assessment or remediation periods even once detected. We, therefore, cannot assure you that all potential causes of past significant incidents, including the Security Incident, have been fully identified and remediated. The steps we take may not be sufficient to prevent future significant incidents and, as a result, such incidents may occur again.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Security Incident could have numerous adverse effects on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50 </w:t>
      </w:r>
      <w:r>
        <w:rPr>
          <w:sz w:val="1"/>
          <w:szCs w:val="1"/>
          <w:color w:val="auto"/>
        </w:rPr>
        <w:drawing>
          <wp:inline distT="0" distB="0" distL="0" distR="0">
            <wp:extent cx="745490" cy="18859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160 claims from customers or their attorneys related to the Security Incident and are in the process of assessing what, if any, liability may exist pursuant to such claims. Possible exposure could result from our customers’ costs and expenses associated with notifying their own constituents of the Security Incident and taking steps to assure that personal information has not been compromised as a result of the Security Incident. In addition, to date, we have been named as a defendant in 23 putative consumer class action cases (17 in U.S. federal courts, 4 in U.S. state courts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43 state Attorneys General and the District of Columbia relating to the Security Incident. In addition, we have received communications, inquires and requests from the U.S. Federal Trade Commission, the U.S. Department of Health and Human Services, the Information Commissioner’s Office in the United Kingdom (the “ICO”) under the U.K. Data Protection Act 2018, the Office of the Australian Information Commissioner and the Office of the Privacy Commissioner of Canada. (See Note 10 to the unaudited, condensed consolidated financial statements included in this report.)</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may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(See Note 10 to the unaudited, condensed consolidated financial statements included in this report.) Although we carry cyber-technology insurance designed to protect us against certain losses related to cybersecurity events, that insurance coverage may not be sufficient to cover all expenses or other losses (including fines) or all types of claims that may arise in connection with cyberattacks, security compromises and other related incidents. Furthermore, in the future such insurance may not be available on commercially reasonable terms, or at all.</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publicity or developments related to the Security Incident could have a range of other adverse effects on our business or prospects, including causing or contributing to loss of customer confidence, reduced customer demand, reduced customer retention, strategic growth opportunities, and associated retention and recruiting difficulties.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September 30, 2020. All of these acquisitions were of common stock withheld by us to satisfy tax obligations of employees due upon vesting of restricted stock awards and units. The level of acquisition activity varies from period to period based upon the timing of grants and vesting as well as employee exercise decisions.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vMerge w:val="continue"/>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vMerge w:val="continue"/>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vMerge w:val="continue"/>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vMerge w:val="continue"/>
            <w:shd w:val="clear" w:color="auto" w:fill="ACACAC"/>
          </w:tcPr>
          <w:p>
            <w:pPr>
              <w:spacing w:after="0"/>
              <w:rPr>
                <w:sz w:val="16"/>
                <w:szCs w:val="16"/>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w:t>
            </w: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jc w:val="right"/>
              <w:spacing w:after="0" w:line="176"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(1)</w:t>
            </w: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Beginning balance, July 1, 2020</w:t>
            </w:r>
          </w:p>
        </w:tc>
        <w:tc>
          <w:tcPr>
            <w:tcW w:w="13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3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July 1, 2020 through July 31, 2020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August 1, 2020 through August 31, 2020</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F4F4F4"/>
          </w:tcPr>
          <w:p>
            <w:pPr>
              <w:spacing w:after="0"/>
              <w:rPr>
                <w:sz w:val="19"/>
                <w:szCs w:val="19"/>
                <w:color w:val="auto"/>
              </w:rPr>
            </w:pPr>
          </w:p>
        </w:tc>
        <w:tc>
          <w:tcPr>
            <w:tcW w:w="1460" w:type="dxa"/>
            <w:vAlign w:val="bottom"/>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September 1, 2020 through September 30,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F4F4F4"/>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F4F4F4"/>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71BF43"/>
            </w:tcBorders>
            <w:shd w:val="clear" w:color="auto" w:fill="F4F4F4"/>
          </w:tcPr>
          <w:p>
            <w:pPr>
              <w:spacing w:after="0"/>
              <w:rPr>
                <w:sz w:val="19"/>
                <w:szCs w:val="19"/>
                <w:color w:val="auto"/>
              </w:rPr>
            </w:pPr>
          </w:p>
        </w:tc>
        <w:tc>
          <w:tcPr>
            <w:tcW w:w="460" w:type="dxa"/>
            <w:vAlign w:val="bottom"/>
            <w:tcBorders>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Borders>
              <w:bottom w:val="single" w:sz="8" w:color="71BF43"/>
            </w:tcBorders>
            <w:shd w:val="clear" w:color="auto" w:fill="F4F4F4"/>
          </w:tcPr>
          <w:p>
            <w:pPr>
              <w:spacing w:after="0"/>
              <w:rPr>
                <w:sz w:val="19"/>
                <w:szCs w:val="19"/>
                <w:color w:val="auto"/>
              </w:rPr>
            </w:pPr>
          </w:p>
        </w:tc>
        <w:tc>
          <w:tcPr>
            <w:tcW w:w="1460" w:type="dxa"/>
            <w:vAlign w:val="bottom"/>
            <w:tcBorders>
              <w:bottom w:val="single" w:sz="8" w:color="71BF43"/>
            </w:tcBorders>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71BF43"/>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58" w:lineRule="auto"/>
        <w:tabs>
          <w:tab w:leader="none" w:pos="354"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August 2010, our Board of Directors approved a stock repurchase program that authorized us to purchase up to $50.0 million of our outstanding shares of common stock. We have not made any repurchases under the program to date, and the program does not have an expiration date.</w:t>
      </w: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5. OTHER INFORMATION</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October 2020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October 30, 2020, we entered into the 2020 Credit Facility with the lenders referred to therein (the “Lenders”), Bank of America, N.A., as Administrative Agent, Swingline Lender and an Issuing Lender, PNC Bank, National Association, as Syndication Agent, and Regions Bank, BBVA USA and Fifth Third Bank, National Association, as Co-Documentation Agents, with BofA Securities, Inc., PNC Bank, National Association, Regions Capital Markets, BBVA USA and Fifth Third Bank, National Association, as Joint Lead Arrangers and Joint Bookrunners.</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2020 Credit Facility is a $900 million senior secured facility that matures on October 30, 2025, unless earlier terminated, subject to certain conditions and circumstances set forth in the 2020 Credit Facility. The 2020 Credit Facility replaces the 2017 Credit Facility by amending and restating it to include a $500 million revolving credit facility (the “Revolving Credit Facility”) and a $ 400 million term loan facility (the “Term Facility”). The Revolving Credit Facility includes (a) a $ 50 million sublimit available for the issuance of standby letters of credit, (b) a $50 million sublimit available for swingline loans, and (c) a $100 million sublimit available for multicurrency borrowings. We may prepay the 2020 Credit Facility in whole or in part at any time without premium or penalty, other than customary breakage costs with respect to certain types of loans.</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Under the terms of the 2020 Credit Facility, we are entitled on one or more occasions, subject to the satisfaction of certain conditions, to request an increase in the commitments under the Revolving Credit Facility and/or request additional incremental term loans in the aggregate principal amount of up to $250 million plus an amount, if any, such that the net leverage ratio shall be no greater than 3.25 to 1.00.</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October 30, 2020, we borrowed $400 million pursuant to the Term Facility and used the proceeds to repay the outstanding principal balance of the term loan under the 2017 Credit Facility, and repay $124.4 million of outstanding revolving credit loans under the 2017 revolving credit facility.</w:t>
      </w: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52 </w:t>
      </w:r>
      <w:r>
        <w:rPr>
          <w:sz w:val="1"/>
          <w:szCs w:val="1"/>
          <w:color w:val="auto"/>
        </w:rPr>
        <w:drawing>
          <wp:inline distT="0" distB="0" distL="0" distR="0">
            <wp:extent cx="745490"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Third Quarter 2020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obligations under the 2020 Credit Facility are secured by the stock and limited liability company interests of certain of our direct subsidiaries and any of our material domestic subsidiaries, if any, and the proceeds therefrom pledged pursuant to an Amended and Restated Pledge Agreement dated as of October 30, 2020 (the “2020 Pledge Agreement”), by us in favor of Bank of America, N.A., as administrative agent, for the ratable benefit of itself and the secured parties referred to therein.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Dollar tranche loans under the Revolving Credit Facility and Term Facility loans bear interest at a rate per annum equal to (a) a base rate equal to the highest of (i) the prime rate announced by Bank of America, N.A., (ii) the Federal Funds Rate plus 0.50%, and (iii) the Eurocurrency Rate (which varies depending on the currency in which the loan is denominated) plus 1.00% (the “Base Rate”), plus (b) an applicable margin as specified in the 2020 Credit Facility (the “Applicable Margin”). Each Eurocurrency Rate Loan under the 2020 Credit Facility shall bear interest at a rate per annum equal to the Eurocurrency Rate, plus the Applicable Margin. The Applicable Margin shall be adjusted quarterly, varies based on our net leverage ratio and varies based on whether the loan is a Base Rate Loan (0.375% to 1.125%) or a Eurocurrency Rate Loan (1.375% to 2.125%). The 2020 Credit Facility also provides for a commitment fee of between 0.250% and 0.375% of the unused commitment under the Revolving Credit Facility, depending on our net leverage ratio.</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2020 Credit Facility contains various representations, warranties and affirmative, negative and financial covenants customary for financings of this type. Financial covenants include a net leverage ratio and an interest coverage ratio.</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Bank of America, N.A., the Lenders and other agents under the 2020 Credit Facility and the 2020 Pledge Agreement and their respective affiliates have in the past provided, and may in the future provide, investment banking, underwriting, lending, commercial banking, cash management services, interest rate swaps and other advisory services to us. These parties have received, and may in the future receive, customary compensation from us for such services.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descriptions of the 2020 Credit Facility and the 2020 Pledge Agreement contained in this Part II, Item 5 of our Quarterly Report on Form 10-Q do not purport to be complete and is subject to, and qualified in their entirety by, the full and complete terms contained in the 2020 Credit Facility and 2020 Pledge Agreement, copies of which are filed as Exhibits 10.4 and 10.5, respectively, and are incorporated herein by reference. Any capitalized term used herein but not defined shall have the meaning ascribed to such term in the 2020 Credit Facility.</w:t>
      </w:r>
    </w:p>
    <w:p>
      <w:pPr>
        <w:spacing w:after="0" w:line="200" w:lineRule="exact"/>
        <w:rPr>
          <w:sz w:val="20"/>
          <w:szCs w:val="20"/>
          <w:color w:val="auto"/>
        </w:rPr>
      </w:pPr>
    </w:p>
    <w:p>
      <w:pPr>
        <w:spacing w:after="0" w:line="273"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shd w:val="clear" w:color="auto" w:fill="ACACAC"/>
          </w:tcPr>
          <w:p>
            <w:pPr>
              <w:spacing w:after="0"/>
              <w:rPr>
                <w:sz w:val="17"/>
                <w:szCs w:val="17"/>
                <w:color w:val="auto"/>
              </w:rPr>
            </w:pPr>
          </w:p>
        </w:tc>
        <w:tc>
          <w:tcPr>
            <w:tcW w:w="200" w:type="dxa"/>
            <w:vAlign w:val="bottom"/>
            <w:shd w:val="clear" w:color="auto" w:fill="ACACAC"/>
          </w:tcPr>
          <w:p>
            <w:pPr>
              <w:spacing w:after="0"/>
              <w:rPr>
                <w:sz w:val="17"/>
                <w:szCs w:val="17"/>
                <w:color w:val="auto"/>
              </w:rPr>
            </w:pPr>
          </w:p>
        </w:tc>
        <w:tc>
          <w:tcPr>
            <w:tcW w:w="760" w:type="dxa"/>
            <w:vAlign w:val="bottom"/>
            <w:shd w:val="clear" w:color="auto" w:fill="ACACAC"/>
          </w:tcPr>
          <w:p>
            <w:pPr>
              <w:spacing w:after="0"/>
              <w:rPr>
                <w:sz w:val="17"/>
                <w:szCs w:val="17"/>
                <w:color w:val="auto"/>
              </w:rPr>
            </w:pPr>
          </w:p>
        </w:tc>
        <w:tc>
          <w:tcPr>
            <w:tcW w:w="1760" w:type="dxa"/>
            <w:vAlign w:val="bottom"/>
            <w:shd w:val="clear" w:color="auto" w:fill="ACACAC"/>
          </w:tcPr>
          <w:p>
            <w:pPr>
              <w:spacing w:after="0"/>
              <w:rPr>
                <w:sz w:val="17"/>
                <w:szCs w:val="17"/>
                <w:color w:val="auto"/>
              </w:rPr>
            </w:pPr>
          </w:p>
        </w:tc>
        <w:tc>
          <w:tcPr>
            <w:tcW w:w="1020" w:type="dxa"/>
            <w:vAlign w:val="bottom"/>
            <w:shd w:val="clear" w:color="auto" w:fill="ACACAC"/>
          </w:tcPr>
          <w:p>
            <w:pPr>
              <w:spacing w:after="0"/>
              <w:rPr>
                <w:sz w:val="17"/>
                <w:szCs w:val="17"/>
                <w:color w:val="auto"/>
              </w:rPr>
            </w:pPr>
          </w:p>
        </w:tc>
        <w:tc>
          <w:tcPr>
            <w:tcW w:w="6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80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1080" w:type="dxa"/>
            <w:vAlign w:val="bottom"/>
            <w:shd w:val="clear" w:color="auto" w:fill="ACACAC"/>
          </w:tcPr>
          <w:p>
            <w:pPr>
              <w:spacing w:after="0"/>
              <w:rPr>
                <w:sz w:val="17"/>
                <w:szCs w:val="17"/>
                <w:color w:val="auto"/>
              </w:rPr>
            </w:pPr>
          </w:p>
        </w:tc>
        <w:tc>
          <w:tcPr>
            <w:tcW w:w="820" w:type="dxa"/>
            <w:vAlign w:val="bottom"/>
            <w:shd w:val="clear" w:color="auto" w:fill="ACACAC"/>
          </w:tcPr>
          <w:p>
            <w:pPr>
              <w:spacing w:after="0"/>
              <w:rPr>
                <w:sz w:val="17"/>
                <w:szCs w:val="17"/>
                <w:color w:val="auto"/>
              </w:rPr>
            </w:pPr>
          </w:p>
        </w:tc>
        <w:tc>
          <w:tcPr>
            <w:tcW w:w="1450" w:type="dxa"/>
            <w:vAlign w:val="bottom"/>
            <w:shd w:val="clear" w:color="auto" w:fill="ACACAC"/>
          </w:tcPr>
          <w:p>
            <w:pPr>
              <w:ind w:left="160"/>
              <w:spacing w:after="0"/>
              <w:rPr>
                <w:sz w:val="20"/>
                <w:szCs w:val="20"/>
                <w:color w:val="auto"/>
              </w:rPr>
            </w:pPr>
            <w:r>
              <w:rPr>
                <w:rFonts w:ascii="Arial" w:cs="Arial" w:eastAsia="Arial" w:hAnsi="Arial"/>
                <w:sz w:val="14"/>
                <w:szCs w:val="14"/>
                <w:b w:val="1"/>
                <w:bCs w:val="1"/>
                <w:color w:val="FFFFFF"/>
              </w:rPr>
              <w:t>Filed In</w:t>
            </w:r>
          </w:p>
        </w:tc>
        <w:tc>
          <w:tcPr>
            <w:tcW w:w="1250" w:type="dxa"/>
            <w:vAlign w:val="bottom"/>
            <w:shd w:val="clear" w:color="auto" w:fill="ACACAC"/>
          </w:tcPr>
          <w:p>
            <w:pPr>
              <w:spacing w:after="0"/>
              <w:rPr>
                <w:sz w:val="17"/>
                <w:szCs w:val="17"/>
                <w:color w:val="auto"/>
              </w:rPr>
            </w:pPr>
          </w:p>
        </w:tc>
        <w:tc>
          <w:tcPr>
            <w:tcW w:w="40" w:type="dxa"/>
            <w:vAlign w:val="bottom"/>
            <w:tcBorders>
              <w:left w:val="single" w:sz="8" w:color="ACACA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Exhibit</w:t>
            </w:r>
          </w:p>
        </w:tc>
        <w:tc>
          <w:tcPr>
            <w:tcW w:w="20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40" w:type="dxa"/>
            <w:vAlign w:val="bottom"/>
            <w:gridSpan w:val="5"/>
            <w:vMerge w:val="restart"/>
            <w:shd w:val="clear" w:color="auto" w:fill="ACACAC"/>
          </w:tcPr>
          <w:p>
            <w:pPr>
              <w:ind w:left="820"/>
              <w:spacing w:after="0"/>
              <w:rPr>
                <w:sz w:val="20"/>
                <w:szCs w:val="20"/>
                <w:color w:val="auto"/>
              </w:rPr>
            </w:pPr>
            <w:r>
              <w:rPr>
                <w:rFonts w:ascii="Arial" w:cs="Arial" w:eastAsia="Arial" w:hAnsi="Arial"/>
                <w:sz w:val="14"/>
                <w:szCs w:val="14"/>
                <w:b w:val="1"/>
                <w:bCs w:val="1"/>
                <w:color w:val="FFFFFF"/>
              </w:rPr>
              <w:t>Description of Document</w:t>
            </w:r>
          </w:p>
        </w:tc>
        <w:tc>
          <w:tcPr>
            <w:tcW w:w="24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1080" w:type="dxa"/>
            <w:vAlign w:val="bottom"/>
            <w:shd w:val="clear" w:color="auto" w:fill="ACACAC"/>
          </w:tcPr>
          <w:p>
            <w:pPr>
              <w:jc w:val="center"/>
              <w:ind w:right="12"/>
              <w:spacing w:after="0"/>
              <w:rPr>
                <w:sz w:val="20"/>
                <w:szCs w:val="20"/>
                <w:color w:val="auto"/>
              </w:rPr>
            </w:pPr>
            <w:r>
              <w:rPr>
                <w:rFonts w:ascii="Arial" w:cs="Arial" w:eastAsia="Arial" w:hAnsi="Arial"/>
                <w:sz w:val="14"/>
                <w:szCs w:val="14"/>
                <w:b w:val="1"/>
                <w:bCs w:val="1"/>
                <w:color w:val="FFFFFF"/>
              </w:rPr>
              <w:t>Filed</w:t>
            </w:r>
          </w:p>
        </w:tc>
        <w:tc>
          <w:tcPr>
            <w:tcW w:w="820" w:type="dxa"/>
            <w:vAlign w:val="bottom"/>
            <w:vMerge w:val="restart"/>
            <w:shd w:val="clear" w:color="auto" w:fill="ACACAC"/>
          </w:tcPr>
          <w:p>
            <w:pPr>
              <w:ind w:left="320"/>
              <w:spacing w:after="0"/>
              <w:rPr>
                <w:sz w:val="20"/>
                <w:szCs w:val="20"/>
                <w:color w:val="auto"/>
              </w:rPr>
            </w:pPr>
            <w:r>
              <w:rPr>
                <w:rFonts w:ascii="Arial" w:cs="Arial" w:eastAsia="Arial" w:hAnsi="Arial"/>
                <w:sz w:val="14"/>
                <w:szCs w:val="14"/>
                <w:b w:val="1"/>
                <w:bCs w:val="1"/>
                <w:color w:val="FFFFFF"/>
              </w:rPr>
              <w:t>Form</w:t>
            </w:r>
          </w:p>
        </w:tc>
        <w:tc>
          <w:tcPr>
            <w:tcW w:w="1450" w:type="dxa"/>
            <w:vAlign w:val="bottom"/>
            <w:shd w:val="clear" w:color="auto" w:fill="ACACAC"/>
          </w:tcPr>
          <w:p>
            <w:pPr>
              <w:jc w:val="center"/>
              <w:ind w:left="78"/>
              <w:spacing w:after="0"/>
              <w:rPr>
                <w:sz w:val="20"/>
                <w:szCs w:val="20"/>
                <w:color w:val="auto"/>
              </w:rPr>
            </w:pPr>
            <w:r>
              <w:rPr>
                <w:rFonts w:ascii="Arial" w:cs="Arial" w:eastAsia="Arial" w:hAnsi="Arial"/>
                <w:sz w:val="14"/>
                <w:szCs w:val="14"/>
                <w:b w:val="1"/>
                <w:bCs w:val="1"/>
                <w:color w:val="FFFFFF"/>
              </w:rPr>
              <w:t>Exhibit</w:t>
            </w:r>
          </w:p>
        </w:tc>
        <w:tc>
          <w:tcPr>
            <w:tcW w:w="1250" w:type="dxa"/>
            <w:vAlign w:val="bottom"/>
            <w:vMerge w:val="restart"/>
            <w:shd w:val="clear" w:color="auto" w:fill="ACACAC"/>
          </w:tcPr>
          <w:p>
            <w:pPr>
              <w:ind w:left="270"/>
              <w:spacing w:after="0"/>
              <w:rPr>
                <w:sz w:val="20"/>
                <w:szCs w:val="20"/>
                <w:color w:val="auto"/>
              </w:rPr>
            </w:pPr>
            <w:r>
              <w:rPr>
                <w:rFonts w:ascii="Arial" w:cs="Arial" w:eastAsia="Arial" w:hAnsi="Arial"/>
                <w:sz w:val="14"/>
                <w:szCs w:val="14"/>
                <w:b w:val="1"/>
                <w:bCs w:val="1"/>
                <w:color w:val="FFFFFF"/>
              </w:rPr>
              <w:t>Filing Date</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Number</w:t>
            </w:r>
          </w:p>
        </w:tc>
        <w:tc>
          <w:tcPr>
            <w:tcW w:w="20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4040" w:type="dxa"/>
            <w:vAlign w:val="bottom"/>
            <w:gridSpan w:val="5"/>
            <w:vMerge w:val="continue"/>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080" w:type="dxa"/>
            <w:vAlign w:val="bottom"/>
            <w:shd w:val="clear" w:color="auto" w:fill="ACACAC"/>
          </w:tcPr>
          <w:p>
            <w:pPr>
              <w:jc w:val="center"/>
              <w:ind w:right="12"/>
              <w:spacing w:after="0"/>
              <w:rPr>
                <w:sz w:val="20"/>
                <w:szCs w:val="20"/>
                <w:color w:val="auto"/>
              </w:rPr>
            </w:pPr>
            <w:r>
              <w:rPr>
                <w:rFonts w:ascii="Arial" w:cs="Arial" w:eastAsia="Arial" w:hAnsi="Arial"/>
                <w:sz w:val="14"/>
                <w:szCs w:val="14"/>
                <w:b w:val="1"/>
                <w:bCs w:val="1"/>
                <w:color w:val="FFFFFF"/>
              </w:rPr>
              <w:t>Herewith</w:t>
            </w:r>
          </w:p>
        </w:tc>
        <w:tc>
          <w:tcPr>
            <w:tcW w:w="820" w:type="dxa"/>
            <w:vAlign w:val="bottom"/>
            <w:vMerge w:val="continue"/>
            <w:shd w:val="clear" w:color="auto" w:fill="ACACAC"/>
          </w:tcPr>
          <w:p>
            <w:pPr>
              <w:spacing w:after="0"/>
              <w:rPr>
                <w:sz w:val="16"/>
                <w:szCs w:val="16"/>
                <w:color w:val="auto"/>
              </w:rPr>
            </w:pPr>
          </w:p>
        </w:tc>
        <w:tc>
          <w:tcPr>
            <w:tcW w:w="1450" w:type="dxa"/>
            <w:vAlign w:val="bottom"/>
            <w:shd w:val="clear" w:color="auto" w:fill="ACACAC"/>
          </w:tcPr>
          <w:p>
            <w:pPr>
              <w:jc w:val="center"/>
              <w:ind w:left="98"/>
              <w:spacing w:after="0"/>
              <w:rPr>
                <w:sz w:val="20"/>
                <w:szCs w:val="20"/>
                <w:color w:val="auto"/>
              </w:rPr>
            </w:pPr>
            <w:r>
              <w:rPr>
                <w:rFonts w:ascii="Arial" w:cs="Arial" w:eastAsia="Arial" w:hAnsi="Arial"/>
                <w:sz w:val="14"/>
                <w:szCs w:val="14"/>
                <w:b w:val="1"/>
                <w:bCs w:val="1"/>
                <w:color w:val="FFFFFF"/>
              </w:rPr>
              <w:t>Number</w:t>
            </w:r>
          </w:p>
        </w:tc>
        <w:tc>
          <w:tcPr>
            <w:tcW w:w="1250" w:type="dxa"/>
            <w:vAlign w:val="bottom"/>
            <w:vMerge w:val="continue"/>
            <w:shd w:val="clear" w:color="auto" w:fill="ACACAC"/>
          </w:tcPr>
          <w:p>
            <w:pPr>
              <w:spacing w:after="0"/>
              <w:rPr>
                <w:sz w:val="16"/>
                <w:szCs w:val="16"/>
                <w:color w:val="auto"/>
              </w:rPr>
            </w:pPr>
          </w:p>
        </w:tc>
        <w:tc>
          <w:tcPr>
            <w:tcW w:w="40" w:type="dxa"/>
            <w:vAlign w:val="bottom"/>
            <w:tcBorders>
              <w:left w:val="single" w:sz="8" w:color="ACACA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F4F4F4"/>
          </w:tcPr>
          <w:p>
            <w:pPr>
              <w:jc w:val="right"/>
              <w:ind w:right="53"/>
              <w:spacing w:after="0" w:line="189" w:lineRule="exact"/>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10.1</w:t>
              </w:r>
            </w:hyperlink>
          </w:p>
        </w:tc>
        <w:tc>
          <w:tcPr>
            <w:tcW w:w="5380" w:type="dxa"/>
            <w:vAlign w:val="bottom"/>
            <w:gridSpan w:val="15"/>
            <w:shd w:val="clear" w:color="auto" w:fill="F4F4F4"/>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First Amendment to Purchase and Sale Agreement, dated July 8,</w:t>
              </w:r>
            </w:hyperlink>
          </w:p>
        </w:tc>
        <w:tc>
          <w:tcPr>
            <w:tcW w:w="1080" w:type="dxa"/>
            <w:vAlign w:val="bottom"/>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6"/>
                <w:szCs w:val="16"/>
                <w:color w:val="auto"/>
              </w:rPr>
            </w:pPr>
          </w:p>
        </w:tc>
        <w:tc>
          <w:tcPr>
            <w:tcW w:w="1450" w:type="dxa"/>
            <w:vAlign w:val="bottom"/>
            <w:shd w:val="clear" w:color="auto" w:fill="F4F4F4"/>
          </w:tcPr>
          <w:p>
            <w:pPr>
              <w:spacing w:after="0"/>
              <w:rPr>
                <w:sz w:val="16"/>
                <w:szCs w:val="16"/>
                <w:color w:val="auto"/>
              </w:rPr>
            </w:pPr>
          </w:p>
        </w:tc>
        <w:tc>
          <w:tcPr>
            <w:tcW w:w="125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F4F4F4"/>
            </w:tcBorders>
            <w:shd w:val="clear" w:color="auto" w:fill="F4F4F4"/>
          </w:tcPr>
          <w:p>
            <w:pPr>
              <w:spacing w:after="0"/>
              <w:rPr>
                <w:sz w:val="13"/>
                <w:szCs w:val="13"/>
                <w:color w:val="auto"/>
              </w:rPr>
            </w:pPr>
          </w:p>
        </w:tc>
        <w:tc>
          <w:tcPr>
            <w:tcW w:w="5000" w:type="dxa"/>
            <w:vAlign w:val="bottom"/>
            <w:tcBorders>
              <w:top w:val="single" w:sz="8" w:color="0000FF"/>
            </w:tcBorders>
            <w:gridSpan w:val="7"/>
            <w:shd w:val="clear" w:color="auto" w:fill="F4F4F4"/>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2020, between HPBB1, LLC and BBHQ1, LLC.</w:t>
              </w:r>
            </w:hyperlink>
          </w:p>
        </w:tc>
        <w:tc>
          <w:tcPr>
            <w:tcW w:w="24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080" w:type="dxa"/>
            <w:vAlign w:val="bottom"/>
            <w:tcBorders>
              <w:top w:val="single" w:sz="8" w:color="F4F4F4"/>
            </w:tcBorders>
            <w:shd w:val="clear" w:color="auto" w:fill="F4F4F4"/>
          </w:tcPr>
          <w:p>
            <w:pPr>
              <w:spacing w:after="0"/>
              <w:rPr>
                <w:sz w:val="13"/>
                <w:szCs w:val="13"/>
                <w:color w:val="auto"/>
              </w:rPr>
            </w:pPr>
          </w:p>
        </w:tc>
        <w:tc>
          <w:tcPr>
            <w:tcW w:w="820" w:type="dxa"/>
            <w:vAlign w:val="bottom"/>
            <w:tcBorders>
              <w:top w:val="single" w:sz="8" w:color="F4F4F4"/>
            </w:tcBorders>
            <w:shd w:val="clear" w:color="auto" w:fill="F4F4F4"/>
          </w:tcPr>
          <w:p>
            <w:pPr>
              <w:spacing w:after="0"/>
              <w:rPr>
                <w:sz w:val="13"/>
                <w:szCs w:val="13"/>
                <w:color w:val="auto"/>
              </w:rPr>
            </w:pPr>
          </w:p>
        </w:tc>
        <w:tc>
          <w:tcPr>
            <w:tcW w:w="1450" w:type="dxa"/>
            <w:vAlign w:val="bottom"/>
            <w:tcBorders>
              <w:top w:val="single" w:sz="8" w:color="F4F4F4"/>
            </w:tcBorders>
            <w:shd w:val="clear" w:color="auto" w:fill="F4F4F4"/>
          </w:tcPr>
          <w:p>
            <w:pPr>
              <w:spacing w:after="0"/>
              <w:rPr>
                <w:sz w:val="13"/>
                <w:szCs w:val="13"/>
                <w:color w:val="auto"/>
              </w:rPr>
            </w:pPr>
          </w:p>
        </w:tc>
        <w:tc>
          <w:tcPr>
            <w:tcW w:w="125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0000FF"/>
            </w:tcBorders>
            <w:shd w:val="clear" w:color="auto" w:fill="F4F4F4"/>
          </w:tcPr>
          <w:p>
            <w:pPr>
              <w:spacing w:after="0" w:line="20" w:lineRule="exact"/>
              <w:rPr>
                <w:sz w:val="1"/>
                <w:szCs w:val="1"/>
                <w:color w:val="auto"/>
              </w:rPr>
            </w:pPr>
          </w:p>
        </w:tc>
        <w:tc>
          <w:tcPr>
            <w:tcW w:w="760" w:type="dxa"/>
            <w:vAlign w:val="bottom"/>
            <w:tcBorders>
              <w:top w:val="single" w:sz="8" w:color="0000FF"/>
            </w:tcBorders>
            <w:shd w:val="clear" w:color="auto" w:fill="F4F4F4"/>
          </w:tcPr>
          <w:p>
            <w:pPr>
              <w:spacing w:after="0" w:line="20" w:lineRule="exact"/>
              <w:rPr>
                <w:sz w:val="1"/>
                <w:szCs w:val="1"/>
                <w:color w:val="auto"/>
              </w:rPr>
            </w:pPr>
          </w:p>
        </w:tc>
        <w:tc>
          <w:tcPr>
            <w:tcW w:w="1760" w:type="dxa"/>
            <w:vAlign w:val="bottom"/>
            <w:tcBorders>
              <w:top w:val="single" w:sz="8" w:color="0000FF"/>
            </w:tcBorders>
            <w:shd w:val="clear" w:color="auto" w:fill="F4F4F4"/>
          </w:tcPr>
          <w:p>
            <w:pPr>
              <w:spacing w:after="0" w:line="20" w:lineRule="exact"/>
              <w:rPr>
                <w:sz w:val="1"/>
                <w:szCs w:val="1"/>
                <w:color w:val="auto"/>
              </w:rPr>
            </w:pPr>
          </w:p>
        </w:tc>
        <w:tc>
          <w:tcPr>
            <w:tcW w:w="1020" w:type="dxa"/>
            <w:vAlign w:val="bottom"/>
            <w:tcBorders>
              <w:top w:val="single" w:sz="8" w:color="0000FF"/>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0" w:type="dxa"/>
            <w:vAlign w:val="bottom"/>
            <w:tcBorders>
              <w:top w:val="single" w:sz="8" w:color="F4F4F4"/>
            </w:tcBorders>
            <w:shd w:val="clear" w:color="auto" w:fill="F4F4F4"/>
          </w:tcPr>
          <w:p>
            <w:pPr>
              <w:spacing w:after="0" w:line="20" w:lineRule="exact"/>
              <w:rPr>
                <w:sz w:val="1"/>
                <w:szCs w:val="1"/>
                <w:color w:val="auto"/>
              </w:rPr>
            </w:pPr>
          </w:p>
        </w:tc>
        <w:tc>
          <w:tcPr>
            <w:tcW w:w="80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80" w:type="dxa"/>
            <w:vAlign w:val="bottom"/>
            <w:tcBorders>
              <w:top w:val="single" w:sz="8" w:color="F4F4F4"/>
            </w:tcBorders>
            <w:shd w:val="clear" w:color="auto" w:fill="F4F4F4"/>
          </w:tcPr>
          <w:p>
            <w:pPr>
              <w:spacing w:after="0" w:line="20" w:lineRule="exact"/>
              <w:rPr>
                <w:sz w:val="1"/>
                <w:szCs w:val="1"/>
                <w:color w:val="auto"/>
              </w:rPr>
            </w:pPr>
          </w:p>
        </w:tc>
        <w:tc>
          <w:tcPr>
            <w:tcW w:w="820" w:type="dxa"/>
            <w:vAlign w:val="bottom"/>
            <w:tcBorders>
              <w:top w:val="single" w:sz="8" w:color="F4F4F4"/>
            </w:tcBorders>
            <w:shd w:val="clear" w:color="auto" w:fill="F4F4F4"/>
          </w:tcPr>
          <w:p>
            <w:pPr>
              <w:spacing w:after="0" w:line="20" w:lineRule="exact"/>
              <w:rPr>
                <w:sz w:val="1"/>
                <w:szCs w:val="1"/>
                <w:color w:val="auto"/>
              </w:rPr>
            </w:pPr>
          </w:p>
        </w:tc>
        <w:tc>
          <w:tcPr>
            <w:tcW w:w="1450" w:type="dxa"/>
            <w:vAlign w:val="bottom"/>
            <w:tcBorders>
              <w:top w:val="single" w:sz="8" w:color="F4F4F4"/>
            </w:tcBorders>
            <w:shd w:val="clear" w:color="auto" w:fill="F4F4F4"/>
          </w:tcPr>
          <w:p>
            <w:pPr>
              <w:spacing w:after="0" w:line="20" w:lineRule="exact"/>
              <w:rPr>
                <w:sz w:val="1"/>
                <w:szCs w:val="1"/>
                <w:color w:val="auto"/>
              </w:rPr>
            </w:pPr>
          </w:p>
        </w:tc>
        <w:tc>
          <w:tcPr>
            <w:tcW w:w="125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53"/>
              <w:spacing w:after="0" w:line="189"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10.2</w:t>
              </w:r>
            </w:hyperlink>
          </w:p>
        </w:tc>
        <w:tc>
          <w:tcPr>
            <w:tcW w:w="5380" w:type="dxa"/>
            <w:vAlign w:val="bottom"/>
            <w:gridSpan w:val="15"/>
          </w:tcPr>
          <w:p>
            <w:pPr>
              <w:spacing w:after="0" w:line="189" w:lineRule="exact"/>
              <w:rPr>
                <w:rFonts w:ascii="Arial" w:cs="Arial" w:eastAsia="Arial" w:hAnsi="Arial"/>
                <w:sz w:val="18"/>
                <w:szCs w:val="18"/>
                <w:color w:val="0000FF"/>
              </w:rPr>
            </w:pPr>
            <w:hyperlink w:anchor="page60">
              <w:r>
                <w:rPr>
                  <w:rFonts w:ascii="Arial" w:cs="Arial" w:eastAsia="Arial" w:hAnsi="Arial"/>
                  <w:sz w:val="18"/>
                  <w:szCs w:val="18"/>
                  <w:color w:val="0000FF"/>
                </w:rPr>
                <w:t>Second Amendment to Purchase and Sale Agreement, dated</w:t>
              </w:r>
            </w:hyperlink>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000" w:type="dxa"/>
            <w:vAlign w:val="bottom"/>
            <w:tcBorders>
              <w:top w:val="single" w:sz="8" w:color="0000FF"/>
            </w:tcBorders>
            <w:gridSpan w:val="7"/>
          </w:tcPr>
          <w:p>
            <w:pPr>
              <w:spacing w:after="0" w:line="196"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July 21, 2020, between HPBB1, LLC and BBHQ1, LLC.</w:t>
              </w:r>
            </w:hyperlink>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50" w:type="dxa"/>
            <w:vAlign w:val="bottom"/>
          </w:tcPr>
          <w:p>
            <w:pPr>
              <w:spacing w:after="0"/>
              <w:rPr>
                <w:sz w:val="17"/>
                <w:szCs w:val="17"/>
                <w:color w:val="auto"/>
              </w:rPr>
            </w:pPr>
          </w:p>
        </w:tc>
        <w:tc>
          <w:tcPr>
            <w:tcW w:w="12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F4F4F4"/>
          </w:tcPr>
          <w:p>
            <w:pPr>
              <w:jc w:val="right"/>
              <w:ind w:right="53"/>
              <w:spacing w:after="0" w:line="189" w:lineRule="exact"/>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10.3</w:t>
              </w:r>
            </w:hyperlink>
          </w:p>
        </w:tc>
        <w:tc>
          <w:tcPr>
            <w:tcW w:w="5380" w:type="dxa"/>
            <w:vAlign w:val="bottom"/>
            <w:gridSpan w:val="15"/>
            <w:shd w:val="clear" w:color="auto" w:fill="F4F4F4"/>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Eleventh Amendment to Lease Agreement, dated as of August</w:t>
              </w:r>
            </w:hyperlink>
          </w:p>
        </w:tc>
        <w:tc>
          <w:tcPr>
            <w:tcW w:w="1080" w:type="dxa"/>
            <w:vAlign w:val="bottom"/>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6"/>
                <w:szCs w:val="16"/>
                <w:color w:val="auto"/>
              </w:rPr>
            </w:pPr>
          </w:p>
        </w:tc>
        <w:tc>
          <w:tcPr>
            <w:tcW w:w="1450" w:type="dxa"/>
            <w:vAlign w:val="bottom"/>
            <w:shd w:val="clear" w:color="auto" w:fill="F4F4F4"/>
          </w:tcPr>
          <w:p>
            <w:pPr>
              <w:spacing w:after="0"/>
              <w:rPr>
                <w:sz w:val="16"/>
                <w:szCs w:val="16"/>
                <w:color w:val="auto"/>
              </w:rPr>
            </w:pPr>
          </w:p>
        </w:tc>
        <w:tc>
          <w:tcPr>
            <w:tcW w:w="125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F4F4F4"/>
            </w:tcBorders>
            <w:shd w:val="clear" w:color="auto" w:fill="F4F4F4"/>
          </w:tcPr>
          <w:p>
            <w:pPr>
              <w:spacing w:after="0"/>
              <w:rPr>
                <w:sz w:val="13"/>
                <w:szCs w:val="13"/>
                <w:color w:val="auto"/>
              </w:rPr>
            </w:pPr>
          </w:p>
        </w:tc>
        <w:tc>
          <w:tcPr>
            <w:tcW w:w="5000" w:type="dxa"/>
            <w:vAlign w:val="bottom"/>
            <w:tcBorders>
              <w:top w:val="single" w:sz="8" w:color="0000FF"/>
            </w:tcBorders>
            <w:gridSpan w:val="7"/>
            <w:shd w:val="clear" w:color="auto" w:fill="F4F4F4"/>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13, 2020, between BBHQ1, LLC and Blackbaud, Inc.</w:t>
              </w:r>
            </w:hyperlink>
          </w:p>
        </w:tc>
        <w:tc>
          <w:tcPr>
            <w:tcW w:w="24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080" w:type="dxa"/>
            <w:vAlign w:val="bottom"/>
            <w:tcBorders>
              <w:top w:val="single" w:sz="8" w:color="F4F4F4"/>
            </w:tcBorders>
            <w:shd w:val="clear" w:color="auto" w:fill="F4F4F4"/>
          </w:tcPr>
          <w:p>
            <w:pPr>
              <w:spacing w:after="0"/>
              <w:rPr>
                <w:sz w:val="13"/>
                <w:szCs w:val="13"/>
                <w:color w:val="auto"/>
              </w:rPr>
            </w:pPr>
          </w:p>
        </w:tc>
        <w:tc>
          <w:tcPr>
            <w:tcW w:w="820" w:type="dxa"/>
            <w:vAlign w:val="bottom"/>
            <w:tcBorders>
              <w:top w:val="single" w:sz="8" w:color="F4F4F4"/>
            </w:tcBorders>
            <w:shd w:val="clear" w:color="auto" w:fill="F4F4F4"/>
          </w:tcPr>
          <w:p>
            <w:pPr>
              <w:spacing w:after="0"/>
              <w:rPr>
                <w:sz w:val="13"/>
                <w:szCs w:val="13"/>
                <w:color w:val="auto"/>
              </w:rPr>
            </w:pPr>
          </w:p>
        </w:tc>
        <w:tc>
          <w:tcPr>
            <w:tcW w:w="1450" w:type="dxa"/>
            <w:vAlign w:val="bottom"/>
            <w:tcBorders>
              <w:top w:val="single" w:sz="8" w:color="F4F4F4"/>
            </w:tcBorders>
            <w:shd w:val="clear" w:color="auto" w:fill="F4F4F4"/>
          </w:tcPr>
          <w:p>
            <w:pPr>
              <w:spacing w:after="0"/>
              <w:rPr>
                <w:sz w:val="13"/>
                <w:szCs w:val="13"/>
                <w:color w:val="auto"/>
              </w:rPr>
            </w:pPr>
          </w:p>
        </w:tc>
        <w:tc>
          <w:tcPr>
            <w:tcW w:w="125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0000FF"/>
            </w:tcBorders>
            <w:shd w:val="clear" w:color="auto" w:fill="F4F4F4"/>
          </w:tcPr>
          <w:p>
            <w:pPr>
              <w:spacing w:after="0" w:line="20" w:lineRule="exact"/>
              <w:rPr>
                <w:sz w:val="1"/>
                <w:szCs w:val="1"/>
                <w:color w:val="auto"/>
              </w:rPr>
            </w:pPr>
          </w:p>
        </w:tc>
        <w:tc>
          <w:tcPr>
            <w:tcW w:w="760" w:type="dxa"/>
            <w:vAlign w:val="bottom"/>
            <w:tcBorders>
              <w:top w:val="single" w:sz="8" w:color="0000FF"/>
            </w:tcBorders>
            <w:shd w:val="clear" w:color="auto" w:fill="F4F4F4"/>
          </w:tcPr>
          <w:p>
            <w:pPr>
              <w:spacing w:after="0" w:line="20" w:lineRule="exact"/>
              <w:rPr>
                <w:sz w:val="1"/>
                <w:szCs w:val="1"/>
                <w:color w:val="auto"/>
              </w:rPr>
            </w:pPr>
          </w:p>
        </w:tc>
        <w:tc>
          <w:tcPr>
            <w:tcW w:w="1760" w:type="dxa"/>
            <w:vAlign w:val="bottom"/>
            <w:tcBorders>
              <w:top w:val="single" w:sz="8" w:color="0000FF"/>
            </w:tcBorders>
            <w:shd w:val="clear" w:color="auto" w:fill="F4F4F4"/>
          </w:tcPr>
          <w:p>
            <w:pPr>
              <w:spacing w:after="0" w:line="20" w:lineRule="exact"/>
              <w:rPr>
                <w:sz w:val="1"/>
                <w:szCs w:val="1"/>
                <w:color w:val="auto"/>
              </w:rPr>
            </w:pPr>
          </w:p>
        </w:tc>
        <w:tc>
          <w:tcPr>
            <w:tcW w:w="1020" w:type="dxa"/>
            <w:vAlign w:val="bottom"/>
            <w:tcBorders>
              <w:top w:val="single" w:sz="8" w:color="0000FF"/>
            </w:tcBorders>
            <w:shd w:val="clear" w:color="auto" w:fill="F4F4F4"/>
          </w:tcPr>
          <w:p>
            <w:pPr>
              <w:spacing w:after="0" w:line="20" w:lineRule="exact"/>
              <w:rPr>
                <w:sz w:val="1"/>
                <w:szCs w:val="1"/>
                <w:color w:val="auto"/>
              </w:rPr>
            </w:pPr>
          </w:p>
        </w:tc>
        <w:tc>
          <w:tcPr>
            <w:tcW w:w="60" w:type="dxa"/>
            <w:vAlign w:val="bottom"/>
            <w:tcBorders>
              <w:top w:val="single" w:sz="8" w:color="0000FF"/>
            </w:tcBorders>
            <w:shd w:val="clear" w:color="auto" w:fill="F4F4F4"/>
          </w:tcPr>
          <w:p>
            <w:pPr>
              <w:spacing w:after="0" w:line="20" w:lineRule="exact"/>
              <w:rPr>
                <w:sz w:val="1"/>
                <w:szCs w:val="1"/>
                <w:color w:val="auto"/>
              </w:rPr>
            </w:pPr>
          </w:p>
        </w:tc>
        <w:tc>
          <w:tcPr>
            <w:tcW w:w="400" w:type="dxa"/>
            <w:vAlign w:val="bottom"/>
            <w:tcBorders>
              <w:top w:val="single" w:sz="8" w:color="0000FF"/>
            </w:tcBorders>
            <w:shd w:val="clear" w:color="auto" w:fill="F4F4F4"/>
          </w:tcPr>
          <w:p>
            <w:pPr>
              <w:spacing w:after="0" w:line="20" w:lineRule="exact"/>
              <w:rPr>
                <w:sz w:val="1"/>
                <w:szCs w:val="1"/>
                <w:color w:val="auto"/>
              </w:rPr>
            </w:pPr>
          </w:p>
        </w:tc>
        <w:tc>
          <w:tcPr>
            <w:tcW w:w="80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80" w:type="dxa"/>
            <w:vAlign w:val="bottom"/>
            <w:tcBorders>
              <w:top w:val="single" w:sz="8" w:color="F4F4F4"/>
            </w:tcBorders>
            <w:shd w:val="clear" w:color="auto" w:fill="F4F4F4"/>
          </w:tcPr>
          <w:p>
            <w:pPr>
              <w:spacing w:after="0" w:line="20" w:lineRule="exact"/>
              <w:rPr>
                <w:sz w:val="1"/>
                <w:szCs w:val="1"/>
                <w:color w:val="auto"/>
              </w:rPr>
            </w:pPr>
          </w:p>
        </w:tc>
        <w:tc>
          <w:tcPr>
            <w:tcW w:w="820" w:type="dxa"/>
            <w:vAlign w:val="bottom"/>
            <w:tcBorders>
              <w:top w:val="single" w:sz="8" w:color="F4F4F4"/>
            </w:tcBorders>
            <w:shd w:val="clear" w:color="auto" w:fill="F4F4F4"/>
          </w:tcPr>
          <w:p>
            <w:pPr>
              <w:spacing w:after="0" w:line="20" w:lineRule="exact"/>
              <w:rPr>
                <w:sz w:val="1"/>
                <w:szCs w:val="1"/>
                <w:color w:val="auto"/>
              </w:rPr>
            </w:pPr>
          </w:p>
        </w:tc>
        <w:tc>
          <w:tcPr>
            <w:tcW w:w="1450" w:type="dxa"/>
            <w:vAlign w:val="bottom"/>
            <w:tcBorders>
              <w:top w:val="single" w:sz="8" w:color="F4F4F4"/>
            </w:tcBorders>
            <w:shd w:val="clear" w:color="auto" w:fill="F4F4F4"/>
          </w:tcPr>
          <w:p>
            <w:pPr>
              <w:spacing w:after="0" w:line="20" w:lineRule="exact"/>
              <w:rPr>
                <w:sz w:val="1"/>
                <w:szCs w:val="1"/>
                <w:color w:val="auto"/>
              </w:rPr>
            </w:pPr>
          </w:p>
        </w:tc>
        <w:tc>
          <w:tcPr>
            <w:tcW w:w="125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tcPr>
          <w:p>
            <w:pPr>
              <w:jc w:val="right"/>
              <w:ind w:right="53"/>
              <w:spacing w:after="0" w:line="189"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10.4</w:t>
              </w:r>
            </w:hyperlink>
          </w:p>
        </w:tc>
        <w:tc>
          <w:tcPr>
            <w:tcW w:w="5380" w:type="dxa"/>
            <w:vAlign w:val="bottom"/>
            <w:gridSpan w:val="15"/>
          </w:tcPr>
          <w:p>
            <w:pPr>
              <w:spacing w:after="0" w:line="189"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Amended and Restated Credit Agreement, dated as of October</w:t>
              </w:r>
            </w:hyperlink>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5380" w:type="dxa"/>
            <w:vAlign w:val="bottom"/>
            <w:gridSpan w:val="15"/>
          </w:tcPr>
          <w:p>
            <w:pPr>
              <w:spacing w:after="0" w:line="176" w:lineRule="exact"/>
              <w:rPr>
                <w:rFonts w:ascii="Arial" w:cs="Arial" w:eastAsia="Arial" w:hAnsi="Arial"/>
                <w:sz w:val="18"/>
                <w:szCs w:val="18"/>
                <w:color w:val="0000FF"/>
              </w:rPr>
            </w:pPr>
            <w:hyperlink w:anchor="page65">
              <w:r>
                <w:rPr>
                  <w:rFonts w:ascii="Arial" w:cs="Arial" w:eastAsia="Arial" w:hAnsi="Arial"/>
                  <w:sz w:val="18"/>
                  <w:szCs w:val="18"/>
                  <w:u w:val="single" w:color="auto"/>
                  <w:color w:val="0000FF"/>
                </w:rPr>
                <w:t>30,</w:t>
              </w:r>
              <w:r>
                <w:rPr>
                  <w:rFonts w:ascii="Arial" w:cs="Arial" w:eastAsia="Arial" w:hAnsi="Arial"/>
                  <w:sz w:val="18"/>
                  <w:szCs w:val="18"/>
                  <w:color w:val="0000FF"/>
                </w:rPr>
                <w:t xml:space="preserve"> 2020, by and among Blackbaud, Inc., and certain of its</w:t>
              </w:r>
            </w:hyperlink>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00" w:type="dxa"/>
            <w:vAlign w:val="bottom"/>
            <w:tcBorders>
              <w:bottom w:val="single" w:sz="8" w:color="0000FF"/>
            </w:tcBorders>
          </w:tcPr>
          <w:p>
            <w:pPr>
              <w:spacing w:after="0"/>
              <w:rPr>
                <w:sz w:val="13"/>
                <w:szCs w:val="13"/>
                <w:color w:val="auto"/>
              </w:rPr>
            </w:pPr>
          </w:p>
        </w:tc>
        <w:tc>
          <w:tcPr>
            <w:tcW w:w="5080" w:type="dxa"/>
            <w:vAlign w:val="bottom"/>
            <w:tcBorders>
              <w:top w:val="single" w:sz="8" w:color="0000FF"/>
              <w:bottom w:val="single" w:sz="8" w:color="0000FF"/>
            </w:tcBorders>
            <w:gridSpan w:val="9"/>
          </w:tcPr>
          <w:p>
            <w:pPr>
              <w:jc w:val="right"/>
              <w:ind w:right="40"/>
              <w:spacing w:after="0" w:line="156" w:lineRule="exact"/>
              <w:rPr>
                <w:rFonts w:ascii="Arial" w:cs="Arial" w:eastAsia="Arial" w:hAnsi="Arial"/>
                <w:sz w:val="18"/>
                <w:szCs w:val="18"/>
                <w:color w:val="0000FF"/>
                <w:w w:val="98"/>
              </w:rPr>
            </w:pPr>
            <w:hyperlink w:anchor="page65">
              <w:r>
                <w:rPr>
                  <w:rFonts w:ascii="Arial" w:cs="Arial" w:eastAsia="Arial" w:hAnsi="Arial"/>
                  <w:sz w:val="18"/>
                  <w:szCs w:val="18"/>
                  <w:color w:val="0000FF"/>
                  <w:w w:val="98"/>
                </w:rPr>
                <w:t>subsidiaries, as Borrowers, the lenders referred to therein,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340" w:type="dxa"/>
            <w:vAlign w:val="bottom"/>
            <w:gridSpan w:val="13"/>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of America, N.A., as Administrative Agent, Swingline Lender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320" w:type="dxa"/>
            <w:vAlign w:val="bottom"/>
            <w:tcBorders>
              <w:top w:val="single" w:sz="8" w:color="0000FF"/>
            </w:tcBorders>
            <w:gridSpan w:val="12"/>
          </w:tcPr>
          <w:p>
            <w:pPr>
              <w:spacing w:after="0" w:line="154" w:lineRule="exact"/>
              <w:rPr>
                <w:rFonts w:ascii="Arial" w:cs="Arial" w:eastAsia="Arial" w:hAnsi="Arial"/>
                <w:sz w:val="17"/>
                <w:szCs w:val="17"/>
                <w:u w:val="single" w:color="auto"/>
                <w:color w:val="0000FF"/>
              </w:rPr>
            </w:pPr>
            <w:hyperlink w:anchor="page65">
              <w:r>
                <w:rPr>
                  <w:rFonts w:ascii="Arial" w:cs="Arial" w:eastAsia="Arial" w:hAnsi="Arial"/>
                  <w:sz w:val="17"/>
                  <w:szCs w:val="17"/>
                  <w:u w:val="single" w:color="auto"/>
                  <w:color w:val="0000FF"/>
                </w:rPr>
                <w:t>Issuing Lender, PNC Bank, National Association, as Syndication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5380" w:type="dxa"/>
            <w:vAlign w:val="bottom"/>
            <w:gridSpan w:val="15"/>
          </w:tcPr>
          <w:p>
            <w:pPr>
              <w:spacing w:after="0" w:line="176"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Agent, and Regions Bank, BBVA USA and Fifth Third Bank,</w:t>
              </w:r>
            </w:hyperlink>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5380" w:type="dxa"/>
            <w:vAlign w:val="bottom"/>
            <w:gridSpan w:val="15"/>
          </w:tcPr>
          <w:p>
            <w:pPr>
              <w:spacing w:after="0" w:line="176"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National Association, as Co-Documentation Agents, with BofA</w:t>
              </w:r>
            </w:hyperlink>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5380" w:type="dxa"/>
            <w:vAlign w:val="bottom"/>
            <w:gridSpan w:val="15"/>
          </w:tcPr>
          <w:p>
            <w:pPr>
              <w:spacing w:after="0" w:line="176"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Securities, Inc., PNC Bank, National Association, Regions Capital</w:t>
              </w:r>
            </w:hyperlink>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5380" w:type="dxa"/>
            <w:vAlign w:val="bottom"/>
            <w:gridSpan w:val="15"/>
          </w:tcPr>
          <w:p>
            <w:pPr>
              <w:spacing w:after="0" w:line="176"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Markets, BBVA USA and Fifth Third Bank, National Association</w:t>
              </w:r>
            </w:hyperlink>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000" w:type="dxa"/>
            <w:vAlign w:val="bottom"/>
            <w:gridSpan w:val="7"/>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as Joint Lead Arrangers and Joint Bookrunners.</w:t>
              </w:r>
            </w:hyperlink>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5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F4F4F4"/>
          </w:tcPr>
          <w:p>
            <w:pPr>
              <w:jc w:val="right"/>
              <w:ind w:right="53"/>
              <w:spacing w:after="0" w:line="189" w:lineRule="exact"/>
              <w:rPr>
                <w:rFonts w:ascii="Arial" w:cs="Arial" w:eastAsia="Arial" w:hAnsi="Arial"/>
                <w:sz w:val="18"/>
                <w:szCs w:val="18"/>
                <w:u w:val="single" w:color="auto"/>
                <w:color w:val="0000FF"/>
              </w:rPr>
            </w:pPr>
            <w:hyperlink w:anchor="page292">
              <w:r>
                <w:rPr>
                  <w:rFonts w:ascii="Arial" w:cs="Arial" w:eastAsia="Arial" w:hAnsi="Arial"/>
                  <w:sz w:val="18"/>
                  <w:szCs w:val="18"/>
                  <w:u w:val="single" w:color="auto"/>
                  <w:color w:val="0000FF"/>
                </w:rPr>
                <w:t>10.5</w:t>
              </w:r>
            </w:hyperlink>
          </w:p>
        </w:tc>
        <w:tc>
          <w:tcPr>
            <w:tcW w:w="5380" w:type="dxa"/>
            <w:vAlign w:val="bottom"/>
            <w:gridSpan w:val="15"/>
            <w:shd w:val="clear" w:color="auto" w:fill="F4F4F4"/>
          </w:tcPr>
          <w:p>
            <w:pPr>
              <w:spacing w:after="0" w:line="189" w:lineRule="exact"/>
              <w:rPr>
                <w:rFonts w:ascii="Arial" w:cs="Arial" w:eastAsia="Arial" w:hAnsi="Arial"/>
                <w:sz w:val="18"/>
                <w:szCs w:val="18"/>
                <w:color w:val="0000FF"/>
              </w:rPr>
            </w:pPr>
            <w:hyperlink w:anchor="page292">
              <w:r>
                <w:rPr>
                  <w:rFonts w:ascii="Arial" w:cs="Arial" w:eastAsia="Arial" w:hAnsi="Arial"/>
                  <w:sz w:val="18"/>
                  <w:szCs w:val="18"/>
                  <w:color w:val="0000FF"/>
                </w:rPr>
                <w:t>Amended and Restated Pledge Agreement, dated as of October</w:t>
              </w:r>
            </w:hyperlink>
          </w:p>
        </w:tc>
        <w:tc>
          <w:tcPr>
            <w:tcW w:w="1080" w:type="dxa"/>
            <w:vAlign w:val="bottom"/>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6"/>
                <w:szCs w:val="16"/>
                <w:color w:val="auto"/>
              </w:rPr>
            </w:pPr>
          </w:p>
        </w:tc>
        <w:tc>
          <w:tcPr>
            <w:tcW w:w="1450" w:type="dxa"/>
            <w:vAlign w:val="bottom"/>
            <w:shd w:val="clear" w:color="auto" w:fill="F4F4F4"/>
          </w:tcPr>
          <w:p>
            <w:pPr>
              <w:spacing w:after="0"/>
              <w:rPr>
                <w:sz w:val="16"/>
                <w:szCs w:val="16"/>
                <w:color w:val="auto"/>
              </w:rPr>
            </w:pPr>
          </w:p>
        </w:tc>
        <w:tc>
          <w:tcPr>
            <w:tcW w:w="125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F4F4F4"/>
              <w:bottom w:val="single" w:sz="8" w:color="F4F4F4"/>
            </w:tcBorders>
            <w:shd w:val="clear" w:color="auto" w:fill="F4F4F4"/>
          </w:tcPr>
          <w:p>
            <w:pPr>
              <w:spacing w:after="0"/>
              <w:rPr>
                <w:sz w:val="13"/>
                <w:szCs w:val="13"/>
                <w:color w:val="auto"/>
              </w:rPr>
            </w:pPr>
          </w:p>
        </w:tc>
        <w:tc>
          <w:tcPr>
            <w:tcW w:w="5240" w:type="dxa"/>
            <w:vAlign w:val="bottom"/>
            <w:tcBorders>
              <w:top w:val="single" w:sz="8" w:color="0000FF"/>
              <w:bottom w:val="single" w:sz="8" w:color="0000FF"/>
            </w:tcBorders>
            <w:gridSpan w:val="8"/>
            <w:shd w:val="clear" w:color="auto" w:fill="F4F4F4"/>
          </w:tcPr>
          <w:p>
            <w:pPr>
              <w:spacing w:after="0" w:line="156" w:lineRule="exact"/>
              <w:rPr>
                <w:rFonts w:ascii="Arial" w:cs="Arial" w:eastAsia="Arial" w:hAnsi="Arial"/>
                <w:sz w:val="18"/>
                <w:szCs w:val="18"/>
                <w:color w:val="0000FF"/>
                <w:w w:val="99"/>
              </w:rPr>
            </w:pPr>
            <w:hyperlink w:anchor="page292">
              <w:r>
                <w:rPr>
                  <w:rFonts w:ascii="Arial" w:cs="Arial" w:eastAsia="Arial" w:hAnsi="Arial"/>
                  <w:sz w:val="18"/>
                  <w:szCs w:val="18"/>
                  <w:color w:val="0000FF"/>
                  <w:w w:val="99"/>
                </w:rPr>
                <w:t>30, 2020, by Blackbaud, Inc. in favor of Bank of America, N.A., as</w:t>
              </w:r>
            </w:hyperlink>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4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20" w:type="dxa"/>
            <w:vAlign w:val="bottom"/>
            <w:tcBorders>
              <w:top w:val="single" w:sz="8" w:color="F4F4F4"/>
              <w:bottom w:val="single" w:sz="8" w:color="F4F4F4"/>
            </w:tcBorders>
            <w:shd w:val="clear" w:color="auto" w:fill="F4F4F4"/>
          </w:tcPr>
          <w:p>
            <w:pPr>
              <w:spacing w:after="0"/>
              <w:rPr>
                <w:sz w:val="13"/>
                <w:szCs w:val="13"/>
                <w:color w:val="auto"/>
              </w:rPr>
            </w:pPr>
          </w:p>
        </w:tc>
        <w:tc>
          <w:tcPr>
            <w:tcW w:w="1080" w:type="dxa"/>
            <w:vAlign w:val="bottom"/>
            <w:tcBorders>
              <w:top w:val="single" w:sz="8" w:color="F4F4F4"/>
              <w:bottom w:val="single" w:sz="8" w:color="F4F4F4"/>
            </w:tcBorders>
            <w:shd w:val="clear" w:color="auto" w:fill="F4F4F4"/>
          </w:tcPr>
          <w:p>
            <w:pPr>
              <w:spacing w:after="0"/>
              <w:rPr>
                <w:sz w:val="13"/>
                <w:szCs w:val="13"/>
                <w:color w:val="auto"/>
              </w:rPr>
            </w:pPr>
          </w:p>
        </w:tc>
        <w:tc>
          <w:tcPr>
            <w:tcW w:w="820" w:type="dxa"/>
            <w:vAlign w:val="bottom"/>
            <w:tcBorders>
              <w:top w:val="single" w:sz="8" w:color="F4F4F4"/>
              <w:bottom w:val="single" w:sz="8" w:color="F4F4F4"/>
            </w:tcBorders>
            <w:shd w:val="clear" w:color="auto" w:fill="F4F4F4"/>
          </w:tcPr>
          <w:p>
            <w:pPr>
              <w:spacing w:after="0"/>
              <w:rPr>
                <w:sz w:val="13"/>
                <w:szCs w:val="13"/>
                <w:color w:val="auto"/>
              </w:rPr>
            </w:pPr>
          </w:p>
        </w:tc>
        <w:tc>
          <w:tcPr>
            <w:tcW w:w="1450" w:type="dxa"/>
            <w:vAlign w:val="bottom"/>
            <w:tcBorders>
              <w:top w:val="single" w:sz="8" w:color="F4F4F4"/>
              <w:bottom w:val="single" w:sz="8" w:color="F4F4F4"/>
            </w:tcBorders>
            <w:shd w:val="clear" w:color="auto" w:fill="F4F4F4"/>
          </w:tcPr>
          <w:p>
            <w:pPr>
              <w:spacing w:after="0"/>
              <w:rPr>
                <w:sz w:val="13"/>
                <w:szCs w:val="13"/>
                <w:color w:val="auto"/>
              </w:rPr>
            </w:pPr>
          </w:p>
        </w:tc>
        <w:tc>
          <w:tcPr>
            <w:tcW w:w="1250" w:type="dxa"/>
            <w:vAlign w:val="bottom"/>
            <w:tcBorders>
              <w:top w:val="single" w:sz="8" w:color="F4F4F4"/>
              <w:bottom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Borders>
              <w:bottom w:val="single" w:sz="8" w:color="F4F4F4"/>
            </w:tcBorders>
            <w:shd w:val="clear" w:color="auto" w:fill="F4F4F4"/>
          </w:tcPr>
          <w:p>
            <w:pPr>
              <w:spacing w:after="0"/>
              <w:rPr>
                <w:sz w:val="13"/>
                <w:szCs w:val="13"/>
                <w:color w:val="auto"/>
              </w:rPr>
            </w:pPr>
          </w:p>
        </w:tc>
        <w:tc>
          <w:tcPr>
            <w:tcW w:w="5260" w:type="dxa"/>
            <w:vAlign w:val="bottom"/>
            <w:tcBorders>
              <w:bottom w:val="single" w:sz="8" w:color="0000FF"/>
            </w:tcBorders>
            <w:gridSpan w:val="9"/>
            <w:shd w:val="clear" w:color="auto" w:fill="F4F4F4"/>
          </w:tcPr>
          <w:p>
            <w:pPr>
              <w:spacing w:after="0" w:line="156" w:lineRule="exact"/>
              <w:rPr>
                <w:rFonts w:ascii="Arial" w:cs="Arial" w:eastAsia="Arial" w:hAnsi="Arial"/>
                <w:sz w:val="18"/>
                <w:szCs w:val="18"/>
                <w:color w:val="0000FF"/>
              </w:rPr>
            </w:pPr>
            <w:hyperlink w:anchor="page292">
              <w:r>
                <w:rPr>
                  <w:rFonts w:ascii="Arial" w:cs="Arial" w:eastAsia="Arial" w:hAnsi="Arial"/>
                  <w:sz w:val="18"/>
                  <w:szCs w:val="18"/>
                  <w:color w:val="0000FF"/>
                </w:rPr>
                <w:t>Administrative Agent, for the ratable benefit of itself and the</w:t>
              </w:r>
            </w:hyperlink>
          </w:p>
        </w:tc>
        <w:tc>
          <w:tcPr>
            <w:tcW w:w="20" w:type="dxa"/>
            <w:vAlign w:val="bottom"/>
            <w:tcBorders>
              <w:bottom w:val="single" w:sz="8" w:color="F4F4F4"/>
            </w:tcBorders>
            <w:shd w:val="clear" w:color="auto" w:fill="F4F4F4"/>
          </w:tcPr>
          <w:p>
            <w:pPr>
              <w:spacing w:after="0"/>
              <w:rPr>
                <w:sz w:val="13"/>
                <w:szCs w:val="13"/>
                <w:color w:val="auto"/>
              </w:rPr>
            </w:pPr>
          </w:p>
        </w:tc>
        <w:tc>
          <w:tcPr>
            <w:tcW w:w="20" w:type="dxa"/>
            <w:vAlign w:val="bottom"/>
            <w:tcBorders>
              <w:bottom w:val="single" w:sz="8" w:color="F4F4F4"/>
            </w:tcBorders>
            <w:shd w:val="clear" w:color="auto" w:fill="F4F4F4"/>
          </w:tcPr>
          <w:p>
            <w:pPr>
              <w:spacing w:after="0"/>
              <w:rPr>
                <w:sz w:val="13"/>
                <w:szCs w:val="13"/>
                <w:color w:val="auto"/>
              </w:rPr>
            </w:pPr>
          </w:p>
        </w:tc>
        <w:tc>
          <w:tcPr>
            <w:tcW w:w="40" w:type="dxa"/>
            <w:vAlign w:val="bottom"/>
            <w:tcBorders>
              <w:bottom w:val="single" w:sz="8" w:color="F4F4F4"/>
            </w:tcBorders>
            <w:gridSpan w:val="2"/>
            <w:shd w:val="clear" w:color="auto" w:fill="F4F4F4"/>
          </w:tcPr>
          <w:p>
            <w:pPr>
              <w:spacing w:after="0"/>
              <w:rPr>
                <w:sz w:val="13"/>
                <w:szCs w:val="13"/>
                <w:color w:val="auto"/>
              </w:rPr>
            </w:pPr>
          </w:p>
        </w:tc>
        <w:tc>
          <w:tcPr>
            <w:tcW w:w="20" w:type="dxa"/>
            <w:vAlign w:val="bottom"/>
            <w:tcBorders>
              <w:bottom w:val="single" w:sz="8" w:color="F4F4F4"/>
            </w:tcBorders>
            <w:shd w:val="clear" w:color="auto" w:fill="F4F4F4"/>
          </w:tcPr>
          <w:p>
            <w:pPr>
              <w:spacing w:after="0"/>
              <w:rPr>
                <w:sz w:val="13"/>
                <w:szCs w:val="13"/>
                <w:color w:val="auto"/>
              </w:rPr>
            </w:pPr>
          </w:p>
        </w:tc>
        <w:tc>
          <w:tcPr>
            <w:tcW w:w="20" w:type="dxa"/>
            <w:vAlign w:val="bottom"/>
            <w:tcBorders>
              <w:bottom w:val="single" w:sz="8" w:color="F4F4F4"/>
            </w:tcBorders>
            <w:shd w:val="clear" w:color="auto" w:fill="F4F4F4"/>
          </w:tcPr>
          <w:p>
            <w:pPr>
              <w:spacing w:after="0"/>
              <w:rPr>
                <w:sz w:val="13"/>
                <w:szCs w:val="13"/>
                <w:color w:val="auto"/>
              </w:rPr>
            </w:pPr>
          </w:p>
        </w:tc>
        <w:tc>
          <w:tcPr>
            <w:tcW w:w="1080" w:type="dxa"/>
            <w:vAlign w:val="bottom"/>
            <w:tcBorders>
              <w:bottom w:val="single" w:sz="8" w:color="F4F4F4"/>
            </w:tcBorders>
            <w:shd w:val="clear" w:color="auto" w:fill="F4F4F4"/>
          </w:tcPr>
          <w:p>
            <w:pPr>
              <w:spacing w:after="0"/>
              <w:rPr>
                <w:sz w:val="13"/>
                <w:szCs w:val="13"/>
                <w:color w:val="auto"/>
              </w:rPr>
            </w:pPr>
          </w:p>
        </w:tc>
        <w:tc>
          <w:tcPr>
            <w:tcW w:w="820" w:type="dxa"/>
            <w:vAlign w:val="bottom"/>
            <w:tcBorders>
              <w:bottom w:val="single" w:sz="8" w:color="F4F4F4"/>
            </w:tcBorders>
            <w:shd w:val="clear" w:color="auto" w:fill="F4F4F4"/>
          </w:tcPr>
          <w:p>
            <w:pPr>
              <w:spacing w:after="0"/>
              <w:rPr>
                <w:sz w:val="13"/>
                <w:szCs w:val="13"/>
                <w:color w:val="auto"/>
              </w:rPr>
            </w:pPr>
          </w:p>
        </w:tc>
        <w:tc>
          <w:tcPr>
            <w:tcW w:w="1450" w:type="dxa"/>
            <w:vAlign w:val="bottom"/>
            <w:tcBorders>
              <w:bottom w:val="single" w:sz="8" w:color="F4F4F4"/>
            </w:tcBorders>
            <w:shd w:val="clear" w:color="auto" w:fill="F4F4F4"/>
          </w:tcPr>
          <w:p>
            <w:pPr>
              <w:spacing w:after="0"/>
              <w:rPr>
                <w:sz w:val="13"/>
                <w:szCs w:val="13"/>
                <w:color w:val="auto"/>
              </w:rPr>
            </w:pPr>
          </w:p>
        </w:tc>
        <w:tc>
          <w:tcPr>
            <w:tcW w:w="1250" w:type="dxa"/>
            <w:vAlign w:val="bottom"/>
            <w:tcBorders>
              <w:bottom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shd w:val="clear" w:color="auto" w:fill="F4F4F4"/>
          </w:tcPr>
          <w:p>
            <w:pPr>
              <w:spacing w:after="0"/>
              <w:rPr>
                <w:sz w:val="13"/>
                <w:szCs w:val="13"/>
                <w:color w:val="auto"/>
              </w:rPr>
            </w:pPr>
          </w:p>
        </w:tc>
        <w:tc>
          <w:tcPr>
            <w:tcW w:w="5000" w:type="dxa"/>
            <w:vAlign w:val="bottom"/>
            <w:gridSpan w:val="7"/>
            <w:shd w:val="clear" w:color="auto" w:fill="F4F4F4"/>
          </w:tcPr>
          <w:p>
            <w:pPr>
              <w:spacing w:after="0" w:line="156" w:lineRule="exact"/>
              <w:rPr>
                <w:rFonts w:ascii="Arial" w:cs="Arial" w:eastAsia="Arial" w:hAnsi="Arial"/>
                <w:sz w:val="18"/>
                <w:szCs w:val="18"/>
                <w:color w:val="0000FF"/>
              </w:rPr>
            </w:pPr>
            <w:hyperlink w:anchor="page292">
              <w:r>
                <w:rPr>
                  <w:rFonts w:ascii="Arial" w:cs="Arial" w:eastAsia="Arial" w:hAnsi="Arial"/>
                  <w:sz w:val="18"/>
                  <w:szCs w:val="18"/>
                  <w:color w:val="0000FF"/>
                </w:rPr>
                <w:t>secured parties referred to therein.</w:t>
              </w:r>
            </w:hyperlink>
          </w:p>
        </w:tc>
        <w:tc>
          <w:tcPr>
            <w:tcW w:w="2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1450" w:type="dxa"/>
            <w:vAlign w:val="bottom"/>
            <w:shd w:val="clear" w:color="auto" w:fill="F4F4F4"/>
          </w:tcPr>
          <w:p>
            <w:pPr>
              <w:spacing w:after="0"/>
              <w:rPr>
                <w:sz w:val="13"/>
                <w:szCs w:val="13"/>
                <w:color w:val="auto"/>
              </w:rPr>
            </w:pPr>
          </w:p>
        </w:tc>
        <w:tc>
          <w:tcPr>
            <w:tcW w:w="1250" w:type="dxa"/>
            <w:vAlign w:val="bottom"/>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0000FF"/>
            </w:tcBorders>
            <w:shd w:val="clear" w:color="auto" w:fill="F4F4F4"/>
          </w:tcPr>
          <w:p>
            <w:pPr>
              <w:spacing w:after="0" w:line="20" w:lineRule="exact"/>
              <w:rPr>
                <w:sz w:val="1"/>
                <w:szCs w:val="1"/>
                <w:color w:val="auto"/>
              </w:rPr>
            </w:pPr>
          </w:p>
        </w:tc>
        <w:tc>
          <w:tcPr>
            <w:tcW w:w="760" w:type="dxa"/>
            <w:vAlign w:val="bottom"/>
            <w:tcBorders>
              <w:top w:val="single" w:sz="8" w:color="0000FF"/>
            </w:tcBorders>
            <w:shd w:val="clear" w:color="auto" w:fill="F4F4F4"/>
          </w:tcPr>
          <w:p>
            <w:pPr>
              <w:spacing w:after="0" w:line="20" w:lineRule="exact"/>
              <w:rPr>
                <w:sz w:val="1"/>
                <w:szCs w:val="1"/>
                <w:color w:val="auto"/>
              </w:rPr>
            </w:pPr>
          </w:p>
        </w:tc>
        <w:tc>
          <w:tcPr>
            <w:tcW w:w="1760" w:type="dxa"/>
            <w:vAlign w:val="bottom"/>
            <w:tcBorders>
              <w:top w:val="single" w:sz="8" w:color="0000FF"/>
            </w:tcBorders>
            <w:shd w:val="clear" w:color="auto" w:fill="F4F4F4"/>
          </w:tcPr>
          <w:p>
            <w:pPr>
              <w:spacing w:after="0" w:line="20" w:lineRule="exact"/>
              <w:rPr>
                <w:sz w:val="1"/>
                <w:szCs w:val="1"/>
                <w:color w:val="auto"/>
              </w:rPr>
            </w:pPr>
          </w:p>
        </w:tc>
        <w:tc>
          <w:tcPr>
            <w:tcW w:w="10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0" w:type="dxa"/>
            <w:vAlign w:val="bottom"/>
            <w:tcBorders>
              <w:top w:val="single" w:sz="8" w:color="F4F4F4"/>
            </w:tcBorders>
            <w:shd w:val="clear" w:color="auto" w:fill="F4F4F4"/>
          </w:tcPr>
          <w:p>
            <w:pPr>
              <w:spacing w:after="0" w:line="20" w:lineRule="exact"/>
              <w:rPr>
                <w:sz w:val="1"/>
                <w:szCs w:val="1"/>
                <w:color w:val="auto"/>
              </w:rPr>
            </w:pPr>
          </w:p>
        </w:tc>
        <w:tc>
          <w:tcPr>
            <w:tcW w:w="80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80" w:type="dxa"/>
            <w:vAlign w:val="bottom"/>
            <w:tcBorders>
              <w:top w:val="single" w:sz="8" w:color="F4F4F4"/>
            </w:tcBorders>
            <w:shd w:val="clear" w:color="auto" w:fill="F4F4F4"/>
          </w:tcPr>
          <w:p>
            <w:pPr>
              <w:spacing w:after="0" w:line="20" w:lineRule="exact"/>
              <w:rPr>
                <w:sz w:val="1"/>
                <w:szCs w:val="1"/>
                <w:color w:val="auto"/>
              </w:rPr>
            </w:pPr>
          </w:p>
        </w:tc>
        <w:tc>
          <w:tcPr>
            <w:tcW w:w="820" w:type="dxa"/>
            <w:vAlign w:val="bottom"/>
            <w:tcBorders>
              <w:top w:val="single" w:sz="8" w:color="F4F4F4"/>
            </w:tcBorders>
            <w:shd w:val="clear" w:color="auto" w:fill="F4F4F4"/>
          </w:tcPr>
          <w:p>
            <w:pPr>
              <w:spacing w:after="0" w:line="20" w:lineRule="exact"/>
              <w:rPr>
                <w:sz w:val="1"/>
                <w:szCs w:val="1"/>
                <w:color w:val="auto"/>
              </w:rPr>
            </w:pPr>
          </w:p>
        </w:tc>
        <w:tc>
          <w:tcPr>
            <w:tcW w:w="1450" w:type="dxa"/>
            <w:vAlign w:val="bottom"/>
            <w:tcBorders>
              <w:top w:val="single" w:sz="8" w:color="F4F4F4"/>
            </w:tcBorders>
            <w:shd w:val="clear" w:color="auto" w:fill="F4F4F4"/>
          </w:tcPr>
          <w:p>
            <w:pPr>
              <w:spacing w:after="0" w:line="20" w:lineRule="exact"/>
              <w:rPr>
                <w:sz w:val="1"/>
                <w:szCs w:val="1"/>
                <w:color w:val="auto"/>
              </w:rPr>
            </w:pPr>
          </w:p>
        </w:tc>
        <w:tc>
          <w:tcPr>
            <w:tcW w:w="125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53"/>
              <w:spacing w:after="0" w:line="189" w:lineRule="exact"/>
              <w:rPr>
                <w:rFonts w:ascii="Arial" w:cs="Arial" w:eastAsia="Arial" w:hAnsi="Arial"/>
                <w:sz w:val="18"/>
                <w:szCs w:val="18"/>
                <w:u w:val="single" w:color="auto"/>
                <w:color w:val="0000FF"/>
              </w:rPr>
            </w:pPr>
            <w:hyperlink w:anchor="page317">
              <w:r>
                <w:rPr>
                  <w:rFonts w:ascii="Arial" w:cs="Arial" w:eastAsia="Arial" w:hAnsi="Arial"/>
                  <w:sz w:val="18"/>
                  <w:szCs w:val="18"/>
                  <w:u w:val="single" w:color="auto"/>
                  <w:color w:val="0000FF"/>
                </w:rPr>
                <w:t>31.1</w:t>
              </w:r>
            </w:hyperlink>
          </w:p>
        </w:tc>
        <w:tc>
          <w:tcPr>
            <w:tcW w:w="5000" w:type="dxa"/>
            <w:vAlign w:val="bottom"/>
            <w:gridSpan w:val="7"/>
          </w:tcPr>
          <w:p>
            <w:pPr>
              <w:spacing w:after="0" w:line="189" w:lineRule="exact"/>
              <w:rPr>
                <w:rFonts w:ascii="Arial" w:cs="Arial" w:eastAsia="Arial" w:hAnsi="Arial"/>
                <w:sz w:val="18"/>
                <w:szCs w:val="18"/>
                <w:color w:val="0000FF"/>
              </w:rPr>
            </w:pPr>
            <w:hyperlink w:anchor="page317">
              <w:r>
                <w:rPr>
                  <w:rFonts w:ascii="Arial" w:cs="Arial" w:eastAsia="Arial" w:hAnsi="Arial"/>
                  <w:sz w:val="18"/>
                  <w:szCs w:val="18"/>
                  <w:color w:val="0000FF"/>
                </w:rPr>
                <w:t>Certification  by  the  Chief  Executive  Officer  pursuant</w:t>
              </w:r>
            </w:hyperlink>
          </w:p>
        </w:tc>
        <w:tc>
          <w:tcPr>
            <w:tcW w:w="380" w:type="dxa"/>
            <w:vAlign w:val="bottom"/>
            <w:gridSpan w:val="8"/>
          </w:tcPr>
          <w:p>
            <w:pPr>
              <w:jc w:val="right"/>
              <w:ind w:right="140"/>
              <w:spacing w:after="0" w:line="189" w:lineRule="exact"/>
              <w:rPr>
                <w:rFonts w:ascii="Arial" w:cs="Arial" w:eastAsia="Arial" w:hAnsi="Arial"/>
                <w:sz w:val="18"/>
                <w:szCs w:val="18"/>
                <w:color w:val="0000FF"/>
              </w:rPr>
            </w:pPr>
            <w:hyperlink w:anchor="page317">
              <w:r>
                <w:rPr>
                  <w:rFonts w:ascii="Arial" w:cs="Arial" w:eastAsia="Arial" w:hAnsi="Arial"/>
                  <w:sz w:val="18"/>
                  <w:szCs w:val="18"/>
                  <w:color w:val="0000FF"/>
                </w:rPr>
                <w:t>to</w:t>
              </w:r>
            </w:hyperlink>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17">
              <w:r>
                <w:rPr>
                  <w:rFonts w:ascii="Arial" w:cs="Arial" w:eastAsia="Arial" w:hAnsi="Arial"/>
                  <w:sz w:val="18"/>
                  <w:szCs w:val="18"/>
                  <w:color w:val="0000FF"/>
                </w:rPr>
                <w:t>Section 302 of the Sarbanes-Oxley Act of 2002.</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5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Borders>
              <w:bottom w:val="single" w:sz="8" w:color="F4F4F4"/>
            </w:tcBorders>
            <w:shd w:val="clear" w:color="auto" w:fill="F4F4F4"/>
          </w:tcPr>
          <w:p>
            <w:pPr>
              <w:jc w:val="right"/>
              <w:ind w:right="53"/>
              <w:spacing w:after="0" w:line="189" w:lineRule="exact"/>
              <w:rPr>
                <w:rFonts w:ascii="Arial" w:cs="Arial" w:eastAsia="Arial" w:hAnsi="Arial"/>
                <w:sz w:val="18"/>
                <w:szCs w:val="18"/>
                <w:u w:val="single" w:color="auto"/>
                <w:color w:val="0000FF"/>
              </w:rPr>
            </w:pPr>
            <w:hyperlink w:anchor="page318">
              <w:r>
                <w:rPr>
                  <w:rFonts w:ascii="Arial" w:cs="Arial" w:eastAsia="Arial" w:hAnsi="Arial"/>
                  <w:sz w:val="18"/>
                  <w:szCs w:val="18"/>
                  <w:u w:val="single" w:color="auto"/>
                  <w:color w:val="0000FF"/>
                </w:rPr>
                <w:t>31.2</w:t>
              </w:r>
            </w:hyperlink>
          </w:p>
        </w:tc>
        <w:tc>
          <w:tcPr>
            <w:tcW w:w="5000" w:type="dxa"/>
            <w:vAlign w:val="bottom"/>
            <w:tcBorders>
              <w:bottom w:val="single" w:sz="8" w:color="0000FF"/>
            </w:tcBorders>
            <w:gridSpan w:val="7"/>
            <w:shd w:val="clear" w:color="auto" w:fill="F4F4F4"/>
          </w:tcPr>
          <w:p>
            <w:pPr>
              <w:spacing w:after="0" w:line="189" w:lineRule="exact"/>
              <w:rPr>
                <w:rFonts w:ascii="Arial" w:cs="Arial" w:eastAsia="Arial" w:hAnsi="Arial"/>
                <w:sz w:val="18"/>
                <w:szCs w:val="18"/>
                <w:color w:val="0000FF"/>
              </w:rPr>
            </w:pPr>
            <w:hyperlink w:anchor="page318">
              <w:r>
                <w:rPr>
                  <w:rFonts w:ascii="Arial" w:cs="Arial" w:eastAsia="Arial" w:hAnsi="Arial"/>
                  <w:sz w:val="18"/>
                  <w:szCs w:val="18"/>
                  <w:color w:val="0000FF"/>
                </w:rPr>
                <w:t>Certification  by  the  Chief  Financial  Officer  pursuant</w:t>
              </w:r>
            </w:hyperlink>
          </w:p>
        </w:tc>
        <w:tc>
          <w:tcPr>
            <w:tcW w:w="380" w:type="dxa"/>
            <w:vAlign w:val="bottom"/>
            <w:tcBorders>
              <w:bottom w:val="single" w:sz="8" w:color="0000FF"/>
            </w:tcBorders>
            <w:gridSpan w:val="8"/>
            <w:shd w:val="clear" w:color="auto" w:fill="F4F4F4"/>
          </w:tcPr>
          <w:p>
            <w:pPr>
              <w:jc w:val="right"/>
              <w:ind w:right="120"/>
              <w:spacing w:after="0" w:line="189" w:lineRule="exact"/>
              <w:rPr>
                <w:rFonts w:ascii="Arial" w:cs="Arial" w:eastAsia="Arial" w:hAnsi="Arial"/>
                <w:sz w:val="18"/>
                <w:szCs w:val="18"/>
                <w:color w:val="0000FF"/>
              </w:rPr>
            </w:pPr>
            <w:hyperlink w:anchor="page318">
              <w:r>
                <w:rPr>
                  <w:rFonts w:ascii="Arial" w:cs="Arial" w:eastAsia="Arial" w:hAnsi="Arial"/>
                  <w:sz w:val="18"/>
                  <w:szCs w:val="18"/>
                  <w:color w:val="0000FF"/>
                </w:rPr>
                <w:t>to</w:t>
              </w:r>
            </w:hyperlink>
          </w:p>
        </w:tc>
        <w:tc>
          <w:tcPr>
            <w:tcW w:w="1080" w:type="dxa"/>
            <w:vAlign w:val="bottom"/>
            <w:tcBorders>
              <w:bottom w:val="single" w:sz="8" w:color="F4F4F4"/>
            </w:tcBorders>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Borders>
              <w:bottom w:val="single" w:sz="8" w:color="F4F4F4"/>
            </w:tcBorders>
            <w:shd w:val="clear" w:color="auto" w:fill="F4F4F4"/>
          </w:tcPr>
          <w:p>
            <w:pPr>
              <w:spacing w:after="0"/>
              <w:rPr>
                <w:sz w:val="16"/>
                <w:szCs w:val="16"/>
                <w:color w:val="auto"/>
              </w:rPr>
            </w:pPr>
          </w:p>
        </w:tc>
        <w:tc>
          <w:tcPr>
            <w:tcW w:w="1450" w:type="dxa"/>
            <w:vAlign w:val="bottom"/>
            <w:tcBorders>
              <w:bottom w:val="single" w:sz="8" w:color="F4F4F4"/>
            </w:tcBorders>
            <w:shd w:val="clear" w:color="auto" w:fill="F4F4F4"/>
          </w:tcPr>
          <w:p>
            <w:pPr>
              <w:spacing w:after="0"/>
              <w:rPr>
                <w:sz w:val="16"/>
                <w:szCs w:val="16"/>
                <w:color w:val="auto"/>
              </w:rPr>
            </w:pPr>
          </w:p>
        </w:tc>
        <w:tc>
          <w:tcPr>
            <w:tcW w:w="1250" w:type="dxa"/>
            <w:vAlign w:val="bottom"/>
            <w:tcBorders>
              <w:bottom w:val="single" w:sz="8" w:color="F4F4F4"/>
            </w:tcBorders>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shd w:val="clear" w:color="auto" w:fill="F4F4F4"/>
          </w:tcPr>
          <w:p>
            <w:pPr>
              <w:spacing w:after="0"/>
              <w:rPr>
                <w:sz w:val="13"/>
                <w:szCs w:val="13"/>
                <w:color w:val="auto"/>
              </w:rPr>
            </w:pPr>
          </w:p>
        </w:tc>
        <w:tc>
          <w:tcPr>
            <w:tcW w:w="5000" w:type="dxa"/>
            <w:vAlign w:val="bottom"/>
            <w:gridSpan w:val="7"/>
            <w:shd w:val="clear" w:color="auto" w:fill="F4F4F4"/>
          </w:tcPr>
          <w:p>
            <w:pPr>
              <w:spacing w:after="0" w:line="156" w:lineRule="exact"/>
              <w:rPr>
                <w:rFonts w:ascii="Arial" w:cs="Arial" w:eastAsia="Arial" w:hAnsi="Arial"/>
                <w:sz w:val="18"/>
                <w:szCs w:val="18"/>
                <w:color w:val="0000FF"/>
              </w:rPr>
            </w:pPr>
            <w:hyperlink w:anchor="page318">
              <w:r>
                <w:rPr>
                  <w:rFonts w:ascii="Arial" w:cs="Arial" w:eastAsia="Arial" w:hAnsi="Arial"/>
                  <w:sz w:val="18"/>
                  <w:szCs w:val="18"/>
                  <w:color w:val="0000FF"/>
                </w:rPr>
                <w:t>Section 302 of the Sarbanes-Oxley Act of 2002.</w:t>
              </w:r>
            </w:hyperlink>
          </w:p>
        </w:tc>
        <w:tc>
          <w:tcPr>
            <w:tcW w:w="2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1450" w:type="dxa"/>
            <w:vAlign w:val="bottom"/>
            <w:shd w:val="clear" w:color="auto" w:fill="F4F4F4"/>
          </w:tcPr>
          <w:p>
            <w:pPr>
              <w:spacing w:after="0"/>
              <w:rPr>
                <w:sz w:val="13"/>
                <w:szCs w:val="13"/>
                <w:color w:val="auto"/>
              </w:rPr>
            </w:pPr>
          </w:p>
        </w:tc>
        <w:tc>
          <w:tcPr>
            <w:tcW w:w="1250" w:type="dxa"/>
            <w:vAlign w:val="bottom"/>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0000FF"/>
            </w:tcBorders>
            <w:shd w:val="clear" w:color="auto" w:fill="F4F4F4"/>
          </w:tcPr>
          <w:p>
            <w:pPr>
              <w:spacing w:after="0" w:line="20" w:lineRule="exact"/>
              <w:rPr>
                <w:sz w:val="1"/>
                <w:szCs w:val="1"/>
                <w:color w:val="auto"/>
              </w:rPr>
            </w:pPr>
          </w:p>
        </w:tc>
        <w:tc>
          <w:tcPr>
            <w:tcW w:w="760" w:type="dxa"/>
            <w:vAlign w:val="bottom"/>
            <w:tcBorders>
              <w:top w:val="single" w:sz="8" w:color="0000FF"/>
            </w:tcBorders>
            <w:shd w:val="clear" w:color="auto" w:fill="F4F4F4"/>
          </w:tcPr>
          <w:p>
            <w:pPr>
              <w:spacing w:after="0" w:line="20" w:lineRule="exact"/>
              <w:rPr>
                <w:sz w:val="1"/>
                <w:szCs w:val="1"/>
                <w:color w:val="auto"/>
              </w:rPr>
            </w:pPr>
          </w:p>
        </w:tc>
        <w:tc>
          <w:tcPr>
            <w:tcW w:w="1760" w:type="dxa"/>
            <w:vAlign w:val="bottom"/>
            <w:tcBorders>
              <w:top w:val="single" w:sz="8" w:color="0000FF"/>
            </w:tcBorders>
            <w:shd w:val="clear" w:color="auto" w:fill="F4F4F4"/>
          </w:tcPr>
          <w:p>
            <w:pPr>
              <w:spacing w:after="0" w:line="20" w:lineRule="exact"/>
              <w:rPr>
                <w:sz w:val="1"/>
                <w:szCs w:val="1"/>
                <w:color w:val="auto"/>
              </w:rPr>
            </w:pPr>
          </w:p>
        </w:tc>
        <w:tc>
          <w:tcPr>
            <w:tcW w:w="1020" w:type="dxa"/>
            <w:vAlign w:val="bottom"/>
            <w:tcBorders>
              <w:top w:val="single" w:sz="8" w:color="0000FF"/>
            </w:tcBorders>
            <w:shd w:val="clear" w:color="auto" w:fill="F4F4F4"/>
          </w:tcPr>
          <w:p>
            <w:pPr>
              <w:spacing w:after="0" w:line="20" w:lineRule="exact"/>
              <w:rPr>
                <w:sz w:val="1"/>
                <w:szCs w:val="1"/>
                <w:color w:val="auto"/>
              </w:rPr>
            </w:pPr>
          </w:p>
        </w:tc>
        <w:tc>
          <w:tcPr>
            <w:tcW w:w="60" w:type="dxa"/>
            <w:vAlign w:val="bottom"/>
            <w:tcBorders>
              <w:top w:val="single" w:sz="8" w:color="0000FF"/>
            </w:tcBorders>
            <w:shd w:val="clear" w:color="auto" w:fill="F4F4F4"/>
          </w:tcPr>
          <w:p>
            <w:pPr>
              <w:spacing w:after="0" w:line="20" w:lineRule="exact"/>
              <w:rPr>
                <w:sz w:val="1"/>
                <w:szCs w:val="1"/>
                <w:color w:val="auto"/>
              </w:rPr>
            </w:pPr>
          </w:p>
        </w:tc>
        <w:tc>
          <w:tcPr>
            <w:tcW w:w="400" w:type="dxa"/>
            <w:vAlign w:val="bottom"/>
            <w:tcBorders>
              <w:top w:val="single" w:sz="8" w:color="F4F4F4"/>
            </w:tcBorders>
            <w:shd w:val="clear" w:color="auto" w:fill="F4F4F4"/>
          </w:tcPr>
          <w:p>
            <w:pPr>
              <w:spacing w:after="0" w:line="20" w:lineRule="exact"/>
              <w:rPr>
                <w:sz w:val="1"/>
                <w:szCs w:val="1"/>
                <w:color w:val="auto"/>
              </w:rPr>
            </w:pPr>
          </w:p>
        </w:tc>
        <w:tc>
          <w:tcPr>
            <w:tcW w:w="80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80" w:type="dxa"/>
            <w:vAlign w:val="bottom"/>
            <w:tcBorders>
              <w:top w:val="single" w:sz="8" w:color="F4F4F4"/>
            </w:tcBorders>
            <w:shd w:val="clear" w:color="auto" w:fill="F4F4F4"/>
          </w:tcPr>
          <w:p>
            <w:pPr>
              <w:spacing w:after="0" w:line="20" w:lineRule="exact"/>
              <w:rPr>
                <w:sz w:val="1"/>
                <w:szCs w:val="1"/>
                <w:color w:val="auto"/>
              </w:rPr>
            </w:pPr>
          </w:p>
        </w:tc>
        <w:tc>
          <w:tcPr>
            <w:tcW w:w="820" w:type="dxa"/>
            <w:vAlign w:val="bottom"/>
            <w:tcBorders>
              <w:top w:val="single" w:sz="8" w:color="F4F4F4"/>
            </w:tcBorders>
            <w:shd w:val="clear" w:color="auto" w:fill="F4F4F4"/>
          </w:tcPr>
          <w:p>
            <w:pPr>
              <w:spacing w:after="0" w:line="20" w:lineRule="exact"/>
              <w:rPr>
                <w:sz w:val="1"/>
                <w:szCs w:val="1"/>
                <w:color w:val="auto"/>
              </w:rPr>
            </w:pPr>
          </w:p>
        </w:tc>
        <w:tc>
          <w:tcPr>
            <w:tcW w:w="1450" w:type="dxa"/>
            <w:vAlign w:val="bottom"/>
            <w:tcBorders>
              <w:top w:val="single" w:sz="8" w:color="F4F4F4"/>
            </w:tcBorders>
            <w:shd w:val="clear" w:color="auto" w:fill="F4F4F4"/>
          </w:tcPr>
          <w:p>
            <w:pPr>
              <w:spacing w:after="0" w:line="20" w:lineRule="exact"/>
              <w:rPr>
                <w:sz w:val="1"/>
                <w:szCs w:val="1"/>
                <w:color w:val="auto"/>
              </w:rPr>
            </w:pPr>
          </w:p>
        </w:tc>
        <w:tc>
          <w:tcPr>
            <w:tcW w:w="125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jc w:val="right"/>
              <w:ind w:right="53"/>
              <w:spacing w:after="0" w:line="189" w:lineRule="exact"/>
              <w:rPr>
                <w:rFonts w:ascii="Arial" w:cs="Arial" w:eastAsia="Arial" w:hAnsi="Arial"/>
                <w:sz w:val="18"/>
                <w:szCs w:val="18"/>
                <w:u w:val="single" w:color="auto"/>
                <w:color w:val="0000FF"/>
              </w:rPr>
            </w:pPr>
            <w:hyperlink w:anchor="page319">
              <w:r>
                <w:rPr>
                  <w:rFonts w:ascii="Arial" w:cs="Arial" w:eastAsia="Arial" w:hAnsi="Arial"/>
                  <w:sz w:val="18"/>
                  <w:szCs w:val="18"/>
                  <w:u w:val="single" w:color="auto"/>
                  <w:color w:val="0000FF"/>
                </w:rPr>
                <w:t>32.1</w:t>
              </w:r>
            </w:hyperlink>
          </w:p>
        </w:tc>
        <w:tc>
          <w:tcPr>
            <w:tcW w:w="5380" w:type="dxa"/>
            <w:vAlign w:val="bottom"/>
            <w:gridSpan w:val="15"/>
          </w:tcPr>
          <w:p>
            <w:pPr>
              <w:spacing w:after="0" w:line="189" w:lineRule="exact"/>
              <w:rPr>
                <w:rFonts w:ascii="Arial" w:cs="Arial" w:eastAsia="Arial" w:hAnsi="Arial"/>
                <w:sz w:val="18"/>
                <w:szCs w:val="18"/>
                <w:color w:val="0000FF"/>
              </w:rPr>
            </w:pPr>
            <w:hyperlink w:anchor="page319">
              <w:r>
                <w:rPr>
                  <w:rFonts w:ascii="Arial" w:cs="Arial" w:eastAsia="Arial" w:hAnsi="Arial"/>
                  <w:sz w:val="18"/>
                  <w:szCs w:val="18"/>
                  <w:color w:val="0000FF"/>
                </w:rPr>
                <w:t>Certification by the Chief Executive Officer pursuant to 18 U.S.C.</w:t>
              </w:r>
            </w:hyperlink>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w:anchor="page319">
              <w:r>
                <w:rPr>
                  <w:rFonts w:ascii="Arial" w:cs="Arial" w:eastAsia="Arial" w:hAnsi="Arial"/>
                  <w:sz w:val="18"/>
                  <w:szCs w:val="18"/>
                  <w:color w:val="0000FF"/>
                </w:rPr>
                <w:t>1350 as adopted pursuant to Section 906 of the Sarbanes-Oxley</w:t>
              </w:r>
            </w:hyperlink>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5000" w:type="dxa"/>
            <w:vAlign w:val="bottom"/>
            <w:gridSpan w:val="7"/>
          </w:tcPr>
          <w:p>
            <w:pPr>
              <w:spacing w:after="0" w:line="156" w:lineRule="exact"/>
              <w:rPr>
                <w:rFonts w:ascii="Arial" w:cs="Arial" w:eastAsia="Arial" w:hAnsi="Arial"/>
                <w:sz w:val="18"/>
                <w:szCs w:val="18"/>
                <w:color w:val="0000FF"/>
              </w:rPr>
            </w:pPr>
            <w:hyperlink w:anchor="page319">
              <w:r>
                <w:rPr>
                  <w:rFonts w:ascii="Arial" w:cs="Arial" w:eastAsia="Arial" w:hAnsi="Arial"/>
                  <w:sz w:val="18"/>
                  <w:szCs w:val="18"/>
                  <w:color w:val="0000FF"/>
                </w:rPr>
                <w:t>Act of 2002.</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50" w:type="dxa"/>
            <w:vAlign w:val="bottom"/>
          </w:tcPr>
          <w:p>
            <w:pPr>
              <w:spacing w:after="0"/>
              <w:rPr>
                <w:sz w:val="13"/>
                <w:szCs w:val="13"/>
                <w:color w:val="auto"/>
              </w:rPr>
            </w:pPr>
          </w:p>
        </w:tc>
        <w:tc>
          <w:tcPr>
            <w:tcW w:w="12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5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shd w:val="clear" w:color="auto" w:fill="F4F4F4"/>
          </w:tcPr>
          <w:p>
            <w:pPr>
              <w:jc w:val="right"/>
              <w:ind w:right="53"/>
              <w:spacing w:after="0" w:line="189" w:lineRule="exact"/>
              <w:rPr>
                <w:rFonts w:ascii="Arial" w:cs="Arial" w:eastAsia="Arial" w:hAnsi="Arial"/>
                <w:sz w:val="18"/>
                <w:szCs w:val="18"/>
                <w:u w:val="single" w:color="auto"/>
                <w:color w:val="0000FF"/>
              </w:rPr>
            </w:pPr>
            <w:hyperlink w:anchor="page320">
              <w:r>
                <w:rPr>
                  <w:rFonts w:ascii="Arial" w:cs="Arial" w:eastAsia="Arial" w:hAnsi="Arial"/>
                  <w:sz w:val="18"/>
                  <w:szCs w:val="18"/>
                  <w:u w:val="single" w:color="auto"/>
                  <w:color w:val="0000FF"/>
                </w:rPr>
                <w:t>32.2</w:t>
              </w:r>
            </w:hyperlink>
          </w:p>
        </w:tc>
        <w:tc>
          <w:tcPr>
            <w:tcW w:w="5380" w:type="dxa"/>
            <w:vAlign w:val="bottom"/>
            <w:gridSpan w:val="15"/>
            <w:shd w:val="clear" w:color="auto" w:fill="F4F4F4"/>
          </w:tcPr>
          <w:p>
            <w:pPr>
              <w:spacing w:after="0" w:line="189" w:lineRule="exact"/>
              <w:rPr>
                <w:rFonts w:ascii="Arial" w:cs="Arial" w:eastAsia="Arial" w:hAnsi="Arial"/>
                <w:sz w:val="18"/>
                <w:szCs w:val="18"/>
                <w:color w:val="0000FF"/>
              </w:rPr>
            </w:pPr>
            <w:hyperlink w:anchor="page320">
              <w:r>
                <w:rPr>
                  <w:rFonts w:ascii="Arial" w:cs="Arial" w:eastAsia="Arial" w:hAnsi="Arial"/>
                  <w:sz w:val="18"/>
                  <w:szCs w:val="18"/>
                  <w:color w:val="0000FF"/>
                </w:rPr>
                <w:t>Certification by the Chief Financial Officer pursuant to 18 U.S.C.</w:t>
              </w:r>
            </w:hyperlink>
          </w:p>
        </w:tc>
        <w:tc>
          <w:tcPr>
            <w:tcW w:w="1080" w:type="dxa"/>
            <w:vAlign w:val="bottom"/>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6"/>
                <w:szCs w:val="16"/>
                <w:color w:val="auto"/>
              </w:rPr>
            </w:pPr>
          </w:p>
        </w:tc>
        <w:tc>
          <w:tcPr>
            <w:tcW w:w="1450" w:type="dxa"/>
            <w:vAlign w:val="bottom"/>
            <w:shd w:val="clear" w:color="auto" w:fill="F4F4F4"/>
          </w:tcPr>
          <w:p>
            <w:pPr>
              <w:spacing w:after="0"/>
              <w:rPr>
                <w:sz w:val="16"/>
                <w:szCs w:val="16"/>
                <w:color w:val="auto"/>
              </w:rPr>
            </w:pPr>
          </w:p>
        </w:tc>
        <w:tc>
          <w:tcPr>
            <w:tcW w:w="125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Borders>
              <w:top w:val="single" w:sz="8" w:color="F4F4F4"/>
            </w:tcBorders>
            <w:shd w:val="clear" w:color="auto" w:fill="F4F4F4"/>
          </w:tcPr>
          <w:p>
            <w:pPr>
              <w:spacing w:after="0"/>
              <w:rPr>
                <w:sz w:val="13"/>
                <w:szCs w:val="13"/>
                <w:color w:val="auto"/>
              </w:rPr>
            </w:pPr>
          </w:p>
        </w:tc>
        <w:tc>
          <w:tcPr>
            <w:tcW w:w="5300" w:type="dxa"/>
            <w:vAlign w:val="bottom"/>
            <w:tcBorders>
              <w:top w:val="single" w:sz="8" w:color="0000FF"/>
            </w:tcBorders>
            <w:gridSpan w:val="11"/>
            <w:shd w:val="clear" w:color="auto" w:fill="F4F4F4"/>
          </w:tcPr>
          <w:p>
            <w:pPr>
              <w:spacing w:after="0" w:line="156" w:lineRule="exact"/>
              <w:rPr>
                <w:rFonts w:ascii="Arial" w:cs="Arial" w:eastAsia="Arial" w:hAnsi="Arial"/>
                <w:sz w:val="18"/>
                <w:szCs w:val="18"/>
                <w:color w:val="0000FF"/>
              </w:rPr>
            </w:pPr>
            <w:hyperlink w:anchor="page320">
              <w:r>
                <w:rPr>
                  <w:rFonts w:ascii="Arial" w:cs="Arial" w:eastAsia="Arial" w:hAnsi="Arial"/>
                  <w:sz w:val="18"/>
                  <w:szCs w:val="18"/>
                  <w:color w:val="0000FF"/>
                </w:rPr>
                <w:t>1350 as adopted pursuant to Section 906 of the Sarbanes-Oxley</w:t>
              </w:r>
            </w:hyperlink>
          </w:p>
        </w:tc>
        <w:tc>
          <w:tcPr>
            <w:tcW w:w="80" w:type="dxa"/>
            <w:vAlign w:val="bottom"/>
            <w:tcBorders>
              <w:top w:val="single" w:sz="8" w:color="F4F4F4"/>
            </w:tcBorders>
            <w:gridSpan w:val="4"/>
            <w:shd w:val="clear" w:color="auto" w:fill="F4F4F4"/>
          </w:tcPr>
          <w:p>
            <w:pPr>
              <w:spacing w:after="0"/>
              <w:rPr>
                <w:sz w:val="13"/>
                <w:szCs w:val="13"/>
                <w:color w:val="auto"/>
              </w:rPr>
            </w:pPr>
          </w:p>
        </w:tc>
        <w:tc>
          <w:tcPr>
            <w:tcW w:w="1080" w:type="dxa"/>
            <w:vAlign w:val="bottom"/>
            <w:tcBorders>
              <w:top w:val="single" w:sz="8" w:color="F4F4F4"/>
            </w:tcBorders>
            <w:shd w:val="clear" w:color="auto" w:fill="F4F4F4"/>
          </w:tcPr>
          <w:p>
            <w:pPr>
              <w:spacing w:after="0"/>
              <w:rPr>
                <w:sz w:val="13"/>
                <w:szCs w:val="13"/>
                <w:color w:val="auto"/>
              </w:rPr>
            </w:pPr>
          </w:p>
        </w:tc>
        <w:tc>
          <w:tcPr>
            <w:tcW w:w="820" w:type="dxa"/>
            <w:vAlign w:val="bottom"/>
            <w:tcBorders>
              <w:top w:val="single" w:sz="8" w:color="F4F4F4"/>
            </w:tcBorders>
            <w:shd w:val="clear" w:color="auto" w:fill="F4F4F4"/>
          </w:tcPr>
          <w:p>
            <w:pPr>
              <w:spacing w:after="0"/>
              <w:rPr>
                <w:sz w:val="13"/>
                <w:szCs w:val="13"/>
                <w:color w:val="auto"/>
              </w:rPr>
            </w:pPr>
          </w:p>
        </w:tc>
        <w:tc>
          <w:tcPr>
            <w:tcW w:w="1450" w:type="dxa"/>
            <w:vAlign w:val="bottom"/>
            <w:tcBorders>
              <w:top w:val="single" w:sz="8" w:color="F4F4F4"/>
            </w:tcBorders>
            <w:shd w:val="clear" w:color="auto" w:fill="F4F4F4"/>
          </w:tcPr>
          <w:p>
            <w:pPr>
              <w:spacing w:after="0"/>
              <w:rPr>
                <w:sz w:val="13"/>
                <w:szCs w:val="13"/>
                <w:color w:val="auto"/>
              </w:rPr>
            </w:pPr>
          </w:p>
        </w:tc>
        <w:tc>
          <w:tcPr>
            <w:tcW w:w="125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Borders>
              <w:top w:val="single" w:sz="8" w:color="F4F4F4"/>
            </w:tcBorders>
            <w:shd w:val="clear" w:color="auto" w:fill="F4F4F4"/>
          </w:tcPr>
          <w:p>
            <w:pPr>
              <w:spacing w:after="0"/>
              <w:rPr>
                <w:sz w:val="13"/>
                <w:szCs w:val="13"/>
                <w:color w:val="auto"/>
              </w:rPr>
            </w:pPr>
          </w:p>
        </w:tc>
        <w:tc>
          <w:tcPr>
            <w:tcW w:w="5000" w:type="dxa"/>
            <w:vAlign w:val="bottom"/>
            <w:tcBorders>
              <w:top w:val="single" w:sz="8" w:color="0000FF"/>
            </w:tcBorders>
            <w:gridSpan w:val="7"/>
            <w:shd w:val="clear" w:color="auto" w:fill="F4F4F4"/>
          </w:tcPr>
          <w:p>
            <w:pPr>
              <w:spacing w:after="0" w:line="156" w:lineRule="exact"/>
              <w:rPr>
                <w:rFonts w:ascii="Arial" w:cs="Arial" w:eastAsia="Arial" w:hAnsi="Arial"/>
                <w:sz w:val="18"/>
                <w:szCs w:val="18"/>
                <w:color w:val="0000FF"/>
              </w:rPr>
            </w:pPr>
            <w:hyperlink w:anchor="page320">
              <w:r>
                <w:rPr>
                  <w:rFonts w:ascii="Arial" w:cs="Arial" w:eastAsia="Arial" w:hAnsi="Arial"/>
                  <w:sz w:val="18"/>
                  <w:szCs w:val="18"/>
                  <w:color w:val="0000FF"/>
                </w:rPr>
                <w:t>Act of 2002.</w:t>
              </w:r>
            </w:hyperlink>
          </w:p>
        </w:tc>
        <w:tc>
          <w:tcPr>
            <w:tcW w:w="24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080" w:type="dxa"/>
            <w:vAlign w:val="bottom"/>
            <w:tcBorders>
              <w:top w:val="single" w:sz="8" w:color="F4F4F4"/>
            </w:tcBorders>
            <w:shd w:val="clear" w:color="auto" w:fill="F4F4F4"/>
          </w:tcPr>
          <w:p>
            <w:pPr>
              <w:spacing w:after="0"/>
              <w:rPr>
                <w:sz w:val="13"/>
                <w:szCs w:val="13"/>
                <w:color w:val="auto"/>
              </w:rPr>
            </w:pPr>
          </w:p>
        </w:tc>
        <w:tc>
          <w:tcPr>
            <w:tcW w:w="820" w:type="dxa"/>
            <w:vAlign w:val="bottom"/>
            <w:tcBorders>
              <w:top w:val="single" w:sz="8" w:color="F4F4F4"/>
            </w:tcBorders>
            <w:shd w:val="clear" w:color="auto" w:fill="F4F4F4"/>
          </w:tcPr>
          <w:p>
            <w:pPr>
              <w:spacing w:after="0"/>
              <w:rPr>
                <w:sz w:val="13"/>
                <w:szCs w:val="13"/>
                <w:color w:val="auto"/>
              </w:rPr>
            </w:pPr>
          </w:p>
        </w:tc>
        <w:tc>
          <w:tcPr>
            <w:tcW w:w="1450" w:type="dxa"/>
            <w:vAlign w:val="bottom"/>
            <w:tcBorders>
              <w:top w:val="single" w:sz="8" w:color="F4F4F4"/>
            </w:tcBorders>
            <w:shd w:val="clear" w:color="auto" w:fill="F4F4F4"/>
          </w:tcPr>
          <w:p>
            <w:pPr>
              <w:spacing w:after="0"/>
              <w:rPr>
                <w:sz w:val="13"/>
                <w:szCs w:val="13"/>
                <w:color w:val="auto"/>
              </w:rPr>
            </w:pPr>
          </w:p>
        </w:tc>
        <w:tc>
          <w:tcPr>
            <w:tcW w:w="125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F4F4F4"/>
            </w:tcBorders>
            <w:shd w:val="clear" w:color="auto" w:fill="F4F4F4"/>
          </w:tcPr>
          <w:p>
            <w:pPr>
              <w:spacing w:after="0" w:line="20" w:lineRule="exact"/>
              <w:rPr>
                <w:sz w:val="1"/>
                <w:szCs w:val="1"/>
                <w:color w:val="auto"/>
              </w:rPr>
            </w:pPr>
          </w:p>
        </w:tc>
        <w:tc>
          <w:tcPr>
            <w:tcW w:w="200" w:type="dxa"/>
            <w:vAlign w:val="bottom"/>
            <w:tcBorders>
              <w:top w:val="single" w:sz="8" w:color="0000FF"/>
            </w:tcBorders>
            <w:shd w:val="clear" w:color="auto" w:fill="F4F4F4"/>
          </w:tcPr>
          <w:p>
            <w:pPr>
              <w:spacing w:after="0" w:line="20" w:lineRule="exact"/>
              <w:rPr>
                <w:sz w:val="1"/>
                <w:szCs w:val="1"/>
                <w:color w:val="auto"/>
              </w:rPr>
            </w:pPr>
          </w:p>
        </w:tc>
        <w:tc>
          <w:tcPr>
            <w:tcW w:w="760" w:type="dxa"/>
            <w:vAlign w:val="bottom"/>
            <w:tcBorders>
              <w:top w:val="single" w:sz="8" w:color="0000FF"/>
            </w:tcBorders>
            <w:shd w:val="clear" w:color="auto" w:fill="F4F4F4"/>
          </w:tcPr>
          <w:p>
            <w:pPr>
              <w:spacing w:after="0" w:line="20" w:lineRule="exact"/>
              <w:rPr>
                <w:sz w:val="1"/>
                <w:szCs w:val="1"/>
                <w:color w:val="auto"/>
              </w:rPr>
            </w:pPr>
          </w:p>
        </w:tc>
        <w:tc>
          <w:tcPr>
            <w:tcW w:w="1760" w:type="dxa"/>
            <w:vAlign w:val="bottom"/>
            <w:tcBorders>
              <w:top w:val="single" w:sz="8" w:color="F4F4F4"/>
            </w:tcBorders>
            <w:shd w:val="clear" w:color="auto" w:fill="F4F4F4"/>
          </w:tcPr>
          <w:p>
            <w:pPr>
              <w:spacing w:after="0" w:line="20" w:lineRule="exact"/>
              <w:rPr>
                <w:sz w:val="1"/>
                <w:szCs w:val="1"/>
                <w:color w:val="auto"/>
              </w:rPr>
            </w:pPr>
          </w:p>
        </w:tc>
        <w:tc>
          <w:tcPr>
            <w:tcW w:w="1020" w:type="dxa"/>
            <w:vAlign w:val="bottom"/>
            <w:tcBorders>
              <w:top w:val="single" w:sz="8" w:color="F4F4F4"/>
            </w:tcBorders>
            <w:shd w:val="clear" w:color="auto" w:fill="F4F4F4"/>
          </w:tcPr>
          <w:p>
            <w:pPr>
              <w:spacing w:after="0" w:line="20" w:lineRule="exact"/>
              <w:rPr>
                <w:sz w:val="1"/>
                <w:szCs w:val="1"/>
                <w:color w:val="auto"/>
              </w:rPr>
            </w:pPr>
          </w:p>
        </w:tc>
        <w:tc>
          <w:tcPr>
            <w:tcW w:w="60" w:type="dxa"/>
            <w:vAlign w:val="bottom"/>
            <w:tcBorders>
              <w:top w:val="single" w:sz="8" w:color="F4F4F4"/>
            </w:tcBorders>
            <w:shd w:val="clear" w:color="auto" w:fill="F4F4F4"/>
          </w:tcPr>
          <w:p>
            <w:pPr>
              <w:spacing w:after="0" w:line="20" w:lineRule="exact"/>
              <w:rPr>
                <w:sz w:val="1"/>
                <w:szCs w:val="1"/>
                <w:color w:val="auto"/>
              </w:rPr>
            </w:pPr>
          </w:p>
        </w:tc>
        <w:tc>
          <w:tcPr>
            <w:tcW w:w="400" w:type="dxa"/>
            <w:vAlign w:val="bottom"/>
            <w:tcBorders>
              <w:top w:val="single" w:sz="8" w:color="F4F4F4"/>
            </w:tcBorders>
            <w:shd w:val="clear" w:color="auto" w:fill="F4F4F4"/>
          </w:tcPr>
          <w:p>
            <w:pPr>
              <w:spacing w:after="0" w:line="20" w:lineRule="exact"/>
              <w:rPr>
                <w:sz w:val="1"/>
                <w:szCs w:val="1"/>
                <w:color w:val="auto"/>
              </w:rPr>
            </w:pPr>
          </w:p>
        </w:tc>
        <w:tc>
          <w:tcPr>
            <w:tcW w:w="80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080" w:type="dxa"/>
            <w:vAlign w:val="bottom"/>
            <w:tcBorders>
              <w:top w:val="single" w:sz="8" w:color="F4F4F4"/>
            </w:tcBorders>
            <w:shd w:val="clear" w:color="auto" w:fill="F4F4F4"/>
          </w:tcPr>
          <w:p>
            <w:pPr>
              <w:spacing w:after="0" w:line="20" w:lineRule="exact"/>
              <w:rPr>
                <w:sz w:val="1"/>
                <w:szCs w:val="1"/>
                <w:color w:val="auto"/>
              </w:rPr>
            </w:pPr>
          </w:p>
        </w:tc>
        <w:tc>
          <w:tcPr>
            <w:tcW w:w="820" w:type="dxa"/>
            <w:vAlign w:val="bottom"/>
            <w:tcBorders>
              <w:top w:val="single" w:sz="8" w:color="F4F4F4"/>
            </w:tcBorders>
            <w:shd w:val="clear" w:color="auto" w:fill="F4F4F4"/>
          </w:tcPr>
          <w:p>
            <w:pPr>
              <w:spacing w:after="0" w:line="20" w:lineRule="exact"/>
              <w:rPr>
                <w:sz w:val="1"/>
                <w:szCs w:val="1"/>
                <w:color w:val="auto"/>
              </w:rPr>
            </w:pPr>
          </w:p>
        </w:tc>
        <w:tc>
          <w:tcPr>
            <w:tcW w:w="1450" w:type="dxa"/>
            <w:vAlign w:val="bottom"/>
            <w:tcBorders>
              <w:top w:val="single" w:sz="8" w:color="F4F4F4"/>
            </w:tcBorders>
            <w:shd w:val="clear" w:color="auto" w:fill="F4F4F4"/>
          </w:tcPr>
          <w:p>
            <w:pPr>
              <w:spacing w:after="0" w:line="20" w:lineRule="exact"/>
              <w:rPr>
                <w:sz w:val="1"/>
                <w:szCs w:val="1"/>
                <w:color w:val="auto"/>
              </w:rPr>
            </w:pPr>
          </w:p>
        </w:tc>
        <w:tc>
          <w:tcPr>
            <w:tcW w:w="125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101.INS</w:t>
            </w:r>
          </w:p>
        </w:tc>
        <w:tc>
          <w:tcPr>
            <w:tcW w:w="5380" w:type="dxa"/>
            <w:vAlign w:val="bottom"/>
            <w:gridSpan w:val="15"/>
          </w:tcPr>
          <w:p>
            <w:pPr>
              <w:spacing w:after="0" w:line="189" w:lineRule="exact"/>
              <w:rPr>
                <w:sz w:val="20"/>
                <w:szCs w:val="20"/>
                <w:color w:val="auto"/>
              </w:rPr>
            </w:pPr>
            <w:r>
              <w:rPr>
                <w:rFonts w:ascii="Arial" w:cs="Arial" w:eastAsia="Arial" w:hAnsi="Arial"/>
                <w:sz w:val="18"/>
                <w:szCs w:val="18"/>
                <w:color w:val="auto"/>
              </w:rPr>
              <w:t>Inline XBRL Instance Document - the Instance Document does</w:t>
            </w:r>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5380" w:type="dxa"/>
            <w:vAlign w:val="bottom"/>
            <w:gridSpan w:val="15"/>
          </w:tcPr>
          <w:p>
            <w:pPr>
              <w:spacing w:after="0" w:line="176" w:lineRule="exact"/>
              <w:rPr>
                <w:sz w:val="20"/>
                <w:szCs w:val="20"/>
                <w:color w:val="auto"/>
              </w:rPr>
            </w:pPr>
            <w:r>
              <w:rPr>
                <w:rFonts w:ascii="Arial" w:cs="Arial" w:eastAsia="Arial" w:hAnsi="Arial"/>
                <w:sz w:val="18"/>
                <w:szCs w:val="18"/>
                <w:color w:val="auto"/>
              </w:rPr>
              <w:t>not appear in the interactive data file because its XBRL tags are</w:t>
            </w: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5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00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5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F4F4F4"/>
          </w:tcPr>
          <w:p>
            <w:pPr>
              <w:jc w:val="right"/>
              <w:ind w:right="53"/>
              <w:spacing w:after="0"/>
              <w:rPr>
                <w:sz w:val="20"/>
                <w:szCs w:val="20"/>
                <w:color w:val="auto"/>
              </w:rPr>
            </w:pPr>
            <w:r>
              <w:rPr>
                <w:rFonts w:ascii="Arial" w:cs="Arial" w:eastAsia="Arial" w:hAnsi="Arial"/>
                <w:sz w:val="18"/>
                <w:szCs w:val="18"/>
                <w:color w:val="auto"/>
              </w:rPr>
              <w:t>101.SCH</w:t>
            </w:r>
          </w:p>
        </w:tc>
        <w:tc>
          <w:tcPr>
            <w:tcW w:w="5000" w:type="dxa"/>
            <w:vAlign w:val="bottom"/>
            <w:gridSpan w:val="7"/>
            <w:shd w:val="clear" w:color="auto" w:fill="F4F4F4"/>
          </w:tcPr>
          <w:p>
            <w:pPr>
              <w:spacing w:after="0"/>
              <w:rPr>
                <w:sz w:val="20"/>
                <w:szCs w:val="20"/>
                <w:color w:val="auto"/>
              </w:rPr>
            </w:pPr>
            <w:r>
              <w:rPr>
                <w:rFonts w:ascii="Arial" w:cs="Arial" w:eastAsia="Arial" w:hAnsi="Arial"/>
                <w:sz w:val="18"/>
                <w:szCs w:val="18"/>
                <w:color w:val="auto"/>
              </w:rPr>
              <w:t>Inline XBRL Taxonomy Extension Schema Document.</w:t>
            </w:r>
          </w:p>
        </w:tc>
        <w:tc>
          <w:tcPr>
            <w:tcW w:w="24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1080" w:type="dxa"/>
            <w:vAlign w:val="bottom"/>
            <w:shd w:val="clear" w:color="auto" w:fill="F4F4F4"/>
          </w:tcPr>
          <w:p>
            <w:pPr>
              <w:jc w:val="center"/>
              <w:ind w:right="32"/>
              <w:spacing w:after="0"/>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9"/>
                <w:szCs w:val="19"/>
                <w:color w:val="auto"/>
              </w:rPr>
            </w:pPr>
          </w:p>
        </w:tc>
        <w:tc>
          <w:tcPr>
            <w:tcW w:w="1450" w:type="dxa"/>
            <w:vAlign w:val="bottom"/>
            <w:shd w:val="clear" w:color="auto" w:fill="F4F4F4"/>
          </w:tcPr>
          <w:p>
            <w:pPr>
              <w:spacing w:after="0"/>
              <w:rPr>
                <w:sz w:val="19"/>
                <w:szCs w:val="19"/>
                <w:color w:val="auto"/>
              </w:rPr>
            </w:pPr>
          </w:p>
        </w:tc>
        <w:tc>
          <w:tcPr>
            <w:tcW w:w="125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101.CAL</w:t>
            </w:r>
          </w:p>
        </w:tc>
        <w:tc>
          <w:tcPr>
            <w:tcW w:w="5000" w:type="dxa"/>
            <w:vAlign w:val="bottom"/>
            <w:gridSpan w:val="7"/>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00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5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20" w:type="dxa"/>
            <w:vAlign w:val="bottom"/>
            <w:shd w:val="clear" w:color="auto" w:fill="F4F4F4"/>
          </w:tcPr>
          <w:p>
            <w:pPr>
              <w:jc w:val="right"/>
              <w:ind w:right="53"/>
              <w:spacing w:after="0"/>
              <w:rPr>
                <w:sz w:val="20"/>
                <w:szCs w:val="20"/>
                <w:color w:val="auto"/>
              </w:rPr>
            </w:pPr>
            <w:r>
              <w:rPr>
                <w:rFonts w:ascii="Arial" w:cs="Arial" w:eastAsia="Arial" w:hAnsi="Arial"/>
                <w:sz w:val="18"/>
                <w:szCs w:val="18"/>
                <w:color w:val="auto"/>
              </w:rPr>
              <w:t>101.DEF</w:t>
            </w:r>
          </w:p>
        </w:tc>
        <w:tc>
          <w:tcPr>
            <w:tcW w:w="5380" w:type="dxa"/>
            <w:vAlign w:val="bottom"/>
            <w:gridSpan w:val="15"/>
            <w:shd w:val="clear" w:color="auto" w:fill="F4F4F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shd w:val="clear" w:color="auto" w:fill="F4F4F4"/>
          </w:tcPr>
          <w:p>
            <w:pPr>
              <w:jc w:val="center"/>
              <w:ind w:right="32"/>
              <w:spacing w:after="0"/>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9"/>
                <w:szCs w:val="19"/>
                <w:color w:val="auto"/>
              </w:rPr>
            </w:pPr>
          </w:p>
        </w:tc>
        <w:tc>
          <w:tcPr>
            <w:tcW w:w="1450" w:type="dxa"/>
            <w:vAlign w:val="bottom"/>
            <w:shd w:val="clear" w:color="auto" w:fill="F4F4F4"/>
          </w:tcPr>
          <w:p>
            <w:pPr>
              <w:spacing w:after="0"/>
              <w:rPr>
                <w:sz w:val="19"/>
                <w:szCs w:val="19"/>
                <w:color w:val="auto"/>
              </w:rPr>
            </w:pPr>
          </w:p>
        </w:tc>
        <w:tc>
          <w:tcPr>
            <w:tcW w:w="125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jc w:val="right"/>
              <w:ind w:right="53"/>
              <w:spacing w:after="0"/>
              <w:rPr>
                <w:sz w:val="20"/>
                <w:szCs w:val="20"/>
                <w:color w:val="auto"/>
              </w:rPr>
            </w:pPr>
            <w:r>
              <w:rPr>
                <w:rFonts w:ascii="Arial" w:cs="Arial" w:eastAsia="Arial" w:hAnsi="Arial"/>
                <w:sz w:val="18"/>
                <w:szCs w:val="18"/>
                <w:color w:val="auto"/>
              </w:rPr>
              <w:t>101.LAB</w:t>
            </w:r>
          </w:p>
        </w:tc>
        <w:tc>
          <w:tcPr>
            <w:tcW w:w="50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9"/>
                <w:szCs w:val="19"/>
                <w:color w:val="auto"/>
              </w:rPr>
            </w:pPr>
          </w:p>
        </w:tc>
        <w:tc>
          <w:tcPr>
            <w:tcW w:w="1450" w:type="dxa"/>
            <w:vAlign w:val="bottom"/>
          </w:tcPr>
          <w:p>
            <w:pPr>
              <w:spacing w:after="0"/>
              <w:rPr>
                <w:sz w:val="19"/>
                <w:szCs w:val="19"/>
                <w:color w:val="auto"/>
              </w:rPr>
            </w:pPr>
          </w:p>
        </w:tc>
        <w:tc>
          <w:tcPr>
            <w:tcW w:w="12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20" w:type="dxa"/>
            <w:vAlign w:val="bottom"/>
            <w:shd w:val="clear" w:color="auto" w:fill="F4F4F4"/>
          </w:tcPr>
          <w:p>
            <w:pPr>
              <w:jc w:val="right"/>
              <w:ind w:right="53"/>
              <w:spacing w:after="0" w:line="189" w:lineRule="exact"/>
              <w:rPr>
                <w:sz w:val="20"/>
                <w:szCs w:val="20"/>
                <w:color w:val="auto"/>
              </w:rPr>
            </w:pPr>
            <w:r>
              <w:rPr>
                <w:rFonts w:ascii="Arial" w:cs="Arial" w:eastAsia="Arial" w:hAnsi="Arial"/>
                <w:sz w:val="18"/>
                <w:szCs w:val="18"/>
                <w:color w:val="auto"/>
              </w:rPr>
              <w:t>101.PRE</w:t>
            </w:r>
          </w:p>
        </w:tc>
        <w:tc>
          <w:tcPr>
            <w:tcW w:w="5000" w:type="dxa"/>
            <w:vAlign w:val="bottom"/>
            <w:gridSpan w:val="7"/>
            <w:shd w:val="clear" w:color="auto" w:fill="F4F4F4"/>
          </w:tcPr>
          <w:p>
            <w:pPr>
              <w:spacing w:after="0" w:line="189" w:lineRule="exact"/>
              <w:rPr>
                <w:sz w:val="20"/>
                <w:szCs w:val="20"/>
                <w:color w:val="auto"/>
              </w:rPr>
            </w:pPr>
            <w:r>
              <w:rPr>
                <w:rFonts w:ascii="Arial" w:cs="Arial" w:eastAsia="Arial" w:hAnsi="Arial"/>
                <w:sz w:val="18"/>
                <w:szCs w:val="18"/>
                <w:color w:val="auto"/>
              </w:rPr>
              <w:t>Inline XBRL Taxonomy Extension Presentation Linkbase</w:t>
            </w:r>
          </w:p>
        </w:tc>
        <w:tc>
          <w:tcPr>
            <w:tcW w:w="24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1080" w:type="dxa"/>
            <w:vAlign w:val="bottom"/>
            <w:shd w:val="clear" w:color="auto" w:fill="F4F4F4"/>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shd w:val="clear" w:color="auto" w:fill="F4F4F4"/>
          </w:tcPr>
          <w:p>
            <w:pPr>
              <w:spacing w:after="0"/>
              <w:rPr>
                <w:sz w:val="16"/>
                <w:szCs w:val="16"/>
                <w:color w:val="auto"/>
              </w:rPr>
            </w:pPr>
          </w:p>
        </w:tc>
        <w:tc>
          <w:tcPr>
            <w:tcW w:w="1450" w:type="dxa"/>
            <w:vAlign w:val="bottom"/>
            <w:shd w:val="clear" w:color="auto" w:fill="F4F4F4"/>
          </w:tcPr>
          <w:p>
            <w:pPr>
              <w:spacing w:after="0"/>
              <w:rPr>
                <w:sz w:val="16"/>
                <w:szCs w:val="16"/>
                <w:color w:val="auto"/>
              </w:rPr>
            </w:pPr>
          </w:p>
        </w:tc>
        <w:tc>
          <w:tcPr>
            <w:tcW w:w="125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shd w:val="clear" w:color="auto" w:fill="F4F4F4"/>
          </w:tcPr>
          <w:p>
            <w:pPr>
              <w:spacing w:after="0"/>
              <w:rPr>
                <w:sz w:val="18"/>
                <w:szCs w:val="18"/>
                <w:color w:val="auto"/>
              </w:rPr>
            </w:pPr>
          </w:p>
        </w:tc>
        <w:tc>
          <w:tcPr>
            <w:tcW w:w="5000" w:type="dxa"/>
            <w:vAlign w:val="bottom"/>
            <w:gridSpan w:val="7"/>
            <w:shd w:val="clear" w:color="auto" w:fill="F4F4F4"/>
          </w:tcPr>
          <w:p>
            <w:pPr>
              <w:spacing w:after="0"/>
              <w:rPr>
                <w:sz w:val="20"/>
                <w:szCs w:val="20"/>
                <w:color w:val="auto"/>
              </w:rPr>
            </w:pPr>
            <w:r>
              <w:rPr>
                <w:rFonts w:ascii="Arial" w:cs="Arial" w:eastAsia="Arial" w:hAnsi="Arial"/>
                <w:sz w:val="18"/>
                <w:szCs w:val="18"/>
                <w:color w:val="auto"/>
              </w:rPr>
              <w:t>Document.</w:t>
            </w:r>
          </w:p>
        </w:tc>
        <w:tc>
          <w:tcPr>
            <w:tcW w:w="24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1080" w:type="dxa"/>
            <w:vAlign w:val="bottom"/>
            <w:shd w:val="clear" w:color="auto" w:fill="F4F4F4"/>
          </w:tcPr>
          <w:p>
            <w:pPr>
              <w:spacing w:after="0"/>
              <w:rPr>
                <w:sz w:val="18"/>
                <w:szCs w:val="18"/>
                <w:color w:val="auto"/>
              </w:rPr>
            </w:pPr>
          </w:p>
        </w:tc>
        <w:tc>
          <w:tcPr>
            <w:tcW w:w="820" w:type="dxa"/>
            <w:vAlign w:val="bottom"/>
            <w:shd w:val="clear" w:color="auto" w:fill="F4F4F4"/>
          </w:tcPr>
          <w:p>
            <w:pPr>
              <w:spacing w:after="0"/>
              <w:rPr>
                <w:sz w:val="18"/>
                <w:szCs w:val="18"/>
                <w:color w:val="auto"/>
              </w:rPr>
            </w:pPr>
          </w:p>
        </w:tc>
        <w:tc>
          <w:tcPr>
            <w:tcW w:w="1450" w:type="dxa"/>
            <w:vAlign w:val="bottom"/>
            <w:shd w:val="clear" w:color="auto" w:fill="F4F4F4"/>
          </w:tcPr>
          <w:p>
            <w:pPr>
              <w:spacing w:after="0"/>
              <w:rPr>
                <w:sz w:val="18"/>
                <w:szCs w:val="18"/>
                <w:color w:val="auto"/>
              </w:rPr>
            </w:pPr>
          </w:p>
        </w:tc>
        <w:tc>
          <w:tcPr>
            <w:tcW w:w="1250" w:type="dxa"/>
            <w:vAlign w:val="bottom"/>
            <w:shd w:val="clear" w:color="auto" w:fill="F4F4F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20" w:type="dxa"/>
            <w:vAlign w:val="bottom"/>
          </w:tcPr>
          <w:p>
            <w:pPr>
              <w:jc w:val="right"/>
              <w:ind w:right="53"/>
              <w:spacing w:after="0" w:line="189" w:lineRule="exact"/>
              <w:rPr>
                <w:sz w:val="20"/>
                <w:szCs w:val="20"/>
                <w:color w:val="auto"/>
              </w:rPr>
            </w:pPr>
            <w:r>
              <w:rPr>
                <w:rFonts w:ascii="Arial" w:cs="Arial" w:eastAsia="Arial" w:hAnsi="Arial"/>
                <w:sz w:val="18"/>
                <w:szCs w:val="18"/>
                <w:color w:val="auto"/>
              </w:rPr>
              <w:t>104</w:t>
            </w:r>
          </w:p>
        </w:tc>
        <w:tc>
          <w:tcPr>
            <w:tcW w:w="5380" w:type="dxa"/>
            <w:vAlign w:val="bottom"/>
            <w:gridSpan w:val="15"/>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108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16"/>
                <w:szCs w:val="16"/>
                <w:color w:val="auto"/>
              </w:rPr>
            </w:pPr>
          </w:p>
        </w:tc>
        <w:tc>
          <w:tcPr>
            <w:tcW w:w="1450" w:type="dxa"/>
            <w:vAlign w:val="bottom"/>
          </w:tcPr>
          <w:p>
            <w:pPr>
              <w:spacing w:after="0"/>
              <w:rPr>
                <w:sz w:val="16"/>
                <w:szCs w:val="16"/>
                <w:color w:val="auto"/>
              </w:rPr>
            </w:pPr>
          </w:p>
        </w:tc>
        <w:tc>
          <w:tcPr>
            <w:tcW w:w="125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tcBorders>
              <w:bottom w:val="single" w:sz="8" w:color="71BF43"/>
            </w:tcBorders>
          </w:tcPr>
          <w:p>
            <w:pPr>
              <w:spacing w:after="0"/>
              <w:rPr>
                <w:sz w:val="18"/>
                <w:szCs w:val="18"/>
                <w:color w:val="auto"/>
              </w:rPr>
            </w:pPr>
          </w:p>
        </w:tc>
        <w:tc>
          <w:tcPr>
            <w:tcW w:w="5000" w:type="dxa"/>
            <w:vAlign w:val="bottom"/>
            <w:tcBorders>
              <w:bottom w:val="single" w:sz="8" w:color="71BF43"/>
            </w:tcBorders>
            <w:gridSpan w:val="7"/>
          </w:tcPr>
          <w:p>
            <w:pPr>
              <w:spacing w:after="0"/>
              <w:rPr>
                <w:sz w:val="20"/>
                <w:szCs w:val="20"/>
                <w:color w:val="auto"/>
              </w:rPr>
            </w:pPr>
            <w:r>
              <w:rPr>
                <w:rFonts w:ascii="Arial" w:cs="Arial" w:eastAsia="Arial" w:hAnsi="Arial"/>
                <w:sz w:val="18"/>
                <w:szCs w:val="18"/>
                <w:color w:val="auto"/>
              </w:rPr>
              <w:t>contained in Exhibit 101).</w:t>
            </w:r>
          </w:p>
        </w:tc>
        <w:tc>
          <w:tcPr>
            <w:tcW w:w="24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20" w:type="dxa"/>
            <w:vAlign w:val="bottom"/>
            <w:tcBorders>
              <w:bottom w:val="single" w:sz="8" w:color="71BF43"/>
            </w:tcBorders>
          </w:tcPr>
          <w:p>
            <w:pPr>
              <w:spacing w:after="0"/>
              <w:rPr>
                <w:sz w:val="18"/>
                <w:szCs w:val="18"/>
                <w:color w:val="auto"/>
              </w:rPr>
            </w:pPr>
          </w:p>
        </w:tc>
        <w:tc>
          <w:tcPr>
            <w:tcW w:w="1080" w:type="dxa"/>
            <w:vAlign w:val="bottom"/>
            <w:tcBorders>
              <w:bottom w:val="single" w:sz="8" w:color="71BF43"/>
            </w:tcBorders>
          </w:tcPr>
          <w:p>
            <w:pPr>
              <w:spacing w:after="0"/>
              <w:rPr>
                <w:sz w:val="18"/>
                <w:szCs w:val="18"/>
                <w:color w:val="auto"/>
              </w:rPr>
            </w:pPr>
          </w:p>
        </w:tc>
        <w:tc>
          <w:tcPr>
            <w:tcW w:w="820" w:type="dxa"/>
            <w:vAlign w:val="bottom"/>
            <w:tcBorders>
              <w:bottom w:val="single" w:sz="8" w:color="71BF43"/>
            </w:tcBorders>
          </w:tcPr>
          <w:p>
            <w:pPr>
              <w:spacing w:after="0"/>
              <w:rPr>
                <w:sz w:val="18"/>
                <w:szCs w:val="18"/>
                <w:color w:val="auto"/>
              </w:rPr>
            </w:pPr>
          </w:p>
        </w:tc>
        <w:tc>
          <w:tcPr>
            <w:tcW w:w="1450" w:type="dxa"/>
            <w:vAlign w:val="bottom"/>
            <w:tcBorders>
              <w:bottom w:val="single" w:sz="8" w:color="71BF43"/>
            </w:tcBorders>
          </w:tcPr>
          <w:p>
            <w:pPr>
              <w:spacing w:after="0"/>
              <w:rPr>
                <w:sz w:val="18"/>
                <w:szCs w:val="18"/>
                <w:color w:val="auto"/>
              </w:rPr>
            </w:pPr>
          </w:p>
        </w:tc>
        <w:tc>
          <w:tcPr>
            <w:tcW w:w="1250" w:type="dxa"/>
            <w:vAlign w:val="bottom"/>
            <w:tcBorders>
              <w:bottom w:val="single" w:sz="8" w:color="71BF43"/>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0"/>
        </w:trPr>
        <w:tc>
          <w:tcPr>
            <w:tcW w:w="1220" w:type="dxa"/>
            <w:vAlign w:val="bottom"/>
          </w:tcPr>
          <w:p>
            <w:pPr>
              <w:jc w:val="right"/>
              <w:ind w:right="733"/>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24"/>
                <w:szCs w:val="24"/>
                <w:color w:val="auto"/>
              </w:rPr>
            </w:pPr>
          </w:p>
        </w:tc>
        <w:tc>
          <w:tcPr>
            <w:tcW w:w="4800" w:type="dxa"/>
            <w:vAlign w:val="bottom"/>
            <w:gridSpan w:val="6"/>
          </w:tcPr>
          <w:p>
            <w:pPr>
              <w:ind w:left="300"/>
              <w:spacing w:after="0"/>
              <w:rPr>
                <w:sz w:val="20"/>
                <w:szCs w:val="20"/>
                <w:color w:val="auto"/>
              </w:rPr>
            </w:pPr>
            <w:r>
              <w:rPr>
                <w:rFonts w:ascii="Arial" w:cs="Arial" w:eastAsia="Arial" w:hAnsi="Arial"/>
                <w:sz w:val="14"/>
                <w:szCs w:val="14"/>
                <w:color w:val="auto"/>
              </w:rPr>
              <w:t>Third Quarter 2020 Form 10-Q</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12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50" w:type="dxa"/>
            <w:vAlign w:val="bottom"/>
            <w:tcBorders>
              <w:bottom w:val="single" w:sz="8" w:color="9A9A9A"/>
            </w:tcBorders>
          </w:tcPr>
          <w:p>
            <w:pPr>
              <w:spacing w:after="0"/>
              <w:rPr>
                <w:sz w:val="9"/>
                <w:szCs w:val="9"/>
                <w:color w:val="auto"/>
              </w:rPr>
            </w:pPr>
          </w:p>
        </w:tc>
        <w:tc>
          <w:tcPr>
            <w:tcW w:w="125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-6120130</wp:posOffset>
            </wp:positionV>
            <wp:extent cx="29317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74549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549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sz w:val="1"/>
          <w:szCs w:val="1"/>
          <w:color w:val="auto"/>
        </w:rPr>
        <w:drawing>
          <wp:inline distT="0" distB="0" distL="0" distR="0">
            <wp:extent cx="180340" cy="22288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200" w:type="dxa"/>
            <w:vAlign w:val="bottom"/>
            <w:gridSpan w:val="2"/>
          </w:tcPr>
          <w:p>
            <w:pPr>
              <w:ind w:left="1860"/>
              <w:spacing w:after="0"/>
              <w:rPr>
                <w:sz w:val="20"/>
                <w:szCs w:val="20"/>
                <w:color w:val="auto"/>
              </w:rPr>
            </w:pPr>
            <w:r>
              <w:rPr>
                <w:rFonts w:ascii="Arial" w:cs="Arial" w:eastAsia="Arial" w:hAnsi="Arial"/>
                <w:sz w:val="18"/>
                <w:szCs w:val="18"/>
                <w:b w:val="1"/>
                <w:bCs w:val="1"/>
                <w:color w:val="auto"/>
              </w:rPr>
              <w:t>BLACKBAUD, INC.</w:t>
            </w:r>
          </w:p>
        </w:tc>
      </w:tr>
      <w:tr>
        <w:trPr>
          <w:trHeight w:val="50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00"/>
              <w:spacing w:after="0"/>
              <w:rPr>
                <w:sz w:val="20"/>
                <w:szCs w:val="20"/>
                <w:color w:val="auto"/>
              </w:rPr>
            </w:pPr>
            <w:r>
              <w:rPr>
                <w:rFonts w:ascii="Arial" w:cs="Arial" w:eastAsia="Arial" w:hAnsi="Arial"/>
                <w:sz w:val="18"/>
                <w:szCs w:val="18"/>
                <w:color w:val="auto"/>
              </w:rPr>
              <w:t>November 3, 2020</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Gianoni</w:t>
            </w:r>
          </w:p>
        </w:tc>
      </w:tr>
      <w:tr>
        <w:trPr>
          <w:trHeight w:val="223"/>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00"/>
              <w:spacing w:after="0"/>
              <w:rPr>
                <w:sz w:val="20"/>
                <w:szCs w:val="20"/>
                <w:color w:val="auto"/>
              </w:rPr>
            </w:pPr>
            <w:r>
              <w:rPr>
                <w:rFonts w:ascii="Arial" w:cs="Arial" w:eastAsia="Arial" w:hAnsi="Arial"/>
                <w:sz w:val="18"/>
                <w:szCs w:val="18"/>
                <w:color w:val="auto"/>
              </w:rPr>
              <w:t>November 3, 2020</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W. Boor</w:t>
            </w:r>
          </w:p>
        </w:tc>
      </w:tr>
      <w:tr>
        <w:trPr>
          <w:trHeight w:val="223"/>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 xml:space="preserve">Third Quarter 2020 Form 10-Q </w:t>
      </w:r>
      <w:r>
        <w:rPr>
          <w:sz w:val="1"/>
          <w:szCs w:val="1"/>
          <w:color w:val="auto"/>
        </w:rPr>
        <w:drawing>
          <wp:inline distT="0" distB="0" distL="0" distR="0">
            <wp:extent cx="745490" cy="18859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5490" cy="188595"/>
                    </a:xfrm>
                    <a:prstGeom prst="rect">
                      <a:avLst/>
                    </a:prstGeom>
                    <a:noFill/>
                    <a:ln>
                      <a:noFill/>
                    </a:ln>
                  </pic:spPr>
                </pic:pic>
              </a:graphicData>
            </a:graphic>
          </wp:inline>
        </w:drawing>
      </w:r>
      <w:r>
        <w:rPr>
          <w:rFonts w:ascii="Arial" w:cs="Arial" w:eastAsia="Arial" w:hAnsi="Arial"/>
          <w:sz w:val="14"/>
          <w:szCs w:val="14"/>
          <w:color w:val="auto"/>
        </w:rPr>
        <w:t xml:space="preserve"> 55</w:t>
      </w:r>
    </w:p>
    <w:p>
      <w:pPr>
        <w:sectPr>
          <w:pgSz w:w="11900" w:h="16838" w:orient="portrait"/>
          <w:cols w:equalWidth="0" w:num="1">
            <w:col w:w="11240"/>
          </w:cols>
          <w:pgMar w:left="320" w:top="126" w:right="339" w:bottom="1440" w:gutter="0" w:footer="0" w:header="0"/>
        </w:sectPr>
      </w:pPr>
    </w:p>
    <w:bookmarkStart w:id="57" w:name="page58"/>
    <w:bookmarkEnd w:id="57"/>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PURCHASE AND SALE AGREEMENT</w:t>
      </w:r>
    </w:p>
    <w:p>
      <w:pPr>
        <w:spacing w:after="0" w:line="24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THIS FIRST AMENDMENT TO PURCHASE AND SALE AGREEMENT (this “</w:t>
      </w:r>
      <w:r>
        <w:rPr>
          <w:rFonts w:ascii="Arial" w:cs="Arial" w:eastAsia="Arial" w:hAnsi="Arial"/>
          <w:sz w:val="22"/>
          <w:szCs w:val="22"/>
          <w:b w:val="1"/>
          <w:bCs w:val="1"/>
          <w:color w:val="auto"/>
        </w:rPr>
        <w:t>First Amendment</w:t>
      </w:r>
      <w:r>
        <w:rPr>
          <w:rFonts w:ascii="Arial" w:cs="Arial" w:eastAsia="Arial" w:hAnsi="Arial"/>
          <w:sz w:val="22"/>
          <w:szCs w:val="22"/>
          <w:color w:val="auto"/>
        </w:rPr>
        <w:t>”) is made and entered into as of the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July, 2020, by and between </w:t>
      </w:r>
      <w:r>
        <w:rPr>
          <w:rFonts w:ascii="Arial" w:cs="Arial" w:eastAsia="Arial" w:hAnsi="Arial"/>
          <w:sz w:val="22"/>
          <w:szCs w:val="22"/>
          <w:b w:val="1"/>
          <w:bCs w:val="1"/>
          <w:color w:val="auto"/>
        </w:rPr>
        <w:t>HPBB1, LLC</w:t>
      </w:r>
      <w:r>
        <w:rPr>
          <w:rFonts w:ascii="Arial" w:cs="Arial" w:eastAsia="Arial" w:hAnsi="Arial"/>
          <w:sz w:val="22"/>
          <w:szCs w:val="22"/>
          <w:color w:val="auto"/>
        </w:rPr>
        <w:t>, a Georgia limited liability company (“</w:t>
      </w:r>
      <w:r>
        <w:rPr>
          <w:rFonts w:ascii="Arial" w:cs="Arial" w:eastAsia="Arial" w:hAnsi="Arial"/>
          <w:sz w:val="22"/>
          <w:szCs w:val="22"/>
          <w:b w:val="1"/>
          <w:bCs w:val="1"/>
          <w:color w:val="auto"/>
        </w:rPr>
        <w:t>Seller</w:t>
      </w:r>
      <w:r>
        <w:rPr>
          <w:rFonts w:ascii="Arial" w:cs="Arial" w:eastAsia="Arial" w:hAnsi="Arial"/>
          <w:sz w:val="22"/>
          <w:szCs w:val="22"/>
          <w:color w:val="auto"/>
        </w:rPr>
        <w:t xml:space="preserve">”), and </w:t>
      </w:r>
      <w:r>
        <w:rPr>
          <w:rFonts w:ascii="Arial" w:cs="Arial" w:eastAsia="Arial" w:hAnsi="Arial"/>
          <w:sz w:val="22"/>
          <w:szCs w:val="22"/>
          <w:b w:val="1"/>
          <w:bCs w:val="1"/>
          <w:color w:val="auto"/>
        </w:rPr>
        <w:t>BBHQ1, LLC</w:t>
      </w:r>
      <w:r>
        <w:rPr>
          <w:rFonts w:ascii="Arial" w:cs="Arial" w:eastAsia="Arial" w:hAnsi="Arial"/>
          <w:sz w:val="22"/>
          <w:szCs w:val="22"/>
          <w:color w:val="auto"/>
        </w:rPr>
        <w:t>, a Delaware limited liability company, and its permitted assigns (“</w:t>
      </w:r>
      <w:r>
        <w:rPr>
          <w:rFonts w:ascii="Arial" w:cs="Arial" w:eastAsia="Arial" w:hAnsi="Arial"/>
          <w:sz w:val="22"/>
          <w:szCs w:val="22"/>
          <w:b w:val="1"/>
          <w:bCs w:val="1"/>
          <w:color w:val="auto"/>
        </w:rPr>
        <w:t>Purchaser</w:t>
      </w:r>
      <w:r>
        <w:rPr>
          <w:rFonts w:ascii="Arial" w:cs="Arial" w:eastAsia="Arial" w:hAnsi="Arial"/>
          <w:sz w:val="22"/>
          <w:szCs w:val="22"/>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Purchaser and Seller are parties to that certain Purchase and Sale Agreement dated June 17, 2020 (as hereby amended, the “</w:t>
      </w:r>
      <w:r>
        <w:rPr>
          <w:rFonts w:ascii="Arial" w:cs="Arial" w:eastAsia="Arial" w:hAnsi="Arial"/>
          <w:sz w:val="21"/>
          <w:szCs w:val="21"/>
          <w:b w:val="1"/>
          <w:bCs w:val="1"/>
          <w:color w:val="auto"/>
        </w:rPr>
        <w:t>Agreement</w:t>
      </w:r>
      <w:r>
        <w:rPr>
          <w:rFonts w:ascii="Arial" w:cs="Arial" w:eastAsia="Arial" w:hAnsi="Arial"/>
          <w:sz w:val="21"/>
          <w:szCs w:val="21"/>
          <w:color w:val="auto"/>
        </w:rPr>
        <w:t>”), with respect to that certain tract or parcel of land and the improvements thereon situated in Berkeley County, South Carolina, as more particularly described and depicted in the Agreement; and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Purchaser and Seller desire to modify the Agreement as described below.</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for and in consideration of the mutual agreements set forth herein and other good and valuable consideration, the receipt and sufficiency of which is hereby acknowledged, Purchaser and Seller hereby agree as follows:</w:t>
      </w:r>
    </w:p>
    <w:p>
      <w:pPr>
        <w:spacing w:after="0" w:line="104" w:lineRule="exact"/>
        <w:rPr>
          <w:sz w:val="20"/>
          <w:szCs w:val="20"/>
          <w:color w:val="auto"/>
        </w:rPr>
      </w:pPr>
    </w:p>
    <w:p>
      <w:pPr>
        <w:ind w:firstLine="656"/>
        <w:spacing w:after="0" w:line="343" w:lineRule="auto"/>
        <w:tabs>
          <w:tab w:leader="none" w:pos="105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Recital; Terms</w:t>
      </w:r>
      <w:r>
        <w:rPr>
          <w:rFonts w:ascii="Arial" w:cs="Arial" w:eastAsia="Arial" w:hAnsi="Arial"/>
          <w:sz w:val="19"/>
          <w:szCs w:val="19"/>
          <w:color w:val="auto"/>
        </w:rPr>
        <w:t>. The foregoing recitals are true and correct and are incorporated herein by reference. Capitalized and defined terms and phrases shall have the meanings as set forth in the Agreement unless otherwise provided herein.</w:t>
      </w:r>
    </w:p>
    <w:p>
      <w:pPr>
        <w:spacing w:after="0" w:line="131" w:lineRule="exact"/>
        <w:rPr>
          <w:rFonts w:ascii="Arial" w:cs="Arial" w:eastAsia="Arial" w:hAnsi="Arial"/>
          <w:sz w:val="19"/>
          <w:szCs w:val="19"/>
          <w:color w:val="auto"/>
        </w:rPr>
      </w:pPr>
    </w:p>
    <w:p>
      <w:pPr>
        <w:ind w:firstLine="656"/>
        <w:spacing w:after="0" w:line="343" w:lineRule="auto"/>
        <w:tabs>
          <w:tab w:leader="none" w:pos="105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Inspection Period</w:t>
      </w:r>
      <w:r>
        <w:rPr>
          <w:rFonts w:ascii="Arial" w:cs="Arial" w:eastAsia="Arial" w:hAnsi="Arial"/>
          <w:sz w:val="19"/>
          <w:szCs w:val="19"/>
          <w:color w:val="auto"/>
        </w:rPr>
        <w:t xml:space="preserve">. The “Inspection Period”, as defined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of the Agreement, is hereby amended to be the period commencing on the Effective Date and ending at 5:00 p.m. (Charleston, South Carolina local time) on July 21, 2020.</w:t>
      </w:r>
    </w:p>
    <w:p>
      <w:pPr>
        <w:spacing w:after="0" w:line="131" w:lineRule="exact"/>
        <w:rPr>
          <w:rFonts w:ascii="Arial" w:cs="Arial" w:eastAsia="Arial" w:hAnsi="Arial"/>
          <w:sz w:val="19"/>
          <w:szCs w:val="19"/>
          <w:color w:val="auto"/>
        </w:rPr>
      </w:pPr>
    </w:p>
    <w:p>
      <w:pPr>
        <w:jc w:val="both"/>
        <w:ind w:firstLine="656"/>
        <w:spacing w:after="0" w:line="257" w:lineRule="auto"/>
        <w:tabs>
          <w:tab w:leader="none" w:pos="102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The “Closing Date”, as defined in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the Agreement, is hereby amended to be the date that is the later of (i) the tenth (10</w:t>
      </w:r>
      <w:r>
        <w:rPr>
          <w:rFonts w:ascii="Arial" w:cs="Arial" w:eastAsia="Arial" w:hAnsi="Arial"/>
          <w:sz w:val="26"/>
          <w:szCs w:val="26"/>
          <w:color w:val="auto"/>
          <w:vertAlign w:val="superscript"/>
        </w:rPr>
        <w:t>th</w:t>
      </w:r>
      <w:r>
        <w:rPr>
          <w:rFonts w:ascii="Arial" w:cs="Arial" w:eastAsia="Arial" w:hAnsi="Arial"/>
          <w:sz w:val="20"/>
          <w:szCs w:val="20"/>
          <w:color w:val="auto"/>
        </w:rPr>
        <w:t>) Business Day after the date of the expiration of the Inspection Period, and (ii) the fifth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the date that Lender Consent is received. For the avoidance of doubt, the foregoing amendment shall not change the Outside Closing Date described in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the Agreement, which remains December 14, 2020.</w:t>
      </w:r>
    </w:p>
    <w:p>
      <w:pPr>
        <w:spacing w:after="0" w:line="210" w:lineRule="exact"/>
        <w:rPr>
          <w:rFonts w:ascii="Arial" w:cs="Arial" w:eastAsia="Arial" w:hAnsi="Arial"/>
          <w:sz w:val="20"/>
          <w:szCs w:val="20"/>
          <w:color w:val="auto"/>
        </w:rPr>
      </w:pPr>
    </w:p>
    <w:p>
      <w:pPr>
        <w:jc w:val="both"/>
        <w:ind w:firstLine="656"/>
        <w:spacing w:after="0" w:line="292" w:lineRule="auto"/>
        <w:tabs>
          <w:tab w:leader="none" w:pos="103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Conflicts; Ratification; Counterparts</w:t>
      </w:r>
      <w:r>
        <w:rPr>
          <w:rFonts w:ascii="Arial" w:cs="Arial" w:eastAsia="Arial" w:hAnsi="Arial"/>
          <w:sz w:val="19"/>
          <w:szCs w:val="19"/>
          <w:color w:val="auto"/>
        </w:rPr>
        <w:t>. In the event of any conflict between the terms of this First Amendment and the terms of the Agreement, the terms of this First Amendment shall control. Except as expressly modified hereby, the Agreement shall remain unamended and in full force and effect and is hereby ratified and confirmed by the parties hereto. Purchaser and Seller agree to accept this First Amendment as fully executed upon receipt of counterpart signatures via facsimile or email. Further, the parties agree that signatures by DocuSign, Sign-n-Send or other similar electronic signing software will be deemed to be originals. This First Amendment may be executed in any number of counterparts, each of which shall be deemed to be an original and all of which shall, together, constitute one and the same instrument.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FOLLOWING PAGE]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PPAB 5706792v4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First Amendment as of the date first above written.</w:t>
      </w: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22"/>
          <w:szCs w:val="22"/>
          <w:b w:val="1"/>
          <w:bCs w:val="1"/>
          <w:u w:val="single" w:color="auto"/>
          <w:color w:val="auto"/>
        </w:rPr>
        <w:t>Seller</w:t>
      </w:r>
      <w:r>
        <w:rPr>
          <w:rFonts w:ascii="Arial" w:cs="Arial" w:eastAsia="Arial" w:hAnsi="Arial"/>
          <w:sz w:val="22"/>
          <w:szCs w:val="22"/>
          <w:b w:val="1"/>
          <w:bCs w:val="1"/>
          <w:color w:val="auto"/>
        </w:rPr>
        <w:t>:</w:t>
      </w:r>
    </w:p>
    <w:p>
      <w:pPr>
        <w:spacing w:after="0" w:line="31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HPBB1, LLC,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Georgia limited liability company</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John R. Holder</w:t>
            </w:r>
          </w:p>
        </w:tc>
      </w:tr>
      <w:tr>
        <w:trPr>
          <w:trHeight w:val="23"/>
        </w:trPr>
        <w:tc>
          <w:tcPr>
            <w:tcW w:w="8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John R. Holder,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20"/>
          <w:szCs w:val="20"/>
          <w:b w:val="1"/>
          <w:bCs w:val="1"/>
          <w:u w:val="single" w:color="auto"/>
          <w:color w:val="auto"/>
        </w:rPr>
        <w:t>Purchaser</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BBHQ1, LLC,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Delaware limited liability company</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r>
      <w:tr>
        <w:trPr>
          <w:trHeight w:val="23"/>
        </w:trPr>
        <w:tc>
          <w:tcPr>
            <w:tcW w:w="8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Consented to by:</w:t>
      </w:r>
    </w:p>
    <w:p>
      <w:pPr>
        <w:spacing w:after="0" w:line="318"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 xml:space="preserve">BLACKBAUD, INC., </w:t>
      </w: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400"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20"/>
              <w:spacing w:after="0"/>
              <w:rPr>
                <w:sz w:val="20"/>
                <w:szCs w:val="20"/>
                <w:color w:val="auto"/>
              </w:rPr>
            </w:pPr>
            <w:r>
              <w:rPr>
                <w:rFonts w:ascii="Arial" w:cs="Arial" w:eastAsia="Arial" w:hAnsi="Arial"/>
                <w:sz w:val="20"/>
                <w:szCs w:val="20"/>
                <w:color w:val="auto"/>
              </w:rPr>
              <w:t>Sr. Vice President &amp;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PPAB 5706792v4</w:t>
      </w:r>
    </w:p>
    <w:p>
      <w:pPr>
        <w:sectPr>
          <w:pgSz w:w="11900" w:h="16838" w:orient="portrait"/>
          <w:cols w:equalWidth="0" w:num="1">
            <w:col w:w="10760"/>
          </w:cols>
          <w:pgMar w:left="320" w:top="1440" w:right="819" w:bottom="1440" w:gutter="0" w:footer="0" w:header="0"/>
        </w:sectPr>
      </w:pPr>
    </w:p>
    <w:bookmarkStart w:id="59" w:name="page60"/>
    <w:bookmarkEnd w:id="59"/>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PURCHASE AND SALE AGREEMENT</w:t>
      </w:r>
    </w:p>
    <w:p>
      <w:pPr>
        <w:spacing w:after="0" w:line="24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THIS SECOND AMENDMENT TO PURCHASE AND SALE AGREEMENT (this “</w:t>
      </w:r>
      <w:r>
        <w:rPr>
          <w:rFonts w:ascii="Arial" w:cs="Arial" w:eastAsia="Arial" w:hAnsi="Arial"/>
          <w:sz w:val="21"/>
          <w:szCs w:val="21"/>
          <w:b w:val="1"/>
          <w:bCs w:val="1"/>
          <w:color w:val="auto"/>
        </w:rPr>
        <w:t>Second Amendment</w:t>
      </w:r>
      <w:r>
        <w:rPr>
          <w:rFonts w:ascii="Arial" w:cs="Arial" w:eastAsia="Arial" w:hAnsi="Arial"/>
          <w:sz w:val="21"/>
          <w:szCs w:val="21"/>
          <w:color w:val="auto"/>
        </w:rPr>
        <w:t xml:space="preserve">”) is made and entered into as of the ___ day of July, 2020, by and between </w:t>
      </w:r>
      <w:r>
        <w:rPr>
          <w:rFonts w:ascii="Arial" w:cs="Arial" w:eastAsia="Arial" w:hAnsi="Arial"/>
          <w:sz w:val="21"/>
          <w:szCs w:val="21"/>
          <w:b w:val="1"/>
          <w:bCs w:val="1"/>
          <w:color w:val="auto"/>
        </w:rPr>
        <w:t>HPBB1, LLC</w:t>
      </w:r>
      <w:r>
        <w:rPr>
          <w:rFonts w:ascii="Arial" w:cs="Arial" w:eastAsia="Arial" w:hAnsi="Arial"/>
          <w:sz w:val="21"/>
          <w:szCs w:val="21"/>
          <w:color w:val="auto"/>
        </w:rPr>
        <w:t>, a Georgia limited liability company (“</w:t>
      </w:r>
      <w:r>
        <w:rPr>
          <w:rFonts w:ascii="Arial" w:cs="Arial" w:eastAsia="Arial" w:hAnsi="Arial"/>
          <w:sz w:val="21"/>
          <w:szCs w:val="21"/>
          <w:b w:val="1"/>
          <w:bCs w:val="1"/>
          <w:color w:val="auto"/>
        </w:rPr>
        <w:t>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BBHQ1, LLC</w:t>
      </w:r>
      <w:r>
        <w:rPr>
          <w:rFonts w:ascii="Arial" w:cs="Arial" w:eastAsia="Arial" w:hAnsi="Arial"/>
          <w:sz w:val="21"/>
          <w:szCs w:val="21"/>
          <w:color w:val="auto"/>
        </w:rPr>
        <w:t>, a Delaware limited liability company, and its permitted assigns (“</w:t>
      </w: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Purchaser and Seller are parties to that certain Purchase and Sale Agreement dated June 17, 2020, as amended by the First Amendment to Purchase and Sale Agreement dated July 8, 2020 (as amended, the “</w:t>
      </w:r>
      <w:r>
        <w:rPr>
          <w:rFonts w:ascii="Arial" w:cs="Arial" w:eastAsia="Arial" w:hAnsi="Arial"/>
          <w:sz w:val="22"/>
          <w:szCs w:val="22"/>
          <w:b w:val="1"/>
          <w:bCs w:val="1"/>
          <w:color w:val="auto"/>
        </w:rPr>
        <w:t>Agreement</w:t>
      </w:r>
      <w:r>
        <w:rPr>
          <w:rFonts w:ascii="Arial" w:cs="Arial" w:eastAsia="Arial" w:hAnsi="Arial"/>
          <w:sz w:val="22"/>
          <w:szCs w:val="22"/>
          <w:color w:val="auto"/>
        </w:rPr>
        <w:t>”), with respect to that certain tract or parcel of land and the improvements thereon situated in Berkeley County, South Carolina, as more particularly described and depicted in the Agreement; and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Purchaser and Seller desire to modify the Agreement as described below.</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for and in consideration of the mutual agreements set forth herein and other good and valuable consideration, the receipt and sufficiency of which is hereby acknowledged, Purchaser and Seller hereby agree as follows:</w:t>
      </w:r>
    </w:p>
    <w:p>
      <w:pPr>
        <w:spacing w:after="0" w:line="104" w:lineRule="exact"/>
        <w:rPr>
          <w:sz w:val="20"/>
          <w:szCs w:val="20"/>
          <w:color w:val="auto"/>
        </w:rPr>
      </w:pPr>
    </w:p>
    <w:p>
      <w:pPr>
        <w:ind w:firstLine="656"/>
        <w:spacing w:after="0" w:line="343" w:lineRule="auto"/>
        <w:tabs>
          <w:tab w:leader="none" w:pos="105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Recital; Terms</w:t>
      </w:r>
      <w:r>
        <w:rPr>
          <w:rFonts w:ascii="Arial" w:cs="Arial" w:eastAsia="Arial" w:hAnsi="Arial"/>
          <w:sz w:val="19"/>
          <w:szCs w:val="19"/>
          <w:color w:val="auto"/>
        </w:rPr>
        <w:t>. The foregoing recitals are true and correct and are incorporated herein by reference. Capitalized and defined terms and phrases shall have the meanings as set forth in the Agreement unless otherwise provided herein.</w:t>
      </w:r>
    </w:p>
    <w:p>
      <w:pPr>
        <w:spacing w:after="0" w:line="131" w:lineRule="exact"/>
        <w:rPr>
          <w:rFonts w:ascii="Arial" w:cs="Arial" w:eastAsia="Arial" w:hAnsi="Arial"/>
          <w:sz w:val="19"/>
          <w:szCs w:val="19"/>
          <w:color w:val="auto"/>
        </w:rPr>
      </w:pPr>
    </w:p>
    <w:p>
      <w:pPr>
        <w:jc w:val="both"/>
        <w:ind w:firstLine="656"/>
        <w:spacing w:after="0" w:line="297" w:lineRule="auto"/>
        <w:tabs>
          <w:tab w:leader="none" w:pos="121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Inspection Results</w:t>
      </w:r>
      <w:r>
        <w:rPr>
          <w:rFonts w:ascii="Arial" w:cs="Arial" w:eastAsia="Arial" w:hAnsi="Arial"/>
          <w:sz w:val="19"/>
          <w:szCs w:val="19"/>
          <w:color w:val="auto"/>
        </w:rPr>
        <w:t>. The Agreement is amended to provide that the Purchase Price is reduced by the sum of $49,435.72 to $76,272,484.66 to address the agreed upon cost to address and resolve issues raised by Purchaser arising from Purchaser’s inspection activities pursuant to Section 4.3 of the Agreement. Purchaser acknowledges and agrees that it has finally approved the results of such inspections, taking into account such agreed upon Purchase Price reduction. Purchaser hereby unconditionally waives its right to terminate the Agreement pursuant to Section 4.5 of the Agreement.</w:t>
      </w:r>
    </w:p>
    <w:p>
      <w:pPr>
        <w:spacing w:after="0" w:line="173" w:lineRule="exact"/>
        <w:rPr>
          <w:rFonts w:ascii="Arial" w:cs="Arial" w:eastAsia="Arial" w:hAnsi="Arial"/>
          <w:sz w:val="19"/>
          <w:szCs w:val="19"/>
          <w:color w:val="auto"/>
        </w:rPr>
      </w:pPr>
    </w:p>
    <w:p>
      <w:pPr>
        <w:jc w:val="both"/>
        <w:ind w:firstLine="656"/>
        <w:spacing w:after="0" w:line="250" w:lineRule="auto"/>
        <w:tabs>
          <w:tab w:leader="none" w:pos="105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Lender Consent</w:t>
      </w:r>
      <w:r>
        <w:rPr>
          <w:rFonts w:ascii="Arial" w:cs="Arial" w:eastAsia="Arial" w:hAnsi="Arial"/>
          <w:sz w:val="22"/>
          <w:szCs w:val="22"/>
          <w:color w:val="auto"/>
        </w:rPr>
        <w:t>. Seller acknowledges and agrees that (i) Lender Consent has not yet been obtained as of the date of this Second Amendment, and (ii) Lender has imposed substantive requirements for the Lender Consent in addition to those specifically provided in Article 8 of the Agreement, which must be approved by Purchaser, Blackbaud Guarantor, and Blackbaud, Inc. in accordance with Section 8.5 of the Agreement.</w:t>
      </w:r>
    </w:p>
    <w:p>
      <w:pPr>
        <w:spacing w:after="0" w:line="214" w:lineRule="exact"/>
        <w:rPr>
          <w:rFonts w:ascii="Arial" w:cs="Arial" w:eastAsia="Arial" w:hAnsi="Arial"/>
          <w:sz w:val="22"/>
          <w:szCs w:val="22"/>
          <w:color w:val="auto"/>
        </w:rPr>
      </w:pPr>
    </w:p>
    <w:p>
      <w:pPr>
        <w:ind w:left="1040" w:hanging="384"/>
        <w:spacing w:after="0"/>
        <w:tabs>
          <w:tab w:leader="none" w:pos="10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Seller Representation. The following is hereby added to the end of Section 5.4 of the Agreement:</w:t>
      </w:r>
    </w:p>
    <w:p>
      <w:pPr>
        <w:spacing w:after="0" w:line="247" w:lineRule="exact"/>
        <w:rPr>
          <w:sz w:val="20"/>
          <w:szCs w:val="20"/>
          <w:color w:val="auto"/>
        </w:rPr>
      </w:pPr>
    </w:p>
    <w:p>
      <w:pPr>
        <w:ind w:left="660" w:right="640"/>
        <w:spacing w:after="0" w:line="263" w:lineRule="auto"/>
        <w:rPr>
          <w:sz w:val="20"/>
          <w:szCs w:val="20"/>
          <w:color w:val="auto"/>
        </w:rPr>
      </w:pPr>
      <w:r>
        <w:rPr>
          <w:rFonts w:ascii="Arial" w:cs="Arial" w:eastAsia="Arial" w:hAnsi="Arial"/>
          <w:sz w:val="22"/>
          <w:szCs w:val="22"/>
          <w:color w:val="auto"/>
        </w:rPr>
        <w:t>Seller represents that to Seller’s knowledge, there exist no uncured Event of Default (as defined in the Mortgage) of Seller or John R. Holder under the Existing Loan Documents.</w:t>
      </w:r>
    </w:p>
    <w:p>
      <w:pPr>
        <w:spacing w:after="0" w:line="20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Conflicts; Ratification; Counterparts</w:t>
      </w:r>
      <w:r>
        <w:rPr>
          <w:rFonts w:ascii="Arial" w:cs="Arial" w:eastAsia="Arial" w:hAnsi="Arial"/>
          <w:sz w:val="19"/>
          <w:szCs w:val="19"/>
          <w:color w:val="auto"/>
        </w:rPr>
        <w:t>. In the event of any conflict between the terms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4843-2511-3539, v. 2</w:t>
      </w:r>
    </w:p>
    <w:p>
      <w:pPr>
        <w:spacing w:after="0"/>
        <w:rPr>
          <w:sz w:val="20"/>
          <w:szCs w:val="20"/>
          <w:color w:val="auto"/>
        </w:rPr>
      </w:pPr>
      <w:r>
        <w:rPr>
          <w:rFonts w:ascii="Arial" w:cs="Arial" w:eastAsia="Arial" w:hAnsi="Arial"/>
          <w:sz w:val="14"/>
          <w:szCs w:val="14"/>
          <w:color w:val="auto"/>
        </w:rPr>
        <w:t>45046926.4</w:t>
      </w:r>
    </w:p>
    <w:p>
      <w:pPr>
        <w:sectPr>
          <w:pgSz w:w="11900" w:h="16838" w:orient="portrait"/>
          <w:cols w:equalWidth="0" w:num="1">
            <w:col w:w="11240"/>
          </w:cols>
          <w:pgMar w:left="320" w:top="1440" w:right="3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22"/>
          <w:szCs w:val="22"/>
          <w:color w:val="auto"/>
        </w:rPr>
        <w:t>of this Second Amendment and the terms of the Agreement, the terms of this Second Amendment shall control. Except as expressly modified hereby, the Agreement shall remain unamended and in full force and effect and is hereby ratified and confirmed by the parties hereto. Purchaser and Seller agree to accept this Second Amendment as fully executed upon receipt of counterpart signatures via facsimile or email. Further, the parties agree that signatures by DocuSign, Sign-n-Send or other similar electronic signing software will be deemed to be originals. This Second Amendment may be executed in any number of counterparts, each of which shall be deemed to be an original and all of which shall, together, constitute one and the same instrument.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4843-2511-3539, v. 2</w:t>
      </w:r>
    </w:p>
    <w:p>
      <w:pPr>
        <w:spacing w:after="0"/>
        <w:rPr>
          <w:sz w:val="20"/>
          <w:szCs w:val="20"/>
          <w:color w:val="auto"/>
        </w:rPr>
      </w:pPr>
      <w:r>
        <w:rPr>
          <w:rFonts w:ascii="Arial" w:cs="Arial" w:eastAsia="Arial" w:hAnsi="Arial"/>
          <w:sz w:val="14"/>
          <w:szCs w:val="14"/>
          <w:color w:val="auto"/>
        </w:rPr>
        <w:t>45046926.4</w:t>
      </w:r>
    </w:p>
    <w:p>
      <w:pPr>
        <w:sectPr>
          <w:pgSz w:w="11900" w:h="16838" w:orient="portrait"/>
          <w:cols w:equalWidth="0" w:num="1">
            <w:col w:w="11240"/>
          </w:cols>
          <w:pgMar w:left="320" w:top="1428" w:right="339" w:bottom="1440" w:gutter="0" w:footer="0" w:header="0"/>
        </w:sectPr>
      </w:pPr>
    </w:p>
    <w:bookmarkStart w:id="61" w:name="page62"/>
    <w:bookmarkEnd w:id="61"/>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Second Amendment as of the date first above written.</w:t>
      </w:r>
    </w:p>
    <w:p>
      <w:pPr>
        <w:spacing w:after="0" w:line="86" w:lineRule="exact"/>
        <w:rPr>
          <w:sz w:val="20"/>
          <w:szCs w:val="20"/>
          <w:color w:val="auto"/>
        </w:rPr>
      </w:pPr>
    </w:p>
    <w:p>
      <w:pPr>
        <w:ind w:left="5620"/>
        <w:spacing w:after="0"/>
        <w:rPr>
          <w:sz w:val="20"/>
          <w:szCs w:val="20"/>
          <w:color w:val="auto"/>
        </w:rPr>
      </w:pPr>
      <w:r>
        <w:rPr>
          <w:rFonts w:ascii="Arial" w:cs="Arial" w:eastAsia="Arial" w:hAnsi="Arial"/>
          <w:sz w:val="22"/>
          <w:szCs w:val="22"/>
          <w:b w:val="1"/>
          <w:bCs w:val="1"/>
          <w:u w:val="single" w:color="auto"/>
          <w:color w:val="auto"/>
        </w:rPr>
        <w:t>Seller</w:t>
      </w:r>
      <w:r>
        <w:rPr>
          <w:rFonts w:ascii="Arial" w:cs="Arial" w:eastAsia="Arial" w:hAnsi="Arial"/>
          <w:sz w:val="22"/>
          <w:szCs w:val="22"/>
          <w:b w:val="1"/>
          <w:bCs w:val="1"/>
          <w:color w:val="auto"/>
        </w:rPr>
        <w:t>:</w:t>
      </w:r>
    </w:p>
    <w:p>
      <w:pPr>
        <w:spacing w:after="0" w:line="31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HPBB1, LLC,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Georgia limited liability company</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John R. Holder</w:t>
            </w:r>
          </w:p>
        </w:tc>
      </w:tr>
      <w:tr>
        <w:trPr>
          <w:trHeight w:val="23"/>
        </w:trPr>
        <w:tc>
          <w:tcPr>
            <w:tcW w:w="8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John R. Holder,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20"/>
          <w:szCs w:val="20"/>
          <w:b w:val="1"/>
          <w:bCs w:val="1"/>
          <w:u w:val="single" w:color="auto"/>
          <w:color w:val="auto"/>
        </w:rPr>
        <w:t>Purchaser</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BBHQ1, LLC,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Delaware limited liability company</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r>
      <w:tr>
        <w:trPr>
          <w:trHeight w:val="23"/>
        </w:trPr>
        <w:tc>
          <w:tcPr>
            <w:tcW w:w="8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Consented to by:</w:t>
      </w:r>
    </w:p>
    <w:p>
      <w:pPr>
        <w:spacing w:after="0" w:line="318"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 xml:space="preserve">BLACKBAUD, INC., </w:t>
      </w: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400"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w:t>
            </w: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20"/>
              <w:spacing w:after="0"/>
              <w:rPr>
                <w:sz w:val="20"/>
                <w:szCs w:val="20"/>
                <w:color w:val="auto"/>
              </w:rPr>
            </w:pPr>
            <w:r>
              <w:rPr>
                <w:rFonts w:ascii="Arial" w:cs="Arial" w:eastAsia="Arial" w:hAnsi="Arial"/>
                <w:sz w:val="20"/>
                <w:szCs w:val="20"/>
                <w:color w:val="auto"/>
              </w:rPr>
              <w:t>Sr. Vice President &amp;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4843-2511-3539, v. 2</w:t>
      </w:r>
    </w:p>
    <w:p>
      <w:pPr>
        <w:spacing w:after="0"/>
        <w:rPr>
          <w:sz w:val="20"/>
          <w:szCs w:val="20"/>
          <w:color w:val="auto"/>
        </w:rPr>
      </w:pPr>
      <w:r>
        <w:rPr>
          <w:rFonts w:ascii="Arial" w:cs="Arial" w:eastAsia="Arial" w:hAnsi="Arial"/>
          <w:sz w:val="14"/>
          <w:szCs w:val="14"/>
          <w:color w:val="auto"/>
        </w:rPr>
        <w:t>45046926.4</w:t>
      </w:r>
    </w:p>
    <w:p>
      <w:pPr>
        <w:sectPr>
          <w:pgSz w:w="11900" w:h="16838" w:orient="portrait"/>
          <w:cols w:equalWidth="0" w:num="1">
            <w:col w:w="10760"/>
          </w:cols>
          <w:pgMar w:left="320" w:top="1440" w:right="81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u w:val="single" w:color="auto"/>
          <w:color w:val="auto"/>
        </w:rPr>
        <w:t>ELEVENTH AMENDMENT TO LEASE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THIS ELEVENTH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is entered into as of </w:t>
      </w:r>
      <w:r>
        <w:rPr>
          <w:rFonts w:ascii="Arial" w:cs="Arial" w:eastAsia="Arial" w:hAnsi="Arial"/>
          <w:sz w:val="22"/>
          <w:szCs w:val="22"/>
          <w:u w:val="single" w:color="auto"/>
          <w:color w:val="auto"/>
        </w:rPr>
        <w:t>August 13</w:t>
      </w:r>
      <w:r>
        <w:rPr>
          <w:rFonts w:ascii="Arial" w:cs="Arial" w:eastAsia="Arial" w:hAnsi="Arial"/>
          <w:sz w:val="22"/>
          <w:szCs w:val="22"/>
          <w:color w:val="auto"/>
        </w:rPr>
        <w:t xml:space="preserve"> ,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BBHQ1,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 and BLACKBAUD,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58" w:lineRule="auto"/>
        <w:tabs>
          <w:tab w:leader="none" w:pos="1148" w:val="left"/>
        </w:tabs>
        <w:numPr>
          <w:ilvl w:val="0"/>
          <w:numId w:val="49"/>
        </w:numPr>
        <w:rPr>
          <w:rFonts w:ascii="Arial" w:cs="Arial" w:eastAsia="Arial" w:hAnsi="Arial"/>
          <w:sz w:val="21"/>
          <w:szCs w:val="21"/>
          <w:color w:val="auto"/>
        </w:rPr>
      </w:pPr>
      <w:r>
        <w:rPr>
          <w:rFonts w:ascii="Arial" w:cs="Arial" w:eastAsia="Arial" w:hAnsi="Arial"/>
          <w:sz w:val="21"/>
          <w:szCs w:val="21"/>
          <w:color w:val="auto"/>
        </w:rPr>
        <w:t>Landlord and Tenant are parties to that certain Lease Agreement dated May 16, 2016, as amended by that certain First Amendment to Lease Agreement dated August 22, 2016, that certain Second Amendment to Lease Agreement dated May 18, 2017, that certain Third Amendment to Lease Agreement dated December 11, 2017, that certain Fourth Amendment to Lease Agreement dated February 28, 2018, that certain Fifth Amendment to Lease Agreement dated February 18, 2020, that certain Sixth Amendment to Lease Agreement dated March 17, 2020, and that certain Seventh Amendment to Lease Agreement dated April 14, 2020, that certain Eighth Amendment to Lease Agreement dated May 26, 2020, that certain Ninth Amendment to Lease Agreement dated June 8, 2020, and that certain Tenth Amendment to Lease Agreement dated June 26, 2020 and as supplemented by that certain Letter Agreement dated September 6, 2016 (collectively, the “</w:t>
      </w:r>
      <w:r>
        <w:rPr>
          <w:rFonts w:ascii="Arial" w:cs="Arial" w:eastAsia="Arial" w:hAnsi="Arial"/>
          <w:sz w:val="21"/>
          <w:szCs w:val="21"/>
          <w:b w:val="1"/>
          <w:bCs w:val="1"/>
          <w:color w:val="auto"/>
        </w:rPr>
        <w:t>Lease</w:t>
      </w:r>
      <w:r>
        <w:rPr>
          <w:rFonts w:ascii="Arial" w:cs="Arial" w:eastAsia="Arial" w:hAnsi="Arial"/>
          <w:sz w:val="21"/>
          <w:szCs w:val="21"/>
          <w:color w:val="auto"/>
        </w:rPr>
        <w:t>”), pursuant to which Landlord leased to Tenant approximately 12.98 acres of real property located in Berkeley County, South Carolina, and more particularly described in the Lease.</w:t>
      </w:r>
    </w:p>
    <w:p>
      <w:pPr>
        <w:spacing w:after="0" w:line="185" w:lineRule="exact"/>
        <w:rPr>
          <w:rFonts w:ascii="Arial" w:cs="Arial" w:eastAsia="Arial" w:hAnsi="Arial"/>
          <w:sz w:val="21"/>
          <w:szCs w:val="21"/>
          <w:color w:val="auto"/>
        </w:rPr>
      </w:pPr>
    </w:p>
    <w:p>
      <w:pPr>
        <w:ind w:firstLine="656"/>
        <w:spacing w:after="0" w:line="343" w:lineRule="auto"/>
        <w:tabs>
          <w:tab w:leader="none" w:pos="112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Tenant delivered the Phase 2 Notice in accordance with Section 13.1 of the Lease and Landlord has elected not to develop the Phase 2 Propery and has sold the Phase 2 Property to Tenant in accordance with Section 13.4 of the Lease.</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Landlord and Tenant desire to amend and modify the Lease as set forth in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For and in consideration of the mutual covenants and agreements contained herein and other good and valuable consideration, the receipt and sufficiency of which are hereby acknowledged, Landlord and Tenant hereby agree as follows:</w:t>
      </w:r>
    </w:p>
    <w:p>
      <w:pPr>
        <w:spacing w:after="0" w:line="98" w:lineRule="exact"/>
        <w:rPr>
          <w:sz w:val="20"/>
          <w:szCs w:val="20"/>
          <w:color w:val="auto"/>
        </w:rPr>
      </w:pPr>
    </w:p>
    <w:p>
      <w:pPr>
        <w:jc w:val="both"/>
        <w:ind w:firstLine="656"/>
        <w:spacing w:after="0" w:line="256" w:lineRule="auto"/>
        <w:tabs>
          <w:tab w:leader="none" w:pos="120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Recitals; Capitalized Terms</w:t>
      </w:r>
      <w:r>
        <w:rPr>
          <w:rFonts w:ascii="Arial" w:cs="Arial" w:eastAsia="Arial" w:hAnsi="Arial"/>
          <w:sz w:val="22"/>
          <w:szCs w:val="22"/>
          <w:color w:val="auto"/>
        </w:rPr>
        <w:t>. The foregoing recitals are true and correct and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Unless otherwise indicated, all capitalized terms used herein shall have the same meaning ascribed to such terms in the Lease.</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13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 of Premises; 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The Phase 2 Property is hereby deleted and removed from the definition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Premises and from the description of the real property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Lease.</w:t>
      </w:r>
    </w:p>
    <w:p>
      <w:pPr>
        <w:spacing w:after="0" w:line="161" w:lineRule="exact"/>
        <w:rPr>
          <w:rFonts w:ascii="Arial" w:cs="Arial" w:eastAsia="Arial" w:hAnsi="Arial"/>
          <w:sz w:val="22"/>
          <w:szCs w:val="22"/>
          <w:b w:val="1"/>
          <w:bCs w:val="1"/>
          <w:color w:val="auto"/>
        </w:rPr>
      </w:pPr>
    </w:p>
    <w:p>
      <w:pPr>
        <w:jc w:val="both"/>
        <w:ind w:firstLine="656"/>
        <w:spacing w:after="0" w:line="249" w:lineRule="auto"/>
        <w:tabs>
          <w:tab w:leader="none" w:pos="10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 PDF Signatures</w:t>
      </w:r>
      <w:r>
        <w:rPr>
          <w:rFonts w:ascii="Arial" w:cs="Arial" w:eastAsia="Arial" w:hAnsi="Arial"/>
          <w:sz w:val="22"/>
          <w:szCs w:val="22"/>
          <w:color w:val="auto"/>
        </w:rPr>
        <w:t>. This Amendment may be executed in any number of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to be an original instrument, but all such counterparts together shall constitute one and the same instrument. Signature and acknowledgment pages, if any, may be detached from the counterparts and attached to a single copy of this document to physically form one document. Signatures given by portable document format shall be binding and effective to the same extent as original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4827-2791-7253, v. 2</w:t>
      </w:r>
    </w:p>
    <w:p>
      <w:pPr>
        <w:sectPr>
          <w:pgSz w:w="11900" w:h="16838" w:orient="portrait"/>
          <w:cols w:equalWidth="0" w:num="1">
            <w:col w:w="11240"/>
          </w:cols>
          <w:pgMar w:left="320" w:top="1165"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9"/>
          <w:szCs w:val="19"/>
          <w:color w:val="auto"/>
        </w:rPr>
        <w:t>IN WITNESS WHEREOF, the parties hereto have executed this Amendment under seal as of the Effective Date.</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LANDLORD: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BBHQ1, LLC,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Delaware limited liability company</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w:t>
            </w: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r>
        <w:trPr>
          <w:trHeight w:val="554"/>
        </w:trPr>
        <w:tc>
          <w:tcPr>
            <w:tcW w:w="840" w:type="dxa"/>
            <w:vAlign w:val="bottom"/>
          </w:tcPr>
          <w:p>
            <w:pPr>
              <w:spacing w:after="0"/>
              <w:rPr>
                <w:sz w:val="20"/>
                <w:szCs w:val="20"/>
                <w:color w:val="auto"/>
              </w:rPr>
            </w:pPr>
            <w:r>
              <w:rPr>
                <w:rFonts w:ascii="Arial" w:cs="Arial" w:eastAsia="Arial" w:hAnsi="Arial"/>
                <w:sz w:val="20"/>
                <w:szCs w:val="20"/>
                <w:color w:val="auto"/>
              </w:rPr>
              <w:t>[Seal]</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TENANT:</w:t>
      </w:r>
    </w:p>
    <w:p>
      <w:pPr>
        <w:spacing w:after="0" w:line="31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BLACKBAUD, INC.,</w:t>
      </w:r>
    </w:p>
    <w:p>
      <w:pPr>
        <w:spacing w:after="0" w:line="60"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 Delaware corporation</w:t>
      </w:r>
    </w:p>
    <w:p>
      <w:pPr>
        <w:spacing w:after="0" w:line="32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Jon W. Olson</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Jon W. Olson</w:t>
            </w: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20"/>
              <w:spacing w:after="0"/>
              <w:rPr>
                <w:sz w:val="20"/>
                <w:szCs w:val="20"/>
                <w:color w:val="auto"/>
              </w:rPr>
            </w:pPr>
            <w:r>
              <w:rPr>
                <w:rFonts w:ascii="Arial" w:cs="Arial" w:eastAsia="Arial" w:hAnsi="Arial"/>
                <w:sz w:val="20"/>
                <w:szCs w:val="20"/>
                <w:color w:val="auto"/>
              </w:rPr>
              <w:t>Senior Vice President and Secretary</w:t>
            </w:r>
          </w:p>
        </w:tc>
        <w:tc>
          <w:tcPr>
            <w:tcW w:w="0" w:type="dxa"/>
            <w:vAlign w:val="bottom"/>
          </w:tcPr>
          <w:p>
            <w:pPr>
              <w:spacing w:after="0"/>
              <w:rPr>
                <w:sz w:val="1"/>
                <w:szCs w:val="1"/>
                <w:color w:val="auto"/>
              </w:rPr>
            </w:pPr>
          </w:p>
        </w:tc>
      </w:tr>
      <w:tr>
        <w:trPr>
          <w:trHeight w:val="553"/>
        </w:trPr>
        <w:tc>
          <w:tcPr>
            <w:tcW w:w="840" w:type="dxa"/>
            <w:vAlign w:val="bottom"/>
          </w:tcPr>
          <w:p>
            <w:pPr>
              <w:spacing w:after="0"/>
              <w:rPr>
                <w:sz w:val="20"/>
                <w:szCs w:val="20"/>
                <w:color w:val="auto"/>
              </w:rPr>
            </w:pPr>
            <w:r>
              <w:rPr>
                <w:rFonts w:ascii="Arial" w:cs="Arial" w:eastAsia="Arial" w:hAnsi="Arial"/>
                <w:sz w:val="20"/>
                <w:szCs w:val="20"/>
                <w:color w:val="auto"/>
              </w:rPr>
              <w:t>[Seal]</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4827-2791-7253, v. 2</w:t>
      </w:r>
    </w:p>
    <w:p>
      <w:pPr>
        <w:sectPr>
          <w:pgSz w:w="11900" w:h="16838" w:orient="portrait"/>
          <w:cols w:equalWidth="0" w:num="1">
            <w:col w:w="10760"/>
          </w:cols>
          <w:pgMar w:left="320" w:top="1171" w:right="81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09227UAS0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Dollar Tranche CUSIP: 09227UAT8</w:t>
      </w:r>
    </w:p>
    <w:p>
      <w:pPr>
        <w:jc w:val="right"/>
        <w:spacing w:after="0"/>
        <w:rPr>
          <w:sz w:val="20"/>
          <w:szCs w:val="20"/>
          <w:color w:val="auto"/>
        </w:rPr>
      </w:pPr>
      <w:r>
        <w:rPr>
          <w:rFonts w:ascii="Arial" w:cs="Arial" w:eastAsia="Arial" w:hAnsi="Arial"/>
          <w:sz w:val="20"/>
          <w:szCs w:val="20"/>
          <w:color w:val="auto"/>
        </w:rPr>
        <w:t>Designated Currency Tranche CUSIP: 09227UAU5</w:t>
      </w:r>
    </w:p>
    <w:p>
      <w:pPr>
        <w:jc w:val="right"/>
        <w:spacing w:after="0"/>
        <w:rPr>
          <w:sz w:val="20"/>
          <w:szCs w:val="20"/>
          <w:color w:val="auto"/>
        </w:rPr>
      </w:pPr>
      <w:r>
        <w:rPr>
          <w:rFonts w:ascii="Arial" w:cs="Arial" w:eastAsia="Arial" w:hAnsi="Arial"/>
          <w:sz w:val="20"/>
          <w:szCs w:val="20"/>
          <w:color w:val="auto"/>
        </w:rPr>
        <w:t>Term Loan CUSIP: 09227UAV3</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$900,000,000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CREDIT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30, 2020,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50"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BLACKBAUD, INC.</w:t>
      </w:r>
    </w:p>
    <w:p>
      <w:pPr>
        <w:spacing w:after="0" w:line="26"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AND CERTAIN OF ITS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referred to 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Swingline Lender and an Issuing Lender,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PNC BANK, NATIONAL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REGIONS BANK,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BBVA USA,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FIFTH THIRD BANK, NATIONAL ASSOCIATION,</w:t>
      </w:r>
    </w:p>
    <w:p>
      <w:pPr>
        <w:jc w:val="center"/>
        <w:spacing w:after="0"/>
        <w:rPr>
          <w:sz w:val="20"/>
          <w:szCs w:val="20"/>
          <w:color w:val="auto"/>
        </w:rPr>
      </w:pPr>
      <w:r>
        <w:rPr>
          <w:rFonts w:ascii="Arial" w:cs="Arial" w:eastAsia="Arial" w:hAnsi="Arial"/>
          <w:sz w:val="20"/>
          <w:szCs w:val="20"/>
          <w:color w:val="auto"/>
        </w:rPr>
        <w:t>as Co-Documentation Agents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BofA SECURITIES,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PNC BANK, NATIONAL ASSOCIATION,</w:t>
      </w:r>
    </w:p>
    <w:p>
      <w:pPr>
        <w:jc w:val="center"/>
        <w:spacing w:after="0"/>
        <w:rPr>
          <w:sz w:val="20"/>
          <w:szCs w:val="20"/>
          <w:color w:val="auto"/>
        </w:rPr>
      </w:pPr>
      <w:r>
        <w:rPr>
          <w:rFonts w:ascii="Arial" w:cs="Arial" w:eastAsia="Arial" w:hAnsi="Arial"/>
          <w:sz w:val="20"/>
          <w:szCs w:val="20"/>
          <w:b w:val="1"/>
          <w:bCs w:val="1"/>
          <w:color w:val="auto"/>
        </w:rPr>
        <w:t>REGIONS CAPITAL MARKETS,</w:t>
      </w:r>
    </w:p>
    <w:p>
      <w:pPr>
        <w:jc w:val="center"/>
        <w:spacing w:after="0"/>
        <w:rPr>
          <w:sz w:val="20"/>
          <w:szCs w:val="20"/>
          <w:color w:val="auto"/>
        </w:rPr>
      </w:pPr>
      <w:r>
        <w:rPr>
          <w:rFonts w:ascii="Arial" w:cs="Arial" w:eastAsia="Arial" w:hAnsi="Arial"/>
          <w:sz w:val="20"/>
          <w:szCs w:val="20"/>
          <w:b w:val="1"/>
          <w:bCs w:val="1"/>
          <w:color w:val="auto"/>
        </w:rPr>
        <w:t>BBVA USA,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b w:val="1"/>
          <w:bCs w:val="1"/>
          <w:color w:val="auto"/>
        </w:rPr>
        <w:t>FIFTH THIRD BANK, NATIONAL ASSOCIATION,</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6374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6374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0637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CHAR1\1753066v51</w:t>
      </w:r>
    </w:p>
    <w:p>
      <w:pPr>
        <w:sectPr>
          <w:pgSz w:w="11900" w:h="16838" w:orient="portrait"/>
          <w:cols w:equalWidth="0" w:num="1">
            <w:col w:w="11240"/>
          </w:cols>
          <w:pgMar w:left="320" w:top="122" w:right="3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0"/>
          <w:szCs w:val="20"/>
          <w:color w:val="auto"/>
        </w:rPr>
        <w:t>TABLE OF CONTENTS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ARTICLE I DEFINITIONS</w:t>
            </w:r>
          </w:p>
        </w:tc>
        <w:tc>
          <w:tcPr>
            <w:tcW w:w="6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1.1</w:t>
            </w:r>
          </w:p>
        </w:tc>
        <w:tc>
          <w:tcPr>
            <w:tcW w:w="610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1.2</w:t>
            </w:r>
          </w:p>
        </w:tc>
        <w:tc>
          <w:tcPr>
            <w:tcW w:w="6100" w:type="dxa"/>
            <w:vAlign w:val="bottom"/>
          </w:tcPr>
          <w:p>
            <w:pPr>
              <w:ind w:left="120"/>
              <w:spacing w:after="0"/>
              <w:rPr>
                <w:sz w:val="20"/>
                <w:szCs w:val="20"/>
                <w:color w:val="auto"/>
              </w:rPr>
            </w:pPr>
            <w:r>
              <w:rPr>
                <w:rFonts w:ascii="Arial" w:cs="Arial" w:eastAsia="Arial" w:hAnsi="Arial"/>
                <w:sz w:val="18"/>
                <w:szCs w:val="18"/>
                <w:color w:val="auto"/>
              </w:rPr>
              <w:t>Other Definitions and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1.3</w:t>
            </w:r>
          </w:p>
        </w:tc>
        <w:tc>
          <w:tcPr>
            <w:tcW w:w="6100" w:type="dxa"/>
            <w:vAlign w:val="bottom"/>
          </w:tcPr>
          <w:p>
            <w:pPr>
              <w:ind w:left="120"/>
              <w:spacing w:after="0"/>
              <w:rPr>
                <w:sz w:val="20"/>
                <w:szCs w:val="20"/>
                <w:color w:val="auto"/>
              </w:rPr>
            </w:pPr>
            <w:r>
              <w:rPr>
                <w:rFonts w:ascii="Arial" w:cs="Arial" w:eastAsia="Arial" w:hAnsi="Arial"/>
                <w:sz w:val="18"/>
                <w:szCs w:val="18"/>
                <w:color w:val="auto"/>
              </w:rPr>
              <w:t>Accounting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1.4</w:t>
            </w:r>
          </w:p>
        </w:tc>
        <w:tc>
          <w:tcPr>
            <w:tcW w:w="6100" w:type="dxa"/>
            <w:vAlign w:val="bottom"/>
          </w:tcPr>
          <w:p>
            <w:pPr>
              <w:ind w:left="120"/>
              <w:spacing w:after="0"/>
              <w:rPr>
                <w:sz w:val="20"/>
                <w:szCs w:val="20"/>
                <w:color w:val="auto"/>
              </w:rPr>
            </w:pPr>
            <w:r>
              <w:rPr>
                <w:rFonts w:ascii="Arial" w:cs="Arial" w:eastAsia="Arial" w:hAnsi="Arial"/>
                <w:sz w:val="18"/>
                <w:szCs w:val="18"/>
                <w:color w:val="auto"/>
              </w:rPr>
              <w:t>UCC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1.5</w:t>
            </w:r>
          </w:p>
        </w:tc>
        <w:tc>
          <w:tcPr>
            <w:tcW w:w="6100" w:type="dxa"/>
            <w:vAlign w:val="bottom"/>
          </w:tcPr>
          <w:p>
            <w:pPr>
              <w:ind w:left="120"/>
              <w:spacing w:after="0"/>
              <w:rPr>
                <w:sz w:val="20"/>
                <w:szCs w:val="20"/>
                <w:color w:val="auto"/>
              </w:rPr>
            </w:pPr>
            <w:r>
              <w:rPr>
                <w:rFonts w:ascii="Arial" w:cs="Arial" w:eastAsia="Arial" w:hAnsi="Arial"/>
                <w:sz w:val="18"/>
                <w:szCs w:val="18"/>
                <w:color w:val="auto"/>
              </w:rPr>
              <w:t>Rounding.</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1.6</w:t>
            </w:r>
          </w:p>
        </w:tc>
        <w:tc>
          <w:tcPr>
            <w:tcW w:w="6100" w:type="dxa"/>
            <w:vAlign w:val="bottom"/>
          </w:tcPr>
          <w:p>
            <w:pPr>
              <w:ind w:left="120"/>
              <w:spacing w:after="0"/>
              <w:rPr>
                <w:sz w:val="20"/>
                <w:szCs w:val="20"/>
                <w:color w:val="auto"/>
              </w:rPr>
            </w:pPr>
            <w:r>
              <w:rPr>
                <w:rFonts w:ascii="Arial" w:cs="Arial" w:eastAsia="Arial" w:hAnsi="Arial"/>
                <w:sz w:val="18"/>
                <w:szCs w:val="18"/>
                <w:color w:val="auto"/>
              </w:rPr>
              <w:t>[Intentionally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1.7</w:t>
            </w:r>
          </w:p>
        </w:tc>
        <w:tc>
          <w:tcPr>
            <w:tcW w:w="6100" w:type="dxa"/>
            <w:vAlign w:val="bottom"/>
          </w:tcPr>
          <w:p>
            <w:pPr>
              <w:ind w:left="120"/>
              <w:spacing w:after="0"/>
              <w:rPr>
                <w:sz w:val="20"/>
                <w:szCs w:val="20"/>
                <w:color w:val="auto"/>
              </w:rPr>
            </w:pPr>
            <w:r>
              <w:rPr>
                <w:rFonts w:ascii="Arial" w:cs="Arial" w:eastAsia="Arial" w:hAnsi="Arial"/>
                <w:sz w:val="18"/>
                <w:szCs w:val="18"/>
                <w:color w:val="auto"/>
              </w:rPr>
              <w:t>Letter of Credit Amounts.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1.8</w:t>
            </w:r>
          </w:p>
        </w:tc>
        <w:tc>
          <w:tcPr>
            <w:tcW w:w="6100" w:type="dxa"/>
            <w:vAlign w:val="bottom"/>
          </w:tcPr>
          <w:p>
            <w:pPr>
              <w:ind w:left="120"/>
              <w:spacing w:after="0"/>
              <w:rPr>
                <w:sz w:val="20"/>
                <w:szCs w:val="20"/>
                <w:color w:val="auto"/>
              </w:rPr>
            </w:pPr>
            <w:r>
              <w:rPr>
                <w:rFonts w:ascii="Arial" w:cs="Arial" w:eastAsia="Arial" w:hAnsi="Arial"/>
                <w:sz w:val="18"/>
                <w:szCs w:val="18"/>
                <w:color w:val="auto"/>
              </w:rPr>
              <w:t>Exchange Rates; Currency Equivalents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1.9</w:t>
            </w:r>
          </w:p>
        </w:tc>
        <w:tc>
          <w:tcPr>
            <w:tcW w:w="6100" w:type="dxa"/>
            <w:vAlign w:val="bottom"/>
          </w:tcPr>
          <w:p>
            <w:pPr>
              <w:ind w:left="120"/>
              <w:spacing w:after="0"/>
              <w:rPr>
                <w:sz w:val="20"/>
                <w:szCs w:val="20"/>
                <w:color w:val="auto"/>
              </w:rPr>
            </w:pPr>
            <w:r>
              <w:rPr>
                <w:rFonts w:ascii="Arial" w:cs="Arial" w:eastAsia="Arial" w:hAnsi="Arial"/>
                <w:sz w:val="18"/>
                <w:szCs w:val="18"/>
                <w:color w:val="auto"/>
              </w:rPr>
              <w:t>Additional Foreign Currencies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1.10</w:t>
            </w:r>
          </w:p>
        </w:tc>
        <w:tc>
          <w:tcPr>
            <w:tcW w:w="6100" w:type="dxa"/>
            <w:vAlign w:val="bottom"/>
          </w:tcPr>
          <w:p>
            <w:pPr>
              <w:ind w:left="120"/>
              <w:spacing w:after="0"/>
              <w:rPr>
                <w:sz w:val="20"/>
                <w:szCs w:val="20"/>
                <w:color w:val="auto"/>
              </w:rPr>
            </w:pPr>
            <w:r>
              <w:rPr>
                <w:rFonts w:ascii="Arial" w:cs="Arial" w:eastAsia="Arial" w:hAnsi="Arial"/>
                <w:sz w:val="18"/>
                <w:szCs w:val="18"/>
                <w:color w:val="auto"/>
              </w:rPr>
              <w:t>Change of Currency</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1.11</w:t>
            </w:r>
          </w:p>
        </w:tc>
        <w:tc>
          <w:tcPr>
            <w:tcW w:w="6100" w:type="dxa"/>
            <w:vAlign w:val="bottom"/>
          </w:tcPr>
          <w:p>
            <w:pPr>
              <w:ind w:left="120"/>
              <w:spacing w:after="0"/>
              <w:rPr>
                <w:sz w:val="20"/>
                <w:szCs w:val="20"/>
                <w:color w:val="auto"/>
              </w:rPr>
            </w:pPr>
            <w:r>
              <w:rPr>
                <w:rFonts w:ascii="Arial" w:cs="Arial" w:eastAsia="Arial" w:hAnsi="Arial"/>
                <w:sz w:val="18"/>
                <w:szCs w:val="18"/>
                <w:color w:val="auto"/>
              </w:rPr>
              <w:t>Times of Day</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1.12</w:t>
            </w:r>
          </w:p>
        </w:tc>
        <w:tc>
          <w:tcPr>
            <w:tcW w:w="6100" w:type="dxa"/>
            <w:vAlign w:val="bottom"/>
          </w:tcPr>
          <w:p>
            <w:pPr>
              <w:ind w:left="120"/>
              <w:spacing w:after="0"/>
              <w:rPr>
                <w:sz w:val="20"/>
                <w:szCs w:val="20"/>
                <w:color w:val="auto"/>
              </w:rPr>
            </w:pPr>
            <w:r>
              <w:rPr>
                <w:rFonts w:ascii="Arial" w:cs="Arial" w:eastAsia="Arial" w:hAnsi="Arial"/>
                <w:sz w:val="18"/>
                <w:szCs w:val="18"/>
                <w:color w:val="auto"/>
              </w:rPr>
              <w:t>Pro Forma Calculations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ARTICLE II CREDIT FACILITIES</w:t>
            </w:r>
          </w:p>
        </w:tc>
        <w:tc>
          <w:tcPr>
            <w:tcW w:w="6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2.1</w:t>
            </w:r>
          </w:p>
        </w:tc>
        <w:tc>
          <w:tcPr>
            <w:tcW w:w="6100" w:type="dxa"/>
            <w:vAlign w:val="bottom"/>
          </w:tcPr>
          <w:p>
            <w:pPr>
              <w:ind w:left="120"/>
              <w:spacing w:after="0"/>
              <w:rPr>
                <w:sz w:val="20"/>
                <w:szCs w:val="20"/>
                <w:color w:val="auto"/>
              </w:rPr>
            </w:pPr>
            <w:r>
              <w:rPr>
                <w:rFonts w:ascii="Arial" w:cs="Arial" w:eastAsia="Arial" w:hAnsi="Arial"/>
                <w:sz w:val="18"/>
                <w:szCs w:val="18"/>
                <w:color w:val="auto"/>
              </w:rPr>
              <w:t>Loans.</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2.2</w:t>
            </w:r>
          </w:p>
        </w:tc>
        <w:tc>
          <w:tcPr>
            <w:tcW w:w="6100" w:type="dxa"/>
            <w:vAlign w:val="bottom"/>
          </w:tcPr>
          <w:p>
            <w:pPr>
              <w:ind w:left="120"/>
              <w:spacing w:after="0"/>
              <w:rPr>
                <w:sz w:val="20"/>
                <w:szCs w:val="20"/>
                <w:color w:val="auto"/>
              </w:rPr>
            </w:pPr>
            <w:r>
              <w:rPr>
                <w:rFonts w:ascii="Arial" w:cs="Arial" w:eastAsia="Arial" w:hAnsi="Arial"/>
                <w:sz w:val="18"/>
                <w:szCs w:val="18"/>
                <w:color w:val="auto"/>
              </w:rPr>
              <w:t>Borrowings, Conversions and Continuations of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2.3</w:t>
            </w:r>
          </w:p>
        </w:tc>
        <w:tc>
          <w:tcPr>
            <w:tcW w:w="610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2.4</w:t>
            </w:r>
          </w:p>
        </w:tc>
        <w:tc>
          <w:tcPr>
            <w:tcW w:w="610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2.5</w:t>
            </w:r>
          </w:p>
        </w:tc>
        <w:tc>
          <w:tcPr>
            <w:tcW w:w="610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2.6</w:t>
            </w:r>
          </w:p>
        </w:tc>
        <w:tc>
          <w:tcPr>
            <w:tcW w:w="6100" w:type="dxa"/>
            <w:vAlign w:val="bottom"/>
          </w:tcPr>
          <w:p>
            <w:pPr>
              <w:ind w:left="120"/>
              <w:spacing w:after="0"/>
              <w:rPr>
                <w:sz w:val="20"/>
                <w:szCs w:val="20"/>
                <w:color w:val="auto"/>
              </w:rPr>
            </w:pPr>
            <w:r>
              <w:rPr>
                <w:rFonts w:ascii="Arial" w:cs="Arial" w:eastAsia="Arial" w:hAnsi="Arial"/>
                <w:sz w:val="18"/>
                <w:szCs w:val="18"/>
                <w:color w:val="auto"/>
              </w:rPr>
              <w:t>Termination or Reduction of Commitments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2.7</w:t>
            </w:r>
          </w:p>
        </w:tc>
        <w:tc>
          <w:tcPr>
            <w:tcW w:w="6100" w:type="dxa"/>
            <w:vAlign w:val="bottom"/>
          </w:tcPr>
          <w:p>
            <w:pPr>
              <w:ind w:left="120"/>
              <w:spacing w:after="0"/>
              <w:rPr>
                <w:sz w:val="20"/>
                <w:szCs w:val="20"/>
                <w:color w:val="auto"/>
              </w:rPr>
            </w:pPr>
            <w:r>
              <w:rPr>
                <w:rFonts w:ascii="Arial" w:cs="Arial" w:eastAsia="Arial" w:hAnsi="Arial"/>
                <w:sz w:val="18"/>
                <w:szCs w:val="18"/>
                <w:color w:val="auto"/>
              </w:rPr>
              <w:t>Repayment of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2.8</w:t>
            </w:r>
          </w:p>
        </w:tc>
        <w:tc>
          <w:tcPr>
            <w:tcW w:w="6100" w:type="dxa"/>
            <w:vAlign w:val="bottom"/>
          </w:tcPr>
          <w:p>
            <w:pPr>
              <w:ind w:left="120"/>
              <w:spacing w:after="0"/>
              <w:rPr>
                <w:sz w:val="20"/>
                <w:szCs w:val="20"/>
                <w:color w:val="auto"/>
              </w:rPr>
            </w:pPr>
            <w:r>
              <w:rPr>
                <w:rFonts w:ascii="Arial" w:cs="Arial" w:eastAsia="Arial" w:hAnsi="Arial"/>
                <w:sz w:val="18"/>
                <w:szCs w:val="18"/>
                <w:color w:val="auto"/>
              </w:rPr>
              <w:t>Increase of Revolving Credit Commitment.</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2.9</w:t>
            </w:r>
          </w:p>
        </w:tc>
        <w:tc>
          <w:tcPr>
            <w:tcW w:w="6100" w:type="dxa"/>
            <w:vAlign w:val="bottom"/>
          </w:tcPr>
          <w:p>
            <w:pPr>
              <w:ind w:left="120"/>
              <w:spacing w:after="0"/>
              <w:rPr>
                <w:sz w:val="20"/>
                <w:szCs w:val="20"/>
                <w:color w:val="auto"/>
              </w:rPr>
            </w:pPr>
            <w:r>
              <w:rPr>
                <w:rFonts w:ascii="Arial" w:cs="Arial" w:eastAsia="Arial" w:hAnsi="Arial"/>
                <w:sz w:val="18"/>
                <w:szCs w:val="18"/>
                <w:color w:val="auto"/>
              </w:rPr>
              <w:t>Optional Incremental Term Loans.</w:t>
            </w:r>
          </w:p>
        </w:tc>
        <w:tc>
          <w:tcPr>
            <w:tcW w:w="2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2.10</w:t>
            </w:r>
          </w:p>
        </w:tc>
        <w:tc>
          <w:tcPr>
            <w:tcW w:w="6100" w:type="dxa"/>
            <w:vAlign w:val="bottom"/>
          </w:tcPr>
          <w:p>
            <w:pPr>
              <w:ind w:left="120"/>
              <w:spacing w:after="0"/>
              <w:rPr>
                <w:sz w:val="20"/>
                <w:szCs w:val="20"/>
                <w:color w:val="auto"/>
              </w:rPr>
            </w:pPr>
            <w:r>
              <w:rPr>
                <w:rFonts w:ascii="Arial" w:cs="Arial" w:eastAsia="Arial" w:hAnsi="Arial"/>
                <w:sz w:val="18"/>
                <w:szCs w:val="18"/>
                <w:color w:val="auto"/>
              </w:rPr>
              <w:t>Additional Borrowers.</w:t>
            </w:r>
          </w:p>
        </w:tc>
        <w:tc>
          <w:tcPr>
            <w:tcW w:w="2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III [INTENTIONALLY OMITTED]</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GENERAL LOAN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w:t>
            </w:r>
          </w:p>
        </w:tc>
        <w:tc>
          <w:tcPr>
            <w:tcW w:w="6100" w:type="dxa"/>
            <w:vAlign w:val="bottom"/>
          </w:tcPr>
          <w:p>
            <w:pPr>
              <w:ind w:left="120"/>
              <w:spacing w:after="0"/>
              <w:rPr>
                <w:sz w:val="20"/>
                <w:szCs w:val="20"/>
                <w:color w:val="auto"/>
              </w:rPr>
            </w:pPr>
            <w:r>
              <w:rPr>
                <w:rFonts w:ascii="Arial" w:cs="Arial" w:eastAsia="Arial" w:hAnsi="Arial"/>
                <w:sz w:val="18"/>
                <w:szCs w:val="18"/>
                <w:color w:val="auto"/>
              </w:rPr>
              <w:t>Interest and Default Rate</w:t>
            </w:r>
          </w:p>
        </w:tc>
        <w:tc>
          <w:tcPr>
            <w:tcW w:w="2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4.2</w:t>
            </w:r>
          </w:p>
        </w:tc>
        <w:tc>
          <w:tcPr>
            <w:tcW w:w="610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4.3</w:t>
            </w:r>
          </w:p>
        </w:tc>
        <w:tc>
          <w:tcPr>
            <w:tcW w:w="6100" w:type="dxa"/>
            <w:vAlign w:val="bottom"/>
          </w:tcPr>
          <w:p>
            <w:pPr>
              <w:ind w:left="120"/>
              <w:spacing w:after="0"/>
              <w:rPr>
                <w:sz w:val="20"/>
                <w:szCs w:val="20"/>
                <w:color w:val="auto"/>
              </w:rPr>
            </w:pPr>
            <w:r>
              <w:rPr>
                <w:rFonts w:ascii="Arial" w:cs="Arial" w:eastAsia="Arial" w:hAnsi="Arial"/>
                <w:sz w:val="18"/>
                <w:szCs w:val="18"/>
                <w:color w:val="auto"/>
              </w:rPr>
              <w:t>Fees</w:t>
            </w:r>
          </w:p>
        </w:tc>
        <w:tc>
          <w:tcPr>
            <w:tcW w:w="2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4.4</w:t>
            </w:r>
          </w:p>
        </w:tc>
        <w:tc>
          <w:tcPr>
            <w:tcW w:w="6100" w:type="dxa"/>
            <w:vAlign w:val="bottom"/>
          </w:tcPr>
          <w:p>
            <w:pPr>
              <w:ind w:left="120"/>
              <w:spacing w:after="0"/>
              <w:rPr>
                <w:sz w:val="20"/>
                <w:szCs w:val="20"/>
                <w:color w:val="auto"/>
              </w:rPr>
            </w:pPr>
            <w:r>
              <w:rPr>
                <w:rFonts w:ascii="Arial" w:cs="Arial" w:eastAsia="Arial" w:hAnsi="Arial"/>
                <w:sz w:val="18"/>
                <w:szCs w:val="18"/>
                <w:color w:val="auto"/>
              </w:rPr>
              <w:t>Payments Generally; Administrative Agent’s Clawback</w:t>
            </w:r>
          </w:p>
        </w:tc>
        <w:tc>
          <w:tcPr>
            <w:tcW w:w="2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4.5</w:t>
            </w:r>
          </w:p>
        </w:tc>
        <w:tc>
          <w:tcPr>
            <w:tcW w:w="6100" w:type="dxa"/>
            <w:vAlign w:val="bottom"/>
          </w:tcPr>
          <w:p>
            <w:pPr>
              <w:ind w:left="120"/>
              <w:spacing w:after="0"/>
              <w:rPr>
                <w:sz w:val="20"/>
                <w:szCs w:val="20"/>
                <w:color w:val="auto"/>
              </w:rPr>
            </w:pPr>
            <w:r>
              <w:rPr>
                <w:rFonts w:ascii="Arial" w:cs="Arial" w:eastAsia="Arial" w:hAnsi="Arial"/>
                <w:sz w:val="18"/>
                <w:szCs w:val="18"/>
                <w:color w:val="auto"/>
              </w:rPr>
              <w:t>Evidence of Debt</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4.6</w:t>
            </w:r>
          </w:p>
        </w:tc>
        <w:tc>
          <w:tcPr>
            <w:tcW w:w="610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4.7</w:t>
            </w:r>
          </w:p>
        </w:tc>
        <w:tc>
          <w:tcPr>
            <w:tcW w:w="610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4.8</w:t>
            </w:r>
          </w:p>
        </w:tc>
        <w:tc>
          <w:tcPr>
            <w:tcW w:w="6100" w:type="dxa"/>
            <w:vAlign w:val="bottom"/>
          </w:tcPr>
          <w:p>
            <w:pPr>
              <w:ind w:left="120"/>
              <w:spacing w:after="0"/>
              <w:rPr>
                <w:sz w:val="20"/>
                <w:szCs w:val="20"/>
                <w:color w:val="auto"/>
              </w:rPr>
            </w:pPr>
            <w:r>
              <w:rPr>
                <w:rFonts w:ascii="Arial" w:cs="Arial" w:eastAsia="Arial" w:hAnsi="Arial"/>
                <w:sz w:val="18"/>
                <w:szCs w:val="18"/>
                <w:color w:val="auto"/>
              </w:rPr>
              <w:t>Inability to Determine Rates</w:t>
            </w:r>
          </w:p>
        </w:tc>
        <w:tc>
          <w:tcPr>
            <w:tcW w:w="2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4.9</w:t>
            </w:r>
          </w:p>
        </w:tc>
        <w:tc>
          <w:tcPr>
            <w:tcW w:w="610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2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4.10</w:t>
            </w:r>
          </w:p>
        </w:tc>
        <w:tc>
          <w:tcPr>
            <w:tcW w:w="610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4.11</w:t>
            </w:r>
          </w:p>
        </w:tc>
        <w:tc>
          <w:tcPr>
            <w:tcW w:w="6100" w:type="dxa"/>
            <w:vAlign w:val="bottom"/>
          </w:tcPr>
          <w:p>
            <w:pPr>
              <w:ind w:left="120"/>
              <w:spacing w:after="0"/>
              <w:rPr>
                <w:sz w:val="20"/>
                <w:szCs w:val="20"/>
                <w:color w:val="auto"/>
              </w:rPr>
            </w:pPr>
            <w:r>
              <w:rPr>
                <w:rFonts w:ascii="Arial" w:cs="Arial" w:eastAsia="Arial" w:hAnsi="Arial"/>
                <w:sz w:val="18"/>
                <w:szCs w:val="18"/>
                <w:color w:val="auto"/>
              </w:rPr>
              <w:t>Taxes.</w:t>
            </w:r>
          </w:p>
        </w:tc>
        <w:tc>
          <w:tcPr>
            <w:tcW w:w="2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4.12</w:t>
            </w:r>
          </w:p>
        </w:tc>
        <w:tc>
          <w:tcPr>
            <w:tcW w:w="6100" w:type="dxa"/>
            <w:vAlign w:val="bottom"/>
          </w:tcPr>
          <w:p>
            <w:pPr>
              <w:ind w:left="120"/>
              <w:spacing w:after="0"/>
              <w:rPr>
                <w:sz w:val="20"/>
                <w:szCs w:val="20"/>
                <w:color w:val="auto"/>
              </w:rPr>
            </w:pPr>
            <w:r>
              <w:rPr>
                <w:rFonts w:ascii="Arial" w:cs="Arial" w:eastAsia="Arial" w:hAnsi="Arial"/>
                <w:sz w:val="18"/>
                <w:szCs w:val="18"/>
                <w:color w:val="auto"/>
              </w:rPr>
              <w:t>Mitigation Obligations; Replacement of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4.13</w:t>
            </w:r>
          </w:p>
        </w:tc>
        <w:tc>
          <w:tcPr>
            <w:tcW w:w="6100" w:type="dxa"/>
            <w:vAlign w:val="bottom"/>
          </w:tcPr>
          <w:p>
            <w:pPr>
              <w:ind w:left="120"/>
              <w:spacing w:after="0"/>
              <w:rPr>
                <w:sz w:val="20"/>
                <w:szCs w:val="20"/>
                <w:color w:val="auto"/>
              </w:rPr>
            </w:pPr>
            <w:r>
              <w:rPr>
                <w:rFonts w:ascii="Arial" w:cs="Arial" w:eastAsia="Arial" w:hAnsi="Arial"/>
                <w:sz w:val="18"/>
                <w:szCs w:val="18"/>
                <w:color w:val="auto"/>
              </w:rPr>
              <w:t>Cash Collateral.</w:t>
            </w:r>
          </w:p>
        </w:tc>
        <w:tc>
          <w:tcPr>
            <w:tcW w:w="2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4.14</w:t>
            </w:r>
          </w:p>
        </w:tc>
        <w:tc>
          <w:tcPr>
            <w:tcW w:w="610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2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CLOSING; CONDITIONS OF CLOSING AND BORROWING</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5.1</w:t>
            </w:r>
          </w:p>
        </w:tc>
        <w:tc>
          <w:tcPr>
            <w:tcW w:w="6100" w:type="dxa"/>
            <w:vAlign w:val="bottom"/>
          </w:tcPr>
          <w:p>
            <w:pPr>
              <w:ind w:left="120"/>
              <w:spacing w:after="0"/>
              <w:rPr>
                <w:sz w:val="20"/>
                <w:szCs w:val="20"/>
                <w:color w:val="auto"/>
              </w:rPr>
            </w:pPr>
            <w:r>
              <w:rPr>
                <w:rFonts w:ascii="Arial" w:cs="Arial" w:eastAsia="Arial" w:hAnsi="Arial"/>
                <w:sz w:val="18"/>
                <w:szCs w:val="18"/>
                <w:color w:val="auto"/>
              </w:rPr>
              <w:t>Conditions to Closing and Initial Extensions of Credit.</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2740" w:type="dxa"/>
            <w:vAlign w:val="bottom"/>
          </w:tcPr>
          <w:p>
            <w:pPr>
              <w:ind w:left="780"/>
              <w:spacing w:after="0"/>
              <w:rPr>
                <w:sz w:val="20"/>
                <w:szCs w:val="20"/>
                <w:color w:val="auto"/>
              </w:rPr>
            </w:pPr>
            <w:r>
              <w:rPr>
                <w:rFonts w:ascii="Arial" w:cs="Arial" w:eastAsia="Arial" w:hAnsi="Arial"/>
                <w:sz w:val="18"/>
                <w:szCs w:val="18"/>
                <w:color w:val="auto"/>
              </w:rPr>
              <w:t>SECTION 5.2</w:t>
            </w:r>
          </w:p>
        </w:tc>
        <w:tc>
          <w:tcPr>
            <w:tcW w:w="6100" w:type="dxa"/>
            <w:vAlign w:val="bottom"/>
          </w:tcPr>
          <w:p>
            <w:pPr>
              <w:ind w:left="120"/>
              <w:spacing w:after="0"/>
              <w:rPr>
                <w:sz w:val="20"/>
                <w:szCs w:val="20"/>
                <w:color w:val="auto"/>
              </w:rPr>
            </w:pPr>
            <w:r>
              <w:rPr>
                <w:rFonts w:ascii="Arial" w:cs="Arial" w:eastAsia="Arial" w:hAnsi="Arial"/>
                <w:sz w:val="18"/>
                <w:szCs w:val="18"/>
                <w:color w:val="auto"/>
              </w:rPr>
              <w:t>Conditions to All Extensions of Credit.</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16"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CHAR1\1753066v5i</w:t>
      </w:r>
    </w:p>
    <w:p>
      <w:pPr>
        <w:sectPr>
          <w:pgSz w:w="11900" w:h="16838" w:orient="portrait"/>
          <w:cols w:equalWidth="0" w:num="1">
            <w:col w:w="11220"/>
          </w:cols>
          <w:pgMar w:left="320" w:top="1216" w:right="359" w:bottom="1440" w:gutter="0" w:footer="0" w:header="0"/>
          <w:type w:val="continuous"/>
        </w:sectPr>
      </w:pPr>
    </w:p>
    <w:bookmarkStart w:id="66" w:name="page67"/>
    <w:bookmarkEnd w:id="66"/>
    <w:tbl>
      <w:tblPr>
        <w:tblLayout w:type="fixed"/>
        <w:tblInd w:w="20" w:type="dxa"/>
        <w:tblCellMar>
          <w:top w:w="0" w:type="dxa"/>
          <w:left w:w="0" w:type="dxa"/>
          <w:bottom w:w="0" w:type="dxa"/>
          <w:right w:w="0" w:type="dxa"/>
        </w:tblCellMar>
      </w:tblP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THE BORROWER</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6.1</w:t>
            </w:r>
          </w:p>
        </w:tc>
        <w:tc>
          <w:tcPr>
            <w:tcW w:w="7100" w:type="dxa"/>
            <w:vAlign w:val="bottom"/>
          </w:tcPr>
          <w:p>
            <w:pPr>
              <w:ind w:left="420"/>
              <w:spacing w:after="0"/>
              <w:rPr>
                <w:sz w:val="20"/>
                <w:szCs w:val="20"/>
                <w:color w:val="auto"/>
              </w:rPr>
            </w:pPr>
            <w:r>
              <w:rPr>
                <w:rFonts w:ascii="Arial" w:cs="Arial" w:eastAsia="Arial" w:hAnsi="Arial"/>
                <w:sz w:val="18"/>
                <w:szCs w:val="18"/>
                <w:color w:val="auto"/>
              </w:rPr>
              <w:t>Representations and Warranties.</w:t>
            </w:r>
          </w:p>
        </w:tc>
        <w:tc>
          <w:tcPr>
            <w:tcW w:w="16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6.2</w:t>
            </w:r>
          </w:p>
        </w:tc>
        <w:tc>
          <w:tcPr>
            <w:tcW w:w="7100" w:type="dxa"/>
            <w:vAlign w:val="bottom"/>
          </w:tcPr>
          <w:p>
            <w:pPr>
              <w:ind w:left="420"/>
              <w:spacing w:after="0"/>
              <w:rPr>
                <w:sz w:val="20"/>
                <w:szCs w:val="20"/>
                <w:color w:val="auto"/>
              </w:rPr>
            </w:pPr>
            <w:r>
              <w:rPr>
                <w:rFonts w:ascii="Arial" w:cs="Arial" w:eastAsia="Arial" w:hAnsi="Arial"/>
                <w:sz w:val="18"/>
                <w:szCs w:val="18"/>
                <w:color w:val="auto"/>
              </w:rPr>
              <w:t>Survival of Representations and Warranties, Etc.</w:t>
            </w:r>
          </w:p>
        </w:tc>
        <w:tc>
          <w:tcPr>
            <w:tcW w:w="16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VII FINANCIAL INFORMATION AND NOTICES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7.1</w:t>
            </w:r>
          </w:p>
        </w:tc>
        <w:tc>
          <w:tcPr>
            <w:tcW w:w="7100" w:type="dxa"/>
            <w:vAlign w:val="bottom"/>
          </w:tcPr>
          <w:p>
            <w:pPr>
              <w:ind w:left="420"/>
              <w:spacing w:after="0"/>
              <w:rPr>
                <w:sz w:val="20"/>
                <w:szCs w:val="20"/>
                <w:color w:val="auto"/>
              </w:rPr>
            </w:pPr>
            <w:r>
              <w:rPr>
                <w:rFonts w:ascii="Arial" w:cs="Arial" w:eastAsia="Arial" w:hAnsi="Arial"/>
                <w:sz w:val="18"/>
                <w:szCs w:val="18"/>
                <w:color w:val="auto"/>
              </w:rPr>
              <w:t>Financial Statements and Projections.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7.2</w:t>
            </w:r>
          </w:p>
        </w:tc>
        <w:tc>
          <w:tcPr>
            <w:tcW w:w="7100" w:type="dxa"/>
            <w:vAlign w:val="bottom"/>
          </w:tcPr>
          <w:p>
            <w:pPr>
              <w:ind w:left="420"/>
              <w:spacing w:after="0"/>
              <w:rPr>
                <w:sz w:val="20"/>
                <w:szCs w:val="20"/>
                <w:color w:val="auto"/>
              </w:rPr>
            </w:pPr>
            <w:r>
              <w:rPr>
                <w:rFonts w:ascii="Arial" w:cs="Arial" w:eastAsia="Arial" w:hAnsi="Arial"/>
                <w:sz w:val="18"/>
                <w:szCs w:val="18"/>
                <w:color w:val="auto"/>
              </w:rPr>
              <w:t>Officer’s Compliance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7.3</w:t>
            </w:r>
          </w:p>
        </w:tc>
        <w:tc>
          <w:tcPr>
            <w:tcW w:w="7100" w:type="dxa"/>
            <w:vAlign w:val="bottom"/>
          </w:tcPr>
          <w:p>
            <w:pPr>
              <w:ind w:left="420"/>
              <w:spacing w:after="0"/>
              <w:rPr>
                <w:sz w:val="20"/>
                <w:szCs w:val="20"/>
                <w:color w:val="auto"/>
              </w:rPr>
            </w:pPr>
            <w:r>
              <w:rPr>
                <w:rFonts w:ascii="Arial" w:cs="Arial" w:eastAsia="Arial" w:hAnsi="Arial"/>
                <w:sz w:val="18"/>
                <w:szCs w:val="18"/>
                <w:color w:val="auto"/>
              </w:rPr>
              <w:t>Borrower Materials.</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7.4</w:t>
            </w:r>
          </w:p>
        </w:tc>
        <w:tc>
          <w:tcPr>
            <w:tcW w:w="7100" w:type="dxa"/>
            <w:vAlign w:val="bottom"/>
          </w:tcPr>
          <w:p>
            <w:pPr>
              <w:ind w:left="420"/>
              <w:spacing w:after="0"/>
              <w:rPr>
                <w:sz w:val="20"/>
                <w:szCs w:val="20"/>
                <w:color w:val="auto"/>
              </w:rPr>
            </w:pPr>
            <w:r>
              <w:rPr>
                <w:rFonts w:ascii="Arial" w:cs="Arial" w:eastAsia="Arial" w:hAnsi="Arial"/>
                <w:sz w:val="18"/>
                <w:szCs w:val="18"/>
                <w:color w:val="auto"/>
              </w:rPr>
              <w:t>Other Reports.</w:t>
            </w: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7.5</w:t>
            </w:r>
          </w:p>
        </w:tc>
        <w:tc>
          <w:tcPr>
            <w:tcW w:w="7100" w:type="dxa"/>
            <w:vAlign w:val="bottom"/>
          </w:tcPr>
          <w:p>
            <w:pPr>
              <w:ind w:left="420"/>
              <w:spacing w:after="0"/>
              <w:rPr>
                <w:sz w:val="20"/>
                <w:szCs w:val="20"/>
                <w:color w:val="auto"/>
              </w:rPr>
            </w:pPr>
            <w:r>
              <w:rPr>
                <w:rFonts w:ascii="Arial" w:cs="Arial" w:eastAsia="Arial" w:hAnsi="Arial"/>
                <w:sz w:val="18"/>
                <w:szCs w:val="18"/>
                <w:color w:val="auto"/>
              </w:rPr>
              <w:t>Notice of Litigation and Other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7.6</w:t>
            </w:r>
          </w:p>
        </w:tc>
        <w:tc>
          <w:tcPr>
            <w:tcW w:w="7100" w:type="dxa"/>
            <w:vAlign w:val="bottom"/>
          </w:tcPr>
          <w:p>
            <w:pPr>
              <w:ind w:left="420"/>
              <w:spacing w:after="0"/>
              <w:rPr>
                <w:sz w:val="20"/>
                <w:szCs w:val="20"/>
                <w:color w:val="auto"/>
              </w:rPr>
            </w:pPr>
            <w:r>
              <w:rPr>
                <w:rFonts w:ascii="Arial" w:cs="Arial" w:eastAsia="Arial" w:hAnsi="Arial"/>
                <w:sz w:val="18"/>
                <w:szCs w:val="18"/>
                <w:color w:val="auto"/>
              </w:rPr>
              <w:t>Accuracy of Information.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9540" w:type="dxa"/>
            <w:vAlign w:val="bottom"/>
            <w:gridSpan w:val="2"/>
          </w:tcPr>
          <w:p>
            <w:pPr>
              <w:spacing w:after="0"/>
              <w:rPr>
                <w:sz w:val="20"/>
                <w:szCs w:val="20"/>
                <w:color w:val="auto"/>
              </w:rPr>
            </w:pPr>
            <w:r>
              <w:rPr>
                <w:rFonts w:ascii="Arial" w:cs="Arial" w:eastAsia="Arial" w:hAnsi="Arial"/>
                <w:sz w:val="18"/>
                <w:szCs w:val="18"/>
                <w:color w:val="auto"/>
              </w:rPr>
              <w:t>ARTICLE VIII AFFIRMATIVE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w:t>
            </w:r>
          </w:p>
        </w:tc>
        <w:tc>
          <w:tcPr>
            <w:tcW w:w="7100" w:type="dxa"/>
            <w:vAlign w:val="bottom"/>
          </w:tcPr>
          <w:p>
            <w:pPr>
              <w:ind w:left="420"/>
              <w:spacing w:after="0"/>
              <w:rPr>
                <w:sz w:val="20"/>
                <w:szCs w:val="20"/>
                <w:color w:val="auto"/>
              </w:rPr>
            </w:pPr>
            <w:r>
              <w:rPr>
                <w:rFonts w:ascii="Arial" w:cs="Arial" w:eastAsia="Arial" w:hAnsi="Arial"/>
                <w:sz w:val="18"/>
                <w:szCs w:val="18"/>
                <w:color w:val="auto"/>
              </w:rPr>
              <w:t>Preservation of Existence and Related Matters.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8.2</w:t>
            </w:r>
          </w:p>
        </w:tc>
        <w:tc>
          <w:tcPr>
            <w:tcW w:w="7100" w:type="dxa"/>
            <w:vAlign w:val="bottom"/>
          </w:tcPr>
          <w:p>
            <w:pPr>
              <w:ind w:left="420"/>
              <w:spacing w:after="0"/>
              <w:rPr>
                <w:sz w:val="20"/>
                <w:szCs w:val="20"/>
                <w:color w:val="auto"/>
              </w:rPr>
            </w:pPr>
            <w:r>
              <w:rPr>
                <w:rFonts w:ascii="Arial" w:cs="Arial" w:eastAsia="Arial" w:hAnsi="Arial"/>
                <w:sz w:val="18"/>
                <w:szCs w:val="18"/>
                <w:color w:val="auto"/>
              </w:rPr>
              <w:t>Maintenance of Property.</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8.3</w:t>
            </w:r>
          </w:p>
        </w:tc>
        <w:tc>
          <w:tcPr>
            <w:tcW w:w="710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8.4</w:t>
            </w:r>
          </w:p>
        </w:tc>
        <w:tc>
          <w:tcPr>
            <w:tcW w:w="7100" w:type="dxa"/>
            <w:vAlign w:val="bottom"/>
          </w:tcPr>
          <w:p>
            <w:pPr>
              <w:ind w:left="420"/>
              <w:spacing w:after="0"/>
              <w:rPr>
                <w:sz w:val="20"/>
                <w:szCs w:val="20"/>
                <w:color w:val="auto"/>
              </w:rPr>
            </w:pPr>
            <w:r>
              <w:rPr>
                <w:rFonts w:ascii="Arial" w:cs="Arial" w:eastAsia="Arial" w:hAnsi="Arial"/>
                <w:sz w:val="18"/>
                <w:szCs w:val="18"/>
                <w:color w:val="auto"/>
              </w:rPr>
              <w:t>Accounting Methods and Financial Records.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8.5</w:t>
            </w:r>
          </w:p>
        </w:tc>
        <w:tc>
          <w:tcPr>
            <w:tcW w:w="7100" w:type="dxa"/>
            <w:vAlign w:val="bottom"/>
          </w:tcPr>
          <w:p>
            <w:pPr>
              <w:ind w:left="420"/>
              <w:spacing w:after="0"/>
              <w:rPr>
                <w:sz w:val="20"/>
                <w:szCs w:val="20"/>
                <w:color w:val="auto"/>
              </w:rPr>
            </w:pPr>
            <w:r>
              <w:rPr>
                <w:rFonts w:ascii="Arial" w:cs="Arial" w:eastAsia="Arial" w:hAnsi="Arial"/>
                <w:sz w:val="18"/>
                <w:szCs w:val="18"/>
                <w:color w:val="auto"/>
              </w:rPr>
              <w:t>Payment and Performance of Obligations.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8.6</w:t>
            </w:r>
          </w:p>
        </w:tc>
        <w:tc>
          <w:tcPr>
            <w:tcW w:w="7100" w:type="dxa"/>
            <w:vAlign w:val="bottom"/>
          </w:tcPr>
          <w:p>
            <w:pPr>
              <w:ind w:left="420"/>
              <w:spacing w:after="0"/>
              <w:rPr>
                <w:sz w:val="20"/>
                <w:szCs w:val="20"/>
                <w:color w:val="auto"/>
              </w:rPr>
            </w:pPr>
            <w:r>
              <w:rPr>
                <w:rFonts w:ascii="Arial" w:cs="Arial" w:eastAsia="Arial" w:hAnsi="Arial"/>
                <w:sz w:val="18"/>
                <w:szCs w:val="18"/>
                <w:color w:val="auto"/>
              </w:rPr>
              <w:t>Compliance With Laws and Approvals.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8.7</w:t>
            </w:r>
          </w:p>
        </w:tc>
        <w:tc>
          <w:tcPr>
            <w:tcW w:w="7100" w:type="dxa"/>
            <w:vAlign w:val="bottom"/>
          </w:tcPr>
          <w:p>
            <w:pPr>
              <w:ind w:left="420"/>
              <w:spacing w:after="0"/>
              <w:rPr>
                <w:sz w:val="20"/>
                <w:szCs w:val="20"/>
                <w:color w:val="auto"/>
              </w:rPr>
            </w:pPr>
            <w:r>
              <w:rPr>
                <w:rFonts w:ascii="Arial" w:cs="Arial" w:eastAsia="Arial" w:hAnsi="Arial"/>
                <w:sz w:val="18"/>
                <w:szCs w:val="18"/>
                <w:color w:val="auto"/>
              </w:rPr>
              <w:t>Environmental Laws.</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8.8</w:t>
            </w:r>
          </w:p>
        </w:tc>
        <w:tc>
          <w:tcPr>
            <w:tcW w:w="7100" w:type="dxa"/>
            <w:vAlign w:val="bottom"/>
          </w:tcPr>
          <w:p>
            <w:pPr>
              <w:ind w:left="420"/>
              <w:spacing w:after="0"/>
              <w:rPr>
                <w:sz w:val="20"/>
                <w:szCs w:val="20"/>
                <w:color w:val="auto"/>
              </w:rPr>
            </w:pPr>
            <w:r>
              <w:rPr>
                <w:rFonts w:ascii="Arial" w:cs="Arial" w:eastAsia="Arial" w:hAnsi="Arial"/>
                <w:sz w:val="18"/>
                <w:szCs w:val="18"/>
                <w:color w:val="auto"/>
              </w:rPr>
              <w:t>Compliance with ERISA.</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8.9</w:t>
            </w:r>
          </w:p>
        </w:tc>
        <w:tc>
          <w:tcPr>
            <w:tcW w:w="7100" w:type="dxa"/>
            <w:vAlign w:val="bottom"/>
          </w:tcPr>
          <w:p>
            <w:pPr>
              <w:ind w:left="420"/>
              <w:spacing w:after="0"/>
              <w:rPr>
                <w:sz w:val="20"/>
                <w:szCs w:val="20"/>
                <w:color w:val="auto"/>
              </w:rPr>
            </w:pPr>
            <w:r>
              <w:rPr>
                <w:rFonts w:ascii="Arial" w:cs="Arial" w:eastAsia="Arial" w:hAnsi="Arial"/>
                <w:sz w:val="18"/>
                <w:szCs w:val="18"/>
                <w:color w:val="auto"/>
              </w:rPr>
              <w:t>[Intentionally Omitted].</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8.10</w:t>
            </w:r>
          </w:p>
        </w:tc>
        <w:tc>
          <w:tcPr>
            <w:tcW w:w="7100" w:type="dxa"/>
            <w:vAlign w:val="bottom"/>
          </w:tcPr>
          <w:p>
            <w:pPr>
              <w:ind w:left="420"/>
              <w:spacing w:after="0"/>
              <w:rPr>
                <w:sz w:val="20"/>
                <w:szCs w:val="20"/>
                <w:color w:val="auto"/>
              </w:rPr>
            </w:pPr>
            <w:r>
              <w:rPr>
                <w:rFonts w:ascii="Arial" w:cs="Arial" w:eastAsia="Arial" w:hAnsi="Arial"/>
                <w:sz w:val="18"/>
                <w:szCs w:val="18"/>
                <w:color w:val="auto"/>
              </w:rPr>
              <w:t>Visits and Inspections.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8.11</w:t>
            </w:r>
          </w:p>
        </w:tc>
        <w:tc>
          <w:tcPr>
            <w:tcW w:w="7100" w:type="dxa"/>
            <w:vAlign w:val="bottom"/>
          </w:tcPr>
          <w:p>
            <w:pPr>
              <w:ind w:left="420"/>
              <w:spacing w:after="0"/>
              <w:rPr>
                <w:sz w:val="20"/>
                <w:szCs w:val="20"/>
                <w:color w:val="auto"/>
              </w:rPr>
            </w:pPr>
            <w:r>
              <w:rPr>
                <w:rFonts w:ascii="Arial" w:cs="Arial" w:eastAsia="Arial" w:hAnsi="Arial"/>
                <w:sz w:val="18"/>
                <w:szCs w:val="18"/>
                <w:color w:val="auto"/>
              </w:rPr>
              <w:t>Additional Subsidiaries.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8.12</w:t>
            </w:r>
          </w:p>
        </w:tc>
        <w:tc>
          <w:tcPr>
            <w:tcW w:w="7100" w:type="dxa"/>
            <w:vAlign w:val="bottom"/>
          </w:tcPr>
          <w:p>
            <w:pPr>
              <w:ind w:left="420"/>
              <w:spacing w:after="0"/>
              <w:rPr>
                <w:sz w:val="20"/>
                <w:szCs w:val="20"/>
                <w:color w:val="auto"/>
              </w:rPr>
            </w:pPr>
            <w:r>
              <w:rPr>
                <w:rFonts w:ascii="Arial" w:cs="Arial" w:eastAsia="Arial" w:hAnsi="Arial"/>
                <w:sz w:val="18"/>
                <w:szCs w:val="18"/>
                <w:color w:val="auto"/>
              </w:rPr>
              <w:t>Use of Proceeds.</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8.13</w:t>
            </w:r>
          </w:p>
        </w:tc>
        <w:tc>
          <w:tcPr>
            <w:tcW w:w="7100" w:type="dxa"/>
            <w:vAlign w:val="bottom"/>
          </w:tcPr>
          <w:p>
            <w:pPr>
              <w:ind w:left="420"/>
              <w:spacing w:after="0"/>
              <w:rPr>
                <w:sz w:val="20"/>
                <w:szCs w:val="20"/>
                <w:color w:val="auto"/>
              </w:rPr>
            </w:pPr>
            <w:r>
              <w:rPr>
                <w:rFonts w:ascii="Arial" w:cs="Arial" w:eastAsia="Arial" w:hAnsi="Arial"/>
                <w:sz w:val="18"/>
                <w:szCs w:val="18"/>
                <w:color w:val="auto"/>
              </w:rPr>
              <w:t>Further Assurances.</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8.14</w:t>
            </w:r>
          </w:p>
        </w:tc>
        <w:tc>
          <w:tcPr>
            <w:tcW w:w="7100" w:type="dxa"/>
            <w:vAlign w:val="bottom"/>
          </w:tcPr>
          <w:p>
            <w:pPr>
              <w:ind w:left="420"/>
              <w:spacing w:after="0"/>
              <w:rPr>
                <w:sz w:val="20"/>
                <w:szCs w:val="20"/>
                <w:color w:val="auto"/>
              </w:rPr>
            </w:pPr>
            <w:r>
              <w:rPr>
                <w:rFonts w:ascii="Arial" w:cs="Arial" w:eastAsia="Arial" w:hAnsi="Arial"/>
                <w:sz w:val="18"/>
                <w:szCs w:val="18"/>
                <w:color w:val="auto"/>
              </w:rPr>
              <w:t>Designation of Subsidiaries.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8.15</w:t>
            </w:r>
          </w:p>
        </w:tc>
        <w:tc>
          <w:tcPr>
            <w:tcW w:w="7100" w:type="dxa"/>
            <w:vAlign w:val="bottom"/>
          </w:tcPr>
          <w:p>
            <w:pPr>
              <w:ind w:left="420"/>
              <w:spacing w:after="0"/>
              <w:rPr>
                <w:sz w:val="20"/>
                <w:szCs w:val="20"/>
                <w:color w:val="auto"/>
              </w:rPr>
            </w:pPr>
            <w:r>
              <w:rPr>
                <w:rFonts w:ascii="Arial" w:cs="Arial" w:eastAsia="Arial" w:hAnsi="Arial"/>
                <w:sz w:val="18"/>
                <w:szCs w:val="18"/>
                <w:color w:val="auto"/>
              </w:rPr>
              <w:t>Anti-Corruption Laws.</w:t>
            </w: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8.16</w:t>
            </w:r>
          </w:p>
        </w:tc>
        <w:tc>
          <w:tcPr>
            <w:tcW w:w="7100" w:type="dxa"/>
            <w:vAlign w:val="bottom"/>
          </w:tcPr>
          <w:p>
            <w:pPr>
              <w:ind w:left="420"/>
              <w:spacing w:after="0"/>
              <w:rPr>
                <w:sz w:val="20"/>
                <w:szCs w:val="20"/>
                <w:color w:val="auto"/>
              </w:rPr>
            </w:pPr>
            <w:r>
              <w:rPr>
                <w:rFonts w:ascii="Arial" w:cs="Arial" w:eastAsia="Arial" w:hAnsi="Arial"/>
                <w:sz w:val="18"/>
                <w:szCs w:val="18"/>
                <w:color w:val="auto"/>
              </w:rPr>
              <w:t>Approvals and Authorizations.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8.17</w:t>
            </w:r>
          </w:p>
        </w:tc>
        <w:tc>
          <w:tcPr>
            <w:tcW w:w="7100" w:type="dxa"/>
            <w:vAlign w:val="bottom"/>
          </w:tcPr>
          <w:p>
            <w:pPr>
              <w:ind w:left="420"/>
              <w:spacing w:after="0"/>
              <w:rPr>
                <w:sz w:val="20"/>
                <w:szCs w:val="20"/>
                <w:color w:val="auto"/>
              </w:rPr>
            </w:pPr>
            <w:r>
              <w:rPr>
                <w:rFonts w:ascii="Arial" w:cs="Arial" w:eastAsia="Arial" w:hAnsi="Arial"/>
                <w:sz w:val="18"/>
                <w:szCs w:val="18"/>
                <w:color w:val="auto"/>
              </w:rPr>
              <w:t>Post-Closing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9540" w:type="dxa"/>
            <w:vAlign w:val="bottom"/>
            <w:gridSpan w:val="2"/>
          </w:tcPr>
          <w:p>
            <w:pPr>
              <w:spacing w:after="0"/>
              <w:rPr>
                <w:sz w:val="20"/>
                <w:szCs w:val="20"/>
                <w:color w:val="auto"/>
              </w:rPr>
            </w:pPr>
            <w:r>
              <w:rPr>
                <w:rFonts w:ascii="Arial" w:cs="Arial" w:eastAsia="Arial" w:hAnsi="Arial"/>
                <w:sz w:val="18"/>
                <w:szCs w:val="18"/>
                <w:color w:val="auto"/>
              </w:rPr>
              <w:t>ARTICLE IX FINANCIAL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9.1</w:t>
            </w:r>
          </w:p>
        </w:tc>
        <w:tc>
          <w:tcPr>
            <w:tcW w:w="7100" w:type="dxa"/>
            <w:vAlign w:val="bottom"/>
          </w:tcPr>
          <w:p>
            <w:pPr>
              <w:ind w:left="420"/>
              <w:spacing w:after="0"/>
              <w:rPr>
                <w:sz w:val="20"/>
                <w:szCs w:val="20"/>
                <w:color w:val="auto"/>
              </w:rPr>
            </w:pPr>
            <w:r>
              <w:rPr>
                <w:rFonts w:ascii="Arial" w:cs="Arial" w:eastAsia="Arial" w:hAnsi="Arial"/>
                <w:sz w:val="18"/>
                <w:szCs w:val="18"/>
                <w:color w:val="auto"/>
              </w:rPr>
              <w:t>Net Leverage Ratio.</w:t>
            </w:r>
          </w:p>
        </w:tc>
        <w:tc>
          <w:tcPr>
            <w:tcW w:w="1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9.2</w:t>
            </w:r>
          </w:p>
        </w:tc>
        <w:tc>
          <w:tcPr>
            <w:tcW w:w="7100" w:type="dxa"/>
            <w:vAlign w:val="bottom"/>
          </w:tcPr>
          <w:p>
            <w:pPr>
              <w:ind w:left="420"/>
              <w:spacing w:after="0"/>
              <w:rPr>
                <w:sz w:val="20"/>
                <w:szCs w:val="20"/>
                <w:color w:val="auto"/>
              </w:rPr>
            </w:pPr>
            <w:r>
              <w:rPr>
                <w:rFonts w:ascii="Arial" w:cs="Arial" w:eastAsia="Arial" w:hAnsi="Arial"/>
                <w:sz w:val="18"/>
                <w:szCs w:val="18"/>
                <w:color w:val="auto"/>
              </w:rPr>
              <w:t>Interest Coverage Ratio.</w:t>
            </w:r>
          </w:p>
        </w:tc>
        <w:tc>
          <w:tcPr>
            <w:tcW w:w="1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9540" w:type="dxa"/>
            <w:vAlign w:val="bottom"/>
            <w:gridSpan w:val="2"/>
          </w:tcPr>
          <w:p>
            <w:pPr>
              <w:spacing w:after="0"/>
              <w:rPr>
                <w:sz w:val="20"/>
                <w:szCs w:val="20"/>
                <w:color w:val="auto"/>
              </w:rPr>
            </w:pPr>
            <w:r>
              <w:rPr>
                <w:rFonts w:ascii="Arial" w:cs="Arial" w:eastAsia="Arial" w:hAnsi="Arial"/>
                <w:sz w:val="18"/>
                <w:szCs w:val="18"/>
                <w:color w:val="auto"/>
              </w:rPr>
              <w:t>ARTICLE X NEGATIVE COVENANTS</w:t>
            </w:r>
          </w:p>
        </w:tc>
        <w:tc>
          <w:tcPr>
            <w:tcW w:w="1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10.1</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Indebtedness.</w:t>
            </w:r>
          </w:p>
        </w:tc>
        <w:tc>
          <w:tcPr>
            <w:tcW w:w="1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10.2</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Liens.</w:t>
            </w:r>
          </w:p>
        </w:tc>
        <w:tc>
          <w:tcPr>
            <w:tcW w:w="16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10.3</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Loans, Advances, Investments and Acquisitions.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10.4</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Mergers and Liquidation.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10.5</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Sale of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10.6</w:t>
            </w:r>
          </w:p>
        </w:tc>
        <w:tc>
          <w:tcPr>
            <w:tcW w:w="7100" w:type="dxa"/>
            <w:vAlign w:val="bottom"/>
          </w:tcPr>
          <w:p>
            <w:pPr>
              <w:ind w:left="420"/>
              <w:spacing w:after="0"/>
              <w:rPr>
                <w:sz w:val="20"/>
                <w:szCs w:val="20"/>
                <w:color w:val="auto"/>
              </w:rPr>
            </w:pPr>
            <w:r>
              <w:rPr>
                <w:rFonts w:ascii="Arial" w:cs="Arial" w:eastAsia="Arial" w:hAnsi="Arial"/>
                <w:sz w:val="18"/>
                <w:szCs w:val="18"/>
                <w:color w:val="auto"/>
              </w:rPr>
              <w:t>Limitations on Dividends and Distributions.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10.7</w:t>
            </w:r>
          </w:p>
        </w:tc>
        <w:tc>
          <w:tcPr>
            <w:tcW w:w="7100" w:type="dxa"/>
            <w:vAlign w:val="bottom"/>
          </w:tcPr>
          <w:p>
            <w:pPr>
              <w:ind w:left="420"/>
              <w:spacing w:after="0"/>
              <w:rPr>
                <w:sz w:val="20"/>
                <w:szCs w:val="20"/>
                <w:color w:val="auto"/>
              </w:rPr>
            </w:pPr>
            <w:r>
              <w:rPr>
                <w:rFonts w:ascii="Arial" w:cs="Arial" w:eastAsia="Arial" w:hAnsi="Arial"/>
                <w:sz w:val="18"/>
                <w:szCs w:val="18"/>
                <w:color w:val="auto"/>
              </w:rPr>
              <w:t>Sanctions.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10.8</w:t>
            </w:r>
          </w:p>
        </w:tc>
        <w:tc>
          <w:tcPr>
            <w:tcW w:w="7100" w:type="dxa"/>
            <w:vAlign w:val="bottom"/>
          </w:tcPr>
          <w:p>
            <w:pPr>
              <w:ind w:left="420"/>
              <w:spacing w:after="0"/>
              <w:rPr>
                <w:sz w:val="20"/>
                <w:szCs w:val="20"/>
                <w:color w:val="auto"/>
              </w:rPr>
            </w:pPr>
            <w:r>
              <w:rPr>
                <w:rFonts w:ascii="Arial" w:cs="Arial" w:eastAsia="Arial" w:hAnsi="Arial"/>
                <w:sz w:val="18"/>
                <w:szCs w:val="18"/>
                <w:color w:val="auto"/>
              </w:rPr>
              <w:t>Transactions with Affiliates.</w:t>
            </w:r>
          </w:p>
        </w:tc>
        <w:tc>
          <w:tcPr>
            <w:tcW w:w="1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10.9</w:t>
            </w:r>
          </w:p>
        </w:tc>
        <w:tc>
          <w:tcPr>
            <w:tcW w:w="7100" w:type="dxa"/>
            <w:vAlign w:val="bottom"/>
          </w:tcPr>
          <w:p>
            <w:pPr>
              <w:ind w:left="420"/>
              <w:spacing w:after="0"/>
              <w:rPr>
                <w:sz w:val="20"/>
                <w:szCs w:val="20"/>
                <w:color w:val="auto"/>
              </w:rPr>
            </w:pPr>
            <w:r>
              <w:rPr>
                <w:rFonts w:ascii="Arial" w:cs="Arial" w:eastAsia="Arial" w:hAnsi="Arial"/>
                <w:sz w:val="18"/>
                <w:szCs w:val="18"/>
                <w:color w:val="auto"/>
              </w:rPr>
              <w:t>Certain Accounting Changes; Organizational Documents.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10.10</w:t>
            </w:r>
          </w:p>
        </w:tc>
        <w:tc>
          <w:tcPr>
            <w:tcW w:w="7100" w:type="dxa"/>
            <w:vAlign w:val="bottom"/>
          </w:tcPr>
          <w:p>
            <w:pPr>
              <w:ind w:left="420"/>
              <w:spacing w:after="0"/>
              <w:rPr>
                <w:sz w:val="20"/>
                <w:szCs w:val="20"/>
                <w:color w:val="auto"/>
              </w:rPr>
            </w:pPr>
            <w:r>
              <w:rPr>
                <w:rFonts w:ascii="Arial" w:cs="Arial" w:eastAsia="Arial" w:hAnsi="Arial"/>
                <w:sz w:val="18"/>
                <w:szCs w:val="18"/>
                <w:color w:val="auto"/>
              </w:rPr>
              <w:t>Amendments; Payments and Prepayments of Subordinated Indebtedness.</w:t>
            </w:r>
          </w:p>
        </w:tc>
        <w:tc>
          <w:tcPr>
            <w:tcW w:w="1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10.11</w:t>
            </w:r>
          </w:p>
        </w:tc>
        <w:tc>
          <w:tcPr>
            <w:tcW w:w="7100" w:type="dxa"/>
            <w:vAlign w:val="bottom"/>
          </w:tcPr>
          <w:p>
            <w:pPr>
              <w:ind w:left="420"/>
              <w:spacing w:after="0"/>
              <w:rPr>
                <w:sz w:val="20"/>
                <w:szCs w:val="20"/>
                <w:color w:val="auto"/>
              </w:rPr>
            </w:pPr>
            <w:r>
              <w:rPr>
                <w:rFonts w:ascii="Arial" w:cs="Arial" w:eastAsia="Arial" w:hAnsi="Arial"/>
                <w:sz w:val="18"/>
                <w:szCs w:val="18"/>
                <w:color w:val="auto"/>
              </w:rPr>
              <w:t>Restrictive Agreements.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10.12</w:t>
            </w:r>
          </w:p>
        </w:tc>
        <w:tc>
          <w:tcPr>
            <w:tcW w:w="7100" w:type="dxa"/>
            <w:vAlign w:val="bottom"/>
          </w:tcPr>
          <w:p>
            <w:pPr>
              <w:ind w:left="420"/>
              <w:spacing w:after="0"/>
              <w:rPr>
                <w:sz w:val="20"/>
                <w:szCs w:val="20"/>
                <w:color w:val="auto"/>
              </w:rPr>
            </w:pPr>
            <w:r>
              <w:rPr>
                <w:rFonts w:ascii="Arial" w:cs="Arial" w:eastAsia="Arial" w:hAnsi="Arial"/>
                <w:sz w:val="18"/>
                <w:szCs w:val="18"/>
                <w:color w:val="auto"/>
              </w:rPr>
              <w:t>Nature of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2440" w:type="dxa"/>
            <w:vAlign w:val="bottom"/>
          </w:tcPr>
          <w:p>
            <w:pPr>
              <w:ind w:left="780"/>
              <w:spacing w:after="0"/>
              <w:rPr>
                <w:sz w:val="20"/>
                <w:szCs w:val="20"/>
                <w:color w:val="auto"/>
              </w:rPr>
            </w:pPr>
            <w:r>
              <w:rPr>
                <w:rFonts w:ascii="Arial" w:cs="Arial" w:eastAsia="Arial" w:hAnsi="Arial"/>
                <w:sz w:val="18"/>
                <w:szCs w:val="18"/>
                <w:color w:val="auto"/>
              </w:rPr>
              <w:t>SECTION 10.13</w:t>
            </w:r>
          </w:p>
        </w:tc>
        <w:tc>
          <w:tcPr>
            <w:tcW w:w="7100" w:type="dxa"/>
            <w:vAlign w:val="bottom"/>
          </w:tcPr>
          <w:p>
            <w:pPr>
              <w:ind w:left="420"/>
              <w:spacing w:after="0"/>
              <w:rPr>
                <w:sz w:val="20"/>
                <w:szCs w:val="20"/>
                <w:color w:val="auto"/>
              </w:rPr>
            </w:pPr>
            <w:r>
              <w:rPr>
                <w:rFonts w:ascii="Arial" w:cs="Arial" w:eastAsia="Arial" w:hAnsi="Arial"/>
                <w:sz w:val="18"/>
                <w:szCs w:val="18"/>
                <w:color w:val="auto"/>
              </w:rPr>
              <w:t>Anti-Corruption Laws.</w:t>
            </w:r>
          </w:p>
        </w:tc>
        <w:tc>
          <w:tcPr>
            <w:tcW w:w="166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273"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CHAR1\1753066v5ii</w:t>
      </w:r>
    </w:p>
    <w:p>
      <w:pPr>
        <w:sectPr>
          <w:pgSz w:w="11900" w:h="16838" w:orient="portrait"/>
          <w:cols w:equalWidth="0" w:num="1">
            <w:col w:w="11220"/>
          </w:cols>
          <w:pgMar w:left="320" w:top="1273" w:right="359" w:bottom="1440" w:gutter="0" w:footer="0" w:header="0"/>
          <w:type w:val="continuous"/>
        </w:sectPr>
      </w:pPr>
    </w:p>
    <w:bookmarkStart w:id="67" w:name="page68"/>
    <w:bookmarkEnd w:id="67"/>
    <w:tbl>
      <w:tblPr>
        <w:tblLayout w:type="fixed"/>
        <w:tblInd w:w="20" w:type="dxa"/>
        <w:tblCellMar>
          <w:top w:w="0" w:type="dxa"/>
          <w:left w:w="0" w:type="dxa"/>
          <w:bottom w:w="0" w:type="dxa"/>
          <w:right w:w="0" w:type="dxa"/>
        </w:tblCellMar>
      </w:tblP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ARTICLE XI DEFAULT AND REMEDIES</w:t>
            </w: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11.1</w:t>
            </w:r>
          </w:p>
        </w:tc>
        <w:tc>
          <w:tcPr>
            <w:tcW w:w="688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11.2</w:t>
            </w:r>
          </w:p>
        </w:tc>
        <w:tc>
          <w:tcPr>
            <w:tcW w:w="6880" w:type="dxa"/>
            <w:vAlign w:val="bottom"/>
          </w:tcPr>
          <w:p>
            <w:pPr>
              <w:ind w:left="100"/>
              <w:spacing w:after="0"/>
              <w:rPr>
                <w:sz w:val="20"/>
                <w:szCs w:val="20"/>
                <w:color w:val="auto"/>
              </w:rPr>
            </w:pPr>
            <w:r>
              <w:rPr>
                <w:rFonts w:ascii="Arial" w:cs="Arial" w:eastAsia="Arial" w:hAnsi="Arial"/>
                <w:sz w:val="18"/>
                <w:szCs w:val="18"/>
                <w:color w:val="auto"/>
              </w:rPr>
              <w:t>Remedies.</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11.3</w:t>
            </w:r>
          </w:p>
        </w:tc>
        <w:tc>
          <w:tcPr>
            <w:tcW w:w="688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11.4</w:t>
            </w:r>
          </w:p>
        </w:tc>
        <w:tc>
          <w:tcPr>
            <w:tcW w:w="6880" w:type="dxa"/>
            <w:vAlign w:val="bottom"/>
          </w:tcPr>
          <w:p>
            <w:pPr>
              <w:ind w:left="100"/>
              <w:spacing w:after="0"/>
              <w:rPr>
                <w:sz w:val="20"/>
                <w:szCs w:val="20"/>
                <w:color w:val="auto"/>
              </w:rPr>
            </w:pPr>
            <w:r>
              <w:rPr>
                <w:rFonts w:ascii="Arial" w:cs="Arial" w:eastAsia="Arial" w:hAnsi="Arial"/>
                <w:sz w:val="18"/>
                <w:szCs w:val="18"/>
                <w:color w:val="auto"/>
              </w:rPr>
              <w:t>Crediting of Payments and Proceeds.</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9640" w:type="dxa"/>
            <w:vAlign w:val="bottom"/>
            <w:gridSpan w:val="2"/>
          </w:tcPr>
          <w:p>
            <w:pPr>
              <w:spacing w:after="0"/>
              <w:rPr>
                <w:sz w:val="20"/>
                <w:szCs w:val="20"/>
                <w:color w:val="auto"/>
              </w:rPr>
            </w:pPr>
            <w:r>
              <w:rPr>
                <w:rFonts w:ascii="Arial" w:cs="Arial" w:eastAsia="Arial" w:hAnsi="Arial"/>
                <w:sz w:val="18"/>
                <w:szCs w:val="18"/>
                <w:color w:val="auto"/>
              </w:rPr>
              <w:t>ARTICLE XII THE ADMINISTRATIVE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12.1</w:t>
            </w:r>
          </w:p>
        </w:tc>
        <w:tc>
          <w:tcPr>
            <w:tcW w:w="6880" w:type="dxa"/>
            <w:vAlign w:val="bottom"/>
          </w:tcPr>
          <w:p>
            <w:pPr>
              <w:ind w:left="100"/>
              <w:spacing w:after="0"/>
              <w:rPr>
                <w:sz w:val="20"/>
                <w:szCs w:val="20"/>
                <w:color w:val="auto"/>
              </w:rPr>
            </w:pPr>
            <w:r>
              <w:rPr>
                <w:rFonts w:ascii="Arial" w:cs="Arial" w:eastAsia="Arial" w:hAnsi="Arial"/>
                <w:sz w:val="18"/>
                <w:szCs w:val="18"/>
                <w:color w:val="auto"/>
              </w:rPr>
              <w:t>Appointment and Authority.</w:t>
            </w: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12.2</w:t>
            </w:r>
          </w:p>
        </w:tc>
        <w:tc>
          <w:tcPr>
            <w:tcW w:w="6880" w:type="dxa"/>
            <w:vAlign w:val="bottom"/>
          </w:tcPr>
          <w:p>
            <w:pPr>
              <w:ind w:left="100"/>
              <w:spacing w:after="0"/>
              <w:rPr>
                <w:sz w:val="20"/>
                <w:szCs w:val="20"/>
                <w:color w:val="auto"/>
              </w:rPr>
            </w:pPr>
            <w:r>
              <w:rPr>
                <w:rFonts w:ascii="Arial" w:cs="Arial" w:eastAsia="Arial" w:hAnsi="Arial"/>
                <w:sz w:val="18"/>
                <w:szCs w:val="18"/>
                <w:color w:val="auto"/>
              </w:rPr>
              <w:t>Rights as a Lender.</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12.3</w:t>
            </w:r>
          </w:p>
        </w:tc>
        <w:tc>
          <w:tcPr>
            <w:tcW w:w="6880" w:type="dxa"/>
            <w:vAlign w:val="bottom"/>
          </w:tcPr>
          <w:p>
            <w:pPr>
              <w:ind w:left="100"/>
              <w:spacing w:after="0"/>
              <w:rPr>
                <w:sz w:val="20"/>
                <w:szCs w:val="20"/>
                <w:color w:val="auto"/>
              </w:rPr>
            </w:pPr>
            <w:r>
              <w:rPr>
                <w:rFonts w:ascii="Arial" w:cs="Arial" w:eastAsia="Arial" w:hAnsi="Arial"/>
                <w:sz w:val="18"/>
                <w:szCs w:val="18"/>
                <w:color w:val="auto"/>
              </w:rPr>
              <w:t>Exculpatory Provisions.</w:t>
            </w:r>
          </w:p>
        </w:tc>
        <w:tc>
          <w:tcPr>
            <w:tcW w:w="15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12.4</w:t>
            </w:r>
          </w:p>
        </w:tc>
        <w:tc>
          <w:tcPr>
            <w:tcW w:w="6880" w:type="dxa"/>
            <w:vAlign w:val="bottom"/>
          </w:tcPr>
          <w:p>
            <w:pPr>
              <w:ind w:left="100"/>
              <w:spacing w:after="0"/>
              <w:rPr>
                <w:sz w:val="20"/>
                <w:szCs w:val="20"/>
                <w:color w:val="auto"/>
              </w:rPr>
            </w:pPr>
            <w:r>
              <w:rPr>
                <w:rFonts w:ascii="Arial" w:cs="Arial" w:eastAsia="Arial" w:hAnsi="Arial"/>
                <w:sz w:val="18"/>
                <w:szCs w:val="18"/>
                <w:color w:val="auto"/>
              </w:rPr>
              <w:t>Reliance by Administrative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12.5</w:t>
            </w:r>
          </w:p>
        </w:tc>
        <w:tc>
          <w:tcPr>
            <w:tcW w:w="6880" w:type="dxa"/>
            <w:vAlign w:val="bottom"/>
          </w:tcPr>
          <w:p>
            <w:pPr>
              <w:ind w:left="100"/>
              <w:spacing w:after="0"/>
              <w:rPr>
                <w:sz w:val="20"/>
                <w:szCs w:val="20"/>
                <w:color w:val="auto"/>
              </w:rPr>
            </w:pPr>
            <w:r>
              <w:rPr>
                <w:rFonts w:ascii="Arial" w:cs="Arial" w:eastAsia="Arial" w:hAnsi="Arial"/>
                <w:sz w:val="18"/>
                <w:szCs w:val="18"/>
                <w:color w:val="auto"/>
              </w:rPr>
              <w:t>Delegation of Duties.</w:t>
            </w: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12.6</w:t>
            </w:r>
          </w:p>
        </w:tc>
        <w:tc>
          <w:tcPr>
            <w:tcW w:w="6880" w:type="dxa"/>
            <w:vAlign w:val="bottom"/>
          </w:tcPr>
          <w:p>
            <w:pPr>
              <w:ind w:left="100"/>
              <w:spacing w:after="0"/>
              <w:rPr>
                <w:sz w:val="20"/>
                <w:szCs w:val="20"/>
                <w:color w:val="auto"/>
              </w:rPr>
            </w:pPr>
            <w:r>
              <w:rPr>
                <w:rFonts w:ascii="Arial" w:cs="Arial" w:eastAsia="Arial" w:hAnsi="Arial"/>
                <w:sz w:val="18"/>
                <w:szCs w:val="18"/>
                <w:color w:val="auto"/>
              </w:rPr>
              <w:t>Resignation and Removal of Administrative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12.7</w:t>
            </w:r>
          </w:p>
        </w:tc>
        <w:tc>
          <w:tcPr>
            <w:tcW w:w="6880" w:type="dxa"/>
            <w:vAlign w:val="bottom"/>
          </w:tcPr>
          <w:p>
            <w:pPr>
              <w:ind w:left="100"/>
              <w:spacing w:after="0"/>
              <w:rPr>
                <w:sz w:val="20"/>
                <w:szCs w:val="20"/>
                <w:color w:val="auto"/>
              </w:rPr>
            </w:pPr>
            <w:r>
              <w:rPr>
                <w:rFonts w:ascii="Arial" w:cs="Arial" w:eastAsia="Arial" w:hAnsi="Arial"/>
                <w:sz w:val="18"/>
                <w:szCs w:val="18"/>
                <w:color w:val="auto"/>
              </w:rPr>
              <w:t>Non-Reliance on Administrative Agent and Other Lenders.</w:t>
            </w: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12.8</w:t>
            </w:r>
          </w:p>
        </w:tc>
        <w:tc>
          <w:tcPr>
            <w:tcW w:w="6880" w:type="dxa"/>
            <w:vAlign w:val="bottom"/>
          </w:tcPr>
          <w:p>
            <w:pPr>
              <w:ind w:left="100"/>
              <w:spacing w:after="0"/>
              <w:rPr>
                <w:sz w:val="20"/>
                <w:szCs w:val="20"/>
                <w:color w:val="auto"/>
              </w:rPr>
            </w:pPr>
            <w:r>
              <w:rPr>
                <w:rFonts w:ascii="Arial" w:cs="Arial" w:eastAsia="Arial" w:hAnsi="Arial"/>
                <w:sz w:val="18"/>
                <w:szCs w:val="18"/>
                <w:color w:val="auto"/>
              </w:rPr>
              <w:t>No Other Duties,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12.9</w:t>
            </w:r>
          </w:p>
        </w:tc>
        <w:tc>
          <w:tcPr>
            <w:tcW w:w="6880" w:type="dxa"/>
            <w:vAlign w:val="bottom"/>
          </w:tcPr>
          <w:p>
            <w:pPr>
              <w:ind w:left="100"/>
              <w:spacing w:after="0"/>
              <w:rPr>
                <w:sz w:val="20"/>
                <w:szCs w:val="20"/>
                <w:color w:val="auto"/>
              </w:rPr>
            </w:pPr>
            <w:r>
              <w:rPr>
                <w:rFonts w:ascii="Arial" w:cs="Arial" w:eastAsia="Arial" w:hAnsi="Arial"/>
                <w:sz w:val="18"/>
                <w:szCs w:val="18"/>
                <w:color w:val="auto"/>
              </w:rPr>
              <w:t>Administrative Agent May File Proofs of Claim; Credit Bidding.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12.10</w:t>
            </w:r>
          </w:p>
        </w:tc>
        <w:tc>
          <w:tcPr>
            <w:tcW w:w="6880" w:type="dxa"/>
            <w:vAlign w:val="bottom"/>
          </w:tcPr>
          <w:p>
            <w:pPr>
              <w:ind w:left="100"/>
              <w:spacing w:after="0"/>
              <w:rPr>
                <w:sz w:val="20"/>
                <w:szCs w:val="20"/>
                <w:color w:val="auto"/>
              </w:rPr>
            </w:pPr>
            <w:r>
              <w:rPr>
                <w:rFonts w:ascii="Arial" w:cs="Arial" w:eastAsia="Arial" w:hAnsi="Arial"/>
                <w:sz w:val="18"/>
                <w:szCs w:val="18"/>
                <w:color w:val="auto"/>
              </w:rPr>
              <w:t>Collateral and Guaranty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12.11</w:t>
            </w:r>
          </w:p>
        </w:tc>
        <w:tc>
          <w:tcPr>
            <w:tcW w:w="6880" w:type="dxa"/>
            <w:vAlign w:val="bottom"/>
          </w:tcPr>
          <w:p>
            <w:pPr>
              <w:ind w:left="100"/>
              <w:spacing w:after="0"/>
              <w:rPr>
                <w:sz w:val="20"/>
                <w:szCs w:val="20"/>
                <w:color w:val="auto"/>
              </w:rPr>
            </w:pPr>
            <w:r>
              <w:rPr>
                <w:rFonts w:ascii="Arial" w:cs="Arial" w:eastAsia="Arial" w:hAnsi="Arial"/>
                <w:sz w:val="18"/>
                <w:szCs w:val="18"/>
                <w:color w:val="auto"/>
              </w:rPr>
              <w:t>Bank Products.</w:t>
            </w:r>
          </w:p>
        </w:tc>
        <w:tc>
          <w:tcPr>
            <w:tcW w:w="15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12.12</w:t>
            </w:r>
          </w:p>
        </w:tc>
        <w:tc>
          <w:tcPr>
            <w:tcW w:w="6880" w:type="dxa"/>
            <w:vAlign w:val="bottom"/>
          </w:tcPr>
          <w:p>
            <w:pPr>
              <w:ind w:left="100"/>
              <w:spacing w:after="0"/>
              <w:rPr>
                <w:sz w:val="20"/>
                <w:szCs w:val="20"/>
                <w:color w:val="auto"/>
              </w:rPr>
            </w:pPr>
            <w:r>
              <w:rPr>
                <w:rFonts w:ascii="Arial" w:cs="Arial" w:eastAsia="Arial" w:hAnsi="Arial"/>
                <w:sz w:val="18"/>
                <w:szCs w:val="18"/>
                <w:color w:val="auto"/>
              </w:rPr>
              <w:t>Certain ERISA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ARTICLE XIII MISCELLANEOUS</w:t>
            </w:r>
          </w:p>
        </w:tc>
        <w:tc>
          <w:tcPr>
            <w:tcW w:w="68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w:t>
            </w:r>
          </w:p>
        </w:tc>
        <w:tc>
          <w:tcPr>
            <w:tcW w:w="6880" w:type="dxa"/>
            <w:vAlign w:val="bottom"/>
          </w:tcPr>
          <w:p>
            <w:pPr>
              <w:ind w:left="100"/>
              <w:spacing w:after="0"/>
              <w:rPr>
                <w:sz w:val="20"/>
                <w:szCs w:val="20"/>
                <w:color w:val="auto"/>
              </w:rPr>
            </w:pPr>
            <w:r>
              <w:rPr>
                <w:rFonts w:ascii="Arial" w:cs="Arial" w:eastAsia="Arial" w:hAnsi="Arial"/>
                <w:sz w:val="18"/>
                <w:szCs w:val="18"/>
                <w:color w:val="auto"/>
              </w:rPr>
              <w:t>Notices; Effectiveness; Electronic Communications.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w:t>
            </w:r>
          </w:p>
        </w:tc>
        <w:tc>
          <w:tcPr>
            <w:tcW w:w="688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13.3</w:t>
            </w:r>
          </w:p>
        </w:tc>
        <w:tc>
          <w:tcPr>
            <w:tcW w:w="6880" w:type="dxa"/>
            <w:vAlign w:val="bottom"/>
          </w:tcPr>
          <w:p>
            <w:pPr>
              <w:ind w:left="100"/>
              <w:spacing w:after="0"/>
              <w:rPr>
                <w:sz w:val="20"/>
                <w:szCs w:val="20"/>
                <w:color w:val="auto"/>
              </w:rPr>
            </w:pPr>
            <w:r>
              <w:rPr>
                <w:rFonts w:ascii="Arial" w:cs="Arial" w:eastAsia="Arial" w:hAnsi="Arial"/>
                <w:sz w:val="18"/>
                <w:szCs w:val="18"/>
                <w:color w:val="auto"/>
              </w:rPr>
              <w:t>No Waiver; Cumulative Remedies; Enforcement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13.4</w:t>
            </w:r>
          </w:p>
        </w:tc>
        <w:tc>
          <w:tcPr>
            <w:tcW w:w="6880" w:type="dxa"/>
            <w:vAlign w:val="bottom"/>
          </w:tcPr>
          <w:p>
            <w:pPr>
              <w:ind w:left="100"/>
              <w:spacing w:after="0"/>
              <w:rPr>
                <w:sz w:val="20"/>
                <w:szCs w:val="20"/>
                <w:color w:val="auto"/>
              </w:rPr>
            </w:pPr>
            <w:r>
              <w:rPr>
                <w:rFonts w:ascii="Arial" w:cs="Arial" w:eastAsia="Arial" w:hAnsi="Arial"/>
                <w:sz w:val="18"/>
                <w:szCs w:val="18"/>
                <w:color w:val="auto"/>
              </w:rPr>
              <w:t>Expenses; Indemnity; Damage Waiver.</w:t>
            </w:r>
          </w:p>
        </w:tc>
        <w:tc>
          <w:tcPr>
            <w:tcW w:w="15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13.5</w:t>
            </w:r>
          </w:p>
        </w:tc>
        <w:tc>
          <w:tcPr>
            <w:tcW w:w="6880" w:type="dxa"/>
            <w:vAlign w:val="bottom"/>
          </w:tcPr>
          <w:p>
            <w:pPr>
              <w:ind w:left="100"/>
              <w:spacing w:after="0" w:line="207" w:lineRule="exact"/>
              <w:rPr>
                <w:sz w:val="20"/>
                <w:szCs w:val="20"/>
                <w:color w:val="auto"/>
              </w:rPr>
            </w:pPr>
            <w:r>
              <w:rPr>
                <w:rFonts w:ascii="Arial" w:cs="Arial" w:eastAsia="Arial" w:hAnsi="Arial"/>
                <w:sz w:val="18"/>
                <w:szCs w:val="18"/>
                <w:color w:val="auto"/>
              </w:rPr>
              <w:t>Set</w:t>
            </w:r>
            <w:r>
              <w:rPr>
                <w:rFonts w:ascii="MS PGothic" w:cs="MS PGothic" w:eastAsia="MS PGothic" w:hAnsi="MS PGothic"/>
                <w:sz w:val="18"/>
                <w:szCs w:val="18"/>
                <w:color w:val="auto"/>
              </w:rPr>
              <w:t>‑</w:t>
            </w:r>
            <w:r>
              <w:rPr>
                <w:rFonts w:ascii="Arial" w:cs="Arial" w:eastAsia="Arial" w:hAnsi="Arial"/>
                <w:sz w:val="18"/>
                <w:szCs w:val="18"/>
                <w:color w:val="auto"/>
              </w:rPr>
              <w:t>off.</w:t>
            </w:r>
          </w:p>
        </w:tc>
        <w:tc>
          <w:tcPr>
            <w:tcW w:w="15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13.6</w:t>
            </w:r>
          </w:p>
        </w:tc>
        <w:tc>
          <w:tcPr>
            <w:tcW w:w="6880" w:type="dxa"/>
            <w:vAlign w:val="bottom"/>
          </w:tcPr>
          <w:p>
            <w:pPr>
              <w:ind w:left="100"/>
              <w:spacing w:after="0"/>
              <w:rPr>
                <w:sz w:val="20"/>
                <w:szCs w:val="20"/>
                <w:color w:val="auto"/>
              </w:rPr>
            </w:pPr>
            <w:r>
              <w:rPr>
                <w:rFonts w:ascii="Arial" w:cs="Arial" w:eastAsia="Arial" w:hAnsi="Arial"/>
                <w:sz w:val="18"/>
                <w:szCs w:val="18"/>
                <w:color w:val="auto"/>
              </w:rPr>
              <w:t>Governing Law; Jurisdiction; Etc.</w:t>
            </w:r>
          </w:p>
        </w:tc>
        <w:tc>
          <w:tcPr>
            <w:tcW w:w="15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13.7</w:t>
            </w:r>
          </w:p>
        </w:tc>
        <w:tc>
          <w:tcPr>
            <w:tcW w:w="688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15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13.8</w:t>
            </w:r>
          </w:p>
        </w:tc>
        <w:tc>
          <w:tcPr>
            <w:tcW w:w="6880" w:type="dxa"/>
            <w:vAlign w:val="bottom"/>
          </w:tcPr>
          <w:p>
            <w:pPr>
              <w:ind w:left="100"/>
              <w:spacing w:after="0"/>
              <w:rPr>
                <w:sz w:val="20"/>
                <w:szCs w:val="20"/>
                <w:color w:val="auto"/>
              </w:rPr>
            </w:pPr>
            <w:r>
              <w:rPr>
                <w:rFonts w:ascii="Arial" w:cs="Arial" w:eastAsia="Arial" w:hAnsi="Arial"/>
                <w:sz w:val="18"/>
                <w:szCs w:val="18"/>
                <w:color w:val="auto"/>
              </w:rPr>
              <w:t>Reversal of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13.9</w:t>
            </w:r>
          </w:p>
        </w:tc>
        <w:tc>
          <w:tcPr>
            <w:tcW w:w="688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15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13.10</w:t>
            </w:r>
          </w:p>
        </w:tc>
        <w:tc>
          <w:tcPr>
            <w:tcW w:w="6880" w:type="dxa"/>
            <w:vAlign w:val="bottom"/>
          </w:tcPr>
          <w:p>
            <w:pPr>
              <w:ind w:left="100"/>
              <w:spacing w:after="0"/>
              <w:rPr>
                <w:sz w:val="20"/>
                <w:szCs w:val="20"/>
                <w:color w:val="auto"/>
              </w:rPr>
            </w:pPr>
            <w:r>
              <w:rPr>
                <w:rFonts w:ascii="Arial" w:cs="Arial" w:eastAsia="Arial" w:hAnsi="Arial"/>
                <w:sz w:val="18"/>
                <w:szCs w:val="18"/>
                <w:color w:val="auto"/>
              </w:rPr>
              <w:t>Treatment of Certain Information; Confidentiality.</w:t>
            </w:r>
          </w:p>
        </w:tc>
        <w:tc>
          <w:tcPr>
            <w:tcW w:w="15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13.11</w:t>
            </w:r>
          </w:p>
        </w:tc>
        <w:tc>
          <w:tcPr>
            <w:tcW w:w="6880" w:type="dxa"/>
            <w:vAlign w:val="bottom"/>
          </w:tcPr>
          <w:p>
            <w:pPr>
              <w:ind w:left="100"/>
              <w:spacing w:after="0"/>
              <w:rPr>
                <w:sz w:val="20"/>
                <w:szCs w:val="20"/>
                <w:color w:val="auto"/>
              </w:rPr>
            </w:pPr>
            <w:r>
              <w:rPr>
                <w:rFonts w:ascii="Arial" w:cs="Arial" w:eastAsia="Arial" w:hAnsi="Arial"/>
                <w:sz w:val="18"/>
                <w:szCs w:val="18"/>
                <w:color w:val="auto"/>
              </w:rPr>
              <w:t>Performance of Duties.</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13.12</w:t>
            </w:r>
          </w:p>
        </w:tc>
        <w:tc>
          <w:tcPr>
            <w:tcW w:w="6880" w:type="dxa"/>
            <w:vAlign w:val="bottom"/>
          </w:tcPr>
          <w:p>
            <w:pPr>
              <w:ind w:left="100"/>
              <w:spacing w:after="0"/>
              <w:rPr>
                <w:sz w:val="20"/>
                <w:szCs w:val="20"/>
                <w:color w:val="auto"/>
              </w:rPr>
            </w:pPr>
            <w:r>
              <w:rPr>
                <w:rFonts w:ascii="Arial" w:cs="Arial" w:eastAsia="Arial" w:hAnsi="Arial"/>
                <w:sz w:val="18"/>
                <w:szCs w:val="18"/>
                <w:color w:val="auto"/>
              </w:rPr>
              <w:t>All Powers Coupled with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13.13</w:t>
            </w:r>
          </w:p>
        </w:tc>
        <w:tc>
          <w:tcPr>
            <w:tcW w:w="6880" w:type="dxa"/>
            <w:vAlign w:val="bottom"/>
          </w:tcPr>
          <w:p>
            <w:pPr>
              <w:ind w:left="100"/>
              <w:spacing w:after="0"/>
              <w:rPr>
                <w:sz w:val="20"/>
                <w:szCs w:val="20"/>
                <w:color w:val="auto"/>
              </w:rPr>
            </w:pPr>
            <w:r>
              <w:rPr>
                <w:rFonts w:ascii="Arial" w:cs="Arial" w:eastAsia="Arial" w:hAnsi="Arial"/>
                <w:sz w:val="18"/>
                <w:szCs w:val="18"/>
                <w:color w:val="auto"/>
              </w:rPr>
              <w:t>Survival.</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13.14</w:t>
            </w:r>
          </w:p>
        </w:tc>
        <w:tc>
          <w:tcPr>
            <w:tcW w:w="6880" w:type="dxa"/>
            <w:vAlign w:val="bottom"/>
          </w:tcPr>
          <w:p>
            <w:pPr>
              <w:ind w:left="100"/>
              <w:spacing w:after="0"/>
              <w:rPr>
                <w:sz w:val="20"/>
                <w:szCs w:val="20"/>
                <w:color w:val="auto"/>
              </w:rPr>
            </w:pPr>
            <w:r>
              <w:rPr>
                <w:rFonts w:ascii="Arial" w:cs="Arial" w:eastAsia="Arial" w:hAnsi="Arial"/>
                <w:sz w:val="18"/>
                <w:szCs w:val="18"/>
                <w:color w:val="auto"/>
              </w:rPr>
              <w:t>Titles and Captions.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13.15</w:t>
            </w:r>
          </w:p>
        </w:tc>
        <w:tc>
          <w:tcPr>
            <w:tcW w:w="6880" w:type="dxa"/>
            <w:vAlign w:val="bottom"/>
          </w:tcPr>
          <w:p>
            <w:pPr>
              <w:ind w:left="100"/>
              <w:spacing w:after="0"/>
              <w:rPr>
                <w:sz w:val="20"/>
                <w:szCs w:val="20"/>
                <w:color w:val="auto"/>
              </w:rPr>
            </w:pPr>
            <w:r>
              <w:rPr>
                <w:rFonts w:ascii="Arial" w:cs="Arial" w:eastAsia="Arial" w:hAnsi="Arial"/>
                <w:sz w:val="18"/>
                <w:szCs w:val="18"/>
                <w:color w:val="auto"/>
              </w:rPr>
              <w:t>Severability of Provisions.</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13.16</w:t>
            </w:r>
          </w:p>
        </w:tc>
        <w:tc>
          <w:tcPr>
            <w:tcW w:w="68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15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13.17</w:t>
            </w:r>
          </w:p>
        </w:tc>
        <w:tc>
          <w:tcPr>
            <w:tcW w:w="688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13.18</w:t>
            </w:r>
          </w:p>
        </w:tc>
        <w:tc>
          <w:tcPr>
            <w:tcW w:w="6880" w:type="dxa"/>
            <w:vAlign w:val="bottom"/>
          </w:tcPr>
          <w:p>
            <w:pPr>
              <w:ind w:left="100"/>
              <w:spacing w:after="0"/>
              <w:rPr>
                <w:sz w:val="20"/>
                <w:szCs w:val="20"/>
                <w:color w:val="auto"/>
              </w:rPr>
            </w:pPr>
            <w:r>
              <w:rPr>
                <w:rFonts w:ascii="Arial" w:cs="Arial" w:eastAsia="Arial" w:hAnsi="Arial"/>
                <w:sz w:val="18"/>
                <w:szCs w:val="18"/>
                <w:color w:val="auto"/>
              </w:rPr>
              <w:t>Term of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13.19</w:t>
            </w:r>
          </w:p>
        </w:tc>
        <w:tc>
          <w:tcPr>
            <w:tcW w:w="688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13.20</w:t>
            </w:r>
          </w:p>
        </w:tc>
        <w:tc>
          <w:tcPr>
            <w:tcW w:w="6880" w:type="dxa"/>
            <w:vAlign w:val="bottom"/>
          </w:tcPr>
          <w:p>
            <w:pPr>
              <w:ind w:left="100"/>
              <w:spacing w:after="0"/>
              <w:rPr>
                <w:sz w:val="20"/>
                <w:szCs w:val="20"/>
                <w:color w:val="auto"/>
              </w:rPr>
            </w:pPr>
            <w:r>
              <w:rPr>
                <w:rFonts w:ascii="Arial" w:cs="Arial" w:eastAsia="Arial" w:hAnsi="Arial"/>
                <w:sz w:val="18"/>
                <w:szCs w:val="18"/>
                <w:color w:val="auto"/>
              </w:rPr>
              <w:t>Advice of Counsel, No Strict Construction.</w:t>
            </w: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13.21</w:t>
            </w:r>
          </w:p>
        </w:tc>
        <w:tc>
          <w:tcPr>
            <w:tcW w:w="6880" w:type="dxa"/>
            <w:vAlign w:val="bottom"/>
          </w:tcPr>
          <w:p>
            <w:pPr>
              <w:ind w:left="100"/>
              <w:spacing w:after="0"/>
              <w:rPr>
                <w:sz w:val="20"/>
                <w:szCs w:val="20"/>
                <w:color w:val="auto"/>
              </w:rPr>
            </w:pPr>
            <w:r>
              <w:rPr>
                <w:rFonts w:ascii="Arial" w:cs="Arial" w:eastAsia="Arial" w:hAnsi="Arial"/>
                <w:sz w:val="18"/>
                <w:szCs w:val="18"/>
                <w:color w:val="auto"/>
              </w:rPr>
              <w:t>Inconsistencies with Other Documents; Independent Effect of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13.22</w:t>
            </w:r>
          </w:p>
        </w:tc>
        <w:tc>
          <w:tcPr>
            <w:tcW w:w="6880" w:type="dxa"/>
            <w:vAlign w:val="bottom"/>
          </w:tcPr>
          <w:p>
            <w:pPr>
              <w:ind w:left="100"/>
              <w:spacing w:after="0"/>
              <w:rPr>
                <w:sz w:val="20"/>
                <w:szCs w:val="20"/>
                <w:color w:val="auto"/>
              </w:rPr>
            </w:pPr>
            <w:r>
              <w:rPr>
                <w:rFonts w:ascii="Arial" w:cs="Arial" w:eastAsia="Arial" w:hAnsi="Arial"/>
                <w:sz w:val="18"/>
                <w:szCs w:val="18"/>
                <w:color w:val="auto"/>
              </w:rPr>
              <w:t>No Advisory or Fiduciary Responsibility.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13.23</w:t>
            </w:r>
          </w:p>
        </w:tc>
        <w:tc>
          <w:tcPr>
            <w:tcW w:w="688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15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13.24</w:t>
            </w:r>
          </w:p>
        </w:tc>
        <w:tc>
          <w:tcPr>
            <w:tcW w:w="6880" w:type="dxa"/>
            <w:vAlign w:val="bottom"/>
          </w:tcPr>
          <w:p>
            <w:pPr>
              <w:ind w:left="100"/>
              <w:spacing w:after="0"/>
              <w:rPr>
                <w:sz w:val="20"/>
                <w:szCs w:val="20"/>
                <w:color w:val="auto"/>
              </w:rPr>
            </w:pPr>
            <w:r>
              <w:rPr>
                <w:rFonts w:ascii="Arial" w:cs="Arial" w:eastAsia="Arial" w:hAnsi="Arial"/>
                <w:sz w:val="18"/>
                <w:szCs w:val="18"/>
                <w:color w:val="auto"/>
              </w:rPr>
              <w:t>Electronic Execution; Electronic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13.25</w:t>
            </w:r>
          </w:p>
        </w:tc>
        <w:tc>
          <w:tcPr>
            <w:tcW w:w="688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2760" w:type="dxa"/>
            <w:vAlign w:val="bottom"/>
          </w:tcPr>
          <w:p>
            <w:pPr>
              <w:ind w:left="780"/>
              <w:spacing w:after="0"/>
              <w:rPr>
                <w:sz w:val="20"/>
                <w:szCs w:val="20"/>
                <w:color w:val="auto"/>
              </w:rPr>
            </w:pPr>
            <w:r>
              <w:rPr>
                <w:rFonts w:ascii="Arial" w:cs="Arial" w:eastAsia="Arial" w:hAnsi="Arial"/>
                <w:sz w:val="18"/>
                <w:szCs w:val="18"/>
                <w:color w:val="auto"/>
              </w:rPr>
              <w:t>SECTION 13.26</w:t>
            </w:r>
          </w:p>
        </w:tc>
        <w:tc>
          <w:tcPr>
            <w:tcW w:w="6880" w:type="dxa"/>
            <w:vAlign w:val="bottom"/>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273"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CHAR1\1753066v5iii</w:t>
      </w:r>
    </w:p>
    <w:p>
      <w:pPr>
        <w:sectPr>
          <w:pgSz w:w="11900" w:h="16838" w:orient="portrait"/>
          <w:cols w:equalWidth="0" w:num="1">
            <w:col w:w="11220"/>
          </w:cols>
          <w:pgMar w:left="320" w:top="1273" w:right="359" w:bottom="1440" w:gutter="0" w:footer="0" w:header="0"/>
          <w:type w:val="continuous"/>
        </w:sectPr>
      </w:pPr>
    </w:p>
    <w:bookmarkStart w:id="68" w:name="page69"/>
    <w:bookmarkEnd w:id="68"/>
    <w:p>
      <w:pPr>
        <w:ind w:left="800"/>
        <w:spacing w:after="0"/>
        <w:tabs>
          <w:tab w:leader="none" w:pos="2860" w:val="left"/>
          <w:tab w:leader="none" w:pos="10940" w:val="left"/>
        </w:tabs>
        <w:rPr>
          <w:sz w:val="20"/>
          <w:szCs w:val="20"/>
          <w:color w:val="auto"/>
        </w:rPr>
      </w:pPr>
      <w:r>
        <w:rPr>
          <w:rFonts w:ascii="Arial" w:cs="Arial" w:eastAsia="Arial" w:hAnsi="Arial"/>
          <w:sz w:val="18"/>
          <w:szCs w:val="18"/>
          <w:color w:val="auto"/>
        </w:rPr>
        <w:t>SECTION 13.27</w:t>
      </w:r>
      <w:r>
        <w:rPr>
          <w:sz w:val="20"/>
          <w:szCs w:val="20"/>
          <w:color w:val="auto"/>
        </w:rPr>
        <w:tab/>
      </w:r>
      <w:r>
        <w:rPr>
          <w:rFonts w:ascii="Arial" w:cs="Arial" w:eastAsia="Arial" w:hAnsi="Arial"/>
          <w:sz w:val="18"/>
          <w:szCs w:val="18"/>
          <w:color w:val="auto"/>
        </w:rPr>
        <w:t>Amendment and Restatement</w:t>
      </w:r>
      <w:r>
        <w:rPr>
          <w:sz w:val="20"/>
          <w:szCs w:val="20"/>
          <w:color w:val="auto"/>
        </w:rPr>
        <w:tab/>
      </w:r>
      <w:r>
        <w:rPr>
          <w:rFonts w:ascii="Arial" w:cs="Arial" w:eastAsia="Arial" w:hAnsi="Arial"/>
          <w:sz w:val="15"/>
          <w:szCs w:val="15"/>
          <w:color w:val="auto"/>
        </w:rPr>
        <w:t>151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CHAR1\1753066v5iv</w:t>
      </w:r>
    </w:p>
    <w:p>
      <w:pPr>
        <w:sectPr>
          <w:pgSz w:w="11900" w:h="16838" w:orient="portrait"/>
          <w:cols w:equalWidth="0" w:num="1">
            <w:col w:w="11220"/>
          </w:cols>
          <w:pgMar w:left="320" w:top="1273" w:right="35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r>
      <w:tr>
        <w:trPr>
          <w:trHeight w:val="268"/>
        </w:trPr>
        <w:tc>
          <w:tcPr>
            <w:tcW w:w="1140" w:type="dxa"/>
            <w:vAlign w:val="bottom"/>
            <w:gridSpan w:val="3"/>
          </w:tcPr>
          <w:p>
            <w:pPr>
              <w:spacing w:after="0"/>
              <w:rPr>
                <w:sz w:val="20"/>
                <w:szCs w:val="20"/>
                <w:color w:val="auto"/>
              </w:rPr>
            </w:pPr>
            <w:r>
              <w:rPr>
                <w:rFonts w:ascii="Arial" w:cs="Arial" w:eastAsia="Arial" w:hAnsi="Arial"/>
                <w:sz w:val="20"/>
                <w:szCs w:val="20"/>
                <w:color w:val="auto"/>
              </w:rPr>
              <w:t>Exhibit A-1</w:t>
            </w:r>
          </w:p>
        </w:tc>
        <w:tc>
          <w:tcPr>
            <w:tcW w:w="5160" w:type="dxa"/>
            <w:vAlign w:val="bottom"/>
            <w:gridSpan w:val="4"/>
          </w:tcPr>
          <w:p>
            <w:pPr>
              <w:spacing w:after="0"/>
              <w:rPr>
                <w:sz w:val="20"/>
                <w:szCs w:val="20"/>
                <w:color w:val="auto"/>
              </w:rPr>
            </w:pPr>
            <w:r>
              <w:rPr>
                <w:rFonts w:ascii="Arial" w:cs="Arial" w:eastAsia="Arial" w:hAnsi="Arial"/>
                <w:sz w:val="20"/>
                <w:szCs w:val="20"/>
                <w:color w:val="auto"/>
              </w:rPr>
              <w:t>-  Form of Dollar Tranche Revolving Credit Note</w:t>
            </w:r>
          </w:p>
        </w:tc>
      </w:tr>
      <w:tr>
        <w:trPr>
          <w:trHeight w:val="249"/>
        </w:trPr>
        <w:tc>
          <w:tcPr>
            <w:tcW w:w="1140" w:type="dxa"/>
            <w:vAlign w:val="bottom"/>
            <w:gridSpan w:val="3"/>
          </w:tcPr>
          <w:p>
            <w:pPr>
              <w:spacing w:after="0"/>
              <w:rPr>
                <w:sz w:val="20"/>
                <w:szCs w:val="20"/>
                <w:color w:val="auto"/>
              </w:rPr>
            </w:pPr>
            <w:r>
              <w:rPr>
                <w:rFonts w:ascii="Arial" w:cs="Arial" w:eastAsia="Arial" w:hAnsi="Arial"/>
                <w:sz w:val="20"/>
                <w:szCs w:val="20"/>
                <w:color w:val="auto"/>
              </w:rPr>
              <w:t>Exhibit A-2</w:t>
            </w:r>
          </w:p>
        </w:tc>
        <w:tc>
          <w:tcPr>
            <w:tcW w:w="5160" w:type="dxa"/>
            <w:vAlign w:val="bottom"/>
            <w:gridSpan w:val="4"/>
          </w:tcPr>
          <w:p>
            <w:pPr>
              <w:spacing w:after="0"/>
              <w:rPr>
                <w:sz w:val="20"/>
                <w:szCs w:val="20"/>
                <w:color w:val="auto"/>
              </w:rPr>
            </w:pPr>
            <w:r>
              <w:rPr>
                <w:rFonts w:ascii="Arial" w:cs="Arial" w:eastAsia="Arial" w:hAnsi="Arial"/>
                <w:sz w:val="20"/>
                <w:szCs w:val="20"/>
                <w:color w:val="auto"/>
              </w:rPr>
              <w:t>-  Form of Swingline Note</w:t>
            </w:r>
          </w:p>
        </w:tc>
      </w:tr>
      <w:tr>
        <w:trPr>
          <w:trHeight w:val="250"/>
        </w:trPr>
        <w:tc>
          <w:tcPr>
            <w:tcW w:w="1140" w:type="dxa"/>
            <w:vAlign w:val="bottom"/>
            <w:gridSpan w:val="3"/>
          </w:tcPr>
          <w:p>
            <w:pPr>
              <w:spacing w:after="0"/>
              <w:rPr>
                <w:sz w:val="20"/>
                <w:szCs w:val="20"/>
                <w:color w:val="auto"/>
              </w:rPr>
            </w:pPr>
            <w:r>
              <w:rPr>
                <w:rFonts w:ascii="Arial" w:cs="Arial" w:eastAsia="Arial" w:hAnsi="Arial"/>
                <w:sz w:val="20"/>
                <w:szCs w:val="20"/>
                <w:color w:val="auto"/>
              </w:rPr>
              <w:t>Exhibit A-3</w:t>
            </w:r>
          </w:p>
        </w:tc>
        <w:tc>
          <w:tcPr>
            <w:tcW w:w="5160" w:type="dxa"/>
            <w:vAlign w:val="bottom"/>
            <w:gridSpan w:val="4"/>
          </w:tcPr>
          <w:p>
            <w:pPr>
              <w:spacing w:after="0"/>
              <w:rPr>
                <w:sz w:val="20"/>
                <w:szCs w:val="20"/>
                <w:color w:val="auto"/>
              </w:rPr>
            </w:pPr>
            <w:r>
              <w:rPr>
                <w:rFonts w:ascii="Arial" w:cs="Arial" w:eastAsia="Arial" w:hAnsi="Arial"/>
                <w:sz w:val="20"/>
                <w:szCs w:val="20"/>
                <w:color w:val="auto"/>
              </w:rPr>
              <w:t>-  Form of Term Loan Note</w:t>
            </w:r>
          </w:p>
        </w:tc>
      </w:tr>
      <w:tr>
        <w:trPr>
          <w:trHeight w:val="249"/>
        </w:trPr>
        <w:tc>
          <w:tcPr>
            <w:tcW w:w="1140" w:type="dxa"/>
            <w:vAlign w:val="bottom"/>
            <w:gridSpan w:val="3"/>
          </w:tcPr>
          <w:p>
            <w:pPr>
              <w:spacing w:after="0"/>
              <w:rPr>
                <w:sz w:val="20"/>
                <w:szCs w:val="20"/>
                <w:color w:val="auto"/>
              </w:rPr>
            </w:pPr>
            <w:r>
              <w:rPr>
                <w:rFonts w:ascii="Arial" w:cs="Arial" w:eastAsia="Arial" w:hAnsi="Arial"/>
                <w:sz w:val="20"/>
                <w:szCs w:val="20"/>
                <w:color w:val="auto"/>
              </w:rPr>
              <w:t>Exhibit A-4</w:t>
            </w:r>
          </w:p>
        </w:tc>
        <w:tc>
          <w:tcPr>
            <w:tcW w:w="5160" w:type="dxa"/>
            <w:vAlign w:val="bottom"/>
            <w:gridSpan w:val="4"/>
          </w:tcPr>
          <w:p>
            <w:pPr>
              <w:spacing w:after="0"/>
              <w:rPr>
                <w:sz w:val="20"/>
                <w:szCs w:val="20"/>
                <w:color w:val="auto"/>
              </w:rPr>
            </w:pPr>
            <w:r>
              <w:rPr>
                <w:rFonts w:ascii="Arial" w:cs="Arial" w:eastAsia="Arial" w:hAnsi="Arial"/>
                <w:sz w:val="20"/>
                <w:szCs w:val="20"/>
                <w:color w:val="auto"/>
                <w:w w:val="91"/>
              </w:rPr>
              <w:t>-  Form of Designated Currency Tranche Revolving Credit Note</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B</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80"/>
              <w:spacing w:after="0"/>
              <w:rPr>
                <w:sz w:val="20"/>
                <w:szCs w:val="20"/>
                <w:color w:val="auto"/>
              </w:rPr>
            </w:pPr>
            <w:r>
              <w:rPr>
                <w:rFonts w:ascii="Arial" w:cs="Arial" w:eastAsia="Arial" w:hAnsi="Arial"/>
                <w:sz w:val="20"/>
                <w:szCs w:val="20"/>
                <w:color w:val="auto"/>
              </w:rPr>
              <w:t>Form of Loan Notice</w:t>
            </w:r>
          </w:p>
        </w:tc>
      </w:tr>
      <w:tr>
        <w:trPr>
          <w:trHeight w:val="249"/>
        </w:trPr>
        <w:tc>
          <w:tcPr>
            <w:tcW w:w="840" w:type="dxa"/>
            <w:vAlign w:val="bottom"/>
          </w:tcPr>
          <w:p>
            <w:pPr>
              <w:spacing w:after="0"/>
              <w:rPr>
                <w:sz w:val="20"/>
                <w:szCs w:val="20"/>
                <w:color w:val="auto"/>
              </w:rPr>
            </w:pPr>
            <w:r>
              <w:rPr>
                <w:rFonts w:ascii="Arial" w:cs="Arial" w:eastAsia="Arial" w:hAnsi="Arial"/>
                <w:sz w:val="20"/>
                <w:szCs w:val="20"/>
                <w:color w:val="auto"/>
              </w:rPr>
              <w:t>Exhibit C</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80"/>
              <w:spacing w:after="0"/>
              <w:rPr>
                <w:sz w:val="20"/>
                <w:szCs w:val="20"/>
                <w:color w:val="auto"/>
              </w:rPr>
            </w:pPr>
            <w:r>
              <w:rPr>
                <w:rFonts w:ascii="Arial" w:cs="Arial" w:eastAsia="Arial" w:hAnsi="Arial"/>
                <w:sz w:val="20"/>
                <w:szCs w:val="20"/>
                <w:color w:val="auto"/>
              </w:rPr>
              <w:t>Form of Notice of Account Designation</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D</w:t>
            </w:r>
          </w:p>
        </w:tc>
        <w:tc>
          <w:tcPr>
            <w:tcW w:w="3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180"/>
              <w:spacing w:after="0"/>
              <w:rPr>
                <w:sz w:val="20"/>
                <w:szCs w:val="20"/>
                <w:color w:val="auto"/>
              </w:rPr>
            </w:pPr>
            <w:r>
              <w:rPr>
                <w:rFonts w:ascii="Arial" w:cs="Arial" w:eastAsia="Arial" w:hAnsi="Arial"/>
                <w:sz w:val="20"/>
                <w:szCs w:val="20"/>
                <w:color w:val="auto"/>
              </w:rPr>
              <w:t>Form of Notice of Prepayment</w:t>
            </w:r>
          </w:p>
        </w:tc>
      </w:tr>
      <w:tr>
        <w:trPr>
          <w:trHeight w:val="249"/>
        </w:trPr>
        <w:tc>
          <w:tcPr>
            <w:tcW w:w="840" w:type="dxa"/>
            <w:vAlign w:val="bottom"/>
          </w:tcPr>
          <w:p>
            <w:pPr>
              <w:spacing w:after="0"/>
              <w:rPr>
                <w:sz w:val="20"/>
                <w:szCs w:val="20"/>
                <w:color w:val="auto"/>
              </w:rPr>
            </w:pPr>
            <w:r>
              <w:rPr>
                <w:rFonts w:ascii="Arial" w:cs="Arial" w:eastAsia="Arial" w:hAnsi="Arial"/>
                <w:sz w:val="20"/>
                <w:szCs w:val="20"/>
                <w:color w:val="auto"/>
              </w:rPr>
              <w:t>Exhibit E</w:t>
            </w:r>
          </w:p>
        </w:tc>
        <w:tc>
          <w:tcPr>
            <w:tcW w:w="3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60"/>
              <w:spacing w:after="0"/>
              <w:rPr>
                <w:sz w:val="20"/>
                <w:szCs w:val="20"/>
                <w:color w:val="auto"/>
              </w:rPr>
            </w:pPr>
            <w:r>
              <w:rPr>
                <w:rFonts w:ascii="Arial" w:cs="Arial" w:eastAsia="Arial" w:hAnsi="Arial"/>
                <w:sz w:val="20"/>
                <w:szCs w:val="20"/>
                <w:color w:val="auto"/>
              </w:rPr>
              <w:t>Form of Swingline Loan Notice</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F</w:t>
            </w:r>
          </w:p>
        </w:tc>
        <w:tc>
          <w:tcPr>
            <w:tcW w:w="30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60"/>
              <w:spacing w:after="0"/>
              <w:rPr>
                <w:sz w:val="20"/>
                <w:szCs w:val="20"/>
                <w:color w:val="auto"/>
              </w:rPr>
            </w:pPr>
            <w:r>
              <w:rPr>
                <w:rFonts w:ascii="Arial" w:cs="Arial" w:eastAsia="Arial" w:hAnsi="Arial"/>
                <w:sz w:val="20"/>
                <w:szCs w:val="20"/>
                <w:color w:val="auto"/>
              </w:rPr>
              <w:t>Form of Officer’s Compliance Certificate</w:t>
            </w:r>
          </w:p>
        </w:tc>
      </w:tr>
      <w:tr>
        <w:trPr>
          <w:trHeight w:val="249"/>
        </w:trPr>
        <w:tc>
          <w:tcPr>
            <w:tcW w:w="840" w:type="dxa"/>
            <w:vAlign w:val="bottom"/>
          </w:tcPr>
          <w:p>
            <w:pPr>
              <w:spacing w:after="0"/>
              <w:rPr>
                <w:sz w:val="20"/>
                <w:szCs w:val="20"/>
                <w:color w:val="auto"/>
              </w:rPr>
            </w:pPr>
            <w:r>
              <w:rPr>
                <w:rFonts w:ascii="Arial" w:cs="Arial" w:eastAsia="Arial" w:hAnsi="Arial"/>
                <w:sz w:val="20"/>
                <w:szCs w:val="20"/>
                <w:color w:val="auto"/>
              </w:rPr>
              <w:t>Exhibit G</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80"/>
              <w:spacing w:after="0"/>
              <w:rPr>
                <w:sz w:val="20"/>
                <w:szCs w:val="20"/>
                <w:color w:val="auto"/>
              </w:rPr>
            </w:pPr>
            <w:r>
              <w:rPr>
                <w:rFonts w:ascii="Arial" w:cs="Arial" w:eastAsia="Arial" w:hAnsi="Arial"/>
                <w:sz w:val="20"/>
                <w:szCs w:val="20"/>
                <w:color w:val="auto"/>
              </w:rPr>
              <w:t>Form of Assignment and Assumption</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Exhibit H</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80"/>
              <w:spacing w:after="0"/>
              <w:rPr>
                <w:sz w:val="20"/>
                <w:szCs w:val="20"/>
                <w:color w:val="auto"/>
              </w:rPr>
            </w:pPr>
            <w:r>
              <w:rPr>
                <w:rFonts w:ascii="Arial" w:cs="Arial" w:eastAsia="Arial" w:hAnsi="Arial"/>
                <w:sz w:val="20"/>
                <w:szCs w:val="20"/>
                <w:color w:val="auto"/>
              </w:rPr>
              <w:t>Form of Guaranty Agreement</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I</w:t>
            </w:r>
          </w:p>
        </w:tc>
        <w:tc>
          <w:tcPr>
            <w:tcW w:w="3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spacing w:after="0"/>
              <w:rPr>
                <w:sz w:val="20"/>
                <w:szCs w:val="20"/>
                <w:color w:val="auto"/>
              </w:rPr>
            </w:pPr>
            <w:r>
              <w:rPr>
                <w:rFonts w:ascii="Arial" w:cs="Arial" w:eastAsia="Arial" w:hAnsi="Arial"/>
                <w:sz w:val="20"/>
                <w:szCs w:val="20"/>
                <w:color w:val="auto"/>
              </w:rPr>
              <w:t>Form of Pledge Agreement</w:t>
            </w:r>
          </w:p>
        </w:tc>
      </w:tr>
      <w:tr>
        <w:trPr>
          <w:trHeight w:val="249"/>
        </w:trPr>
        <w:tc>
          <w:tcPr>
            <w:tcW w:w="840" w:type="dxa"/>
            <w:vAlign w:val="bottom"/>
          </w:tcPr>
          <w:p>
            <w:pPr>
              <w:spacing w:after="0"/>
              <w:rPr>
                <w:sz w:val="20"/>
                <w:szCs w:val="20"/>
                <w:color w:val="auto"/>
              </w:rPr>
            </w:pPr>
            <w:r>
              <w:rPr>
                <w:rFonts w:ascii="Arial" w:cs="Arial" w:eastAsia="Arial" w:hAnsi="Arial"/>
                <w:sz w:val="20"/>
                <w:szCs w:val="20"/>
                <w:color w:val="auto"/>
              </w:rPr>
              <w:t>Exhibit J</w:t>
            </w:r>
          </w:p>
        </w:tc>
        <w:tc>
          <w:tcPr>
            <w:tcW w:w="3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5140" w:type="dxa"/>
            <w:vAlign w:val="bottom"/>
            <w:gridSpan w:val="3"/>
          </w:tcPr>
          <w:p>
            <w:pPr>
              <w:ind w:left="20"/>
              <w:spacing w:after="0"/>
              <w:rPr>
                <w:sz w:val="20"/>
                <w:szCs w:val="20"/>
                <w:color w:val="auto"/>
              </w:rPr>
            </w:pPr>
            <w:r>
              <w:rPr>
                <w:rFonts w:ascii="Arial" w:cs="Arial" w:eastAsia="Arial" w:hAnsi="Arial"/>
                <w:sz w:val="20"/>
                <w:szCs w:val="20"/>
                <w:color w:val="auto"/>
              </w:rPr>
              <w:t>Form of Bank Product Provider Notice</w:t>
            </w:r>
          </w:p>
        </w:tc>
      </w:tr>
      <w:tr>
        <w:trPr>
          <w:trHeight w:val="250"/>
        </w:trPr>
        <w:tc>
          <w:tcPr>
            <w:tcW w:w="1400" w:type="dxa"/>
            <w:vAlign w:val="bottom"/>
            <w:gridSpan w:val="5"/>
          </w:tcPr>
          <w:p>
            <w:pPr>
              <w:spacing w:after="0"/>
              <w:rPr>
                <w:sz w:val="20"/>
                <w:szCs w:val="20"/>
                <w:color w:val="auto"/>
              </w:rPr>
            </w:pPr>
            <w:r>
              <w:rPr>
                <w:rFonts w:ascii="Arial" w:cs="Arial" w:eastAsia="Arial" w:hAnsi="Arial"/>
                <w:sz w:val="20"/>
                <w:szCs w:val="20"/>
                <w:color w:val="auto"/>
              </w:rPr>
              <w:t>Exhibit K (1-4)</w:t>
            </w:r>
          </w:p>
        </w:tc>
        <w:tc>
          <w:tcPr>
            <w:tcW w:w="4900" w:type="dxa"/>
            <w:vAlign w:val="bottom"/>
            <w:gridSpan w:val="2"/>
          </w:tcPr>
          <w:p>
            <w:pPr>
              <w:ind w:left="20"/>
              <w:spacing w:after="0"/>
              <w:rPr>
                <w:sz w:val="20"/>
                <w:szCs w:val="20"/>
                <w:color w:val="auto"/>
              </w:rPr>
            </w:pPr>
            <w:r>
              <w:rPr>
                <w:rFonts w:ascii="Arial" w:cs="Arial" w:eastAsia="Arial" w:hAnsi="Arial"/>
                <w:sz w:val="20"/>
                <w:szCs w:val="20"/>
                <w:color w:val="auto"/>
              </w:rPr>
              <w:t>-  Forms of U.S. Tax Compliance Certificates</w:t>
            </w:r>
          </w:p>
        </w:tc>
      </w:tr>
      <w:tr>
        <w:trPr>
          <w:trHeight w:val="257"/>
        </w:trPr>
        <w:tc>
          <w:tcPr>
            <w:tcW w:w="840" w:type="dxa"/>
            <w:vAlign w:val="bottom"/>
          </w:tcPr>
          <w:p>
            <w:pPr>
              <w:spacing w:after="0"/>
              <w:rPr>
                <w:sz w:val="20"/>
                <w:szCs w:val="20"/>
                <w:color w:val="auto"/>
              </w:rPr>
            </w:pPr>
            <w:r>
              <w:rPr>
                <w:rFonts w:ascii="Arial" w:cs="Arial" w:eastAsia="Arial" w:hAnsi="Arial"/>
                <w:sz w:val="20"/>
                <w:szCs w:val="20"/>
                <w:color w:val="auto"/>
              </w:rPr>
              <w:t>Exhibit L</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5140" w:type="dxa"/>
            <w:vAlign w:val="bottom"/>
            <w:gridSpan w:val="3"/>
          </w:tcPr>
          <w:p>
            <w:pPr>
              <w:ind w:left="120"/>
              <w:spacing w:after="0"/>
              <w:rPr>
                <w:sz w:val="20"/>
                <w:szCs w:val="20"/>
                <w:color w:val="auto"/>
              </w:rPr>
            </w:pPr>
            <w:r>
              <w:rPr>
                <w:rFonts w:ascii="Arial" w:cs="Arial" w:eastAsia="Arial" w:hAnsi="Arial"/>
                <w:sz w:val="20"/>
                <w:szCs w:val="20"/>
                <w:color w:val="auto"/>
              </w:rPr>
              <w:t>Form of Letter of Credit Report</w:t>
            </w:r>
          </w:p>
        </w:tc>
      </w:tr>
      <w:tr>
        <w:trPr>
          <w:trHeight w:val="401"/>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3"/>
              </w:rPr>
              <w:t>SCHEDULES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68"/>
        </w:trPr>
        <w:tc>
          <w:tcPr>
            <w:tcW w:w="1400" w:type="dxa"/>
            <w:vAlign w:val="bottom"/>
            <w:gridSpan w:val="5"/>
          </w:tcPr>
          <w:p>
            <w:pPr>
              <w:spacing w:after="0"/>
              <w:rPr>
                <w:sz w:val="20"/>
                <w:szCs w:val="20"/>
                <w:color w:val="auto"/>
              </w:rPr>
            </w:pPr>
            <w:r>
              <w:rPr>
                <w:rFonts w:ascii="Arial" w:cs="Arial" w:eastAsia="Arial" w:hAnsi="Arial"/>
                <w:sz w:val="20"/>
                <w:szCs w:val="20"/>
                <w:color w:val="auto"/>
                <w:w w:val="97"/>
              </w:rPr>
              <w:t>Schedule 1.1(a)</w:t>
            </w:r>
          </w:p>
        </w:tc>
        <w:tc>
          <w:tcPr>
            <w:tcW w:w="140" w:type="dxa"/>
            <w:vAlign w:val="bottom"/>
          </w:tcPr>
          <w:p>
            <w:pPr>
              <w:ind w:left="40"/>
              <w:spacing w:after="0"/>
              <w:rPr>
                <w:sz w:val="20"/>
                <w:szCs w:val="20"/>
                <w:color w:val="auto"/>
              </w:rPr>
            </w:pPr>
            <w:r>
              <w:rPr>
                <w:rFonts w:ascii="Arial" w:cs="Arial" w:eastAsia="Arial" w:hAnsi="Arial"/>
                <w:sz w:val="20"/>
                <w:szCs w:val="20"/>
                <w:color w:val="auto"/>
              </w:rPr>
              <w:t>-</w:t>
            </w:r>
          </w:p>
        </w:tc>
        <w:tc>
          <w:tcPr>
            <w:tcW w:w="4760" w:type="dxa"/>
            <w:vAlign w:val="bottom"/>
          </w:tcPr>
          <w:p>
            <w:pPr>
              <w:ind w:left="160"/>
              <w:spacing w:after="0"/>
              <w:rPr>
                <w:sz w:val="20"/>
                <w:szCs w:val="20"/>
                <w:color w:val="auto"/>
              </w:rPr>
            </w:pPr>
            <w:r>
              <w:rPr>
                <w:rFonts w:ascii="Arial" w:cs="Arial" w:eastAsia="Arial" w:hAnsi="Arial"/>
                <w:sz w:val="20"/>
                <w:szCs w:val="20"/>
                <w:color w:val="auto"/>
              </w:rPr>
              <w:t>Addresses for Notices</w:t>
            </w:r>
          </w:p>
        </w:tc>
      </w:tr>
      <w:tr>
        <w:trPr>
          <w:trHeight w:val="249"/>
        </w:trPr>
        <w:tc>
          <w:tcPr>
            <w:tcW w:w="1400" w:type="dxa"/>
            <w:vAlign w:val="bottom"/>
            <w:gridSpan w:val="5"/>
          </w:tcPr>
          <w:p>
            <w:pPr>
              <w:spacing w:after="0"/>
              <w:rPr>
                <w:sz w:val="20"/>
                <w:szCs w:val="20"/>
                <w:color w:val="auto"/>
              </w:rPr>
            </w:pPr>
            <w:r>
              <w:rPr>
                <w:rFonts w:ascii="Arial" w:cs="Arial" w:eastAsia="Arial" w:hAnsi="Arial"/>
                <w:sz w:val="20"/>
                <w:szCs w:val="20"/>
                <w:color w:val="auto"/>
                <w:w w:val="97"/>
              </w:rPr>
              <w:t>Schedule 1.1(b)</w:t>
            </w:r>
          </w:p>
        </w:tc>
        <w:tc>
          <w:tcPr>
            <w:tcW w:w="14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4760" w:type="dxa"/>
            <w:vAlign w:val="bottom"/>
          </w:tcPr>
          <w:p>
            <w:pPr>
              <w:ind w:left="180"/>
              <w:spacing w:after="0"/>
              <w:rPr>
                <w:sz w:val="20"/>
                <w:szCs w:val="20"/>
                <w:color w:val="auto"/>
              </w:rPr>
            </w:pPr>
            <w:r>
              <w:rPr>
                <w:rFonts w:ascii="Arial" w:cs="Arial" w:eastAsia="Arial" w:hAnsi="Arial"/>
                <w:sz w:val="20"/>
                <w:szCs w:val="20"/>
                <w:color w:val="auto"/>
              </w:rPr>
              <w:t>Lenders and Commitments</w:t>
            </w:r>
          </w:p>
        </w:tc>
      </w:tr>
      <w:tr>
        <w:trPr>
          <w:trHeight w:val="250"/>
        </w:trPr>
        <w:tc>
          <w:tcPr>
            <w:tcW w:w="1400" w:type="dxa"/>
            <w:vAlign w:val="bottom"/>
            <w:gridSpan w:val="5"/>
          </w:tcPr>
          <w:p>
            <w:pPr>
              <w:spacing w:after="0"/>
              <w:rPr>
                <w:sz w:val="20"/>
                <w:szCs w:val="20"/>
                <w:color w:val="auto"/>
              </w:rPr>
            </w:pPr>
            <w:r>
              <w:rPr>
                <w:rFonts w:ascii="Arial" w:cs="Arial" w:eastAsia="Arial" w:hAnsi="Arial"/>
                <w:sz w:val="20"/>
                <w:szCs w:val="20"/>
                <w:color w:val="auto"/>
                <w:w w:val="98"/>
              </w:rPr>
              <w:t>Schedule 1.1(c)</w:t>
            </w:r>
          </w:p>
        </w:tc>
        <w:tc>
          <w:tcPr>
            <w:tcW w:w="4900" w:type="dxa"/>
            <w:vAlign w:val="bottom"/>
            <w:gridSpan w:val="2"/>
          </w:tcPr>
          <w:p>
            <w:pPr>
              <w:ind w:left="40"/>
              <w:spacing w:after="0"/>
              <w:rPr>
                <w:sz w:val="20"/>
                <w:szCs w:val="20"/>
                <w:color w:val="auto"/>
              </w:rPr>
            </w:pPr>
            <w:r>
              <w:rPr>
                <w:rFonts w:ascii="Arial" w:cs="Arial" w:eastAsia="Arial" w:hAnsi="Arial"/>
                <w:sz w:val="20"/>
                <w:szCs w:val="20"/>
                <w:color w:val="auto"/>
              </w:rPr>
              <w:t>-   Existing Letters of Credit</w:t>
            </w:r>
          </w:p>
        </w:tc>
      </w:tr>
      <w:tr>
        <w:trPr>
          <w:trHeight w:val="249"/>
        </w:trPr>
        <w:tc>
          <w:tcPr>
            <w:tcW w:w="1140" w:type="dxa"/>
            <w:vAlign w:val="bottom"/>
            <w:gridSpan w:val="3"/>
          </w:tcPr>
          <w:p>
            <w:pPr>
              <w:spacing w:after="0"/>
              <w:rPr>
                <w:sz w:val="20"/>
                <w:szCs w:val="20"/>
                <w:color w:val="auto"/>
              </w:rPr>
            </w:pPr>
            <w:r>
              <w:rPr>
                <w:rFonts w:ascii="Arial" w:cs="Arial" w:eastAsia="Arial" w:hAnsi="Arial"/>
                <w:sz w:val="20"/>
                <w:szCs w:val="20"/>
                <w:color w:val="auto"/>
                <w:w w:val="95"/>
              </w:rPr>
              <w:t>Schedule 2.3</w:t>
            </w:r>
          </w:p>
        </w:tc>
        <w:tc>
          <w:tcPr>
            <w:tcW w:w="2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L/C Commitments</w:t>
            </w:r>
          </w:p>
        </w:tc>
      </w:tr>
      <w:tr>
        <w:trPr>
          <w:trHeight w:val="250"/>
        </w:trPr>
        <w:tc>
          <w:tcPr>
            <w:tcW w:w="1400" w:type="dxa"/>
            <w:vAlign w:val="bottom"/>
            <w:gridSpan w:val="5"/>
          </w:tcPr>
          <w:p>
            <w:pPr>
              <w:spacing w:after="0"/>
              <w:rPr>
                <w:sz w:val="20"/>
                <w:szCs w:val="20"/>
                <w:color w:val="auto"/>
              </w:rPr>
            </w:pPr>
            <w:r>
              <w:rPr>
                <w:rFonts w:ascii="Arial" w:cs="Arial" w:eastAsia="Arial" w:hAnsi="Arial"/>
                <w:sz w:val="20"/>
                <w:szCs w:val="20"/>
                <w:color w:val="auto"/>
                <w:w w:val="97"/>
              </w:rPr>
              <w:t>Schedule 6.1(a)</w:t>
            </w:r>
          </w:p>
        </w:tc>
        <w:tc>
          <w:tcPr>
            <w:tcW w:w="140" w:type="dxa"/>
            <w:vAlign w:val="bottom"/>
          </w:tcPr>
          <w:p>
            <w:pPr>
              <w:ind w:left="40"/>
              <w:spacing w:after="0"/>
              <w:rPr>
                <w:sz w:val="20"/>
                <w:szCs w:val="20"/>
                <w:color w:val="auto"/>
              </w:rPr>
            </w:pPr>
            <w:r>
              <w:rPr>
                <w:rFonts w:ascii="Arial" w:cs="Arial" w:eastAsia="Arial" w:hAnsi="Arial"/>
                <w:sz w:val="20"/>
                <w:szCs w:val="20"/>
                <w:color w:val="auto"/>
              </w:rPr>
              <w:t>-</w:t>
            </w:r>
          </w:p>
        </w:tc>
        <w:tc>
          <w:tcPr>
            <w:tcW w:w="4760" w:type="dxa"/>
            <w:vAlign w:val="bottom"/>
          </w:tcPr>
          <w:p>
            <w:pPr>
              <w:ind w:left="180"/>
              <w:spacing w:after="0"/>
              <w:rPr>
                <w:sz w:val="20"/>
                <w:szCs w:val="20"/>
                <w:color w:val="auto"/>
              </w:rPr>
            </w:pPr>
            <w:r>
              <w:rPr>
                <w:rFonts w:ascii="Arial" w:cs="Arial" w:eastAsia="Arial" w:hAnsi="Arial"/>
                <w:sz w:val="20"/>
                <w:szCs w:val="20"/>
                <w:color w:val="auto"/>
              </w:rPr>
              <w:t>Jurisdictions of Organization</w:t>
            </w:r>
          </w:p>
        </w:tc>
      </w:tr>
      <w:tr>
        <w:trPr>
          <w:trHeight w:val="249"/>
        </w:trPr>
        <w:tc>
          <w:tcPr>
            <w:tcW w:w="1400" w:type="dxa"/>
            <w:vAlign w:val="bottom"/>
            <w:gridSpan w:val="5"/>
          </w:tcPr>
          <w:p>
            <w:pPr>
              <w:spacing w:after="0"/>
              <w:rPr>
                <w:sz w:val="20"/>
                <w:szCs w:val="20"/>
                <w:color w:val="auto"/>
              </w:rPr>
            </w:pPr>
            <w:r>
              <w:rPr>
                <w:rFonts w:ascii="Arial" w:cs="Arial" w:eastAsia="Arial" w:hAnsi="Arial"/>
                <w:sz w:val="20"/>
                <w:szCs w:val="20"/>
                <w:color w:val="auto"/>
                <w:w w:val="97"/>
              </w:rPr>
              <w:t>Schedule 6.1(b)</w:t>
            </w:r>
          </w:p>
        </w:tc>
        <w:tc>
          <w:tcPr>
            <w:tcW w:w="14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4760" w:type="dxa"/>
            <w:vAlign w:val="bottom"/>
          </w:tcPr>
          <w:p>
            <w:pPr>
              <w:ind w:left="180"/>
              <w:spacing w:after="0"/>
              <w:rPr>
                <w:sz w:val="20"/>
                <w:szCs w:val="20"/>
                <w:color w:val="auto"/>
              </w:rPr>
            </w:pPr>
            <w:r>
              <w:rPr>
                <w:rFonts w:ascii="Arial" w:cs="Arial" w:eastAsia="Arial" w:hAnsi="Arial"/>
                <w:sz w:val="20"/>
                <w:szCs w:val="20"/>
                <w:color w:val="auto"/>
              </w:rPr>
              <w:t>Subsidiaries and Capitalization</w:t>
            </w:r>
          </w:p>
        </w:tc>
      </w:tr>
      <w:tr>
        <w:trPr>
          <w:trHeight w:val="243"/>
        </w:trPr>
        <w:tc>
          <w:tcPr>
            <w:tcW w:w="1400" w:type="dxa"/>
            <w:vAlign w:val="bottom"/>
            <w:gridSpan w:val="5"/>
          </w:tcPr>
          <w:p>
            <w:pPr>
              <w:spacing w:after="0"/>
              <w:rPr>
                <w:sz w:val="20"/>
                <w:szCs w:val="20"/>
                <w:color w:val="auto"/>
              </w:rPr>
            </w:pPr>
            <w:r>
              <w:rPr>
                <w:rFonts w:ascii="Arial" w:cs="Arial" w:eastAsia="Arial" w:hAnsi="Arial"/>
                <w:sz w:val="20"/>
                <w:szCs w:val="20"/>
                <w:color w:val="auto"/>
              </w:rPr>
              <w:t>Schedule 6.1(l)</w:t>
            </w:r>
          </w:p>
        </w:tc>
        <w:tc>
          <w:tcPr>
            <w:tcW w:w="140" w:type="dxa"/>
            <w:vAlign w:val="bottom"/>
          </w:tcPr>
          <w:p>
            <w:pPr>
              <w:ind w:left="20"/>
              <w:spacing w:after="0"/>
              <w:rPr>
                <w:sz w:val="20"/>
                <w:szCs w:val="20"/>
                <w:color w:val="auto"/>
              </w:rPr>
            </w:pPr>
            <w:r>
              <w:rPr>
                <w:rFonts w:ascii="Arial" w:cs="Arial" w:eastAsia="Arial" w:hAnsi="Arial"/>
                <w:sz w:val="20"/>
                <w:szCs w:val="20"/>
                <w:color w:val="auto"/>
              </w:rPr>
              <w:t>-</w:t>
            </w:r>
          </w:p>
        </w:tc>
        <w:tc>
          <w:tcPr>
            <w:tcW w:w="4760" w:type="dxa"/>
            <w:vAlign w:val="bottom"/>
          </w:tcPr>
          <w:p>
            <w:pPr>
              <w:ind w:left="140"/>
              <w:spacing w:after="0"/>
              <w:rPr>
                <w:sz w:val="20"/>
                <w:szCs w:val="20"/>
                <w:color w:val="auto"/>
              </w:rPr>
            </w:pPr>
            <w:r>
              <w:rPr>
                <w:rFonts w:ascii="Arial" w:cs="Arial" w:eastAsia="Arial" w:hAnsi="Arial"/>
                <w:sz w:val="20"/>
                <w:szCs w:val="20"/>
                <w:color w:val="auto"/>
              </w:rPr>
              <w:t>Material Domestic Subsidiaries</w:t>
            </w:r>
          </w:p>
        </w:tc>
      </w:tr>
      <w:tr>
        <w:trPr>
          <w:trHeight w:val="250"/>
        </w:trPr>
        <w:tc>
          <w:tcPr>
            <w:tcW w:w="1400" w:type="dxa"/>
            <w:vAlign w:val="bottom"/>
            <w:gridSpan w:val="5"/>
          </w:tcPr>
          <w:p>
            <w:pPr>
              <w:spacing w:after="0"/>
              <w:rPr>
                <w:sz w:val="20"/>
                <w:szCs w:val="20"/>
                <w:color w:val="auto"/>
              </w:rPr>
            </w:pPr>
            <w:r>
              <w:rPr>
                <w:rFonts w:ascii="Arial" w:cs="Arial" w:eastAsia="Arial" w:hAnsi="Arial"/>
                <w:sz w:val="20"/>
                <w:szCs w:val="20"/>
                <w:color w:val="auto"/>
                <w:w w:val="94"/>
              </w:rPr>
              <w:t>Schedule 6.1(m)</w:t>
            </w:r>
          </w:p>
        </w:tc>
        <w:tc>
          <w:tcPr>
            <w:tcW w:w="4900" w:type="dxa"/>
            <w:vAlign w:val="bottom"/>
            <w:gridSpan w:val="2"/>
          </w:tcPr>
          <w:p>
            <w:pPr>
              <w:ind w:left="120"/>
              <w:spacing w:after="0"/>
              <w:rPr>
                <w:sz w:val="20"/>
                <w:szCs w:val="20"/>
                <w:color w:val="auto"/>
              </w:rPr>
            </w:pPr>
            <w:r>
              <w:rPr>
                <w:rFonts w:ascii="Arial" w:cs="Arial" w:eastAsia="Arial" w:hAnsi="Arial"/>
                <w:sz w:val="20"/>
                <w:szCs w:val="20"/>
                <w:color w:val="auto"/>
              </w:rPr>
              <w:t>-  Labor and Collective Bargaining Agreements</w:t>
            </w:r>
          </w:p>
        </w:tc>
      </w:tr>
      <w:tr>
        <w:trPr>
          <w:trHeight w:val="249"/>
        </w:trPr>
        <w:tc>
          <w:tcPr>
            <w:tcW w:w="1140" w:type="dxa"/>
            <w:vAlign w:val="bottom"/>
            <w:gridSpan w:val="3"/>
          </w:tcPr>
          <w:p>
            <w:pPr>
              <w:spacing w:after="0"/>
              <w:rPr>
                <w:sz w:val="20"/>
                <w:szCs w:val="20"/>
                <w:color w:val="auto"/>
              </w:rPr>
            </w:pPr>
            <w:r>
              <w:rPr>
                <w:rFonts w:ascii="Arial" w:cs="Arial" w:eastAsia="Arial" w:hAnsi="Arial"/>
                <w:sz w:val="20"/>
                <w:szCs w:val="20"/>
                <w:color w:val="auto"/>
                <w:w w:val="87"/>
              </w:rPr>
              <w:t>Schedule 10.1</w:t>
            </w:r>
          </w:p>
        </w:tc>
        <w:tc>
          <w:tcPr>
            <w:tcW w:w="260" w:type="dxa"/>
            <w:vAlign w:val="bottom"/>
            <w:gridSpan w:val="2"/>
          </w:tcPr>
          <w:p>
            <w:pPr>
              <w:ind w:left="180"/>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Existing Indebtedness</w:t>
            </w:r>
          </w:p>
        </w:tc>
      </w:tr>
      <w:tr>
        <w:trPr>
          <w:trHeight w:val="250"/>
        </w:trPr>
        <w:tc>
          <w:tcPr>
            <w:tcW w:w="1140" w:type="dxa"/>
            <w:vAlign w:val="bottom"/>
            <w:gridSpan w:val="3"/>
          </w:tcPr>
          <w:p>
            <w:pPr>
              <w:spacing w:after="0"/>
              <w:rPr>
                <w:sz w:val="20"/>
                <w:szCs w:val="20"/>
                <w:color w:val="auto"/>
              </w:rPr>
            </w:pPr>
            <w:r>
              <w:rPr>
                <w:rFonts w:ascii="Arial" w:cs="Arial" w:eastAsia="Arial" w:hAnsi="Arial"/>
                <w:sz w:val="20"/>
                <w:szCs w:val="20"/>
                <w:color w:val="auto"/>
                <w:w w:val="87"/>
              </w:rPr>
              <w:t>Schedule 10.2</w:t>
            </w:r>
          </w:p>
        </w:tc>
        <w:tc>
          <w:tcPr>
            <w:tcW w:w="260" w:type="dxa"/>
            <w:vAlign w:val="bottom"/>
            <w:gridSpan w:val="2"/>
          </w:tcPr>
          <w:p>
            <w:pPr>
              <w:ind w:left="180"/>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1"/>
                <w:szCs w:val="21"/>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Existing Liens</w:t>
            </w:r>
          </w:p>
        </w:tc>
      </w:tr>
      <w:tr>
        <w:trPr>
          <w:trHeight w:val="249"/>
        </w:trPr>
        <w:tc>
          <w:tcPr>
            <w:tcW w:w="1140" w:type="dxa"/>
            <w:vAlign w:val="bottom"/>
            <w:gridSpan w:val="3"/>
          </w:tcPr>
          <w:p>
            <w:pPr>
              <w:spacing w:after="0"/>
              <w:rPr>
                <w:sz w:val="20"/>
                <w:szCs w:val="20"/>
                <w:color w:val="auto"/>
              </w:rPr>
            </w:pPr>
            <w:r>
              <w:rPr>
                <w:rFonts w:ascii="Arial" w:cs="Arial" w:eastAsia="Arial" w:hAnsi="Arial"/>
                <w:sz w:val="20"/>
                <w:szCs w:val="20"/>
                <w:color w:val="auto"/>
                <w:w w:val="87"/>
              </w:rPr>
              <w:t>Schedule 10.3</w:t>
            </w:r>
          </w:p>
        </w:tc>
        <w:tc>
          <w:tcPr>
            <w:tcW w:w="20" w:type="dxa"/>
            <w:vAlign w:val="bottom"/>
          </w:tcPr>
          <w:p>
            <w:pPr>
              <w:spacing w:after="0"/>
              <w:rPr>
                <w:sz w:val="21"/>
                <w:szCs w:val="21"/>
                <w:color w:val="auto"/>
              </w:rPr>
            </w:pPr>
          </w:p>
        </w:tc>
        <w:tc>
          <w:tcPr>
            <w:tcW w:w="5140" w:type="dxa"/>
            <w:vAlign w:val="bottom"/>
            <w:gridSpan w:val="3"/>
          </w:tcPr>
          <w:p>
            <w:pPr>
              <w:ind w:left="160"/>
              <w:spacing w:after="0"/>
              <w:rPr>
                <w:sz w:val="20"/>
                <w:szCs w:val="20"/>
                <w:color w:val="auto"/>
              </w:rPr>
            </w:pPr>
            <w:r>
              <w:rPr>
                <w:rFonts w:ascii="Arial" w:cs="Arial" w:eastAsia="Arial" w:hAnsi="Arial"/>
                <w:sz w:val="20"/>
                <w:szCs w:val="20"/>
                <w:color w:val="auto"/>
              </w:rPr>
              <w:t>-  Existing Loans, Advances and Investments</w:t>
            </w:r>
          </w:p>
        </w:tc>
      </w:tr>
      <w:tr>
        <w:trPr>
          <w:trHeight w:val="250"/>
        </w:trPr>
        <w:tc>
          <w:tcPr>
            <w:tcW w:w="1140" w:type="dxa"/>
            <w:vAlign w:val="bottom"/>
            <w:gridSpan w:val="3"/>
          </w:tcPr>
          <w:p>
            <w:pPr>
              <w:spacing w:after="0"/>
              <w:rPr>
                <w:sz w:val="20"/>
                <w:szCs w:val="20"/>
                <w:color w:val="auto"/>
              </w:rPr>
            </w:pPr>
            <w:r>
              <w:rPr>
                <w:rFonts w:ascii="Arial" w:cs="Arial" w:eastAsia="Arial" w:hAnsi="Arial"/>
                <w:sz w:val="20"/>
                <w:szCs w:val="20"/>
                <w:color w:val="auto"/>
                <w:w w:val="87"/>
              </w:rPr>
              <w:t>Schedule 10.8</w:t>
            </w:r>
          </w:p>
        </w:tc>
        <w:tc>
          <w:tcPr>
            <w:tcW w:w="260" w:type="dxa"/>
            <w:vAlign w:val="bottom"/>
            <w:gridSpan w:val="2"/>
          </w:tcPr>
          <w:p>
            <w:pPr>
              <w:ind w:left="180"/>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1"/>
                <w:szCs w:val="21"/>
                <w:color w:val="auto"/>
              </w:rPr>
            </w:pPr>
          </w:p>
        </w:tc>
        <w:tc>
          <w:tcPr>
            <w:tcW w:w="4760" w:type="dxa"/>
            <w:vAlign w:val="bottom"/>
          </w:tcPr>
          <w:p>
            <w:pPr>
              <w:ind w:left="40"/>
              <w:spacing w:after="0"/>
              <w:rPr>
                <w:sz w:val="20"/>
                <w:szCs w:val="20"/>
                <w:color w:val="auto"/>
              </w:rPr>
            </w:pPr>
            <w:r>
              <w:rPr>
                <w:rFonts w:ascii="Arial" w:cs="Arial" w:eastAsia="Arial" w:hAnsi="Arial"/>
                <w:sz w:val="20"/>
                <w:szCs w:val="20"/>
                <w:color w:val="auto"/>
              </w:rPr>
              <w:t>Transactions with Affiliates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CHAR1\1753066v5v</w:t>
      </w:r>
    </w:p>
    <w:p>
      <w:pPr>
        <w:sectPr>
          <w:pgSz w:w="11900" w:h="16838" w:orient="portrait"/>
          <w:cols w:equalWidth="0" w:num="1">
            <w:col w:w="10139"/>
          </w:cols>
          <w:pgMar w:left="320" w:top="1440" w:right="1440" w:bottom="1440" w:gutter="0" w:footer="0" w:header="0"/>
        </w:sectPr>
      </w:pPr>
    </w:p>
    <w:bookmarkStart w:id="70" w:name="page71"/>
    <w:bookmarkEnd w:id="70"/>
    <w:p>
      <w:pPr>
        <w:jc w:val="both"/>
        <w:ind w:firstLine="648"/>
        <w:spacing w:after="0" w:line="244" w:lineRule="auto"/>
        <w:rPr>
          <w:sz w:val="20"/>
          <w:szCs w:val="20"/>
          <w:color w:val="auto"/>
        </w:rPr>
      </w:pPr>
      <w:r>
        <w:rPr>
          <w:rFonts w:ascii="Arial" w:cs="Arial" w:eastAsia="Arial" w:hAnsi="Arial"/>
          <w:sz w:val="20"/>
          <w:szCs w:val="20"/>
          <w:color w:val="auto"/>
        </w:rPr>
        <w:t>AMENDED AND RESTATED CREDIT AGREEMENT, dated as of October 30, 2020,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certain Subsidiaries of the Company party hereto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w:t>
      </w:r>
      <w:r>
        <w:rPr>
          <w:rFonts w:ascii="Arial" w:cs="Arial" w:eastAsia="Arial" w:hAnsi="Arial"/>
          <w:sz w:val="20"/>
          <w:szCs w:val="20"/>
          <w:color w:val="auto"/>
        </w:rPr>
        <w:t>”, and together with the Company,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and any of them individually, each a “</w:t>
      </w:r>
      <w:r>
        <w:rPr>
          <w:rFonts w:ascii="Arial" w:cs="Arial" w:eastAsia="Arial" w:hAnsi="Arial"/>
          <w:sz w:val="20"/>
          <w:szCs w:val="20"/>
          <w:u w:val="single" w:color="auto"/>
          <w:color w:val="auto"/>
        </w:rPr>
        <w:t>Borrower</w:t>
      </w:r>
      <w:r>
        <w:rPr>
          <w:rFonts w:ascii="Arial" w:cs="Arial" w:eastAsia="Arial" w:hAnsi="Arial"/>
          <w:sz w:val="20"/>
          <w:szCs w:val="20"/>
          <w:color w:val="auto"/>
        </w:rPr>
        <w:t>” or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who are or may become a party to this Agreement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 national banking association, as Administrative Agent for the Lenders.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the other borrowers from time to time party thereto, the lenders party thereto and Bank of America,</w:t>
      </w:r>
      <w:r>
        <w:rPr>
          <w:rFonts w:ascii="Arial" w:cs="Arial" w:eastAsia="Arial" w:hAnsi="Arial"/>
          <w:sz w:val="19"/>
          <w:szCs w:val="19"/>
          <w:b w:val="1"/>
          <w:bCs w:val="1"/>
          <w:color w:val="auto"/>
        </w:rPr>
        <w:t xml:space="preserve"> </w:t>
      </w:r>
      <w:r>
        <w:rPr>
          <w:rFonts w:ascii="Arial" w:cs="Arial" w:eastAsia="Arial" w:hAnsi="Arial"/>
          <w:sz w:val="19"/>
          <w:szCs w:val="19"/>
          <w:color w:val="auto"/>
        </w:rPr>
        <w:t>N.A., as administrative agent, swingline lender and an issuing lender, have entered into that certain Credit Agreement, dated as of June 2, 2017 (as amended or modified from time to time prior to the Closing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hereto wish to amend and restate the Existing Credit Agreement to (a) provide for (i) a $500,000,000</w:t>
      </w:r>
      <w:r>
        <w:rPr>
          <w:rFonts w:ascii="Arial" w:cs="Arial" w:eastAsia="Arial" w:hAnsi="Arial"/>
          <w:sz w:val="19"/>
          <w:szCs w:val="19"/>
          <w:b w:val="1"/>
          <w:bCs w:val="1"/>
          <w:color w:val="auto"/>
        </w:rPr>
        <w:t xml:space="preserve"> </w:t>
      </w:r>
      <w:r>
        <w:rPr>
          <w:rFonts w:ascii="Arial" w:cs="Arial" w:eastAsia="Arial" w:hAnsi="Arial"/>
          <w:sz w:val="19"/>
          <w:szCs w:val="19"/>
          <w:color w:val="auto"/>
        </w:rPr>
        <w:t>revolving credit facility, with a $50,000,000 letter of credit subfacility and a $50,000,000 swingline subfacility, in favor of the Borrowers, and (ii) a term loan to the Company in an initial aggregate principal amount equal to $400,000,000 and (b) make certain other amendments and modifications to the Existing Credit Agreement, subject to the conditions set forth herein.</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such parties hereby agree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 w:lineRule="exact"/>
        <w:rPr>
          <w:sz w:val="20"/>
          <w:szCs w:val="20"/>
          <w:color w:val="auto"/>
        </w:rPr>
      </w:pPr>
    </w:p>
    <w:p>
      <w:pPr>
        <w:jc w:val="center"/>
        <w:ind w:left="340"/>
        <w:spacing w:after="0"/>
        <w:tabs>
          <w:tab w:leader="none" w:pos="1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The following terms when used in this Agreement shall have the meanings assigned to them below:</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means Bank of America (or any of its designated branch offices or affiliates) in its capacity as administrative agent under any of the Loan Documents, or any successor administrative agent appointed pursuant to </w:t>
      </w:r>
      <w:r>
        <w:rPr>
          <w:rFonts w:ascii="Arial" w:cs="Arial" w:eastAsia="Arial" w:hAnsi="Arial"/>
          <w:sz w:val="19"/>
          <w:szCs w:val="19"/>
          <w:u w:val="single" w:color="auto"/>
          <w:color w:val="auto"/>
        </w:rPr>
        <w:t>Section 12.6</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 Fee Letter</w:t>
      </w:r>
      <w:r>
        <w:rPr>
          <w:rFonts w:ascii="Arial" w:cs="Arial" w:eastAsia="Arial" w:hAnsi="Arial"/>
          <w:sz w:val="20"/>
          <w:szCs w:val="20"/>
          <w:color w:val="auto"/>
        </w:rPr>
        <w:t>” means the fee letter dated as of October 12, 2020 among the Company, the Administrative Agent and BAS.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the Company and the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substantially the form supplied by the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1" w:name="page72"/>
    <w:bookmarkEnd w:id="71"/>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(other than a Restricted Subsidiary of the Company) which directly or indirectly through one or more intermediaries, controls, or is controlled by, or is under common control with, such Person. The term “control” means (a) the power to vote ten percent (10%) or more of the securities or other equity interests of a Person having ordinary voting power, or (b) the possession, directly or indirectly, of any other power to direct or cause the direction of the management and policies of a Person, whether through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Currencies</w:t>
      </w:r>
      <w:r>
        <w:rPr>
          <w:rFonts w:ascii="Arial" w:cs="Arial" w:eastAsia="Arial" w:hAnsi="Arial"/>
          <w:sz w:val="20"/>
          <w:szCs w:val="20"/>
          <w:color w:val="auto"/>
        </w:rPr>
        <w:t>” means Dollars and Foreign Currencies.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 as amended, restated, supplemented or otherwise modified from time to time.</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Currency</w:t>
      </w:r>
      <w:r>
        <w:rPr>
          <w:rFonts w:ascii="Arial" w:cs="Arial" w:eastAsia="Arial" w:hAnsi="Arial"/>
          <w:sz w:val="20"/>
          <w:szCs w:val="20"/>
          <w:color w:val="auto"/>
        </w:rPr>
        <w:t>” means Dollars or any Foreign Currency that bears interest at a rate based on an Applicable Reference Rate, as applicable.</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w:t>
      </w:r>
    </w:p>
    <w:p>
      <w:pPr>
        <w:spacing w:after="0" w:line="216" w:lineRule="exact"/>
        <w:rPr>
          <w:sz w:val="20"/>
          <w:szCs w:val="20"/>
          <w:color w:val="auto"/>
        </w:rPr>
      </w:pPr>
    </w:p>
    <w:p>
      <w:pPr>
        <w:ind w:left="1720" w:hanging="416"/>
        <w:spacing w:after="0"/>
        <w:tabs>
          <w:tab w:leader="none" w:pos="1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with respect to any Incremental Term Loans, as determined pursuant to, and in accordance with, </w:t>
      </w:r>
      <w:r>
        <w:rPr>
          <w:rFonts w:ascii="Arial" w:cs="Arial" w:eastAsia="Arial" w:hAnsi="Arial"/>
          <w:sz w:val="18"/>
          <w:szCs w:val="18"/>
          <w:u w:val="single" w:color="auto"/>
          <w:color w:val="auto"/>
        </w:rPr>
        <w:t>Section 2.9(g)</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660" w:firstLine="644"/>
        <w:spacing w:after="0" w:line="287" w:lineRule="auto"/>
        <w:tabs>
          <w:tab w:leader="none" w:pos="1779"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subject to the terms of </w:t>
      </w:r>
      <w:r>
        <w:rPr>
          <w:rFonts w:ascii="Arial" w:cs="Arial" w:eastAsia="Arial" w:hAnsi="Arial"/>
          <w:sz w:val="19"/>
          <w:szCs w:val="19"/>
          <w:u w:val="single" w:color="auto"/>
          <w:color w:val="auto"/>
        </w:rPr>
        <w:t>Section 2.8</w:t>
      </w:r>
      <w:r>
        <w:rPr>
          <w:rFonts w:ascii="Arial" w:cs="Arial" w:eastAsia="Arial" w:hAnsi="Arial"/>
          <w:sz w:val="19"/>
          <w:szCs w:val="19"/>
          <w:color w:val="auto"/>
        </w:rPr>
        <w:t>, with respect to Revolving Credit Loans, Swingline Loans, the Term Loan and the commitment fee, the corresponding percentages per annum as set forth below based on the Net Leverage Ratio:</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Pricing</w:t>
            </w: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20" w:type="dxa"/>
            <w:vAlign w:val="bottom"/>
            <w:tcBorders>
              <w:top w:val="single" w:sz="8" w:color="auto"/>
              <w:right w:val="single" w:sz="8" w:color="auto"/>
            </w:tcBorders>
            <w:gridSpan w:val="3"/>
            <w:vMerge w:val="restart"/>
          </w:tcPr>
          <w:p>
            <w:pPr>
              <w:jc w:val="center"/>
              <w:ind w:right="1060"/>
              <w:spacing w:after="0"/>
              <w:rPr>
                <w:sz w:val="20"/>
                <w:szCs w:val="20"/>
                <w:color w:val="auto"/>
              </w:rPr>
            </w:pPr>
            <w:r>
              <w:rPr>
                <w:rFonts w:ascii="Arial" w:cs="Arial" w:eastAsia="Arial" w:hAnsi="Arial"/>
                <w:sz w:val="20"/>
                <w:szCs w:val="20"/>
                <w:b w:val="1"/>
                <w:bCs w:val="1"/>
                <w:color w:val="auto"/>
                <w:w w:val="90"/>
              </w:rPr>
              <w:t>Net Leverage Ratio</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Base Rate +</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LIBOR +</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Commitment</w:t>
            </w: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Level</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tcBorders>
              <w:right w:val="single" w:sz="8" w:color="auto"/>
            </w:tcBorders>
            <w:gridSpan w:val="3"/>
            <w:vMerge w:val="continue"/>
          </w:tcPr>
          <w:p>
            <w:pPr>
              <w:spacing w:after="0"/>
              <w:rPr>
                <w:sz w:val="11"/>
                <w:szCs w:val="11"/>
                <w:color w:val="auto"/>
              </w:rPr>
            </w:pPr>
          </w:p>
        </w:tc>
        <w:tc>
          <w:tcPr>
            <w:tcW w:w="164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6"/>
              </w:rPr>
              <w:t>Fee</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I</w:t>
            </w:r>
          </w:p>
        </w:tc>
        <w:tc>
          <w:tcPr>
            <w:tcW w:w="4060" w:type="dxa"/>
            <w:vAlign w:val="bottom"/>
            <w:tcBorders>
              <w:right w:val="single" w:sz="8" w:color="auto"/>
            </w:tcBorders>
            <w:gridSpan w:val="5"/>
          </w:tcPr>
          <w:p>
            <w:pPr>
              <w:jc w:val="right"/>
              <w:ind w:right="1560"/>
              <w:spacing w:after="0" w:line="209" w:lineRule="exact"/>
              <w:rPr>
                <w:sz w:val="20"/>
                <w:szCs w:val="20"/>
                <w:color w:val="auto"/>
              </w:rPr>
            </w:pPr>
            <w:r>
              <w:rPr>
                <w:rFonts w:ascii="Arial" w:cs="Arial" w:eastAsia="Arial" w:hAnsi="Arial"/>
                <w:sz w:val="20"/>
                <w:szCs w:val="20"/>
                <w:color w:val="auto"/>
              </w:rPr>
              <w:t>&gt; 3.00: 1.00</w:t>
            </w:r>
          </w:p>
        </w:tc>
        <w:tc>
          <w:tcPr>
            <w:tcW w:w="16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1.125%</w:t>
            </w:r>
          </w:p>
        </w:tc>
        <w:tc>
          <w:tcPr>
            <w:tcW w:w="15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2.125%</w:t>
            </w:r>
          </w:p>
        </w:tc>
        <w:tc>
          <w:tcPr>
            <w:tcW w:w="18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0.375%</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II</w:t>
            </w:r>
          </w:p>
        </w:tc>
        <w:tc>
          <w:tcPr>
            <w:tcW w:w="940" w:type="dxa"/>
            <w:vAlign w:val="bottom"/>
          </w:tcPr>
          <w:p>
            <w:pPr>
              <w:spacing w:after="0"/>
              <w:rPr>
                <w:sz w:val="18"/>
                <w:szCs w:val="18"/>
                <w:color w:val="auto"/>
              </w:rPr>
            </w:pPr>
          </w:p>
        </w:tc>
        <w:tc>
          <w:tcPr>
            <w:tcW w:w="3120" w:type="dxa"/>
            <w:vAlign w:val="bottom"/>
            <w:tcBorders>
              <w:right w:val="single" w:sz="8" w:color="auto"/>
            </w:tcBorders>
            <w:gridSpan w:val="4"/>
          </w:tcPr>
          <w:p>
            <w:pPr>
              <w:jc w:val="center"/>
              <w:ind w:right="960"/>
              <w:spacing w:after="0" w:line="209" w:lineRule="exact"/>
              <w:rPr>
                <w:sz w:val="20"/>
                <w:szCs w:val="20"/>
                <w:color w:val="auto"/>
              </w:rPr>
            </w:pPr>
            <w:r>
              <w:rPr>
                <w:rFonts w:ascii="Arial" w:cs="Arial" w:eastAsia="Arial" w:hAnsi="Arial"/>
                <w:sz w:val="20"/>
                <w:szCs w:val="20"/>
                <w:color w:val="auto"/>
                <w:w w:val="89"/>
              </w:rPr>
              <w:t>&gt; 2.50:1.00 but &lt; 3.00:1.00</w:t>
            </w:r>
          </w:p>
        </w:tc>
        <w:tc>
          <w:tcPr>
            <w:tcW w:w="16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0.875%</w:t>
            </w:r>
          </w:p>
        </w:tc>
        <w:tc>
          <w:tcPr>
            <w:tcW w:w="15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1.875%</w:t>
            </w:r>
          </w:p>
        </w:tc>
        <w:tc>
          <w:tcPr>
            <w:tcW w:w="18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0.375%</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III</w:t>
            </w:r>
          </w:p>
        </w:tc>
        <w:tc>
          <w:tcPr>
            <w:tcW w:w="940" w:type="dxa"/>
            <w:vAlign w:val="bottom"/>
          </w:tcPr>
          <w:p>
            <w:pPr>
              <w:spacing w:after="0"/>
              <w:rPr>
                <w:sz w:val="18"/>
                <w:szCs w:val="18"/>
                <w:color w:val="auto"/>
              </w:rPr>
            </w:pPr>
          </w:p>
        </w:tc>
        <w:tc>
          <w:tcPr>
            <w:tcW w:w="3120" w:type="dxa"/>
            <w:vAlign w:val="bottom"/>
            <w:tcBorders>
              <w:right w:val="single" w:sz="8" w:color="auto"/>
            </w:tcBorders>
            <w:gridSpan w:val="4"/>
          </w:tcPr>
          <w:p>
            <w:pPr>
              <w:jc w:val="center"/>
              <w:ind w:right="960"/>
              <w:spacing w:after="0" w:line="209" w:lineRule="exact"/>
              <w:rPr>
                <w:sz w:val="20"/>
                <w:szCs w:val="20"/>
                <w:color w:val="auto"/>
              </w:rPr>
            </w:pPr>
            <w:r>
              <w:rPr>
                <w:rFonts w:ascii="Arial" w:cs="Arial" w:eastAsia="Arial" w:hAnsi="Arial"/>
                <w:sz w:val="20"/>
                <w:szCs w:val="20"/>
                <w:color w:val="auto"/>
                <w:w w:val="89"/>
              </w:rPr>
              <w:t>&gt; 1.75:1.00 but &lt; 2.50:1.00</w:t>
            </w:r>
          </w:p>
        </w:tc>
        <w:tc>
          <w:tcPr>
            <w:tcW w:w="16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0.625%</w:t>
            </w:r>
          </w:p>
        </w:tc>
        <w:tc>
          <w:tcPr>
            <w:tcW w:w="15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1.625%</w:t>
            </w:r>
          </w:p>
        </w:tc>
        <w:tc>
          <w:tcPr>
            <w:tcW w:w="18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IV</w:t>
            </w:r>
          </w:p>
        </w:tc>
        <w:tc>
          <w:tcPr>
            <w:tcW w:w="940" w:type="dxa"/>
            <w:vAlign w:val="bottom"/>
          </w:tcPr>
          <w:p>
            <w:pPr>
              <w:spacing w:after="0"/>
              <w:rPr>
                <w:sz w:val="18"/>
                <w:szCs w:val="18"/>
                <w:color w:val="auto"/>
              </w:rPr>
            </w:pPr>
          </w:p>
        </w:tc>
        <w:tc>
          <w:tcPr>
            <w:tcW w:w="3120" w:type="dxa"/>
            <w:vAlign w:val="bottom"/>
            <w:tcBorders>
              <w:right w:val="single" w:sz="8" w:color="auto"/>
            </w:tcBorders>
            <w:gridSpan w:val="4"/>
          </w:tcPr>
          <w:p>
            <w:pPr>
              <w:jc w:val="center"/>
              <w:ind w:right="960"/>
              <w:spacing w:after="0" w:line="209" w:lineRule="exact"/>
              <w:rPr>
                <w:sz w:val="20"/>
                <w:szCs w:val="20"/>
                <w:color w:val="auto"/>
              </w:rPr>
            </w:pPr>
            <w:r>
              <w:rPr>
                <w:rFonts w:ascii="Arial" w:cs="Arial" w:eastAsia="Arial" w:hAnsi="Arial"/>
                <w:sz w:val="20"/>
                <w:szCs w:val="20"/>
                <w:color w:val="auto"/>
                <w:w w:val="89"/>
              </w:rPr>
              <w:t>&gt; 1.25:1.00 but &lt; 1.75:1.00</w:t>
            </w:r>
          </w:p>
        </w:tc>
        <w:tc>
          <w:tcPr>
            <w:tcW w:w="164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0.500%</w:t>
            </w:r>
          </w:p>
        </w:tc>
        <w:tc>
          <w:tcPr>
            <w:tcW w:w="152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1"/>
              </w:rPr>
              <w:t>1.500%</w:t>
            </w:r>
          </w:p>
        </w:tc>
        <w:tc>
          <w:tcPr>
            <w:tcW w:w="180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48"/>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4060" w:type="dxa"/>
            <w:vAlign w:val="bottom"/>
            <w:tcBorders>
              <w:right w:val="single" w:sz="8" w:color="auto"/>
            </w:tcBorders>
            <w:gridSpan w:val="5"/>
          </w:tcPr>
          <w:p>
            <w:pPr>
              <w:jc w:val="right"/>
              <w:ind w:right="1580"/>
              <w:spacing w:after="0"/>
              <w:rPr>
                <w:sz w:val="20"/>
                <w:szCs w:val="20"/>
                <w:color w:val="auto"/>
              </w:rPr>
            </w:pPr>
            <w:r>
              <w:rPr>
                <w:rFonts w:ascii="Arial" w:cs="Arial" w:eastAsia="Arial" w:hAnsi="Arial"/>
                <w:sz w:val="20"/>
                <w:szCs w:val="20"/>
                <w:color w:val="auto"/>
              </w:rPr>
              <w:t>&lt; 1.25:1.00</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0.375%</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1.375%</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0.250%</w:t>
            </w:r>
          </w:p>
        </w:tc>
        <w:tc>
          <w:tcPr>
            <w:tcW w:w="0" w:type="dxa"/>
            <w:vAlign w:val="bottom"/>
          </w:tcPr>
          <w:p>
            <w:pPr>
              <w:spacing w:after="0"/>
              <w:rPr>
                <w:sz w:val="1"/>
                <w:szCs w:val="1"/>
                <w:color w:val="auto"/>
              </w:rPr>
            </w:pPr>
          </w:p>
        </w:tc>
      </w:tr>
      <w:tr>
        <w:trPr>
          <w:trHeight w:val="23"/>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Applicable Margin shall be determined and adjusted quarterly on the first Business Day (each a “</w:t>
      </w:r>
      <w:r>
        <w:rPr>
          <w:rFonts w:ascii="Arial" w:cs="Arial" w:eastAsia="Arial" w:hAnsi="Arial"/>
          <w:sz w:val="20"/>
          <w:szCs w:val="20"/>
          <w:u w:val="single" w:color="auto"/>
          <w:color w:val="auto"/>
        </w:rPr>
        <w:t>Calculation Date</w:t>
      </w:r>
      <w:r>
        <w:rPr>
          <w:rFonts w:ascii="Arial" w:cs="Arial" w:eastAsia="Arial" w:hAnsi="Arial"/>
          <w:sz w:val="20"/>
          <w:szCs w:val="20"/>
          <w:color w:val="auto"/>
        </w:rPr>
        <w:t xml:space="preserve">”) immediately following the date by which the Company provides an Officer’s Compliance Certificate pursuant to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for the most recently ended fiscal quarter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the Applicable Margin shall be based on Pricing Level III until the first Calculation Date following receipt of the Officer’s Compliance Certificate for the fiscal quarter ended March 31, 2021 and, thereafter the Pricing Level shall be determined by reference to the Net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2" w:name="page73"/>
    <w:bookmarkEnd w:id="72"/>
    <w:p>
      <w:pPr>
        <w:jc w:val="both"/>
        <w:spacing w:after="0" w:line="242" w:lineRule="auto"/>
        <w:rPr>
          <w:sz w:val="20"/>
          <w:szCs w:val="20"/>
          <w:color w:val="auto"/>
        </w:rPr>
      </w:pPr>
      <w:r>
        <w:rPr>
          <w:rFonts w:ascii="Arial" w:cs="Arial" w:eastAsia="Arial" w:hAnsi="Arial"/>
          <w:sz w:val="20"/>
          <w:szCs w:val="20"/>
          <w:color w:val="auto"/>
        </w:rPr>
        <w:t xml:space="preserve">Ratio as of the last day of the most recently ended fiscal quarter of the Company preceding the applicable Calculation Date, and (b) if the Company fails to provide the Officer’s Compliance Certificate within five (5) days of the date for delivery required by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for the most recently ended fiscal quarter of the Company preceding the applicable Calculation Date, then, upon the request of the Required Lenders, the Applicable Margin from such Calculation Date shall be based on Pricing Level I until such time as an appropriate Officer’s Compliance Certificate is provided, at which time the Pricing Level shall be determined by reference to the Net Leverage Ratio as of the last day of the most recently ended fiscal quarter of the Company preceding such Calculation Date. The Applicable Margin shall be effective from one Calculation Date until the next Calculation Date. Any adjustment in the Applicable Margin shall be applicable to all Extensions of Credit then existing or subsequently made or issued. The Applicable Margin set forth above shall be increased as, and to the extent, required by </w:t>
      </w:r>
      <w:r>
        <w:rPr>
          <w:rFonts w:ascii="Arial" w:cs="Arial" w:eastAsia="Arial" w:hAnsi="Arial"/>
          <w:sz w:val="20"/>
          <w:szCs w:val="20"/>
          <w:u w:val="single" w:color="auto"/>
          <w:color w:val="auto"/>
        </w:rPr>
        <w:t>Sections 2.8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2.9</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with respect to any Revolving Credit Lender, the percentage of the total Revolving Credit Commitments represented by such Revolving Credit Lender’s Revolving Credit Commitment. If the Revolving Credit Commitments have terminated or expired, the Applicable Percentage shall be determined based upon the Revolving Credit Commitments most recently in effect, giving effect to any assignments.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Reference Rate</w:t>
      </w:r>
      <w:r>
        <w:rPr>
          <w:rFonts w:ascii="Arial" w:cs="Arial" w:eastAsia="Arial" w:hAnsi="Arial"/>
          <w:sz w:val="20"/>
          <w:szCs w:val="20"/>
          <w:color w:val="auto"/>
        </w:rPr>
        <w:t>” means, for any Eurocurrency Rate Loan denominated in any LIBOR Quoted Currency, LIBOR, for any Eurocurrency Rate Loan denominated in euros, EURIBOR, for any Eurocurrency Rate Loan denominated in Australian Dollars, BBSY, for any Eurocurrency Rate Loan denominated in Canadian Dollars, CDOR and for any Eurocurrency Rate Loan denominated in New Zealand Dollars, BKBM, as applicable.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Reference Rate Replacement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Foreign Currency, the local time in the place of settlement for such Foreign Currency as may be determined by the Administrative Agent or the applicable Issuing Lender, as the case may be, to be necessary for timely settlement on the relevant date in accordance with normal banking procedures in the place of payment.</w:t>
      </w:r>
    </w:p>
    <w:p>
      <w:pPr>
        <w:spacing w:after="0" w:line="1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L/C Commitments, (i) the Issuing Lenders and (ii) if any Letters of Credit have been issued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 Revolving Credit Lenders and (c) with respect to the Swingline Commitment, (i) the Swingline Lender and (ii) if any Swingline Loans are outstanding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the Revolving Credit Lenders.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means any Person (other than a natural Person), including, without limitation, any special purpose entity, that is (or will be) engaged in making, purchasing, holding or otherwise investing in commercial loans and similar extensions of credit in the ordinary course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Approved Fund must be administered by (a) a Lender, (b) an Affiliate of a Lender or (c) an entity or an Affiliate of an entity that administers or manages a Lender.</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BAS, PNC Bank, National Association, Regions Capital Markets, BBVA USA and Fifth Third Bank, National Association, in their capacities as joint lead arrangers and joint bookrunners.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13.9(b)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b w:val="1"/>
          <w:bCs w:val="1"/>
          <w:i w:val="1"/>
          <w:iCs w:val="1"/>
          <w:color w:val="auto"/>
        </w:rPr>
        <w:t xml:space="preserve">Exhibit G </w:t>
      </w:r>
      <w:r>
        <w:rPr>
          <w:rFonts w:ascii="Arial" w:cs="Arial" w:eastAsia="Arial" w:hAnsi="Arial"/>
          <w:sz w:val="20"/>
          <w:szCs w:val="20"/>
          <w:color w:val="auto"/>
        </w:rPr>
        <w:t>or any other form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an electronic documentation form generated by use of an electronic platform) approved by the Administrative Agent.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(a) in respect of any Capital Lease of any Person, the capitalized amount thereof that would appear as a liability on a balance sheet of such Person prepared as of such date in accordance with GAAP, and (b) in respect of any Synthetic Lease, the capitalized amount or principal amount of the remaining lease payments under the relevant lease that would appear as a liability on a balance sheet of such Person prepared as of such date in accordance with GAAP if such lease were accounted for as a Capital Lease.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Australian Dollar</w:t>
      </w:r>
      <w:r>
        <w:rPr>
          <w:rFonts w:ascii="Arial" w:cs="Arial" w:eastAsia="Arial" w:hAnsi="Arial"/>
          <w:sz w:val="20"/>
          <w:szCs w:val="20"/>
          <w:color w:val="auto"/>
        </w:rPr>
        <w:t>” means the lawful currency of Australia.</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in respect of the Revolving Credit Facility, the period from and including the Closing Date to the earliest of (a) the Maturity Date for the Revolving Credit Facility, (b) the date of termination of the Revolving Credit Commitments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(c) the date of termination of the Commitment of each Revolving Credit Lender to make Revolving Credit Loans and of the obligation of the Issuing Lenders to make L/C Credit Extensions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Product</w:t>
      </w:r>
      <w:r>
        <w:rPr>
          <w:rFonts w:ascii="Arial" w:cs="Arial" w:eastAsia="Arial" w:hAnsi="Arial"/>
          <w:sz w:val="19"/>
          <w:szCs w:val="19"/>
          <w:color w:val="auto"/>
        </w:rPr>
        <w:t xml:space="preserve">” means any of the following products, services or facilities extended to any Credit Party or Restricted Subsidiary by any Bank Product Provider (including those in existence as of the Closing Date): (a) Cash Management Services; (b) products under any Hedging Agreement (including, without limitation, non-speculative foreign exchange swaps); and (c) commercial credit card, purchase card and merchant card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any of the foregoing to be included as “Obligations” for purposes of a distribution under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the applicable Bank Product Provider must have previously provided a Bank Product Provider Notice to the Administrative Agent which shall notify the Company and the Administrative Agent of the existence of such Bank Product (with the understanding that Lenders party hereto as of the Closing Date shall be entitled to notify the Company and the Administrative Agent of Bank Products in effect as of the Closing Date promptly after the Closing Date). Any Bank Product established from and after the time that the Lenders have received written notice from the Company or the Administrative Agent that an Event of Default exists, until such Event of Default has been waived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shall not be included as “Obligations” for purposes of a distribution under </w:t>
      </w:r>
      <w:r>
        <w:rPr>
          <w:rFonts w:ascii="Arial" w:cs="Arial" w:eastAsia="Arial" w:hAnsi="Arial"/>
          <w:sz w:val="19"/>
          <w:szCs w:val="19"/>
          <w:u w:val="single" w:color="auto"/>
          <w:color w:val="auto"/>
        </w:rPr>
        <w:t>Section 11.4</w:t>
      </w:r>
      <w:r>
        <w:rPr>
          <w:rFonts w:ascii="Arial" w:cs="Arial" w:eastAsia="Arial" w:hAnsi="Arial"/>
          <w:sz w:val="19"/>
          <w:szCs w:val="19"/>
          <w:color w:val="auto"/>
        </w:rPr>
        <w:t>.</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Debt</w:t>
      </w:r>
      <w:r>
        <w:rPr>
          <w:rFonts w:ascii="Arial" w:cs="Arial" w:eastAsia="Arial" w:hAnsi="Arial"/>
          <w:sz w:val="20"/>
          <w:szCs w:val="20"/>
          <w:color w:val="auto"/>
        </w:rPr>
        <w:t>” means the Indebtedness and other obligations of any Credit Party or Restricted Subsidiary relating to Bank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4" w:name="page75"/>
    <w:bookmarkEnd w:id="7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w:t>
      </w:r>
      <w:r>
        <w:rPr>
          <w:rFonts w:ascii="Arial" w:cs="Arial" w:eastAsia="Arial" w:hAnsi="Arial"/>
          <w:sz w:val="20"/>
          <w:szCs w:val="20"/>
          <w:color w:val="auto"/>
        </w:rPr>
        <w:t>” means any Person that provides Bank Products to any Credit Party or Restricted Subsidiary to the extent that such Person is a Lender or an Affiliate of a Lender at the time such Bank Product was entered into or as of the Closing Date with respect to any Bank Product designated as such promptly after the Closing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 Notice</w:t>
      </w:r>
      <w:r>
        <w:rPr>
          <w:rFonts w:ascii="Arial" w:cs="Arial" w:eastAsia="Arial" w:hAnsi="Arial"/>
          <w:sz w:val="20"/>
          <w:szCs w:val="20"/>
          <w:color w:val="auto"/>
        </w:rPr>
        <w:t xml:space="preserve">” means a notice substantially in the form of </w:t>
      </w:r>
      <w:r>
        <w:rPr>
          <w:rFonts w:ascii="Arial" w:cs="Arial" w:eastAsia="Arial" w:hAnsi="Arial"/>
          <w:sz w:val="20"/>
          <w:szCs w:val="20"/>
          <w:b w:val="1"/>
          <w:bCs w:val="1"/>
          <w:i w:val="1"/>
          <w:iCs w:val="1"/>
          <w:color w:val="auto"/>
        </w:rPr>
        <w:t>Exhibit J</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the Bankruptcy Code in Title 11 of the United States Code, as amended, modified, succeeded or replaced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 of Default</w:t>
      </w:r>
      <w:r>
        <w:rPr>
          <w:rFonts w:ascii="Arial" w:cs="Arial" w:eastAsia="Arial" w:hAnsi="Arial"/>
          <w:sz w:val="20"/>
          <w:szCs w:val="20"/>
          <w:color w:val="auto"/>
        </w:rPr>
        <w:t xml:space="preserve">” means any Event of Default specified in </w:t>
      </w:r>
      <w:r>
        <w:rPr>
          <w:rFonts w:ascii="Arial" w:cs="Arial" w:eastAsia="Arial" w:hAnsi="Arial"/>
          <w:sz w:val="20"/>
          <w:szCs w:val="20"/>
          <w:u w:val="single" w:color="auto"/>
          <w:color w:val="auto"/>
        </w:rPr>
        <w:t>Section 11.1(j)</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(k</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w:t>
      </w:r>
      <w:r>
        <w:rPr>
          <w:rFonts w:ascii="Arial" w:cs="Arial" w:eastAsia="Arial" w:hAnsi="Arial"/>
          <w:sz w:val="20"/>
          <w:szCs w:val="20"/>
          <w:color w:val="auto"/>
        </w:rPr>
        <w:t>” means BofA Securities,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of interest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w:t>
      </w:r>
    </w:p>
    <w:p>
      <w:pPr>
        <w:spacing w:after="0" w:line="62" w:lineRule="exact"/>
        <w:rPr>
          <w:sz w:val="20"/>
          <w:szCs w:val="20"/>
          <w:color w:val="auto"/>
        </w:rPr>
      </w:pPr>
    </w:p>
    <w:p>
      <w:pPr>
        <w:jc w:val="both"/>
        <w:ind w:firstLine="8"/>
        <w:spacing w:after="0" w:line="254" w:lineRule="auto"/>
        <w:tabs>
          <w:tab w:leader="none" w:pos="296"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rate of interest in effect for such day as publicly announced from time to time by Bank of America as its “prime rate,” and (c) the Eurocurrency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subject to the interest rate floors set forth therein;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hereof, then the Base Rate shall be the greater of clauses (a) and (b) above and shall be determined without reference to clause (c) above.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any Loan bearing interest at a rate based upon the Base Rate. All Base Rate Loans are only available to the Company and Subsidiary Borrowers that are Domestic Subsidiaries and Loans denominated in Dollars.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Blackbaud Payment Services Account</w:t>
      </w:r>
      <w:r>
        <w:rPr>
          <w:rFonts w:ascii="Arial" w:cs="Arial" w:eastAsia="Arial" w:hAnsi="Arial"/>
          <w:sz w:val="20"/>
          <w:szCs w:val="20"/>
          <w:color w:val="auto"/>
        </w:rPr>
        <w:t>” means any deposit account in the name of a Credit Party for the processing of donations, tuition payments or other payments made to client organizations of the Credit Parties.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have the meaning assigned to such terms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other than a Saturday, Sunday or other day on which commercial banks are authorized to close under the Applicable Laws of, or are in fact closed in, the state where the Administrative Agent’s Office is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2" w:lineRule="exact"/>
        <w:rPr>
          <w:sz w:val="20"/>
          <w:szCs w:val="20"/>
          <w:color w:val="auto"/>
        </w:rPr>
      </w:pPr>
    </w:p>
    <w:p>
      <w:pPr>
        <w:jc w:val="both"/>
        <w:ind w:left="660" w:firstLine="644"/>
        <w:spacing w:after="0" w:line="246" w:lineRule="auto"/>
        <w:tabs>
          <w:tab w:leader="none" w:pos="1772"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823"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Business Day that is also a TARGET Day;</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786"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5" w:lineRule="exact"/>
        <w:rPr>
          <w:rFonts w:ascii="Arial" w:cs="Arial" w:eastAsia="Arial" w:hAnsi="Arial"/>
          <w:sz w:val="20"/>
          <w:szCs w:val="20"/>
          <w:color w:val="auto"/>
        </w:rPr>
      </w:pPr>
    </w:p>
    <w:p>
      <w:pPr>
        <w:jc w:val="both"/>
        <w:ind w:left="660" w:firstLine="644"/>
        <w:spacing w:after="0" w:line="244" w:lineRule="auto"/>
        <w:tabs>
          <w:tab w:leader="none" w:pos="17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Calculation Date</w:t>
      </w:r>
      <w:r>
        <w:rPr>
          <w:rFonts w:ascii="Arial" w:cs="Arial" w:eastAsia="Arial" w:hAnsi="Arial"/>
          <w:sz w:val="20"/>
          <w:szCs w:val="20"/>
          <w:color w:val="auto"/>
        </w:rPr>
        <w:t>” has the meaning assigned thereto in the definition of Applicable Margin.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and “</w:t>
      </w:r>
      <w:r>
        <w:rPr>
          <w:rFonts w:ascii="Arial" w:cs="Arial" w:eastAsia="Arial" w:hAnsi="Arial"/>
          <w:sz w:val="20"/>
          <w:szCs w:val="20"/>
          <w:u w:val="single" w:color="auto"/>
          <w:color w:val="auto"/>
        </w:rPr>
        <w:t>CAD</w:t>
      </w:r>
      <w:r>
        <w:rPr>
          <w:rFonts w:ascii="Arial" w:cs="Arial" w:eastAsia="Arial" w:hAnsi="Arial"/>
          <w:sz w:val="20"/>
          <w:szCs w:val="20"/>
          <w:color w:val="auto"/>
        </w:rPr>
        <w:t>” mean the lawful currency of Canada.</w:t>
      </w:r>
    </w:p>
    <w:p>
      <w:pPr>
        <w:spacing w:after="0" w:line="21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xml:space="preserve">” means any lease of any property by the Company or any of its Restricted Subsidiaries, as lessee, that should, in accordance with GAAP, be classified and accounted for as a capital lease on a Consolidated balance sheet of the Company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Indebtedness hereunder (including for purposes of calculating the Net Leverage Ratio), the term “</w:t>
      </w:r>
      <w:r>
        <w:rPr>
          <w:rFonts w:ascii="Arial" w:cs="Arial" w:eastAsia="Arial" w:hAnsi="Arial"/>
          <w:sz w:val="16"/>
          <w:szCs w:val="16"/>
          <w:u w:val="single" w:color="auto"/>
          <w:color w:val="auto"/>
        </w:rPr>
        <w:t>Capital Lease</w:t>
      </w:r>
      <w:r>
        <w:rPr>
          <w:rFonts w:ascii="Arial" w:cs="Arial" w:eastAsia="Arial" w:hAnsi="Arial"/>
          <w:sz w:val="16"/>
          <w:szCs w:val="16"/>
          <w:color w:val="auto"/>
        </w:rPr>
        <w:t>” shall not include any Capital Lease that was classified as an Operating Lease under GAAP as in effect on December 31, 2015 or would have been classified as an Operating Lease had such agreement been in effect on December 31, 2015.</w:t>
      </w:r>
    </w:p>
    <w:p>
      <w:pPr>
        <w:spacing w:after="0" w:line="1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the Administrative Agent, the Issuing Lenders, the Swingline Lender and the Lenders,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6" w:name="page77"/>
    <w:bookmarkEnd w:id="76"/>
    <w:p>
      <w:pPr>
        <w:jc w:val="both"/>
        <w:spacing w:after="0" w:line="278" w:lineRule="auto"/>
        <w:rPr>
          <w:sz w:val="20"/>
          <w:szCs w:val="20"/>
          <w:color w:val="auto"/>
        </w:rPr>
      </w:pPr>
      <w:r>
        <w:rPr>
          <w:rFonts w:ascii="Arial" w:cs="Arial" w:eastAsia="Arial" w:hAnsi="Arial"/>
          <w:sz w:val="18"/>
          <w:szCs w:val="18"/>
          <w:color w:val="auto"/>
        </w:rPr>
        <w:t>collateral for L/C Obligations, obligations in respect of Swingline Loans, or obligations of the Lenders to fund participations in respect of any thereof (as the context may require), cash or deposit account balances or, if the Issuing Lenders or Swingline Lender benefiting from such collateral shall agree in their sole discretion, other credit support, in each case pursuant to documentation in form and substance reasonably satisfactory to (a) the Administrative Agent and (b) the Issuing Lenders or the Swingline Lender (as applicable). “Cash Collateral” shall have a meaning correlative to the foregoing and shall include the proceeds of such cash collateral and other credit support.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Services</w:t>
      </w:r>
      <w:r>
        <w:rPr>
          <w:rFonts w:ascii="Arial" w:cs="Arial" w:eastAsia="Arial" w:hAnsi="Arial"/>
          <w:sz w:val="20"/>
          <w:szCs w:val="20"/>
          <w:color w:val="auto"/>
        </w:rPr>
        <w:t>” means any services provided from time to time to the Company or any Restricted Subsidiary in connection with operating, collections, payroll, trust, or other depository or disbursement accounts, including automatic clearinghouse, controlled disbursement, depository, electronic funds transfer, information reporting, lockbox, stop payment, overdraft and/or wire transfer services and all other treasury and cash management services.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on Hand</w:t>
      </w:r>
      <w:r>
        <w:rPr>
          <w:rFonts w:ascii="Arial" w:cs="Arial" w:eastAsia="Arial" w:hAnsi="Arial"/>
          <w:sz w:val="20"/>
          <w:szCs w:val="20"/>
          <w:color w:val="auto"/>
        </w:rPr>
        <w:t xml:space="preserve">” means as of any date of determination, the aggregate amount of unrestricted cash and Cash Equivalents of the Company and its Restricted Subsidiaries as set forth in the most recent Consolidated balance sheet of the Company and its Restricted Subsidiaries delivered to the Administrative Agent in accordance with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any event or series of events in which any person or group of persons (within the meaning of Section 13(d) of the Securities Exchange Act of 1934, as amended) shall obtain ownership or control in one or more series of transactions of more than thirty-five percent (35%) of the Capital Stock or thirty-five percent (35%) of the voting power of the Company entitled to vote in the election of members of the board of directors of the Company, (b) there shall have occurred under any indenture or other instrument evidencing any Indebtedness in excess of $40,000,000 any “change in control” (as defined in such indenture or other evidence of Indebtedness) requiring the Company to repurchase, redeem or repay all or any part of the Indebtedness or Capital Stock provided for therein or (c) the Company shall cease to own and control, directly or indirectly, 100% of each Subsidiary Borrower.</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date of this Agreement or such later Business Day upon which each condition described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shall be satisfied or waived in all respects in a manner acceptable to the Administrative Agent, in its sole discretion.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or modified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the collateral security for the Obligations pledged or granted pursuant to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any Lender, such Lender’s Dollar Tranche Revolving Credit Commitment, Designated Currency Tranche Revolving Credit Commitment, Swingline Commitment, Term Loan Commitment and/or Incremental Term Loan Commitment, as applicable.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means, as to any Lender at any time, such Lender’s Dollar Tranche Revolving Credit Commitment Percentage, Designated Currency Tranche Revolving Credit Commitment Percentage, Term Loan Commitment Percentage, or Incremental Term Loan Percentage, as applicable.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shall mean the Commodity Exchange Act (7 U.S.C. § 1 et seq.), as amended from time to time, and any successor statute.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assigned thereto in the introductory paragraph hereto.</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xml:space="preserve">” means (a) with respect to any Loan, each of the following: (i) each date of an Extension of Credit of a Eurocurrency Rate Loan denominated in a Foreign Currency, (ii) each date of a continuation of a Eurocurrency Rate Loan denominated in a Foreign Currency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and (iii) such additional dates as the Administrative Agent shall determine or the Required Lenders shall require; and (b) with respect to any Letter of Credit, each of the following: (i) each date of issuance, amendment and/or extension of a Letter of Credit denominated in a Foreign Currency, (ii) each date of any payment by any Issuing Lender under any Letter of Credit denominated in a Foreign Currency, (iii) in the case of all Existing Letters of Credit denominated in Foreign Currencies, the Closing Date, and (iv) such additional dates as the Administrative Agent or any Issuing Lender shall determine or the Required Lenders shall require.</w:t>
      </w:r>
    </w:p>
    <w:p>
      <w:pPr>
        <w:spacing w:after="0" w:line="182" w:lineRule="exact"/>
        <w:rPr>
          <w:sz w:val="20"/>
          <w:szCs w:val="20"/>
          <w:color w:val="auto"/>
        </w:rPr>
      </w:pPr>
    </w:p>
    <w:p>
      <w:pPr>
        <w:ind w:left="80" w:right="140" w:firstLine="58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the Company and its Restricted Subsidiaries, such statements or items on a consolidated basis in accordance with applicable principles of consolidation under GAAP.</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13.26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Facility</w:t>
      </w:r>
      <w:r>
        <w:rPr>
          <w:rFonts w:ascii="Arial" w:cs="Arial" w:eastAsia="Arial" w:hAnsi="Arial"/>
          <w:sz w:val="20"/>
          <w:szCs w:val="20"/>
          <w:color w:val="auto"/>
        </w:rPr>
        <w:t>” and “</w:t>
      </w:r>
      <w:r>
        <w:rPr>
          <w:rFonts w:ascii="Arial" w:cs="Arial" w:eastAsia="Arial" w:hAnsi="Arial"/>
          <w:sz w:val="20"/>
          <w:szCs w:val="20"/>
          <w:u w:val="single" w:color="auto"/>
          <w:color w:val="auto"/>
        </w:rPr>
        <w:t>Credit Facilities</w:t>
      </w:r>
      <w:r>
        <w:rPr>
          <w:rFonts w:ascii="Arial" w:cs="Arial" w:eastAsia="Arial" w:hAnsi="Arial"/>
          <w:sz w:val="20"/>
          <w:szCs w:val="20"/>
          <w:color w:val="auto"/>
        </w:rPr>
        <w:t>” means, collectively, the Dollar Tranche Revolving Credit Facility, the Designated Currency Tranche Revolving Credit Facility, the Term Loan Credit Facility, the Swingline Facility, the L/C Facility and the Incremental Term Loan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Borrowers and the Guarantors.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8" w:name="page79"/>
    <w:bookmarkEnd w:id="78"/>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which with the passage of time, the giving of notice or any other condition, would constitute an Event of Default.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Revolving Credit Loans that are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two percent (2%), in each case, to the fullest extent permitted by Applicable Law.</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4.14(b)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Issuing Lender, the Swingline Lender or any other Lender any other amount required to be paid by it hereunder (including in respect of its participation in Letters of Credit or Swingline Loans) within two (2) Business Days of the date when due, (b) has notified the Company, the Administrative Agent, an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w:t>
      </w:r>
    </w:p>
    <w:p>
      <w:pPr>
        <w:spacing w:after="0" w:line="5" w:lineRule="exact"/>
        <w:rPr>
          <w:sz w:val="20"/>
          <w:szCs w:val="20"/>
          <w:color w:val="auto"/>
        </w:rPr>
      </w:pPr>
    </w:p>
    <w:p>
      <w:pPr>
        <w:jc w:val="both"/>
        <w:ind w:firstLine="8"/>
        <w:spacing w:after="0" w:line="253" w:lineRule="auto"/>
        <w:tabs>
          <w:tab w:leader="none" w:pos="261"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4.14(b)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Company, each Issuing Lender, the Swingline Lender and each other Lender promptly following such determination.</w:t>
      </w:r>
    </w:p>
    <w:p>
      <w:pPr>
        <w:spacing w:after="0" w:line="18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Currency Tranche</w:t>
      </w:r>
      <w:r>
        <w:rPr>
          <w:rFonts w:ascii="Arial" w:cs="Arial" w:eastAsia="Arial" w:hAnsi="Arial"/>
          <w:sz w:val="20"/>
          <w:szCs w:val="20"/>
          <w:color w:val="auto"/>
        </w:rPr>
        <w:t>” means the Designated Currency Tranche Revolving Credit Commitment and the Designated Currency Tranche Revolving Credit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79" w:name="page80"/>
    <w:bookmarkEnd w:id="79"/>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Currency Tranche Revolving Credit Commitment</w:t>
      </w:r>
      <w:r>
        <w:rPr>
          <w:rFonts w:ascii="Arial" w:cs="Arial" w:eastAsia="Arial" w:hAnsi="Arial"/>
          <w:sz w:val="19"/>
          <w:szCs w:val="19"/>
          <w:color w:val="auto"/>
        </w:rPr>
        <w:t xml:space="preserve">” means (a) as to any Designated Currency Tranche Revolving Credit Lender, the obligation of such Designated Currency Tranche Revolving Credit Lender to make Designated Currency Tranche Revolving Credit Loans for the account of the Borrowers hereunder, in an aggregate principal amount at any time outstanding not to exceed the amount set forth opposite such Designated Currency Tranche Revolving Credit Lender’s name on </w:t>
      </w:r>
      <w:r>
        <w:rPr>
          <w:rFonts w:ascii="Arial" w:cs="Arial" w:eastAsia="Arial" w:hAnsi="Arial"/>
          <w:sz w:val="19"/>
          <w:szCs w:val="19"/>
          <w:u w:val="single" w:color="auto"/>
          <w:color w:val="auto"/>
        </w:rPr>
        <w:t>Schedule 1.1(b)</w:t>
      </w:r>
      <w:r>
        <w:rPr>
          <w:rFonts w:ascii="Arial" w:cs="Arial" w:eastAsia="Arial" w:hAnsi="Arial"/>
          <w:sz w:val="19"/>
          <w:szCs w:val="19"/>
          <w:color w:val="auto"/>
        </w:rPr>
        <w:t>, as such Designated Currency Tranche Revolving Credit Commitment may be increased, reduced or modified at any time or from time to time pursuant to the terms hereof and (b) as to all Designated Currency Tranche Revolving Credit Lenders, the aggregate commitment of all Designated Currency Tranche Revolving Credit Lenders to make Designated Currency Tranche Revolving Credit Loans, as such amount may be increased, reduced or modified at any time or from time to time pursuant to the terms hereof.</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Currency Tranche Revolving Credit Commitment Percentage</w:t>
      </w:r>
      <w:r>
        <w:rPr>
          <w:rFonts w:ascii="Arial" w:cs="Arial" w:eastAsia="Arial" w:hAnsi="Arial"/>
          <w:sz w:val="20"/>
          <w:szCs w:val="20"/>
          <w:color w:val="auto"/>
        </w:rPr>
        <w:t>” means, as to any Designated Currency Tranche Revolving Credit Lender at any time, the ratio of (a) the amount of the Designated Currency Tranche Revolving Credit Commitment of such Designated Currency Tranche Revolving Credit Lender to (b) the Designated Currency Tranche Revolving Credit Commitments of all Designated Currency Tranche Revolving Credit Lenders.</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Currency Tranche Revolving Credit Facility</w:t>
      </w:r>
      <w:r>
        <w:rPr>
          <w:rFonts w:ascii="Arial" w:cs="Arial" w:eastAsia="Arial" w:hAnsi="Arial"/>
          <w:sz w:val="19"/>
          <w:szCs w:val="19"/>
          <w:color w:val="auto"/>
        </w:rPr>
        <w:t xml:space="preserve">” means the revolving credit facility established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but excluding the Swingline Facility, the Dollar Tranche Revolving Credit Facility and any Incremental Term Loan Facility.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Currency Tranche Revolving Credit Lender</w:t>
      </w:r>
      <w:r>
        <w:rPr>
          <w:rFonts w:ascii="Arial" w:cs="Arial" w:eastAsia="Arial" w:hAnsi="Arial"/>
          <w:sz w:val="20"/>
          <w:szCs w:val="20"/>
          <w:color w:val="auto"/>
        </w:rPr>
        <w:t>” means any Lender with a Designated Currency Tranche Revolving Credit Commitment.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Currency Tranche Revolving Credit Loans</w:t>
      </w:r>
      <w:r>
        <w:rPr>
          <w:rFonts w:ascii="Arial" w:cs="Arial" w:eastAsia="Arial" w:hAnsi="Arial"/>
          <w:sz w:val="19"/>
          <w:szCs w:val="19"/>
          <w:color w:val="auto"/>
        </w:rPr>
        <w:t xml:space="preserve">” means any revolving loan made to any Borrower pursuant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(and designated as contemplated thereunder), and all such revolving loans collectively as the context requires.</w:t>
      </w:r>
    </w:p>
    <w:p>
      <w:pPr>
        <w:spacing w:after="0" w:line="1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Currency Tranche Revolving Credit Note</w:t>
      </w:r>
      <w:r>
        <w:rPr>
          <w:rFonts w:ascii="Arial" w:cs="Arial" w:eastAsia="Arial" w:hAnsi="Arial"/>
          <w:sz w:val="18"/>
          <w:szCs w:val="18"/>
          <w:color w:val="auto"/>
        </w:rPr>
        <w:t xml:space="preserve">” means a promissory note made by a Borrower in favor of a Designated Currency Tranche Revolving Credit Lender evidencing the Designated Currency Tranche Revolving Credit Loans made by such Designated Currency Tranche Revolving Credit Lender, substantially in the form of </w:t>
      </w:r>
      <w:r>
        <w:rPr>
          <w:rFonts w:ascii="Arial" w:cs="Arial" w:eastAsia="Arial" w:hAnsi="Arial"/>
          <w:sz w:val="18"/>
          <w:szCs w:val="18"/>
          <w:b w:val="1"/>
          <w:bCs w:val="1"/>
          <w:i w:val="1"/>
          <w:iCs w:val="1"/>
          <w:color w:val="auto"/>
        </w:rPr>
        <w:t>Exhibit A-4</w:t>
      </w:r>
      <w:r>
        <w:rPr>
          <w:rFonts w:ascii="Arial" w:cs="Arial" w:eastAsia="Arial" w:hAnsi="Arial"/>
          <w:sz w:val="18"/>
          <w:szCs w:val="18"/>
          <w:color w:val="auto"/>
        </w:rPr>
        <w:t xml:space="preserve"> hereto, and any amendments, supplements and modifications thereto, any substitutes therefor, and any replacements, restatements, renewals or extension thereof, in whole or in part.</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or territory to the extent that such country or territory is itself the subject of any Sanction.</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(other than Bank Product Debt) that are accrued and payable and the termination of the Commitments), (b) is redeemable at the option of the holder thereof (other than solely for Qualified Capital Stock) (except as a result of a change of control or asset sale so long as any rights of the holders thereof upon the occurrence of a change of control or asset sale event shall be subject to the prior repayment in full of the Loans and all other Obligations (other than Bank Product Debt) that are accrued and payable and the termination of the Commitments), in whole or in part, (c) provides for the scheduled payment of dividends in cash or (d) is or becomes convertible into or exchangeable for Indebtedness or any other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20"/>
          <w:szCs w:val="20"/>
          <w:color w:val="auto"/>
        </w:rPr>
        <w:t xml:space="preserve">that would constitute Disqualified Capital Stock, in each case, prior to the Maturity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if such Capital Stock is issued pursuant to a plan for the benefit of the Company or its Restricted Subsidiaries or by any such plan to such employees, such Capital Stock shall not constitute Disqualified Capital Stock solely because it may be required to be repurchased by the Company or its Restricted Subsidiaries in order to satisfy applicable statutory or regulatory obligations.</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means (a) competitors of the Company or its Subsidiaries that are in the same or a similar line of business as the Company and its Subsidiaries (it being understood that a bank or financial institution providing payment processing services shall not be considered a competitor) and are identified by legal name in writing to the Administrative Agent on or prior to the Closing Date, as such list may be updated in writing from time to time by the Company, (b) any other entity identified by legal name in writing to the Administrative Agent on or prior to the Closing Date, as such list may be updated in writing from time to time by the Company (such list and all updates and supplements thereto, together with the list and all updates and supplements thereto referenced in the preceding clause (a), collectively, the “</w:t>
      </w:r>
      <w:r>
        <w:rPr>
          <w:rFonts w:ascii="Arial" w:cs="Arial" w:eastAsia="Arial" w:hAnsi="Arial"/>
          <w:sz w:val="19"/>
          <w:szCs w:val="19"/>
          <w:u w:val="single" w:color="auto"/>
          <w:color w:val="auto"/>
        </w:rPr>
        <w:t>DQ List</w:t>
      </w:r>
      <w:r>
        <w:rPr>
          <w:rFonts w:ascii="Arial" w:cs="Arial" w:eastAsia="Arial" w:hAnsi="Arial"/>
          <w:sz w:val="19"/>
          <w:szCs w:val="19"/>
          <w:color w:val="auto"/>
        </w:rPr>
        <w:t xml:space="preserve">”) and (c) any Affiliates thereof to the extent clearly identifiable as such on the basis that such Affiliate’s names include the name of the specified Disqualified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“Disqualified Institutions” shall exclude any Person that the Company has designated as no longer being a “Disqualified Institution” by written notice delivered to the Administrative Agent and the Lenders from time to time.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Amount</w:t>
      </w:r>
      <w:r>
        <w:rPr>
          <w:rFonts w:ascii="Arial" w:cs="Arial" w:eastAsia="Arial" w:hAnsi="Arial"/>
          <w:sz w:val="20"/>
          <w:szCs w:val="20"/>
          <w:color w:val="auto"/>
        </w:rPr>
        <w:t>” means, at any time, (a) with respect to any amount denominated in Dollars, such amount, and (b) with respect to any amount denominated in any Foreign Currency, the equivalent amount thereof in Dollars as determined by the Administrative Agent or the applicable Issuing Lender, as the case may be, at such time on the basis of the Exchange Rate (determined in respect of the most recent Computation Date) for the purchase of Dollars with such Foreign Currency.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LIBOR Successor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Tranche</w:t>
      </w:r>
      <w:r>
        <w:rPr>
          <w:rFonts w:ascii="Arial" w:cs="Arial" w:eastAsia="Arial" w:hAnsi="Arial"/>
          <w:sz w:val="20"/>
          <w:szCs w:val="20"/>
          <w:color w:val="auto"/>
        </w:rPr>
        <w:t>” means the Dollar Tranche Revolving Credit Commitment, the Dollar Tranche Revolving Credit Loans, the L/C Obligations and the Swingline Loans.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Tranche Revolving Credit Commitment</w:t>
      </w:r>
      <w:r>
        <w:rPr>
          <w:rFonts w:ascii="Arial" w:cs="Arial" w:eastAsia="Arial" w:hAnsi="Arial"/>
          <w:sz w:val="18"/>
          <w:szCs w:val="18"/>
          <w:color w:val="auto"/>
        </w:rPr>
        <w:t xml:space="preserve">” means (a) as to any Dollar Tranche Revolving Credit Lender, the obligation of such Dollar Tranche Revolving Credit Lender to (i) make Dollar Tranche Revolving Credit Loans for the account of the Borrowers hereunder, (ii) purchase participations in L/C Obligations, and (iii) refund Swingline Loans, in an aggregate principal amount at any time outstanding not to exceed the amount set forth opposite such Dollar Tranche Revolving Credit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as such Dollar Tranche Revolving Credit Commitment may be increased, reduced or modified at any time or from time to time pursuant to the terms hereof and (b) as to all Dollar Tranche Revolving Credit Lenders, the aggregate commitment of all Dollar Tranche Revolving Credit Lenders to (i) make Dollar Tranche Revolving Credit Loans, (ii) purchase participations in L/C Obligations, and (iii) refund Swingline Loans, as such amount may be increased, reduced or modified at any time or from time to time pursuant to the terms hereof.</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Tranche Revolving Credit Commitment Percentage</w:t>
      </w:r>
      <w:r>
        <w:rPr>
          <w:rFonts w:ascii="Arial" w:cs="Arial" w:eastAsia="Arial" w:hAnsi="Arial"/>
          <w:sz w:val="20"/>
          <w:szCs w:val="20"/>
          <w:color w:val="auto"/>
        </w:rPr>
        <w:t>” means, as to any Dollar Tranche Revolving Credit Lender at any time, the ratio of (a) the amount of the Dollar Tranche Revolving Credit Commitment of such Dollar Tranche Revolving Credit Lender to (b) the Dollar Tranche Revolving Credit Commitments of all Dollar Tranche Revolving Credit Lenders.</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Tranche Revolving Credit Facility</w:t>
      </w:r>
      <w:r>
        <w:rPr>
          <w:rFonts w:ascii="Arial" w:cs="Arial" w:eastAsia="Arial" w:hAnsi="Arial"/>
          <w:sz w:val="19"/>
          <w:szCs w:val="19"/>
          <w:color w:val="auto"/>
        </w:rPr>
        <w:t xml:space="preserve">” means the revolving credit facility established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but excluding the Swingline Facility, the Designated Currency Tranche Revolving Credit Facility and any Incremental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Tranche Revolving Credit Lender</w:t>
      </w:r>
      <w:r>
        <w:rPr>
          <w:rFonts w:ascii="Arial" w:cs="Arial" w:eastAsia="Arial" w:hAnsi="Arial"/>
          <w:sz w:val="20"/>
          <w:szCs w:val="20"/>
          <w:color w:val="auto"/>
        </w:rPr>
        <w:t>” means any Lender with a Dollar Tranche Revolving Credit Commitment.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Tranche Revolving Credit Loans</w:t>
      </w:r>
      <w:r>
        <w:rPr>
          <w:rFonts w:ascii="Arial" w:cs="Arial" w:eastAsia="Arial" w:hAnsi="Arial"/>
          <w:sz w:val="20"/>
          <w:szCs w:val="20"/>
          <w:color w:val="auto"/>
        </w:rPr>
        <w:t xml:space="preserve">” means any revolving loan made to any Borrower pursuant to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2.8</w:t>
      </w:r>
      <w:r>
        <w:rPr>
          <w:rFonts w:ascii="Arial" w:cs="Arial" w:eastAsia="Arial" w:hAnsi="Arial"/>
          <w:sz w:val="20"/>
          <w:szCs w:val="20"/>
          <w:color w:val="auto"/>
        </w:rPr>
        <w:t xml:space="preserve"> (and designated as contemplated thereunder), and all such revolving loans collectively as the context requires.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Tranche Revolving Credit Note</w:t>
      </w:r>
      <w:r>
        <w:rPr>
          <w:rFonts w:ascii="Arial" w:cs="Arial" w:eastAsia="Arial" w:hAnsi="Arial"/>
          <w:sz w:val="20"/>
          <w:szCs w:val="20"/>
          <w:color w:val="auto"/>
        </w:rPr>
        <w:t xml:space="preserve">” means a promissory note made by a Borrower in favor of a Dollar Tranche Revolving Credit Lender evidencing the Dollar Tranche Revolving Credit Loans made by such Dollar Tranche Revolving Credit Lender, substantially in the form of </w:t>
      </w:r>
      <w:r>
        <w:rPr>
          <w:rFonts w:ascii="Arial" w:cs="Arial" w:eastAsia="Arial" w:hAnsi="Arial"/>
          <w:sz w:val="20"/>
          <w:szCs w:val="20"/>
          <w:b w:val="1"/>
          <w:bCs w:val="1"/>
          <w:i w:val="1"/>
          <w:iCs w:val="1"/>
          <w:color w:val="auto"/>
        </w:rPr>
        <w:t>Exhibit A-1</w:t>
      </w:r>
      <w:r>
        <w:rPr>
          <w:rFonts w:ascii="Arial" w:cs="Arial" w:eastAsia="Arial" w:hAnsi="Arial"/>
          <w:sz w:val="20"/>
          <w:szCs w:val="20"/>
          <w:color w:val="auto"/>
        </w:rPr>
        <w:t xml:space="preserve"> hereto, and any amendments, supplements and modifications thereto, any substitutes therefor, and any replacements, restatements, renewals or extension thereof, in whole or in part.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unless otherwise qualified, dollars in lawful currency of the United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Credit Party</w:t>
      </w:r>
      <w:r>
        <w:rPr>
          <w:rFonts w:ascii="Arial" w:cs="Arial" w:eastAsia="Arial" w:hAnsi="Arial"/>
          <w:sz w:val="20"/>
          <w:szCs w:val="20"/>
          <w:color w:val="auto"/>
        </w:rPr>
        <w:t>” means any Credit Party that is a U.S. Person.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a U.S. Person other than an Excluded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has the meaning assigned to such term in the definition of Disqualified Institution.</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any period, the sum of the following determined on a Consolidated basis, without duplication, for the Company and its Restricted Subsidiaries in accordance with GAAP: (a)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sum of the following to the extent deducted in determining Net Income for such period: (i) income and franchise taxes, (ii) Interest Expense, (iii) amortization, depreciation and all other non-cash charges, expenses or losses (including non-cash stock compensation charges and expenses and including fair market value adjustments on acquired deferred revenue) otherwise deducted in determining the Net Income for such period (excluding reserves for future cash charges), (iv) any extraordinary losses, (v) Transaction Costs, (vi) Pro Forma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Pro Forma Adjustments added back to EBITDA shall not exceed ten percent (10%) of EBITDA (determined prior to giving effect to the add back in this clause (vi)) and (vii) up to $25,000,000 of non-recurring costs and expenses incurred in connection with the restructuring of leases to lower ongoing lease and rent expense as reported in the Officer’s Compliance Certificate delivered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for such fiscal quarter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costs and expenses (x) may only be added back in the calculation of EBITDA once and (y) are incurred on or before March 31, 2021,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interest income and any extraordinary gains.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2" w:name="page83"/>
    <w:bookmarkEnd w:id="82"/>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13.9</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13.9(b)(iii)</w:t>
      </w:r>
      <w:r>
        <w:rPr>
          <w:rFonts w:ascii="Arial" w:cs="Arial" w:eastAsia="Arial" w:hAnsi="Arial"/>
          <w:sz w:val="18"/>
          <w:szCs w:val="18"/>
          <w:color w:val="auto"/>
        </w:rPr>
        <w:t xml:space="preserve">). For the avoidance of doubt, any Disqualified Institution is subject to </w:t>
      </w:r>
      <w:r>
        <w:rPr>
          <w:rFonts w:ascii="Arial" w:cs="Arial" w:eastAsia="Arial" w:hAnsi="Arial"/>
          <w:sz w:val="18"/>
          <w:szCs w:val="18"/>
          <w:u w:val="single" w:color="auto"/>
          <w:color w:val="auto"/>
        </w:rPr>
        <w:t>Section 13.9(g)</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any employee benefit plan within the meaning of Section 3(3) of ERISA (other than a Multiemployer Plan) which (a) is maintained, sponsored or contributed to by the Company or any ERISA Affiliate or (b) has at any time within the preceding six (6) years been maintained, sponsored or contributed to by the Company or any current or former ERISA Affiliate.</w:t>
      </w:r>
    </w:p>
    <w:p>
      <w:pPr>
        <w:spacing w:after="0" w:line="1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any and all administrative, regulatory or judicial actions, suits, demands, demand letters, claims, liens,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releases of Hazardous Materials or arising from alleged injury or threat of injury to human health or the environment.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foreign, state, provincial and local laws, statutes, ordinances, codes, rules, standards and regulations, permits, licenses, and orders of courts or Governmental Authorities, relating to the protection of human health (with respect to exposure to Hazardous Materials) or the environment, including, but not limited to, requirements pertaining to the manufacture, processing, distribution, use, treatment, storage, disposal, transportation, handling, reporting, licensing, permitting, investigation or remediation of Hazardous Materials.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Equivalent Amount</w:t>
      </w:r>
      <w:r>
        <w:rPr>
          <w:rFonts w:ascii="Arial" w:cs="Arial" w:eastAsia="Arial" w:hAnsi="Arial"/>
          <w:sz w:val="20"/>
          <w:szCs w:val="20"/>
          <w:color w:val="auto"/>
        </w:rPr>
        <w:t>” means, at any time, with respect to any amount denominated in Dollars, the equivalent amount thereof in the applicable Foreign Currency as determined by the Administrative Agent or the applicable Issuing Lender, as the case may be, at such time on the basis of the Exchange Rate (determined in respect of the most recent Computation Date) for the purchase of such Foreign Currency with Dollars.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 each as amended or modified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who together with any Credit Party is treated as a single employer within the meaning of Section 414(b), (c), (m) or (o) of the Code or Section 4001(b) of ERISA.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w:t>
      </w:r>
      <w:r>
        <w:rPr>
          <w:rFonts w:ascii="Arial" w:cs="Arial" w:eastAsia="Arial" w:hAnsi="Arial"/>
          <w:sz w:val="20"/>
          <w:szCs w:val="20"/>
          <w:color w:val="auto"/>
        </w:rPr>
        <w:t>” means the European Union.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and/or “</w:t>
      </w:r>
      <w:r>
        <w:rPr>
          <w:rFonts w:ascii="Arial" w:cs="Arial" w:eastAsia="Arial" w:hAnsi="Arial"/>
          <w:sz w:val="20"/>
          <w:szCs w:val="20"/>
          <w:u w:val="single" w:color="auto"/>
          <w:color w:val="auto"/>
        </w:rPr>
        <w:t>EUR</w:t>
      </w:r>
      <w:r>
        <w:rPr>
          <w:rFonts w:ascii="Arial" w:cs="Arial" w:eastAsia="Arial" w:hAnsi="Arial"/>
          <w:sz w:val="20"/>
          <w:szCs w:val="20"/>
          <w:color w:val="auto"/>
        </w:rPr>
        <w:t>” means the single currency of the participating member states of the EU.</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216" w:lineRule="exact"/>
        <w:rPr>
          <w:sz w:val="20"/>
          <w:szCs w:val="20"/>
          <w:color w:val="auto"/>
        </w:rPr>
      </w:pPr>
    </w:p>
    <w:p>
      <w:pPr>
        <w:ind w:left="1720" w:hanging="416"/>
        <w:spacing w:after="0"/>
        <w:tabs>
          <w:tab w:leader="none" w:pos="1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for any Interest Period, with respect to any Extension of Credit:</w:t>
      </w:r>
    </w:p>
    <w:p>
      <w:pPr>
        <w:spacing w:after="0" w:line="215" w:lineRule="exact"/>
        <w:rPr>
          <w:rFonts w:ascii="Arial" w:cs="Arial" w:eastAsia="Arial" w:hAnsi="Arial"/>
          <w:sz w:val="20"/>
          <w:szCs w:val="20"/>
          <w:color w:val="auto"/>
        </w:rPr>
      </w:pPr>
    </w:p>
    <w:p>
      <w:pPr>
        <w:ind w:left="1300" w:firstLine="652"/>
        <w:spacing w:after="0" w:line="260" w:lineRule="auto"/>
        <w:tabs>
          <w:tab w:leader="none" w:pos="2366" w:val="left"/>
        </w:tabs>
        <w:numPr>
          <w:ilvl w:val="1"/>
          <w:numId w:val="55"/>
        </w:numPr>
        <w:rPr>
          <w:rFonts w:ascii="Arial" w:cs="Arial" w:eastAsia="Arial" w:hAnsi="Arial"/>
          <w:sz w:val="20"/>
          <w:szCs w:val="20"/>
          <w:color w:val="auto"/>
        </w:rPr>
      </w:pPr>
      <w:r>
        <w:rPr>
          <w:rFonts w:ascii="Arial" w:cs="Arial" w:eastAsia="Arial" w:hAnsi="Arial"/>
          <w:sz w:val="20"/>
          <w:szCs w:val="20"/>
          <w:color w:val="auto"/>
        </w:rPr>
        <w:t>denominated in a LIBOR Quoted Currency, the rate per annum equal to the London Interbank Offered Rate as administered by ICE Benchmark Administration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3" w:name="page84"/>
    <w:bookmarkEnd w:id="83"/>
    <w:p>
      <w:pPr>
        <w:jc w:val="both"/>
        <w:ind w:left="1300"/>
        <w:spacing w:after="0" w:line="244" w:lineRule="auto"/>
        <w:rPr>
          <w:sz w:val="20"/>
          <w:szCs w:val="20"/>
          <w:color w:val="auto"/>
        </w:rPr>
      </w:pPr>
      <w:r>
        <w:rPr>
          <w:rFonts w:ascii="Arial" w:cs="Arial" w:eastAsia="Arial" w:hAnsi="Arial"/>
          <w:sz w:val="20"/>
          <w:szCs w:val="20"/>
          <w:color w:val="auto"/>
        </w:rPr>
        <w:t>any other Person that takes over the administration of such rate for Dollars for a period equal in length to such Interest Period) (“</w:t>
      </w:r>
      <w:r>
        <w:rPr>
          <w:rFonts w:ascii="Arial" w:cs="Arial" w:eastAsia="Arial" w:hAnsi="Arial"/>
          <w:sz w:val="20"/>
          <w:szCs w:val="20"/>
          <w:u w:val="single" w:color="auto"/>
          <w:color w:val="auto"/>
        </w:rPr>
        <w:t>LIBOR</w:t>
      </w:r>
      <w:r>
        <w:rPr>
          <w:rFonts w:ascii="Arial" w:cs="Arial" w:eastAsia="Arial" w:hAnsi="Arial"/>
          <w:sz w:val="20"/>
          <w:szCs w:val="20"/>
          <w:color w:val="auto"/>
        </w:rPr>
        <w: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w:t>
      </w:r>
      <w:r>
        <w:rPr>
          <w:rFonts w:ascii="Arial" w:cs="Arial" w:eastAsia="Arial" w:hAnsi="Arial"/>
          <w:sz w:val="20"/>
          <w:szCs w:val="20"/>
          <w:u w:val="single" w:color="auto"/>
          <w:color w:val="auto"/>
        </w:rPr>
        <w:t>Rate</w:t>
      </w:r>
      <w:r>
        <w:rPr>
          <w:rFonts w:ascii="Arial" w:cs="Arial" w:eastAsia="Arial" w:hAnsi="Arial"/>
          <w:sz w:val="20"/>
          <w:szCs w:val="20"/>
          <w:color w:val="auto"/>
        </w:rPr>
        <w:t>”) at or about 11:00 a.m. (London time) on the Rate Determination Date, for deposits in the relevant currency, with a term equivalent to such Interest Period;</w:t>
      </w:r>
    </w:p>
    <w:p>
      <w:pPr>
        <w:spacing w:after="0" w:line="194" w:lineRule="exact"/>
        <w:rPr>
          <w:sz w:val="20"/>
          <w:szCs w:val="20"/>
          <w:color w:val="auto"/>
        </w:rPr>
      </w:pPr>
    </w:p>
    <w:p>
      <w:pPr>
        <w:jc w:val="both"/>
        <w:ind w:left="1300" w:firstLine="652"/>
        <w:spacing w:after="0" w:line="260" w:lineRule="auto"/>
        <w:tabs>
          <w:tab w:leader="none" w:pos="2517"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denominated in euros, the rate per annum equal to the Euro Interbank Offered Rate (“</w:t>
      </w:r>
      <w:r>
        <w:rPr>
          <w:rFonts w:ascii="Arial" w:cs="Arial" w:eastAsia="Arial" w:hAnsi="Arial"/>
          <w:sz w:val="19"/>
          <w:szCs w:val="19"/>
          <w:u w:val="single" w:color="auto"/>
          <w:color w:val="auto"/>
        </w:rPr>
        <w:t>EURIBOR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9"/>
          <w:szCs w:val="19"/>
          <w:u w:val="single" w:color="auto"/>
          <w:color w:val="auto"/>
        </w:rPr>
        <w:t>EURIBOR Rate</w:t>
      </w:r>
      <w:r>
        <w:rPr>
          <w:rFonts w:ascii="Arial" w:cs="Arial" w:eastAsia="Arial" w:hAnsi="Arial"/>
          <w:sz w:val="19"/>
          <w:szCs w:val="19"/>
          <w:color w:val="auto"/>
        </w:rPr>
        <w:t>”) at or about 11:00a.m. (Brussels, Belgium time) on the Rate Determination Date with a term equivalent to such Interest Period;</w:t>
      </w:r>
    </w:p>
    <w:p>
      <w:pPr>
        <w:spacing w:after="0" w:line="180" w:lineRule="exact"/>
        <w:rPr>
          <w:rFonts w:ascii="Arial" w:cs="Arial" w:eastAsia="Arial" w:hAnsi="Arial"/>
          <w:sz w:val="19"/>
          <w:szCs w:val="19"/>
          <w:color w:val="auto"/>
        </w:rPr>
      </w:pPr>
    </w:p>
    <w:p>
      <w:pPr>
        <w:jc w:val="both"/>
        <w:ind w:left="1300" w:firstLine="652"/>
        <w:spacing w:after="0" w:line="244" w:lineRule="auto"/>
        <w:tabs>
          <w:tab w:leader="none" w:pos="2564" w:val="left"/>
        </w:tabs>
        <w:numPr>
          <w:ilvl w:val="0"/>
          <w:numId w:val="56"/>
        </w:numPr>
        <w:rPr>
          <w:rFonts w:ascii="Arial" w:cs="Arial" w:eastAsia="Arial" w:hAnsi="Arial"/>
          <w:sz w:val="20"/>
          <w:szCs w:val="20"/>
          <w:color w:val="auto"/>
        </w:rPr>
      </w:pPr>
      <w:r>
        <w:rPr>
          <w:rFonts w:ascii="Arial" w:cs="Arial" w:eastAsia="Arial" w:hAnsi="Arial"/>
          <w:sz w:val="20"/>
          <w:szCs w:val="20"/>
          <w:color w:val="auto"/>
        </w:rPr>
        <w:t>denominated in Australian Dollars, the rate per annum equal to the Bank Bill Swap Reference Bid Rate (“</w:t>
      </w:r>
      <w:r>
        <w:rPr>
          <w:rFonts w:ascii="Arial" w:cs="Arial" w:eastAsia="Arial" w:hAnsi="Arial"/>
          <w:sz w:val="20"/>
          <w:szCs w:val="20"/>
          <w:u w:val="single" w:color="auto"/>
          <w:color w:val="auto"/>
        </w:rPr>
        <w:t>BBSY</w:t>
      </w:r>
      <w:r>
        <w:rPr>
          <w:rFonts w:ascii="Arial" w:cs="Arial" w:eastAsia="Arial" w:hAnsi="Arial"/>
          <w:sz w:val="20"/>
          <w:szCs w:val="20"/>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94" w:lineRule="exact"/>
        <w:rPr>
          <w:rFonts w:ascii="Arial" w:cs="Arial" w:eastAsia="Arial" w:hAnsi="Arial"/>
          <w:sz w:val="20"/>
          <w:szCs w:val="20"/>
          <w:color w:val="auto"/>
        </w:rPr>
      </w:pPr>
    </w:p>
    <w:p>
      <w:pPr>
        <w:jc w:val="both"/>
        <w:ind w:left="1300" w:firstLine="652"/>
        <w:spacing w:after="0" w:line="244" w:lineRule="auto"/>
        <w:tabs>
          <w:tab w:leader="none" w:pos="2604" w:val="left"/>
        </w:tabs>
        <w:numPr>
          <w:ilvl w:val="0"/>
          <w:numId w:val="56"/>
        </w:numPr>
        <w:rPr>
          <w:rFonts w:ascii="Arial" w:cs="Arial" w:eastAsia="Arial" w:hAnsi="Arial"/>
          <w:sz w:val="20"/>
          <w:szCs w:val="20"/>
          <w:color w:val="auto"/>
        </w:rPr>
      </w:pPr>
      <w:r>
        <w:rPr>
          <w:rFonts w:ascii="Arial" w:cs="Arial" w:eastAsia="Arial" w:hAnsi="Arial"/>
          <w:sz w:val="20"/>
          <w:szCs w:val="20"/>
          <w:color w:val="auto"/>
        </w:rPr>
        <w:t>denominated in New Zealand Dollars, the rate per annum equal to the Bank Bill Reference Bid Rate (“</w:t>
      </w:r>
      <w:r>
        <w:rPr>
          <w:rFonts w:ascii="Arial" w:cs="Arial" w:eastAsia="Arial" w:hAnsi="Arial"/>
          <w:sz w:val="20"/>
          <w:szCs w:val="20"/>
          <w:u w:val="single" w:color="auto"/>
          <w:color w:val="auto"/>
        </w:rPr>
        <w:t>BKBM</w:t>
      </w:r>
      <w:r>
        <w:rPr>
          <w:rFonts w:ascii="Arial" w:cs="Arial" w:eastAsia="Arial" w:hAnsi="Arial"/>
          <w:sz w:val="20"/>
          <w:szCs w:val="20"/>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10:45 a.m. (Auckland, New Zealand time) on the Rate Determination Date with a term equivalent to such Interest Period;</w:t>
      </w:r>
    </w:p>
    <w:p>
      <w:pPr>
        <w:spacing w:after="0" w:line="194" w:lineRule="exact"/>
        <w:rPr>
          <w:rFonts w:ascii="Arial" w:cs="Arial" w:eastAsia="Arial" w:hAnsi="Arial"/>
          <w:sz w:val="20"/>
          <w:szCs w:val="20"/>
          <w:color w:val="auto"/>
        </w:rPr>
      </w:pPr>
    </w:p>
    <w:p>
      <w:pPr>
        <w:jc w:val="both"/>
        <w:ind w:left="1300" w:firstLine="652"/>
        <w:spacing w:after="0" w:line="260" w:lineRule="auto"/>
        <w:tabs>
          <w:tab w:leader="none" w:pos="2388"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denominated in Canadian Dollars, the rate per annum equal to the Canadian Dollar Offered Rate (“</w:t>
      </w:r>
      <w:r>
        <w:rPr>
          <w:rFonts w:ascii="Arial" w:cs="Arial" w:eastAsia="Arial" w:hAnsi="Arial"/>
          <w:sz w:val="19"/>
          <w:szCs w:val="19"/>
          <w:u w:val="single" w:color="auto"/>
          <w:color w:val="auto"/>
        </w:rPr>
        <w:t>CDOR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9"/>
          <w:szCs w:val="19"/>
          <w:u w:val="single" w:color="auto"/>
          <w:color w:val="auto"/>
        </w:rPr>
        <w:t>CDOR Rate</w:t>
      </w:r>
      <w:r>
        <w:rPr>
          <w:rFonts w:ascii="Arial" w:cs="Arial" w:eastAsia="Arial" w:hAnsi="Arial"/>
          <w:sz w:val="19"/>
          <w:szCs w:val="19"/>
          <w:color w:val="auto"/>
        </w:rPr>
        <w:t>”) at or about 10:00 a.m. (Toronto, Ontario time) on the Rate Determination Date with a term equivalent to such Interest Period;</w:t>
      </w:r>
    </w:p>
    <w:p>
      <w:pPr>
        <w:spacing w:after="0" w:line="180" w:lineRule="exact"/>
        <w:rPr>
          <w:rFonts w:ascii="Arial" w:cs="Arial" w:eastAsia="Arial" w:hAnsi="Arial"/>
          <w:sz w:val="19"/>
          <w:szCs w:val="19"/>
          <w:color w:val="auto"/>
        </w:rPr>
      </w:pPr>
    </w:p>
    <w:p>
      <w:pPr>
        <w:jc w:val="both"/>
        <w:ind w:left="1300" w:firstLine="652"/>
        <w:spacing w:after="0" w:line="250" w:lineRule="auto"/>
        <w:tabs>
          <w:tab w:leader="none" w:pos="2469"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with respect to any Extension of Credit denominated in any other Non-LIBOR Quoted Currency, the rate per annum as designated with respect to such Foreign Currency at the time such Foreign Currency is approved by the Administrative Agent and the relevant Lenders pursuant to </w:t>
      </w:r>
      <w:r>
        <w:rPr>
          <w:rFonts w:ascii="Arial" w:cs="Arial" w:eastAsia="Arial" w:hAnsi="Arial"/>
          <w:sz w:val="20"/>
          <w:szCs w:val="20"/>
          <w:u w:val="single" w:color="auto"/>
          <w:color w:val="auto"/>
        </w:rPr>
        <w:t>Section 1.9(a)</w:t>
      </w:r>
      <w:r>
        <w:rPr>
          <w:rFonts w:ascii="Arial" w:cs="Arial" w:eastAsia="Arial" w:hAnsi="Arial"/>
          <w:sz w:val="20"/>
          <w:szCs w:val="20"/>
          <w:color w:val="auto"/>
        </w:rPr>
        <w:t>; and</w:t>
      </w:r>
    </w:p>
    <w:p>
      <w:pPr>
        <w:spacing w:after="0" w:line="186" w:lineRule="exact"/>
        <w:rPr>
          <w:sz w:val="20"/>
          <w:szCs w:val="20"/>
          <w:color w:val="auto"/>
        </w:rPr>
      </w:pPr>
    </w:p>
    <w:p>
      <w:pPr>
        <w:jc w:val="both"/>
        <w:ind w:left="660" w:firstLine="644"/>
        <w:spacing w:after="0" w:line="269" w:lineRule="auto"/>
        <w:tabs>
          <w:tab w:leader="none" w:pos="1772"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any interest rate calculation with respect to a Base Rate Loan on any date, the rate per annum equal to the LIBOR Rate, at or about 11:00 a.m. (London time) determined two (2) Business Days prior to such date for Dollar deposits being delivered in the London interbank market for deposits in Dollars with a term of one (1) month commencing that day;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Eurocurrency Rate shall be less than zero, such rate shall be deemed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4" w:name="page85"/>
    <w:bookmarkEnd w:id="84"/>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 Loan</w:t>
      </w:r>
      <w:r>
        <w:rPr>
          <w:rFonts w:ascii="Arial" w:cs="Arial" w:eastAsia="Arial" w:hAnsi="Arial"/>
          <w:sz w:val="19"/>
          <w:szCs w:val="19"/>
          <w:color w:val="auto"/>
        </w:rPr>
        <w:t>” means a Loan that bears interest at a rate based on clause (a) of the definition of “Eurocurrency Rate”. Eurocurrency Rate Loans may be denominated in Dollars or in a Foreign Currency. All Loans denominated in a Foreign Currency or made to a Subsidiary Borrower that is a Foreign Subsidiary must be Eurocurrency Rate Loans.</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for a Foreign Currency means the rate determined by the Administrative Agent or an Issuing Lender,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such Issuing Lender may obtain such spot rate from another financial institution designated by the Administrative Agent or such Issuing Lender if the Person acting in such capacity does not have as of the date of determination a spot buying rate for any such currency;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Issuing Lender may use such spot rate quoted on the date as of which the foreign exchange computation is made in the case of any Letter of Credit denominated in a Foreign Currency.</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Domestic Subsidiary</w:t>
      </w:r>
      <w:r>
        <w:rPr>
          <w:rFonts w:ascii="Arial" w:cs="Arial" w:eastAsia="Arial" w:hAnsi="Arial"/>
          <w:sz w:val="19"/>
          <w:szCs w:val="19"/>
          <w:color w:val="auto"/>
        </w:rPr>
        <w:t>” means any Subsidiary that is a U.S. Person and (a) is a Subsidiary of a “controlled foreign corporation” under Section 957 of the Code (a “</w:t>
      </w:r>
      <w:r>
        <w:rPr>
          <w:rFonts w:ascii="Arial" w:cs="Arial" w:eastAsia="Arial" w:hAnsi="Arial"/>
          <w:sz w:val="19"/>
          <w:szCs w:val="19"/>
          <w:u w:val="single" w:color="auto"/>
          <w:color w:val="auto"/>
        </w:rPr>
        <w:t>CFC</w:t>
      </w:r>
      <w:r>
        <w:rPr>
          <w:rFonts w:ascii="Arial" w:cs="Arial" w:eastAsia="Arial" w:hAnsi="Arial"/>
          <w:sz w:val="19"/>
          <w:szCs w:val="19"/>
          <w:color w:val="auto"/>
        </w:rPr>
        <w:t>”) or (b) substantially all of the assets of such Subsidiary consists of Capital Stock of one or more CFCs or of other U.S. Persons substantially all of the assets of which consist of Capital Stock of one or more CFCs.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Hedging Obligation</w:t>
      </w:r>
      <w:r>
        <w:rPr>
          <w:rFonts w:ascii="Arial" w:cs="Arial" w:eastAsia="Arial" w:hAnsi="Arial"/>
          <w:sz w:val="18"/>
          <w:szCs w:val="18"/>
          <w:color w:val="auto"/>
        </w:rPr>
        <w:t xml:space="preserve">” shall mean, with respect to any Credit Party, any Hedging Obligation if, and to the extent that, all or a portion of the Guaranty Agreement of such Credit Party of, or the grant by such Credit Party of a security interest to secure, such Hedging Obligation (or any Guaranty Obligation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Guaranty Agreement of such Credit Party, or the grant by such Credit Party of a security interest, becomes effective with respect to such Hedging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 determining whether any Credit Party is an “eligible contract participant” under the Commodity Exchange Act, the keepwell agreement set forth in Section 2.12 of the Guaranty Agreement shall be taken into account. If a Hedging Obligation arises under a master agreement governing more than one Hedging Agreement, such exclusion shall apply only to the portion of such Hedging Obligation that is attributable to Hedging Agreements for which such guaranty or security interest is or becomes excluded in accordance with the first sentence of this definition.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w:t>
      </w:r>
    </w:p>
    <w:p>
      <w:pPr>
        <w:spacing w:after="0" w:line="3" w:lineRule="exact"/>
        <w:rPr>
          <w:sz w:val="20"/>
          <w:szCs w:val="20"/>
          <w:color w:val="auto"/>
        </w:rPr>
      </w:pPr>
    </w:p>
    <w:p>
      <w:pPr>
        <w:jc w:val="both"/>
        <w:ind w:firstLine="8"/>
        <w:spacing w:after="0"/>
        <w:tabs>
          <w:tab w:leader="none" w:pos="292"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that are Other Connection Taxes, (b) in the case of a Lender, U.S. federal or United Kingdom withholding Taxes (excluding the portion of United Kingdom withholding Taxes with respect to which the applicable Lender is entitled to claim a reduction under an income tax treaty)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20"/>
          <w:szCs w:val="20"/>
          <w:u w:val="single" w:color="auto"/>
          <w:color w:val="auto"/>
        </w:rPr>
        <w:t>Section 4.12</w:t>
      </w:r>
      <w:r>
        <w:rPr>
          <w:rFonts w:ascii="Arial" w:cs="Arial" w:eastAsia="Arial" w:hAnsi="Arial"/>
          <w:sz w:val="20"/>
          <w:szCs w:val="20"/>
          <w:color w:val="auto"/>
        </w:rPr>
        <w:t>), (ii)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5" w:name="page86"/>
    <w:bookmarkEnd w:id="85"/>
    <w:p>
      <w:pPr>
        <w:jc w:val="both"/>
        <w:spacing w:after="0" w:line="244" w:lineRule="auto"/>
        <w:rPr>
          <w:sz w:val="20"/>
          <w:szCs w:val="20"/>
          <w:color w:val="auto"/>
        </w:rPr>
      </w:pPr>
      <w:r>
        <w:rPr>
          <w:rFonts w:ascii="Arial" w:cs="Arial" w:eastAsia="Arial" w:hAnsi="Arial"/>
          <w:sz w:val="20"/>
          <w:szCs w:val="20"/>
          <w:color w:val="auto"/>
        </w:rPr>
        <w:t xml:space="preserve">changes its Lending Office or (iii), if later than clauses (i) or (ii), the date on which a Subsidiary Borrower organized in the United Kingdom is joined, except in each case to the extent that, pursuant to </w:t>
      </w:r>
      <w:r>
        <w:rPr>
          <w:rFonts w:ascii="Arial" w:cs="Arial" w:eastAsia="Arial" w:hAnsi="Arial"/>
          <w:sz w:val="20"/>
          <w:szCs w:val="20"/>
          <w:u w:val="single" w:color="auto"/>
          <w:color w:val="auto"/>
        </w:rPr>
        <w:t>Section 4.11(a)(ii)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4.11(e)</w:t>
      </w:r>
      <w:r>
        <w:rPr>
          <w:rFonts w:ascii="Arial" w:cs="Arial" w:eastAsia="Arial" w:hAnsi="Arial"/>
          <w:sz w:val="20"/>
          <w:szCs w:val="20"/>
          <w:color w:val="auto"/>
        </w:rPr>
        <w:t xml:space="preserve"> and (d) any U.S. federal withholding Taxes imposed pursuant to FATCA.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to such term in the preliminary statements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the letters of credit set forth on </w:t>
      </w:r>
      <w:r>
        <w:rPr>
          <w:rFonts w:ascii="Arial" w:cs="Arial" w:eastAsia="Arial" w:hAnsi="Arial"/>
          <w:sz w:val="20"/>
          <w:szCs w:val="20"/>
          <w:u w:val="single" w:color="auto"/>
          <w:color w:val="auto"/>
        </w:rPr>
        <w:t>Schedule 1.1(c)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Extensions of Credit</w:t>
      </w:r>
      <w:r>
        <w:rPr>
          <w:rFonts w:ascii="Arial" w:cs="Arial" w:eastAsia="Arial" w:hAnsi="Arial"/>
          <w:sz w:val="20"/>
          <w:szCs w:val="20"/>
          <w:color w:val="auto"/>
        </w:rPr>
        <w:t>” means, as to any Lender at any time (and as the context requires, with respect to one or both Tranches),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(iv) the aggregate principal amount of all the portion of the Term Loan made by such Lender than outstanding, and (v) the aggregate principal amount of all Incremental Term Loans made by such Lender then outstanding, or (b) the making of any Loan or participation in any Letter of Credit, or Swingline Loan by such Lender, as the context requires.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w:t>
      </w:r>
      <w:r>
        <w:rPr>
          <w:rFonts w:ascii="Arial" w:cs="Arial" w:eastAsia="Arial" w:hAnsi="Arial"/>
          <w:sz w:val="19"/>
          <w:szCs w:val="19"/>
          <w:color w:val="auto"/>
        </w:rPr>
        <w:t>” means the Dollar Tranche Revolving Credit Facility, the Designated Currency Tranche Revolving Credit Facility, the Term Loan Credit Facility, the Swingline Facility, the L/C Facility and the Incremental Term Loan Facility, as the context may require.</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Termination Date</w:t>
      </w:r>
      <w:r>
        <w:rPr>
          <w:rFonts w:ascii="Arial" w:cs="Arial" w:eastAsia="Arial" w:hAnsi="Arial"/>
          <w:sz w:val="20"/>
          <w:szCs w:val="20"/>
          <w:color w:val="auto"/>
        </w:rPr>
        <w:t>” means the date as of which all of the following shall have occurred: (a) the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applicable Issuing Lender shall have been made).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applicable intergovernmental agreements implementing the foregoing.</w:t>
      </w:r>
    </w:p>
    <w:p>
      <w:pPr>
        <w:spacing w:after="0" w:line="19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the Administrative Agent Fee Letter and the other fee letters executed by the Company in favor of each of the Arrangers, in each case, executed on or before the Closing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 and its Restricted Subsidiaries ending on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xml:space="preserve">” means (i) euro, (ii) Pounds Sterling, (iii) Australian Dollars, (iv) New Zealand Dollars and (v) Canadian Dollars, together with each other currency (other than Dollars) that is approved in accordance with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Foreign Currency is readily available, freely transferable and convertible into Dollars in the international interbank market available to the Lenders in such market and as to which a Dollar Amount may be readily calculated. If, after the designation by the Lenders of any currency as a Foreign Currency, (1)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 Foreign Currency) or the applicable Issuing Lender (in the case of any Letter of Credit to be denominated in a Foreign Currency), (a) such currency no longer being readily available, freely transferable and convertible into Dollars, (b) a Dollar Amount is no longer readily calculable with respect to such currency, (c) providing such currency is impracticable for the Lenders or (d) no longer a currency in which the Required Lenders are willing to make such Extensions of Credit (each of (a), (b), (c), and (d) a “</w:t>
      </w:r>
      <w:r>
        <w:rPr>
          <w:rFonts w:ascii="Arial" w:cs="Arial" w:eastAsia="Arial" w:hAnsi="Arial"/>
          <w:sz w:val="18"/>
          <w:szCs w:val="18"/>
          <w:u w:val="single" w:color="auto"/>
          <w:color w:val="auto"/>
        </w:rPr>
        <w:t>Disqualifying Event</w:t>
      </w:r>
      <w:r>
        <w:rPr>
          <w:rFonts w:ascii="Arial" w:cs="Arial" w:eastAsia="Arial" w:hAnsi="Arial"/>
          <w:sz w:val="18"/>
          <w:szCs w:val="18"/>
          <w:color w:val="auto"/>
        </w:rPr>
        <w:t>”) and (2) solely in the case of the currencies identified in (i) through (v) above, it is the general practice of the Administrative Agent or the applicable Issuing Lender to cease making Loans or issuing Letters of Credit in such currency to borrowers similarly situated in similar circumstances under comparable provisions of other credit agreements, then the Administrative Agent shall promptly notify the Lenders and the Company, and such country’s currency shall no longer be a Foreign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Amount of Loans in Dollars, subject to the other terms contained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Successor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Obligor</w:t>
      </w:r>
      <w:r>
        <w:rPr>
          <w:rFonts w:ascii="Arial" w:cs="Arial" w:eastAsia="Arial" w:hAnsi="Arial"/>
          <w:sz w:val="20"/>
          <w:szCs w:val="20"/>
          <w:color w:val="auto"/>
        </w:rPr>
        <w:t>” means a Credit Party that is a Foreign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 and any Excluded Domestic Subsidiary.</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an Issuing Lender, such Defaulting Lender’s Applicable Percentage of the outstanding L/C Obligations with respect to Letters of Credit issued by such Issuing Lender under such Defaulting Lender’s Tranche, other than L/C Obligations as to which such Defaulting Lender’s participation obligation has been reallocated to other Lenders under such Tranche or Cash Collateralized in accordance with the terms hereof, and (b) with respect to the Swingline Lender, such Defaulting Lender’s Applicable Percentage of outstanding Swingline Loans made by the Swingline Lender under the Dollar Tranche, other than Swingline Loans as to which such Defaulting Lender’s participation obligation has been reallocated to other Lenders or Cash Collateralized in accordance with the terms hereof.</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generally accepted accounting principles, as recognized by the American Institute of Certified Public Accountants and the Financial Accounting Standards Board, consistently applied and maintained on a consistent basis for the Company and its Restricted Subsidiaries throughout the period indicated and (subject to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consistent with the prior financial practice of the Company and its Restricted Subsidiaries.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registrations and filings with, and reports to, all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7" w:name="page88"/>
    <w:bookmarkEnd w:id="87"/>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 or the European Central Bank).</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collectively, (a) each Material Domestic Subsidiary of the Company in existence on the Closing Date, (b) each Material Domestic Subsidiary of the Company which becomes a party to a Guaranty Agreement pursuant to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and (c) with respect to (i) any Hedging Obligations between any Credit Party (other than the Company) and any Lender or an Affiliate of a Lender and any Bank Product Debt owing by any Credit Party (other than the Company), the Company and each Subsidiary Borrower that is a Domestic Subsidiary and (ii) the payment and performance by each Specified Credit Party of its obligations under its Guaranty Agreement with respect to all Hedging Obligations, the Company.</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amended and restated unconditional guaranty agreement made by the Guarantors in favor of the Administrative Agent for the ratable benefit of itself and the Lenders, substantially in the form of </w:t>
      </w:r>
      <w:r>
        <w:rPr>
          <w:rFonts w:ascii="Arial" w:cs="Arial" w:eastAsia="Arial" w:hAnsi="Arial"/>
          <w:sz w:val="20"/>
          <w:szCs w:val="20"/>
          <w:b w:val="1"/>
          <w:bCs w:val="1"/>
          <w:i w:val="1"/>
          <w:iCs w:val="1"/>
          <w:color w:val="auto"/>
        </w:rPr>
        <w:t>Exhibit H</w:t>
      </w:r>
      <w:r>
        <w:rPr>
          <w:rFonts w:ascii="Arial" w:cs="Arial" w:eastAsia="Arial" w:hAnsi="Arial"/>
          <w:sz w:val="20"/>
          <w:szCs w:val="20"/>
          <w:color w:val="auto"/>
        </w:rPr>
        <w:t>, as amended, restated, supplemented or otherwise modified from time to time.</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 Obligation</w:t>
      </w:r>
      <w:r>
        <w:rPr>
          <w:rFonts w:ascii="Arial" w:cs="Arial" w:eastAsia="Arial" w:hAnsi="Arial"/>
          <w:sz w:val="19"/>
          <w:szCs w:val="19"/>
          <w:color w:val="auto"/>
        </w:rPr>
        <w:t xml:space="preserve">” means, with respect to the Company and its Restricted Subsidiaries, without duplication, any obligation, contingent or otherwise, of any such Person pursuant to which such Person has directly or indirectly guaranteed any Indebtedness or other obligation of any other Person and, without limiting the generality of the foregoing, any obligation, direct or indirect, contingent or otherwise, of any such Person (a) to purchase or pay (or advance or supply funds for the purchase or payment of) such Indebtedness or other obligation (whether arising by virtue of partnership arrangements, by agreement to keep well, to purchase assets, goods, securities or services or to take-or-pay, or to maintain financial statement condition or otherwise) or (b) entered into for the purpose of assuring in any other manner the obligee of such Indebtedness or other obligation of the payment thereof or to protect such obligee against loss in respect thereof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Guaranty Obligation shall not include (i) endorsements for collection or deposit in the ordinary course of business or (ii) the Company’s obligations pursuant to the Equity Contribution Agreement, dated as of August 13, 2020 among the Company, BBHQ1, LLC, BB Real Property Development, LLC, and Wells Fargo Bank Northwest, National Association, as trustee, as in effect on the Closing Date.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substances or materials (a) which are or become defined as hazardous wastes, hazardous substances, pollutants, contaminants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(d) the discharge or emission or release of which requires a permit or license under any Environmental Law or other Governmental Approval, or (e) which contain, without limitation, asbestos, polychlorinated biphenyls, urea formaldehyde foam insulation, petroleum hydrocarbons, petroleum derived substances or waste, crude oil, nuclear fuel, natural gas or synthetic gas.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agreement with respect to any Interest Rate Contract, forward rate agreement, commodity swap, forward foreign exchange agreement, currency swap agreement, cross-currency rate swap agreement, currency option agreement or other agreement or arrangement designed to alter the risks of any Person arising from fluctuations in interest rates, currency values or commodity prices, all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8" w:name="page89"/>
    <w:bookmarkEnd w:id="88"/>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all existing or future payment and other obligations owing by a Credit Party under any Hedging Agreement (which such Hedging Agreement is permitted hereunder) with any Person that is a Lender or an Affiliate of a Lender.</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Revolving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w:t>
      </w:r>
      <w:r>
        <w:rPr>
          <w:rFonts w:ascii="Arial" w:cs="Arial" w:eastAsia="Arial" w:hAnsi="Arial"/>
          <w:sz w:val="18"/>
          <w:szCs w:val="18"/>
          <w:color w:val="auto"/>
        </w:rPr>
        <w:t xml:space="preserve">” means (a) as to any Incremental Term Lender, the obligation of such Incremental Term Lender to make an Incremental Term Loan to or for the account of a Borrower in accordance with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and (b) as to all Incremental Term Lenders, the aggregate commitment of all Incremental Term Lenders to make Incremental Term Loans in accordance with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Effective Date</w:t>
      </w:r>
      <w:r>
        <w:rPr>
          <w:rFonts w:ascii="Arial" w:cs="Arial" w:eastAsia="Arial" w:hAnsi="Arial"/>
          <w:sz w:val="20"/>
          <w:szCs w:val="20"/>
          <w:color w:val="auto"/>
        </w:rPr>
        <w:t xml:space="preserve">” means the date, which shall be a Business Day, on or before the Maturity Date, but no earlier than thirty (30) days after any Incremental Term Loan Notification Date (unless a shorter period is agreed to by all the affected Incremental Term Lenders), on which each of the Incremental Term Lenders makes Incremental Term Loans to a Borrower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Facility</w:t>
      </w:r>
      <w:r>
        <w:rPr>
          <w:rFonts w:ascii="Arial" w:cs="Arial" w:eastAsia="Arial" w:hAnsi="Arial"/>
          <w:sz w:val="20"/>
          <w:szCs w:val="20"/>
          <w:color w:val="auto"/>
        </w:rPr>
        <w:t xml:space="preserve">” means the incremental term loan facility established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Note</w:t>
      </w:r>
      <w:r>
        <w:rPr>
          <w:rFonts w:ascii="Arial" w:cs="Arial" w:eastAsia="Arial" w:hAnsi="Arial"/>
          <w:sz w:val="18"/>
          <w:szCs w:val="18"/>
          <w:color w:val="auto"/>
        </w:rPr>
        <w:t>” means a promissory note made by a Borrower in favor of an Incremental Term Lender evidencing the Incremental Term Loans made by such Incremental Term Lender, and any amendments, supplements and modifications thereto, any substitutes therefor, and any replacements, restatements, renewals or extension thereof, in whole or in part.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Notification</w:t>
      </w:r>
      <w:r>
        <w:rPr>
          <w:rFonts w:ascii="Arial" w:cs="Arial" w:eastAsia="Arial" w:hAnsi="Arial"/>
          <w:sz w:val="20"/>
          <w:szCs w:val="20"/>
          <w:color w:val="auto"/>
        </w:rPr>
        <w:t xml:space="preserve">” means the written notice by the Company of its request to borrow Incremental Term Loans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Notification Date</w:t>
      </w:r>
      <w:r>
        <w:rPr>
          <w:rFonts w:ascii="Arial" w:cs="Arial" w:eastAsia="Arial" w:hAnsi="Arial"/>
          <w:sz w:val="20"/>
          <w:szCs w:val="20"/>
          <w:color w:val="auto"/>
        </w:rPr>
        <w:t>” means the date on which the Incremental Term Loan Notification is received by the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Percentage</w:t>
      </w:r>
      <w:r>
        <w:rPr>
          <w:rFonts w:ascii="Arial" w:cs="Arial" w:eastAsia="Arial" w:hAnsi="Arial"/>
          <w:sz w:val="20"/>
          <w:szCs w:val="20"/>
          <w:color w:val="auto"/>
        </w:rPr>
        <w:t>” means, as to any Incremental Term Lender at any time, the ratio of (a) the amount of the Incremental Term Loan Commitment of such Incremental Term Lender to (b) the Incremental Term Loan Commitments of all Incremental Term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2.9</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the Company and its Restricted Subsidiaries at any date and without duplication, the sum of the following calculated in accordance with GAAP:</w:t>
      </w:r>
    </w:p>
    <w:p>
      <w:pPr>
        <w:spacing w:after="0" w:line="177" w:lineRule="exact"/>
        <w:rPr>
          <w:sz w:val="20"/>
          <w:szCs w:val="20"/>
          <w:color w:val="auto"/>
        </w:rPr>
      </w:pPr>
    </w:p>
    <w:p>
      <w:pPr>
        <w:ind w:right="20" w:firstLine="1304"/>
        <w:spacing w:after="0" w:line="260" w:lineRule="auto"/>
        <w:tabs>
          <w:tab w:leader="none" w:pos="1739"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liabilities, obligations and indebtedness for borrowed money including, but not limited to, obligations evidenced by bonds, debentures, notes or other similar instruments of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89" w:name="page90"/>
    <w:bookmarkEnd w:id="89"/>
    <w:p>
      <w:pPr>
        <w:jc w:val="both"/>
        <w:ind w:left="660" w:firstLine="644"/>
        <w:spacing w:after="0" w:line="244" w:lineRule="auto"/>
        <w:tabs>
          <w:tab w:leader="none" w:pos="1868"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obligations to pay the deferred purchase price of property or services of any such Person (including, without limitation, all obligations under non-competition, earn-out or similar agreements), except trade payables arising in the ordinary course of business not more than one hundred eighty (180) days past due or that are currently being contested in good faith by appropriate proceedings and with respect to which reserves in conformity with GAAP have been provided for on the books of the applicable Person;</w:t>
      </w:r>
    </w:p>
    <w:p>
      <w:pPr>
        <w:spacing w:after="0" w:line="194" w:lineRule="exact"/>
        <w:rPr>
          <w:rFonts w:ascii="Arial" w:cs="Arial" w:eastAsia="Arial" w:hAnsi="Arial"/>
          <w:sz w:val="20"/>
          <w:szCs w:val="20"/>
          <w:color w:val="auto"/>
        </w:rPr>
      </w:pPr>
    </w:p>
    <w:p>
      <w:pPr>
        <w:ind w:left="660" w:firstLine="644"/>
        <w:spacing w:after="0" w:line="260" w:lineRule="auto"/>
        <w:tabs>
          <w:tab w:leader="none" w:pos="1749"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Attributable Indebtedness of such Person with respect to such Person’s obligations in respect of Capital Leases and Synthetic Leases (regardless of whether accounted for as indebtedness under GAAP);</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7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Indebtedness of any other Person secured by a Lien on any asset owned or being purchased by the Company or any of its Restricted Subsidiaries (including indebtedness arising under conditional sales or other title retention agreements except trade payables arising in the ordinary course of business not more than one hundred eighty (180) days past due), whether or not such indebtedness shall have been assumed by the Company or any of its Restricted Subsidiaries or is limited in recourse;</w:t>
      </w:r>
    </w:p>
    <w:p>
      <w:pPr>
        <w:spacing w:after="0" w:line="161" w:lineRule="exact"/>
        <w:rPr>
          <w:rFonts w:ascii="Arial" w:cs="Arial" w:eastAsia="Arial" w:hAnsi="Arial"/>
          <w:sz w:val="18"/>
          <w:szCs w:val="18"/>
          <w:color w:val="auto"/>
        </w:rPr>
      </w:pPr>
    </w:p>
    <w:p>
      <w:pPr>
        <w:ind w:left="1720" w:hanging="416"/>
        <w:spacing w:after="0"/>
        <w:tabs>
          <w:tab w:leader="none" w:pos="1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Guaranty Obligations of any such Person;</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5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obligations, contingent or otherwise, of any such Person relative to the face amount of letters of credit, whether or not drawn, including, without limitation, any Reimbursement Obligation, and banker’s acceptances issued for the account of any such Person;</w:t>
      </w:r>
    </w:p>
    <w:p>
      <w:pPr>
        <w:spacing w:after="0" w:line="185" w:lineRule="exact"/>
        <w:rPr>
          <w:rFonts w:ascii="Arial" w:cs="Arial" w:eastAsia="Arial" w:hAnsi="Arial"/>
          <w:sz w:val="20"/>
          <w:szCs w:val="20"/>
          <w:color w:val="auto"/>
        </w:rPr>
      </w:pPr>
    </w:p>
    <w:p>
      <w:pPr>
        <w:ind w:left="660" w:firstLine="644"/>
        <w:spacing w:after="0" w:line="260" w:lineRule="auto"/>
        <w:tabs>
          <w:tab w:leader="none" w:pos="1753"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mandatory obligations of any such Person to redeem, repurchase, exchange, defease or otherwise make payments in respect of Disqualified Capital Stock of such Person; and</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all net obligations incurred by any such Person pursuant to Hedging Agreements;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obligations in respect of Hedging Agreements shall be included in any determination of the Company’s and its Restricted Subsidiaries’ compliance with Article IX hereof. For the avoidance of doubt, Indebtedness shall be calculated subject to the proviso included in the definition of “Capital Lease.”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of any Person under any Hedging Agreement on any date shall be deemed to be the Termination Value thereof as of such date.</w:t>
      </w:r>
    </w:p>
    <w:p>
      <w:pPr>
        <w:spacing w:after="0" w:line="165"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13.10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10.1(e)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means, with respect to the Company and its Restricted Subsidiaries for any period, the gross interest expense (including, without limitation, interest expense attributable to Capital Leases, Synthetic Leases and all net payment obligations pursuant to Hedging Agreements) of the Company and its Restricted Subsidiaries, all determined for such period on a Consolidated basis, without duplication,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0" w:name="page91"/>
    <w:bookmarkEnd w:id="90"/>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Eurocurrency Rate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Eurocurrency Rate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Credit Facility for purposes of this definition).</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each Eurocurrency Rate Loan, the period commencing on the date such Eurocurrency Rate Loan is disbursed or converted to or continued as a Eurocurrency Rate Loan and ending on the date one (1), two (2), three (3) or six (6) months (or, if agreed to by all of the Appropriate Lenders, twelve (12) months) thereafter (in each case, subject to availability for the interest rate applicable to the relevant currency), as selected by the applicable Borrower in its Loan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6" w:lineRule="exact"/>
        <w:rPr>
          <w:sz w:val="20"/>
          <w:szCs w:val="20"/>
          <w:color w:val="auto"/>
        </w:rPr>
      </w:pPr>
    </w:p>
    <w:p>
      <w:pPr>
        <w:jc w:val="both"/>
        <w:ind w:left="660" w:firstLine="644"/>
        <w:spacing w:after="0" w:line="250" w:lineRule="auto"/>
        <w:tabs>
          <w:tab w:leader="none" w:pos="18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857"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 of the Facility under which such Loan was made.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Rate Contract</w:t>
      </w:r>
      <w:r>
        <w:rPr>
          <w:rFonts w:ascii="Arial" w:cs="Arial" w:eastAsia="Arial" w:hAnsi="Arial"/>
          <w:sz w:val="20"/>
          <w:szCs w:val="20"/>
          <w:color w:val="auto"/>
        </w:rPr>
        <w:t>” means any interest rate swap agreement, interest rate cap agreement, interest rate floor agreement, interest rate collar agreement, interest rate option or any other agreement regarding the hedging of interest rate risk exposure executed in connection with hedging the interest rate exposure of any Person and any confirming letter executed pursuant to such agreement, all as amended, restated, supplemented or otherwise modified from time to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(1998 Revision, effective January 1, 1999), International Chamber of Commerce Publication No. 590.</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applicable Issuing Lender and the Company (or any Restricted Subsidiary) or in favor of the applicable Issuing Lender and relating to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1" w:name="page92"/>
    <w:bookmarkEnd w:id="91"/>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Lender</w:t>
      </w:r>
      <w:r>
        <w:rPr>
          <w:rFonts w:ascii="Arial" w:cs="Arial" w:eastAsia="Arial" w:hAnsi="Arial"/>
          <w:sz w:val="19"/>
          <w:szCs w:val="19"/>
          <w:color w:val="auto"/>
        </w:rPr>
        <w:t xml:space="preserve">” means each of (a) Bank of America, through itself or through one of its designated Affiliates or branch offices, (b) such other Lender selected by the Company pursuant to </w:t>
      </w:r>
      <w:r>
        <w:rPr>
          <w:rFonts w:ascii="Arial" w:cs="Arial" w:eastAsia="Arial" w:hAnsi="Arial"/>
          <w:sz w:val="19"/>
          <w:szCs w:val="19"/>
          <w:u w:val="single" w:color="auto"/>
          <w:color w:val="auto"/>
        </w:rPr>
        <w:t>Section 2.3(k)</w:t>
      </w:r>
      <w:r>
        <w:rPr>
          <w:rFonts w:ascii="Arial" w:cs="Arial" w:eastAsia="Arial" w:hAnsi="Arial"/>
          <w:sz w:val="19"/>
          <w:szCs w:val="19"/>
          <w:color w:val="auto"/>
        </w:rPr>
        <w:t xml:space="preserve"> from time to time to issue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become an Issuing Lender pursuant to this clause (b) without such Lender’s consent), or any successor issuer thereof or (c) any Lender selected by the Company (with the prior consent of the Administrative Agent) to replace a Lender who is a Defaulting Lender at the time of such Lender’s appointment as an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become an Issuing Lender pursuant to this clause (c) without such Lender’s consent), or any successor issuer thereof, each in its capacity as issuer of any Letter of Credit, or any successor thereto.</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Applicable Percentage. All L/C Advances shall be denominated in Dollars.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Credit Loans. All L/C Borrowings shall be denominated in Dollars.</w:t>
      </w:r>
    </w:p>
    <w:p>
      <w:pPr>
        <w:spacing w:after="0" w:line="1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xml:space="preserve">” means the lesser of (a) $50,000,000 and (b) the Dollar Tranche Revolving Credit Commitment. The initial amount of each Issuing Lender’s L/C Commitment is set forth on </w:t>
      </w:r>
      <w:r>
        <w:rPr>
          <w:rFonts w:ascii="Arial" w:cs="Arial" w:eastAsia="Arial" w:hAnsi="Arial"/>
          <w:sz w:val="18"/>
          <w:szCs w:val="18"/>
          <w:u w:val="single" w:color="auto"/>
          <w:color w:val="auto"/>
        </w:rPr>
        <w:t>Schedule 2.3</w:t>
      </w:r>
      <w:r>
        <w:rPr>
          <w:rFonts w:ascii="Arial" w:cs="Arial" w:eastAsia="Arial" w:hAnsi="Arial"/>
          <w:sz w:val="18"/>
          <w:szCs w:val="18"/>
          <w:color w:val="auto"/>
        </w:rPr>
        <w:t>, or if an Issuing Lender has entered into an Assignment and Assumption or has otherwise assumed an L/C Commitment after the Closing Date, the amount set forth for such Issuing Lender as its L/C Commitment in the Register maintained by the Administrative Agent. The Letter of Credit Commitment of an Issuing Lender may be modified from time to time by agreement between such Issuing Lender and the Company, and notified to the Administrative Agent.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Facility</w:t>
      </w:r>
      <w:r>
        <w:rPr>
          <w:rFonts w:ascii="Arial" w:cs="Arial" w:eastAsia="Arial" w:hAnsi="Arial"/>
          <w:sz w:val="20"/>
          <w:szCs w:val="20"/>
          <w:color w:val="auto"/>
        </w:rPr>
        <w:t xml:space="preserve">” means the letter of credit facility under the Dollar Tranche established pursuant to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Credit Extensions).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1.7</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xml:space="preserve">” means each Person executing this Agreement as a Lender (including, without limitation, an Issuing Lender, and the Swingline Lender unless the context otherwise requires) set forth on the signature pages hereto and each Person that hereafter becomes a party to this Agreement as a Lender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w:t>
      </w:r>
      <w:r>
        <w:rPr>
          <w:rFonts w:ascii="Arial" w:cs="Arial" w:eastAsia="Arial" w:hAnsi="Arial"/>
          <w:sz w:val="20"/>
          <w:szCs w:val="20"/>
          <w:u w:val="single" w:color="auto"/>
          <w:color w:val="auto"/>
        </w:rPr>
        <w:t>2.9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13.9</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Addition and Acknowledgement Agreement</w:t>
      </w:r>
      <w:r>
        <w:rPr>
          <w:rFonts w:ascii="Arial" w:cs="Arial" w:eastAsia="Arial" w:hAnsi="Arial"/>
          <w:sz w:val="19"/>
          <w:szCs w:val="19"/>
          <w:color w:val="auto"/>
        </w:rPr>
        <w:t xml:space="preserve">” means each agreement, in form and substance satisfactory to the Administrative Agent, executed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by the Company and any existing Lender or New Lender committing to provide an increase in the Revolving Credit Commitment and/or Incremental Term Loans and, in each case, acknowledged by the Administrative Agent and each Guarantor, (a) setting forth the terms and conditions of (i) any increase in the Revolving Credit Commitment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and/or (ii) any Incremental Term Loans pursuant to </w:t>
      </w:r>
      <w:r>
        <w:rPr>
          <w:rFonts w:ascii="Arial" w:cs="Arial" w:eastAsia="Arial" w:hAnsi="Arial"/>
          <w:sz w:val="19"/>
          <w:szCs w:val="19"/>
          <w:u w:val="single" w:color="auto"/>
          <w:color w:val="auto"/>
        </w:rPr>
        <w:t>Section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2" w:name="page93"/>
    <w:bookmarkEnd w:id="92"/>
    <w:p>
      <w:pPr>
        <w:jc w:val="both"/>
        <w:ind w:right="20"/>
        <w:spacing w:after="0" w:line="260" w:lineRule="auto"/>
        <w:rPr>
          <w:sz w:val="20"/>
          <w:szCs w:val="20"/>
          <w:color w:val="auto"/>
        </w:rPr>
      </w:pPr>
      <w:r>
        <w:rPr>
          <w:rFonts w:ascii="Arial" w:cs="Arial" w:eastAsia="Arial" w:hAnsi="Arial"/>
          <w:sz w:val="20"/>
          <w:szCs w:val="20"/>
          <w:color w:val="auto"/>
        </w:rPr>
        <w:t>and (b) acknowledging that any New Lender shall be a party hereto and have the rights (including, without limitation, voting rights) and obligations of a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with respect to any Lender, the office of such Lender maintaining such Lender’s Extensions of Credit.</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Issuing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(7) days prior to the Maturity Date then in effect for the Revolving Credit Facility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Report</w:t>
      </w:r>
      <w:r>
        <w:rPr>
          <w:rFonts w:ascii="Arial" w:cs="Arial" w:eastAsia="Arial" w:hAnsi="Arial"/>
          <w:sz w:val="18"/>
          <w:szCs w:val="18"/>
          <w:color w:val="auto"/>
        </w:rPr>
        <w:t xml:space="preserve">” means a certificate substantially the form of </w:t>
      </w:r>
      <w:r>
        <w:rPr>
          <w:rFonts w:ascii="Arial" w:cs="Arial" w:eastAsia="Arial" w:hAnsi="Arial"/>
          <w:sz w:val="18"/>
          <w:szCs w:val="18"/>
          <w:b w:val="1"/>
          <w:bCs w:val="1"/>
          <w:i w:val="1"/>
          <w:iCs w:val="1"/>
          <w:color w:val="auto"/>
        </w:rPr>
        <w:t>Exhibit L</w:t>
      </w:r>
      <w:r>
        <w:rPr>
          <w:rFonts w:ascii="Arial" w:cs="Arial" w:eastAsia="Arial" w:hAnsi="Arial"/>
          <w:sz w:val="18"/>
          <w:szCs w:val="18"/>
          <w:color w:val="auto"/>
        </w:rPr>
        <w:t xml:space="preserve"> or any other form approved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Letters of Credit</w:t>
      </w:r>
      <w:r>
        <w:rPr>
          <w:rFonts w:ascii="Arial" w:cs="Arial" w:eastAsia="Arial" w:hAnsi="Arial"/>
          <w:sz w:val="19"/>
          <w:szCs w:val="19"/>
          <w:color w:val="auto"/>
        </w:rPr>
        <w:t>” means any standby letter of credit issued hereunder. Letters of Credit may be issued in Dollars or in a Foreign Currency and shall include the Existing Letters of Credit. Notwithstanding anything to the contrary contained herein, a letter of credit issued by an Issuing Lender other than Bank of America shall not be a “Letter of Credit” for purposes of the Loan Documents until such time as the Administrative Agent has been notified in writing of the issuance thereof by the applicable Issuing Lender.</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 Increase Requirements</w:t>
      </w:r>
      <w:r>
        <w:rPr>
          <w:rFonts w:ascii="Arial" w:cs="Arial" w:eastAsia="Arial" w:hAnsi="Arial"/>
          <w:sz w:val="20"/>
          <w:szCs w:val="20"/>
          <w:color w:val="auto"/>
        </w:rPr>
        <w:t xml:space="preserve">” means, in connection with any request by the Company to increase the maximum Net Leverage Ratio under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by 0.50 for a four consecutive fiscal quarter period, the following:</w:t>
      </w:r>
    </w:p>
    <w:p>
      <w:pPr>
        <w:spacing w:after="0" w:line="177" w:lineRule="exact"/>
        <w:rPr>
          <w:sz w:val="20"/>
          <w:szCs w:val="20"/>
          <w:color w:val="auto"/>
        </w:rPr>
      </w:pPr>
    </w:p>
    <w:p>
      <w:pPr>
        <w:jc w:val="both"/>
        <w:ind w:left="1300" w:firstLine="652"/>
        <w:spacing w:after="0" w:line="250" w:lineRule="auto"/>
        <w:tabs>
          <w:tab w:leader="none" w:pos="237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Company delivers such request in writing to the Administrative Agent at least three (3) Business Days (or such shorter period as may be agreed to by the Administrative Agent) prior to the date on which such request is to be given effect;</w:t>
      </w:r>
    </w:p>
    <w:p>
      <w:pPr>
        <w:spacing w:after="0" w:line="185" w:lineRule="exact"/>
        <w:rPr>
          <w:rFonts w:ascii="Arial" w:cs="Arial" w:eastAsia="Arial" w:hAnsi="Arial"/>
          <w:sz w:val="20"/>
          <w:szCs w:val="20"/>
          <w:color w:val="auto"/>
        </w:rPr>
      </w:pPr>
    </w:p>
    <w:p>
      <w:pPr>
        <w:jc w:val="both"/>
        <w:ind w:left="1300" w:firstLine="652"/>
        <w:spacing w:after="0" w:line="269" w:lineRule="auto"/>
        <w:tabs>
          <w:tab w:leader="none" w:pos="2541"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such request is delivered in connection with a Permitted Acquisition with an aggregate amount of cash consideration and any assumed debt, earn-outs (valued at an amount reasonably determined in good faith by the Company to be payable in connection with such earn-outs) and deferred payments of at least $50,000,000;</w:t>
      </w:r>
    </w:p>
    <w:p>
      <w:pPr>
        <w:spacing w:after="0" w:line="169" w:lineRule="exact"/>
        <w:rPr>
          <w:rFonts w:ascii="Arial" w:cs="Arial" w:eastAsia="Arial" w:hAnsi="Arial"/>
          <w:sz w:val="19"/>
          <w:szCs w:val="19"/>
          <w:color w:val="auto"/>
        </w:rPr>
      </w:pPr>
    </w:p>
    <w:p>
      <w:pPr>
        <w:ind w:left="2440" w:hanging="488"/>
        <w:spacing w:after="0"/>
        <w:tabs>
          <w:tab w:leader="none" w:pos="24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such election is made no more than two times during the term of this Agreement;</w:t>
      </w:r>
    </w:p>
    <w:p>
      <w:pPr>
        <w:spacing w:after="0" w:line="215" w:lineRule="exact"/>
        <w:rPr>
          <w:rFonts w:ascii="Arial" w:cs="Arial" w:eastAsia="Arial" w:hAnsi="Arial"/>
          <w:sz w:val="20"/>
          <w:szCs w:val="20"/>
          <w:color w:val="auto"/>
        </w:rPr>
      </w:pPr>
    </w:p>
    <w:p>
      <w:pPr>
        <w:jc w:val="both"/>
        <w:ind w:left="1300" w:firstLine="652"/>
        <w:spacing w:after="0" w:line="291" w:lineRule="auto"/>
        <w:tabs>
          <w:tab w:leader="none" w:pos="24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election is only given effect for the four consecutive fiscal quarter period following the date on which the applicable Permitted Acquisition is consummated (by way of example only, if the Permitted Acquisition is consummated on May 15, 2021, for the fiscal quarters ending June 30, 2021, September 30, 2021, December 31, 2021 and March 31, 2022);</w:t>
      </w:r>
    </w:p>
    <w:p>
      <w:pPr>
        <w:spacing w:after="0" w:line="151" w:lineRule="exact"/>
        <w:rPr>
          <w:rFonts w:ascii="Arial" w:cs="Arial" w:eastAsia="Arial" w:hAnsi="Arial"/>
          <w:sz w:val="18"/>
          <w:szCs w:val="18"/>
          <w:color w:val="auto"/>
        </w:rPr>
      </w:pPr>
    </w:p>
    <w:p>
      <w:pPr>
        <w:ind w:left="2380" w:hanging="428"/>
        <w:spacing w:after="0"/>
        <w:tabs>
          <w:tab w:leader="none" w:pos="23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only one such election may be given effect during any four consecutive fiscal quarter period; and</w:t>
      </w:r>
    </w:p>
    <w:p>
      <w:pPr>
        <w:spacing w:after="0" w:line="215" w:lineRule="exact"/>
        <w:rPr>
          <w:rFonts w:ascii="Arial" w:cs="Arial" w:eastAsia="Arial" w:hAnsi="Arial"/>
          <w:sz w:val="20"/>
          <w:szCs w:val="20"/>
          <w:color w:val="auto"/>
        </w:rPr>
      </w:pPr>
    </w:p>
    <w:p>
      <w:pPr>
        <w:ind w:left="1300" w:firstLine="652"/>
        <w:spacing w:after="0" w:line="316" w:lineRule="auto"/>
        <w:tabs>
          <w:tab w:leader="none" w:pos="25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maximum Net Leverage Ratio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revert to the then permitted Net Leverage Ratio (without giving effect to any such increase) for at least two fiscal quarters before another increase may be invoked.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Dollars and Pounds Sterling, in each case as long as there is a published LIBOR Rate with respect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Rate</w:t>
      </w:r>
      <w:r>
        <w:rPr>
          <w:rFonts w:ascii="Arial" w:cs="Arial" w:eastAsia="Arial" w:hAnsi="Arial"/>
          <w:sz w:val="20"/>
          <w:szCs w:val="20"/>
          <w:color w:val="auto"/>
        </w:rPr>
        <w:t>” shall have the meaning set forth in the definition of “Eurocurrency Rate”.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collectively, this Agreement, each Note, the Letter of Credit Applications, the Guaranty Agreement, the Security Documents, each Lender Addition and Acknowledgement Agreement (if any) and each other document, instrument, certificate and agreement executed and delivered by the Company or any Restricted Subsidiary thereof in connection with this Agreement or otherwise referred to herein or contemplated hereby (other than any agreement, document, certificate or instrument related to a Bank Product), all as may be amended, restated, supplemented or otherwise modified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means a notice of (a) a request for an Extension of Credit, (b) a conversion of Loans from one Type to the other, or</w:t>
      </w:r>
    </w:p>
    <w:p>
      <w:pPr>
        <w:spacing w:after="0" w:line="39" w:lineRule="exact"/>
        <w:rPr>
          <w:sz w:val="20"/>
          <w:szCs w:val="20"/>
          <w:color w:val="auto"/>
        </w:rPr>
      </w:pPr>
    </w:p>
    <w:p>
      <w:pPr>
        <w:jc w:val="both"/>
        <w:ind w:firstLine="8"/>
        <w:spacing w:after="0" w:line="281" w:lineRule="auto"/>
        <w:tabs>
          <w:tab w:leader="none" w:pos="2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continuation of Eurocurrency Rate Loans,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which shall be substantially in the form of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collective reference to the Revolving Credit Loans, the Term Loan, the Swingline Loans, and the Incremental Term Loans, if any, and “Loan” means any of such Loans.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eurocurrency market.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Cost</w:t>
      </w:r>
      <w:r>
        <w:rPr>
          <w:rFonts w:ascii="Arial" w:cs="Arial" w:eastAsia="Arial" w:hAnsi="Arial"/>
          <w:sz w:val="20"/>
          <w:szCs w:val="20"/>
          <w:color w:val="auto"/>
        </w:rPr>
        <w:t>” means any amount incurred periodically by any Lender during the term of this Agreement which constitutes fees, costs or charges imposed on lenders generally in the jurisdiction in which such Lender is domiciled, subject to regulation, or has its Lending Office by any Governmental Authority.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with respect to the Company and its Restricted Subsidiaries, a material adverse effect on (a) the properties, business, results of operations or financial condition of the Company and its Restricted Subsidiaries, taken as a whole, (b) the ability of any such Person to perform its obligations under the Loan Documents to which it is a party, or (c) the legality, validity, binding effect or enforceability of any Loan Document.</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means (a) any Domestic Subsidiary that is a Subsidiary Borrower or (b) any Domestic Subsidiary that is a Restricted Subsidiary of the Company that (i) individually (x) owns assets with a fair market value in excess of ten percent (10%) of the Consolidated assets of the Company and its Restricted Subsidiaries as of the most recent Fiscal Year end or (y) accounted for more than ten percent (10%) of EBITDA of the Company and its Restricted Subsidiaries for the most recently ended Fiscal Year or (ii) collectively with all other Domestic Subsidiaries that are not Material Domestic Subsidiaries (x) owns assets with a fair market value in excess of fifteen percent (15%) of the Consolidated assets of the Company and its Restricted Subsidiaries as of the most recent Fiscal Year end or (y) accounted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for more than fifteen percent (15%) of EBITDA of the Company and its Restricted Subsidiaries for the most recently ended Fiscal Year.</w:t>
      </w:r>
    </w:p>
    <w:p>
      <w:pPr>
        <w:spacing w:after="0" w:line="2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Foreign Subsidiary</w:t>
      </w:r>
      <w:r>
        <w:rPr>
          <w:rFonts w:ascii="Arial" w:cs="Arial" w:eastAsia="Arial" w:hAnsi="Arial"/>
          <w:sz w:val="20"/>
          <w:szCs w:val="20"/>
          <w:color w:val="auto"/>
        </w:rPr>
        <w:t>” means (a) any Foreign Subsidiary that is a Subsidiary Borrower or (b) any Foreign Subsidiary that is a Restricted Subsidiary of the Company that (i) individually (x) owns assets with a fair market value in excess of ten percent (10%) of the Consolidated assets of the Company and its Restricted Subsidiaries as of the most recent Fiscal Year end or (y) accounted for more than ten percent (10%) of EBITDA of the Company and its Restricted Subsidiaries for the most recently ended Fiscal Year or (ii) collectively with all other Foreign Subsidiaries that are not Material Foreign Subsidiaries (x) owns assets with a fair market value in excess of fifteen percent (15%) of the Consolidated assets of the Company and its Restricted Subsidiaries as of the most recent Fiscal Year end or (y) accounted for more than fifteen percent (15%) of EBITDA of the Company and its Restricted Subsidiaries for the most recently ended Fiscal Year.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any Material Domestic Subsidiary or any Material Foreign Subsidiary.</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means the earliest to occur of (a) October 30, 2025, (b) the date of termination by the Company pursuant to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(c) the date of termination by the Administrative Agent on behalf of the Lenders pursuant to </w:t>
      </w:r>
      <w:r>
        <w:rPr>
          <w:rFonts w:ascii="Arial" w:cs="Arial" w:eastAsia="Arial" w:hAnsi="Arial"/>
          <w:sz w:val="19"/>
          <w:szCs w:val="19"/>
          <w:u w:val="single" w:color="auto"/>
          <w:color w:val="auto"/>
        </w:rPr>
        <w:t>Section 11.2(a)</w:t>
      </w:r>
      <w:r>
        <w:rPr>
          <w:rFonts w:ascii="Arial" w:cs="Arial" w:eastAsia="Arial" w:hAnsi="Arial"/>
          <w:sz w:val="19"/>
          <w:szCs w:val="19"/>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 to which the Company or any ERISA Affiliate is making, or is accruing an obligation to make, or has accrued an obligation to make contributions within the preceding six (6) years.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means, with respect to the Company and its Restricted Subsidiaries, for any period of determination, the net income (or loss) of the Company and its Restricted Subsidiaries for such period,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Net Income (a) the net income (or loss) of any Person (other than a Restricted Subsidiary which shall be subject to clause (c) below), in which the Company or any of its Restricted Subsidiaries has a joint interest with a third party, except to the extent such net income is actually paid to the Company or any of its Restricted Subsidiaries by dividend or other distribution during such period, (b) the net income (or loss) of any Person accrued prior to the date it becomes a Restricted Subsidiary of such Person or is merged into or consolidated with such Person or any of its Restricted Subsidiaries or that Person’s assets are acquired by such Person or any of its Restricted Subsidiaries except to the extent included pursuant to the foregoing clause (a), (c) the net income (if positive) of any Restricted Subsidiary to the extent that the declaration or payment of dividends or similar distributions by such Restricted Subsidiary to the Company or any of its Restricted Subsidiaries of such net income (i) is not at the time permitted by operation of the terms of its charter or any agreement, instrument, judgment, decree, order, statute rule or governmental regulation applicable to such Restricted Subsidiary or (ii) would be subject to any taxes payable on such dividends or distributions.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Leverage Ratio</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Prepayment Event, (a) the cash proceeds received in respect of such event including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net of (b) the sum of (i) all reasonable fees and out-of-pocket expenses paid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5" w:name="page96"/>
    <w:bookmarkEnd w:id="95"/>
    <w:p>
      <w:pPr>
        <w:jc w:val="both"/>
        <w:spacing w:after="0" w:line="274" w:lineRule="auto"/>
        <w:rPr>
          <w:sz w:val="20"/>
          <w:szCs w:val="20"/>
          <w:color w:val="auto"/>
        </w:rPr>
      </w:pPr>
      <w:r>
        <w:rPr>
          <w:rFonts w:ascii="Arial" w:cs="Arial" w:eastAsia="Arial" w:hAnsi="Arial"/>
          <w:sz w:val="18"/>
          <w:szCs w:val="18"/>
          <w:color w:val="auto"/>
        </w:rPr>
        <w:t>(other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a portion thereof)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the Company’s chief financial officer, corporate controller, treasurer or assistant treasurer).</w:t>
      </w:r>
    </w:p>
    <w:p>
      <w:pPr>
        <w:spacing w:after="0" w:line="1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means any bank, financial institution or investment fund committing to make Extensions of Credit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that was not a Lender as of the applicable Revolving Credit Increase Effective Date or Incremental Term Loan Effective Date relating to such Extensions of Credit.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Zealand Dollar</w:t>
      </w:r>
      <w:r>
        <w:rPr>
          <w:rFonts w:ascii="Arial" w:cs="Arial" w:eastAsia="Arial" w:hAnsi="Arial"/>
          <w:sz w:val="20"/>
          <w:szCs w:val="20"/>
          <w:color w:val="auto"/>
        </w:rPr>
        <w:t>” means the lawful currency of New Zealand.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amendment, modification or termination that (i) requires the approval of all Lenders or all affected Lenders in accordance with the terms of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and (ii) has been approved by the Required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Non-LIBOR Quoted Currency</w:t>
      </w:r>
      <w:r>
        <w:rPr>
          <w:rFonts w:ascii="Arial" w:cs="Arial" w:eastAsia="Arial" w:hAnsi="Arial"/>
          <w:sz w:val="20"/>
          <w:szCs w:val="20"/>
          <w:color w:val="auto"/>
        </w:rPr>
        <w:t>” means any currency other than a LIBOR Quoted Currency.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a Revolving Credit Note, Term Loan Note, Swingline Note, or Incremental Term Loan Note, if any.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Account Designation</w:t>
      </w:r>
      <w:r>
        <w:rPr>
          <w:rFonts w:ascii="Arial" w:cs="Arial" w:eastAsia="Arial" w:hAnsi="Arial"/>
          <w:sz w:val="20"/>
          <w:szCs w:val="20"/>
          <w:color w:val="auto"/>
        </w:rPr>
        <w:t xml:space="preserve">” a notice substantially in the form of </w:t>
      </w:r>
      <w:r>
        <w:rPr>
          <w:rFonts w:ascii="Arial" w:cs="Arial" w:eastAsia="Arial" w:hAnsi="Arial"/>
          <w:sz w:val="20"/>
          <w:szCs w:val="20"/>
          <w:b w:val="1"/>
          <w:bCs w:val="1"/>
          <w:i w:val="1"/>
          <w:iCs w:val="1"/>
          <w:color w:val="auto"/>
        </w:rPr>
        <w:t>Exhibit C</w:t>
      </w:r>
      <w:r>
        <w:rPr>
          <w:rFonts w:ascii="Arial" w:cs="Arial" w:eastAsia="Arial" w:hAnsi="Arial"/>
          <w:sz w:val="20"/>
          <w:szCs w:val="20"/>
          <w:color w:val="auto"/>
        </w:rPr>
        <w:t xml:space="preserve"> irrevocably authorizing the Administrative Agent to disburse the proceeds of each borrowing requested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in Same Day Funds by crediting or wiring such proceeds to the deposit account(s) of the applicable Borrower identified in such notice.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xml:space="preserve">” means a notice of prepayment with respect to a Loan, which shall be substantially in the form of </w:t>
      </w:r>
      <w:r>
        <w:rPr>
          <w:rFonts w:ascii="Arial" w:cs="Arial" w:eastAsia="Arial" w:hAnsi="Arial"/>
          <w:sz w:val="20"/>
          <w:szCs w:val="20"/>
          <w:b w:val="1"/>
          <w:bCs w:val="1"/>
          <w:i w:val="1"/>
          <w:iCs w:val="1"/>
          <w:color w:val="auto"/>
        </w:rPr>
        <w:t>Exhibit D</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in each case, whether now in existence or hereafter arising: (a) the principal of and interest on (including interest accruing after the filing of any bankruptcy or similar petition) the Loans, (b) the L/C Obligations, (c) all Bank Product Debt and (d) all other fees and commissions (including attorneys’ fees), charges, indebtedness, loans, liabilities, financial accommodations, obligations, covenants and duties owing by the Company or any of its Restricted Subsidiaries to the Lenders or the Administrative Agent, in each case under any Loan Document or otherwise, with respect to any Loan or Letter of Credit of every kind, nature and description, direct or indirect, absolute or contingent, due or to become due, contractual or tortious, liquidated or unliquidated, and whether or not evidenced by any note; </w:t>
      </w:r>
      <w:r>
        <w:rPr>
          <w:rFonts w:ascii="Arial" w:cs="Arial" w:eastAsia="Arial" w:hAnsi="Arial"/>
          <w:sz w:val="18"/>
          <w:szCs w:val="18"/>
          <w:u w:val="single" w:color="auto"/>
          <w:color w:val="auto"/>
        </w:rPr>
        <w:t>provided</w:t>
      </w:r>
      <w:r>
        <w:rPr>
          <w:rFonts w:ascii="Arial" w:cs="Arial" w:eastAsia="Arial" w:hAnsi="Arial"/>
          <w:sz w:val="18"/>
          <w:szCs w:val="18"/>
          <w:color w:val="auto"/>
        </w:rPr>
        <w:t>, that “Obligations” of a Guarantor shall exclude any Excluded Hedging Obligations of such Guarantor.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6" w:name="page97"/>
    <w:bookmarkEnd w:id="96"/>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Compliance Certificate</w:t>
      </w:r>
      <w:r>
        <w:rPr>
          <w:rFonts w:ascii="Arial" w:cs="Arial" w:eastAsia="Arial" w:hAnsi="Arial"/>
          <w:sz w:val="20"/>
          <w:szCs w:val="20"/>
          <w:color w:val="auto"/>
        </w:rPr>
        <w:t xml:space="preserve">” means a certificate of the chief financial officer, corporate controller, assistant treasurer or the treasurer of the Company substantially in the form of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Lease</w:t>
      </w:r>
      <w:r>
        <w:rPr>
          <w:rFonts w:ascii="Arial" w:cs="Arial" w:eastAsia="Arial" w:hAnsi="Arial"/>
          <w:sz w:val="20"/>
          <w:szCs w:val="20"/>
          <w:color w:val="auto"/>
        </w:rPr>
        <w:t>” means, as to any Person as determined in accordance with GAAP, any lease of property (whether real, personal or mixed) by such Person as lessee which is not a Capital Lease.</w:t>
      </w:r>
    </w:p>
    <w:p>
      <w:pPr>
        <w:spacing w:after="0" w:line="17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2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4.12</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Term Loans, Revolving Credit Loans and Swingline Loans on any date, the Dollar Amount of the aggregate outstanding principal amount thereof after giving effect to any borrowings and prepayments or repayments of Term Loans, Revolving Credit Loans and Swingline Loans, as the case may be, occurring on such date; and (b) with respect to any L/C Obligations on any date, the Dollar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an overnight rate determined by the Administrative Agent, an Issuing Lender, or the Swingline Lender, as the case may be, in accordance with banking industry rules on interbank compensation, and (b) with respect to any amount denominated in a Foreign Currency, an overnight rate determined by the Administrative Agent or an Issuing Lender, as the case may be, in accordance with banking industry rules on interbank compensation.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13.9(d)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13.9(d)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shall mean the Uniting and Strengthening America by Providing Appropriate Tools Required to Intercept and Obstruct Terrorism (USA PATRIOT ACT) Act of 2001 (Title III of Pub. L. No. 107-56 (signed into law October 26, 2001)), as amended or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Event of Default</w:t>
      </w:r>
      <w:r>
        <w:rPr>
          <w:rFonts w:ascii="Arial" w:cs="Arial" w:eastAsia="Arial" w:hAnsi="Arial"/>
          <w:sz w:val="20"/>
          <w:szCs w:val="20"/>
          <w:color w:val="auto"/>
        </w:rPr>
        <w:t xml:space="preserve">” means any Event of Default specified in </w:t>
      </w:r>
      <w:r>
        <w:rPr>
          <w:rFonts w:ascii="Arial" w:cs="Arial" w:eastAsia="Arial" w:hAnsi="Arial"/>
          <w:sz w:val="20"/>
          <w:szCs w:val="20"/>
          <w:u w:val="single" w:color="auto"/>
          <w:color w:val="auto"/>
        </w:rPr>
        <w:t>Section 11.1(a)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Benefit Plan, other than a Multiemployer Plan, which is subject to the provisions of Title IV of ERISA or Section 412 of the Code and which (a) is maintained, sponsored or contributed to by the Company or any ERISA Affiliates or (b) has at any time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19"/>
          <w:szCs w:val="19"/>
          <w:color w:val="auto"/>
        </w:rPr>
        <w:t>preceding six (6) years been maintained, sponsored or contributed to by the Company or any of its current or former ERISA Affiliates.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Acquisitions</w:t>
      </w:r>
      <w:r>
        <w:rPr>
          <w:rFonts w:ascii="Arial" w:cs="Arial" w:eastAsia="Arial" w:hAnsi="Arial"/>
          <w:sz w:val="20"/>
          <w:szCs w:val="20"/>
          <w:color w:val="auto"/>
        </w:rPr>
        <w:t xml:space="preserve">” means the acquisitions permitted pursuant to </w:t>
      </w:r>
      <w:r>
        <w:rPr>
          <w:rFonts w:ascii="Arial" w:cs="Arial" w:eastAsia="Arial" w:hAnsi="Arial"/>
          <w:sz w:val="20"/>
          <w:szCs w:val="20"/>
          <w:u w:val="single" w:color="auto"/>
          <w:color w:val="auto"/>
        </w:rPr>
        <w:t>Section 10.3(g)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Agreement</w:t>
      </w:r>
      <w:r>
        <w:rPr>
          <w:rFonts w:ascii="Arial" w:cs="Arial" w:eastAsia="Arial" w:hAnsi="Arial"/>
          <w:sz w:val="20"/>
          <w:szCs w:val="20"/>
          <w:color w:val="auto"/>
        </w:rPr>
        <w:t xml:space="preserve">” means that certain amended and restated pledge agreement of even date herewith executed by the Credit Parties in favor of the Administrative Agent for the ratable benefit of itself and the Lenders, substantially in the form of </w:t>
      </w:r>
      <w:r>
        <w:rPr>
          <w:rFonts w:ascii="Arial" w:cs="Arial" w:eastAsia="Arial" w:hAnsi="Arial"/>
          <w:sz w:val="20"/>
          <w:szCs w:val="20"/>
          <w:b w:val="1"/>
          <w:bCs w:val="1"/>
          <w:i w:val="1"/>
          <w:iCs w:val="1"/>
          <w:color w:val="auto"/>
        </w:rPr>
        <w:t>Exhibit I</w:t>
      </w:r>
      <w:r>
        <w:rPr>
          <w:rFonts w:ascii="Arial" w:cs="Arial" w:eastAsia="Arial" w:hAnsi="Arial"/>
          <w:sz w:val="20"/>
          <w:szCs w:val="20"/>
          <w:color w:val="auto"/>
        </w:rPr>
        <w:t>, as amended, restated, supplemented or otherwise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Pounds Sterling</w:t>
      </w:r>
      <w:r>
        <w:rPr>
          <w:rFonts w:ascii="Arial" w:cs="Arial" w:eastAsia="Arial" w:hAnsi="Arial"/>
          <w:sz w:val="20"/>
          <w:szCs w:val="20"/>
          <w:color w:val="auto"/>
        </w:rPr>
        <w:t>” means the lawful currency of the United Kingdom.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Pre-Adjustment Successor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Event</w:t>
      </w:r>
      <w:r>
        <w:rPr>
          <w:rFonts w:ascii="Arial" w:cs="Arial" w:eastAsia="Arial" w:hAnsi="Arial"/>
          <w:sz w:val="20"/>
          <w:szCs w:val="20"/>
          <w:color w:val="auto"/>
        </w:rPr>
        <w:t>” means:</w:t>
      </w:r>
    </w:p>
    <w:p>
      <w:pPr>
        <w:spacing w:after="0" w:line="216" w:lineRule="exact"/>
        <w:rPr>
          <w:sz w:val="20"/>
          <w:szCs w:val="20"/>
          <w:color w:val="auto"/>
        </w:rPr>
      </w:pPr>
    </w:p>
    <w:p>
      <w:pPr>
        <w:jc w:val="both"/>
        <w:ind w:left="660" w:firstLine="644"/>
        <w:spacing w:after="0" w:line="246" w:lineRule="auto"/>
        <w:tabs>
          <w:tab w:leader="none" w:pos="1728"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any sale, transfer or other disposition (including pursuant to a sale and leaseback transaction) of any property or asset of any Credit Party in excess of $15,000,000 with respect to any individual sale, transfer or disposition, or $20,000,000 in the aggregate with respect to all such sales, transfers and assignments, in each case during a Fiscal Year, other than dispositions described in </w:t>
      </w:r>
      <w:r>
        <w:rPr>
          <w:rFonts w:ascii="Arial" w:cs="Arial" w:eastAsia="Arial" w:hAnsi="Arial"/>
          <w:sz w:val="20"/>
          <w:szCs w:val="20"/>
          <w:u w:val="single" w:color="auto"/>
          <w:color w:val="auto"/>
        </w:rPr>
        <w:t>Section 10.5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(h)</w:t>
      </w:r>
      <w:r>
        <w:rPr>
          <w:rFonts w:ascii="Arial" w:cs="Arial" w:eastAsia="Arial" w:hAnsi="Arial"/>
          <w:sz w:val="20"/>
          <w:szCs w:val="20"/>
          <w:color w:val="auto"/>
        </w:rPr>
        <w:t>; or</w:t>
      </w:r>
    </w:p>
    <w:p>
      <w:pPr>
        <w:spacing w:after="0" w:line="191" w:lineRule="exact"/>
        <w:rPr>
          <w:rFonts w:ascii="Arial" w:cs="Arial" w:eastAsia="Arial" w:hAnsi="Arial"/>
          <w:sz w:val="20"/>
          <w:szCs w:val="20"/>
          <w:color w:val="auto"/>
        </w:rPr>
      </w:pPr>
    </w:p>
    <w:p>
      <w:pPr>
        <w:ind w:left="660" w:right="20" w:firstLine="644"/>
        <w:spacing w:after="0" w:line="260" w:lineRule="auto"/>
        <w:tabs>
          <w:tab w:leader="none" w:pos="1842"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the incurrence by the Company or any Restricted Subsidiary of any Indebtedness for borrowed money, other than Indebtedness permitted under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Adjustments</w:t>
      </w:r>
      <w:r>
        <w:rPr>
          <w:rFonts w:ascii="Arial" w:cs="Arial" w:eastAsia="Arial" w:hAnsi="Arial"/>
          <w:sz w:val="20"/>
          <w:szCs w:val="20"/>
          <w:color w:val="auto"/>
        </w:rPr>
        <w:t xml:space="preserve">” means adjustments to EBITDA reflecting any non-recurring costs, any extraordinary expenses, any synergies, cost savings, operating expense reductions or other operating improvements in connection with such Permitted Acquisitions and such other adjustments reasonably acceptable to the Administrative Agent in connection with any Permitted Acquisitions and any asset disposition permitted pursuant to </w:t>
      </w:r>
      <w:r>
        <w:rPr>
          <w:rFonts w:ascii="Arial" w:cs="Arial" w:eastAsia="Arial" w:hAnsi="Arial"/>
          <w:sz w:val="20"/>
          <w:szCs w:val="20"/>
          <w:u w:val="single" w:color="auto"/>
          <w:color w:val="auto"/>
        </w:rPr>
        <w:t>Section 10.5</w:t>
      </w:r>
      <w:r>
        <w:rPr>
          <w:rFonts w:ascii="Arial" w:cs="Arial" w:eastAsia="Arial" w:hAnsi="Arial"/>
          <w:sz w:val="20"/>
          <w:szCs w:val="20"/>
          <w:color w:val="auto"/>
        </w:rPr>
        <w:t xml:space="preserve"> closed during such period that are reasonably identifiable and factually supportable and otherwise calculated on a basis consistent with GAAP and Regulation S-X of the Securities Exchange Act of 1934, as amended, or as approved by the Administrative Agent.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5390(c)(8)(D).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13.26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Capital Stock</w:t>
      </w:r>
      <w:r>
        <w:rPr>
          <w:rFonts w:ascii="Arial" w:cs="Arial" w:eastAsia="Arial" w:hAnsi="Arial"/>
          <w:sz w:val="20"/>
          <w:szCs w:val="20"/>
          <w:color w:val="auto"/>
        </w:rPr>
        <w:t>” means any Capital Stock that is not Disqualified Capital Stock.</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means two (2) Business Days prior to the commencement of such Interest Period (or such other day as is generally treated as the rate fixing day by market practice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8" w:name="page99"/>
    <w:bookmarkEnd w:id="98"/>
    <w:p>
      <w:pPr>
        <w:jc w:val="both"/>
        <w:ind w:firstLine="6"/>
        <w:spacing w:after="0" w:line="250" w:lineRule="auto"/>
        <w:rPr>
          <w:sz w:val="20"/>
          <w:szCs w:val="20"/>
          <w:color w:val="auto"/>
        </w:rPr>
      </w:pPr>
      <w:r>
        <w:rPr>
          <w:rFonts w:ascii="Arial" w:cs="Arial" w:eastAsia="Arial" w:hAnsi="Arial"/>
          <w:sz w:val="20"/>
          <w:szCs w:val="20"/>
          <w:color w:val="auto"/>
        </w:rPr>
        <w:t xml:space="preserve">interbank market, as determined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Issuing Lender or any other recipient of any payment to be made by or on account of any obligation of any Credit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13.9(c)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xml:space="preserve">” means the obligation of the Borrowers to reimburse the Issuing Lenders pursuant to </w:t>
      </w:r>
      <w:r>
        <w:rPr>
          <w:rFonts w:ascii="Arial" w:cs="Arial" w:eastAsia="Arial" w:hAnsi="Arial"/>
          <w:sz w:val="20"/>
          <w:szCs w:val="20"/>
          <w:u w:val="single" w:color="auto"/>
          <w:color w:val="auto"/>
        </w:rPr>
        <w:t>Section 2.3(c)</w:t>
      </w:r>
      <w:r>
        <w:rPr>
          <w:rFonts w:ascii="Arial" w:cs="Arial" w:eastAsia="Arial" w:hAnsi="Arial"/>
          <w:sz w:val="20"/>
          <w:szCs w:val="20"/>
          <w:color w:val="auto"/>
        </w:rPr>
        <w:t xml:space="preserve"> for amounts drawn under Letters of Credit.</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Adjustment</w:t>
      </w:r>
      <w:r>
        <w:rPr>
          <w:rFonts w:ascii="Arial" w:cs="Arial" w:eastAsia="Arial" w:hAnsi="Arial"/>
          <w:sz w:val="19"/>
          <w:szCs w:val="19"/>
          <w:color w:val="auto"/>
        </w:rPr>
        <w:t>” means, in determining any Dollar LIBOR Successor Rate, the first relevant available alternative set forth in the order below that can be determined by the Administrative Agent applicable to such Dollar LIBOR Successor Rate:</w:t>
      </w:r>
    </w:p>
    <w:p>
      <w:pPr>
        <w:spacing w:after="0" w:line="152" w:lineRule="exact"/>
        <w:rPr>
          <w:sz w:val="20"/>
          <w:szCs w:val="20"/>
          <w:color w:val="auto"/>
        </w:rPr>
      </w:pPr>
    </w:p>
    <w:p>
      <w:pPr>
        <w:jc w:val="both"/>
        <w:ind w:left="660" w:firstLine="644"/>
        <w:spacing w:after="0" w:line="259" w:lineRule="auto"/>
        <w:tabs>
          <w:tab w:leader="none" w:pos="1833"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acceptable to the Administrative Agent; or</w:t>
      </w:r>
    </w:p>
    <w:p>
      <w:pPr>
        <w:spacing w:after="0" w:line="178" w:lineRule="exact"/>
        <w:rPr>
          <w:rFonts w:ascii="Arial" w:cs="Arial" w:eastAsia="Arial" w:hAnsi="Arial"/>
          <w:sz w:val="19"/>
          <w:szCs w:val="19"/>
          <w:color w:val="auto"/>
        </w:rPr>
      </w:pPr>
    </w:p>
    <w:p>
      <w:pPr>
        <w:jc w:val="both"/>
        <w:ind w:left="660" w:firstLine="644"/>
        <w:spacing w:after="0" w:line="250" w:lineRule="auto"/>
        <w:tabs>
          <w:tab w:leader="none" w:pos="1754"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directors, officers, employees, agents, consultants, service providers and advisors of such Person and of such Person’s Affiliates.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 the Federal Reserve Bank of New York.</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date, any combination of Lenders who hold in the aggregate more than fifty percent (50%) of the sum of (a) the Commitments and (b) the aggregate outstanding Extensions of Credit under the Term Loan and the Incremental Term Loans, or, if the Credit Facility has been terminated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any combination of Lenders holding more than fifty percent (50%) of the aggregate Extensions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and the portion of the Extensions of Credit, as applicable, held or deemed held by, any Defaulting Lender shall be excluded for purposes of making a determination of the Required Lenders.</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Credit Lenders</w:t>
      </w:r>
      <w:r>
        <w:rPr>
          <w:rFonts w:ascii="Arial" w:cs="Arial" w:eastAsia="Arial" w:hAnsi="Arial"/>
          <w:sz w:val="20"/>
          <w:szCs w:val="20"/>
          <w:color w:val="auto"/>
        </w:rPr>
        <w:t xml:space="preserve">” means, at any date, any combination of Lenders who hold in the aggregate more than fifty percent (50%) of the Revolving Credit Commitments, or, if the Credit Facility has been terminated pursuant to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any combination of Lenders holding more than fifty percent (50%) of the aggregate Revolving Credit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Revolving Credit Commitment of, and the portion of the Revolving Credit Loans, as applicable, held or deemed held by, any Defaulting Lender shall be excluded for purposes of making a determination of the Required Revolving Credit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12.6(a)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chief financial officer, treasurer, assistant treasurer or controller, solely for purposes of the delivery of incumbency certificates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the secretary or any assistant secretary of a Credit Party and, solely for purposes of notices given pursuant to Article II,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spacing w:after="0" w:line="1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at the date of any determination, any Subsidiary of the Company that is not an Unrestricted Subsidiary.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means the Dollar Tranche Revolving Credit Commitment and the Designated Currency Tranche Revolving Credit Commitment.</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means, as to any Revolving Credit Lender at any time, the ratio of (a) the amount of the Revolving Credit Commitment of such Revolving Credit Lender to (b) the Revolving Credit Commitments of all Revolving Credit Lenders.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the Dollar Tranche Revolving Credit Facility and the Designated Currency Tranche Revolving Credit Facility.</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 Effective Date</w:t>
      </w:r>
      <w:r>
        <w:rPr>
          <w:rFonts w:ascii="Arial" w:cs="Arial" w:eastAsia="Arial" w:hAnsi="Arial"/>
          <w:sz w:val="18"/>
          <w:szCs w:val="18"/>
          <w:color w:val="auto"/>
        </w:rPr>
        <w:t xml:space="preserve">” means the date, which shall be a Business Day, on or prior to the date that is three (3) months prior to the Maturity Date, but no earlier than thirty (30) days after any Revolving Credit Increase Notification Date (unless a shorter period is agreed to by all affected Increasing Revolving Lenders), on which each of the Increasing Revolving Lenders increase (or, in the case of New Lenders, provide) their respective Revolving Credit Commitments to the Borrowers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Increase Notification</w:t>
      </w:r>
      <w:r>
        <w:rPr>
          <w:rFonts w:ascii="Arial" w:cs="Arial" w:eastAsia="Arial" w:hAnsi="Arial"/>
          <w:sz w:val="20"/>
          <w:szCs w:val="20"/>
          <w:color w:val="auto"/>
        </w:rPr>
        <w:t xml:space="preserve">” means the written notice by the Company of its desire to increase the Revolving Credit Commitment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Increase Notification Date</w:t>
      </w:r>
      <w:r>
        <w:rPr>
          <w:rFonts w:ascii="Arial" w:cs="Arial" w:eastAsia="Arial" w:hAnsi="Arial"/>
          <w:sz w:val="20"/>
          <w:szCs w:val="20"/>
          <w:color w:val="auto"/>
        </w:rPr>
        <w:t>” means the date on which the Revolving Credit Increase Notification is received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any Dollar Tranche Revolving Credit Lender or Designated Currency Tranche Revolving Credit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Loans</w:t>
      </w:r>
      <w:r>
        <w:rPr>
          <w:rFonts w:ascii="Arial" w:cs="Arial" w:eastAsia="Arial" w:hAnsi="Arial"/>
          <w:sz w:val="20"/>
          <w:szCs w:val="20"/>
          <w:color w:val="auto"/>
        </w:rPr>
        <w:t>” means any Dollar Tranche Revolving Credit Loans or Designated Currency Tranche Revolving Credit Loans, as the context requires.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means a Dollar Tranche Revolving Credit Note or Designated Currency Tranche Revolving Credit Note,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 Foreign Currency, same day or other funds as may be determined by the Administrative Agent or the applicable Issuing Lender, as the case may be, to be customary in the place of disbursement or payment for the settlement of international banking transactions in the relevant Foreign Currency.</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without limitation, OFAC), the United Nations Security Council, the EU, Her Majesty’s Treasury or other relevant sanctions authority having jurisdiction over the Company and its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4.8(c)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means the Applicable Reference Rate quote for an Applicable Currency on the applicable screen page the Administrative Agent designates to determine such Applicable Reference Rate for such Applicable Currency (or such other commercially available source providing such quotations for such Applicable Currency as may be designated by the Administrative Agent from time to time).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collective reference to the Guaranty Agreement, the Pledge Agreement and each other agreement or writing pursuant to which any Credit Party purports to pledge or grant a security interest in Capital Stock securing the Obligations or any such Person purports to guaranty the payment and/or performance of the Obligations, in each case, as amended, restated, supplemented or otherwise modified from time to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Officer</w:t>
      </w:r>
      <w:r>
        <w:rPr>
          <w:rFonts w:ascii="Arial" w:cs="Arial" w:eastAsia="Arial" w:hAnsi="Arial"/>
          <w:sz w:val="20"/>
          <w:szCs w:val="20"/>
          <w:color w:val="auto"/>
        </w:rPr>
        <w:t>” means the chief executive officer, president or chief financial officer of the Company.</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means, with respect to any Person on a particular date, that any such Person (a) has capital sufficient to carry on its business and transactions and all business and transactions in which it is about to engage and is able to pay its debts as they mature, (b) has assets having a value, both at fair valuation and at present fair saleable value, greater than the amount required to pay its probable liabilities (including contingencies), and (c) does not believe that it will incur debts or liabilities beyond its ability to pay such debts or liabilities as they mature.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 Foreign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Credit Party</w:t>
      </w:r>
      <w:r>
        <w:rPr>
          <w:rFonts w:ascii="Arial" w:cs="Arial" w:eastAsia="Arial" w:hAnsi="Arial"/>
          <w:sz w:val="19"/>
          <w:szCs w:val="19"/>
          <w:color w:val="auto"/>
        </w:rPr>
        <w:t>” shall mean each Credit Party that is, at the time on which the relevant Guaranty Agreement or grant of the relevant security interest under the Loan Documents by such Credit Party becomes effective with respect to a Hedging Obligation, a corporation, partnership, proprietorship, organization, trust or other entity that would not be an “eligible contract participant” under the Commodity Exchange Act at such time but for the effect of Section 2.12 of the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1" w:name="page102"/>
    <w:bookmarkEnd w:id="101"/>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the collective reference to any Indebtedness of the Company or any Restricted Subsidiary subordinated in right and time of payment to the Obligations on subordination terms reasonably satisfactory to the Administrative Agent.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as to any Person, any corporation, partnership, limited liability company or other entity of which more than fifty percent (50%) of the outstanding Capital Stock having ordinary voting power to elect a majority of the board of directors or other managers of such corporation, partnership, limited liability company or other entity is at the time owned by or the management is otherwise controlled by such Person (irrespective of whether, at the time, Capital Stock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Borrower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means the Dollar LIBOR Successor Rate or any Foreign Currency Successor Rate, as applicable.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 Rate Conforming Changes</w:t>
      </w:r>
      <w:r>
        <w:rPr>
          <w:rFonts w:ascii="Arial" w:cs="Arial" w:eastAsia="Arial" w:hAnsi="Arial"/>
          <w:sz w:val="19"/>
          <w:szCs w:val="19"/>
          <w:color w:val="auto"/>
        </w:rPr>
        <w:t>” means, with respect to any proposed Successor Rate for an Applicable Currency,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Successor Rate and to permit the administration thereof by the Administrative Agent in a manner substantially consistent with market practice for such Applicable Currency (or, if the Administrative Agent determines that adoption of any portion of such market practice for such Applicable Currency is not administratively feasible or that no market practice for the administration of such Successor Rate for such Applicable Currency exists, in such other manner of administration as the Administrative Agent determines is reasonably necessary in connection with the administration of this Agreement and any other Loan Document).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13.26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means the lesser of (a) Fifty Million Dollars ($50,000,000) and (b) the Dollar Tranche Revolving Credit Commitment.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Facility</w:t>
      </w:r>
      <w:r>
        <w:rPr>
          <w:rFonts w:ascii="Arial" w:cs="Arial" w:eastAsia="Arial" w:hAnsi="Arial"/>
          <w:sz w:val="20"/>
          <w:szCs w:val="20"/>
          <w:color w:val="auto"/>
        </w:rPr>
        <w:t xml:space="preserve">” means the swingline facility established pursuant to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Bank of America, through itself or through one of its designated Affiliates or branch offices, in its capacity as provider of Swingline Loans, or any successor swingline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Notice</w:t>
      </w:r>
      <w:r>
        <w:rPr>
          <w:rFonts w:ascii="Arial" w:cs="Arial" w:eastAsia="Arial" w:hAnsi="Arial"/>
          <w:sz w:val="20"/>
          <w:szCs w:val="20"/>
          <w:color w:val="auto"/>
        </w:rPr>
        <w:t xml:space="preserve">” means a notice of a request for Swingline Loans pursuant to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which shall be substantially in the form of </w:t>
      </w:r>
      <w:r>
        <w:rPr>
          <w:rFonts w:ascii="Arial" w:cs="Arial" w:eastAsia="Arial" w:hAnsi="Arial"/>
          <w:sz w:val="20"/>
          <w:szCs w:val="20"/>
          <w:b w:val="1"/>
          <w:bCs w:val="1"/>
          <w:i w:val="1"/>
          <w:iCs w:val="1"/>
          <w:color w:val="auto"/>
        </w:rPr>
        <w:t>Exhibit E</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2" w:name="page103"/>
    <w:bookmarkEnd w:id="102"/>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Note</w:t>
      </w:r>
      <w:r>
        <w:rPr>
          <w:rFonts w:ascii="Arial" w:cs="Arial" w:eastAsia="Arial" w:hAnsi="Arial"/>
          <w:sz w:val="18"/>
          <w:szCs w:val="18"/>
          <w:color w:val="auto"/>
        </w:rPr>
        <w:t xml:space="preserve">” means a promissory note made by the Company in favor of the Swingline Lender evidencing Swingline Loans made by the Swingline Lender, substantially in the form of </w:t>
      </w:r>
      <w:r>
        <w:rPr>
          <w:rFonts w:ascii="Arial" w:cs="Arial" w:eastAsia="Arial" w:hAnsi="Arial"/>
          <w:sz w:val="18"/>
          <w:szCs w:val="18"/>
          <w:b w:val="1"/>
          <w:bCs w:val="1"/>
          <w:i w:val="1"/>
          <w:iCs w:val="1"/>
          <w:color w:val="auto"/>
        </w:rPr>
        <w:t>Exhibit A-2</w:t>
      </w:r>
      <w:r>
        <w:rPr>
          <w:rFonts w:ascii="Arial" w:cs="Arial" w:eastAsia="Arial" w:hAnsi="Arial"/>
          <w:sz w:val="18"/>
          <w:szCs w:val="18"/>
          <w:color w:val="auto"/>
        </w:rPr>
        <w:t xml:space="preserve"> hereto, and any amendments, supplements and modifications thereto, any substitutes therefor, and any replacements, restatements, renewals or extension thereof, in whole or in part.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w:t>
      </w:r>
      <w:r>
        <w:rPr>
          <w:rFonts w:ascii="Arial" w:cs="Arial" w:eastAsia="Arial" w:hAnsi="Arial"/>
          <w:sz w:val="20"/>
          <w:szCs w:val="20"/>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Day</w:t>
      </w:r>
      <w:r>
        <w:rPr>
          <w:rFonts w:ascii="Arial" w:cs="Arial" w:eastAsia="Arial" w:hAnsi="Arial"/>
          <w:sz w:val="16"/>
          <w:szCs w:val="16"/>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except for any such event or condition that would not reasonably be expected to have a Material Adverse Effect: (a) with respect to a Pension Plan, a “Reportable Event” described in Section 4043 of ERISA for which the notice requirement has not been waived by the PBGC, or (b) the withdrawal of the Company or any ERISA Affiliate from a Pension Plan during a plan year in which it was a “substantial employer” as defined in Section 4001(a)(2)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with respect to a Credit Party, the imposition of a Lien pursuant to Section 430(k) of the Code or Section 303(k) of ERISA, or (g) the partial or complete withdrawal of the Company or of any ERISA Affiliate from a Multiemployer Plan if there is any potential withdrawal liability would reasonably be expected to be asserted by such plan thereof, or (h) any event or condition which results in the reorganization or insolvency of a Multiemployer Plan under Sections 4241 or 4245 of ERISA, or (i) any event or condition which results in the termination of a Multiemployer Plan under Section 4041A of ERISA or the institution by PBGC of proceedings to terminate a Multiemployer Plan under Section 4042 of ERISA.</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Value</w:t>
      </w:r>
      <w:r>
        <w:rPr>
          <w:rFonts w:ascii="Arial" w:cs="Arial" w:eastAsia="Arial" w:hAnsi="Arial"/>
          <w:sz w:val="19"/>
          <w:szCs w:val="19"/>
          <w:color w:val="auto"/>
        </w:rPr>
        <w:t>”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means the term loan made to the Company pursuant to </w:t>
      </w:r>
      <w:r>
        <w:rPr>
          <w:rFonts w:ascii="Arial" w:cs="Arial" w:eastAsia="Arial" w:hAnsi="Arial"/>
          <w:sz w:val="20"/>
          <w:szCs w:val="20"/>
          <w:u w:val="single" w:color="auto"/>
          <w:color w:val="auto"/>
        </w:rPr>
        <w:t>Section 2.1(c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w:t>
      </w:r>
      <w:r>
        <w:rPr>
          <w:rFonts w:ascii="Arial" w:cs="Arial" w:eastAsia="Arial" w:hAnsi="Arial"/>
          <w:sz w:val="20"/>
          <w:szCs w:val="20"/>
          <w:color w:val="auto"/>
        </w:rPr>
        <w:t>” means (a) as to any Term Loan Lender, the obligation of such Term Loan Lender to make the Term Loan for the account of the Company hereunder in an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3" w:name="page104"/>
    <w:bookmarkEnd w:id="103"/>
    <w:p>
      <w:pPr>
        <w:jc w:val="both"/>
        <w:ind w:firstLine="6"/>
        <w:spacing w:after="0" w:line="246" w:lineRule="auto"/>
        <w:rPr>
          <w:sz w:val="20"/>
          <w:szCs w:val="20"/>
          <w:color w:val="auto"/>
        </w:rPr>
      </w:pPr>
      <w:r>
        <w:rPr>
          <w:rFonts w:ascii="Arial" w:cs="Arial" w:eastAsia="Arial" w:hAnsi="Arial"/>
          <w:sz w:val="20"/>
          <w:szCs w:val="20"/>
          <w:color w:val="auto"/>
        </w:rPr>
        <w:t xml:space="preserve">amount at any time outstanding not to exceed the amount set forth opposite such Term Loan Lender’s name on </w:t>
      </w:r>
      <w:r>
        <w:rPr>
          <w:rFonts w:ascii="Arial" w:cs="Arial" w:eastAsia="Arial" w:hAnsi="Arial"/>
          <w:sz w:val="20"/>
          <w:szCs w:val="20"/>
          <w:u w:val="single" w:color="auto"/>
          <w:color w:val="auto"/>
        </w:rPr>
        <w:t>Schedule 1.1(b)</w:t>
      </w:r>
      <w:r>
        <w:rPr>
          <w:rFonts w:ascii="Arial" w:cs="Arial" w:eastAsia="Arial" w:hAnsi="Arial"/>
          <w:sz w:val="20"/>
          <w:szCs w:val="20"/>
          <w:color w:val="auto"/>
        </w:rPr>
        <w:t>, as such Term Loan Commitment may be reduced at any time or from time to time pursuant to the terms hereof, and (b) as to all Term Loan Lenders, the aggregate commitment of all Term Loan Lenders to make the Term Loan, as such amount may be reduced at any time or from time to time pursuant to the terms hereof.</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Commitment Percentage</w:t>
      </w:r>
      <w:r>
        <w:rPr>
          <w:rFonts w:ascii="Arial" w:cs="Arial" w:eastAsia="Arial" w:hAnsi="Arial"/>
          <w:sz w:val="20"/>
          <w:szCs w:val="20"/>
          <w:color w:val="auto"/>
        </w:rPr>
        <w:t>” means, as to any Term Loan Lender at any time, the ratio of (a) the amount of the Term Loan Commitment of such Term Loan Lender to (b) the Term Loan Commitments of all Term Loan Lenders.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Credit Facility</w:t>
      </w:r>
      <w:r>
        <w:rPr>
          <w:rFonts w:ascii="Arial" w:cs="Arial" w:eastAsia="Arial" w:hAnsi="Arial"/>
          <w:sz w:val="20"/>
          <w:szCs w:val="20"/>
          <w:color w:val="auto"/>
        </w:rPr>
        <w:t xml:space="preserve">” means the term loan credit facility established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but excluding the Revolving Credit Facility, the Swingline Facility, and any Incremental Term Loan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means any Lender with a Term Loan Commitment.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made by the Company in favor of a Term Loan Lender evidencing the portion of the Term Loan made by such Term Loan Lender, substantially in the form of </w:t>
      </w:r>
      <w:r>
        <w:rPr>
          <w:rFonts w:ascii="Arial" w:cs="Arial" w:eastAsia="Arial" w:hAnsi="Arial"/>
          <w:sz w:val="18"/>
          <w:szCs w:val="18"/>
          <w:b w:val="1"/>
          <w:bCs w:val="1"/>
          <w:i w:val="1"/>
          <w:iCs w:val="1"/>
          <w:color w:val="auto"/>
        </w:rPr>
        <w:t>Exhibit A-3</w:t>
      </w:r>
      <w:r>
        <w:rPr>
          <w:rFonts w:ascii="Arial" w:cs="Arial" w:eastAsia="Arial" w:hAnsi="Arial"/>
          <w:sz w:val="18"/>
          <w:szCs w:val="18"/>
          <w:color w:val="auto"/>
        </w:rPr>
        <w:t xml:space="preserve"> hereto, and any amendments, supplements and modifications thereto, any substitutes therefor, and any replacements, restatements, renewals or extension thereof, in whole or in part.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Funded Net Indebtedness</w:t>
      </w:r>
      <w:r>
        <w:rPr>
          <w:rFonts w:ascii="Arial" w:cs="Arial" w:eastAsia="Arial" w:hAnsi="Arial"/>
          <w:sz w:val="20"/>
          <w:szCs w:val="20"/>
          <w:color w:val="auto"/>
        </w:rPr>
        <w:t xml:space="preserve">” means, as of any date of determination with respect to the Company and its Restricted Subsidiaries on a Consolidated basis without duplication, the sum of all Indebtedness of the Company and its Restricted Subsidiaries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(a) Indebtedness of the type described in clause (b) of the definition of Indebtedness, (b) Indebtedness of the type described in clause (d) of the definition of Indebtedness and (c) Cash on Hand,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no event shall the deduction pursuant to this clause (c) exceed $100,000,000.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w:t>
      </w:r>
      <w:r>
        <w:rPr>
          <w:rFonts w:ascii="Arial" w:cs="Arial" w:eastAsia="Arial" w:hAnsi="Arial"/>
          <w:sz w:val="20"/>
          <w:szCs w:val="20"/>
          <w:color w:val="auto"/>
        </w:rPr>
        <w:t>” means the Dollar Tranche or the Designated Currency Tranche, as applicable.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Costs</w:t>
      </w:r>
      <w:r>
        <w:rPr>
          <w:rFonts w:ascii="Arial" w:cs="Arial" w:eastAsia="Arial" w:hAnsi="Arial"/>
          <w:sz w:val="19"/>
          <w:szCs w:val="19"/>
          <w:color w:val="auto"/>
        </w:rPr>
        <w:t xml:space="preserve">” means, without duplication, all transaction fees, charges and other amounts related to (1) this Agreement and the other Loan Documents, and (2) any Permitted Acquisition, which fees, charges and other amounts shall include, without limitation, (a) any financing fees, merger and acquisition fees (including consulting, advisory or brokerage fees), legal fees and expenses, due diligence fees or any other reasonably related fees and expenses during such period in connection therewith, (b) the aggregate amount of all payments funded from the earnings of the Company and its Restricted Subsidiaries and made during such period in connection with any Permitted Acquisition, including, without limitation, indemnity payments, working capital and purchase price adjustments, earn outs or other contingent payments, and (c) restructuring and business optimization expenses, including any cost savings and synergies projected by the Company in good faith to be realized as a result of any such Permitted Acquisition and any non-recurring restructuring and integration costs and expenses approved by the Administrative Agent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all such Transaction Costs shall be included, if at all, in any determination of EBITDA during the four consecutive quarter period following the applicable acquisition (including, without limitation, the quarter in which such acquisition occurs), and (ii) with respect to any Permitted Acquisition subject hereto, the aggregate amount of cash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4" w:name="page105"/>
    <w:bookmarkEnd w:id="104"/>
    <w:p>
      <w:pPr>
        <w:jc w:val="both"/>
        <w:ind w:firstLine="6"/>
        <w:spacing w:after="0" w:line="260" w:lineRule="auto"/>
        <w:rPr>
          <w:sz w:val="20"/>
          <w:szCs w:val="20"/>
          <w:color w:val="auto"/>
        </w:rPr>
      </w:pPr>
      <w:r>
        <w:rPr>
          <w:rFonts w:ascii="Arial" w:cs="Arial" w:eastAsia="Arial" w:hAnsi="Arial"/>
          <w:sz w:val="20"/>
          <w:szCs w:val="20"/>
          <w:color w:val="auto"/>
        </w:rPr>
        <w:t xml:space="preserve">Costs in respect of such Permitted Acquisition that may be added back to EBITDA shall not exceed 10% of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Consolidated EBITDA for the Company and its Restricted Subsidiaries (giving effect to such Permitted Acquisition).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Eurocurrency Rate Loan.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 or appropriate governing state, as amended or modified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the Uniform Customs and Practice for Documentary Credits (1993 Revision), effective January, 1994 International Chamber of Commerce Publication No. 500.</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means (a) any Subsidiary of the Company designated by the Company as an “Unrestricted Subsidiary” pursuant to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and (b) any direct or indirect Subsidiary of a Subsidiary described in the foregoing clause (a).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13.26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4.11(e)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w:t>
      </w:r>
      <w:r>
        <w:rPr>
          <w:rFonts w:ascii="Arial" w:cs="Arial" w:eastAsia="Arial" w:hAnsi="Arial"/>
          <w:sz w:val="20"/>
          <w:szCs w:val="20"/>
          <w:color w:val="auto"/>
        </w:rPr>
        <w:t>” means, with respect to a Subsidiary, that all of the shares of Capital Stock of such Subsidiary are, directly or indirectly, owned or controlled by the Company and/or one or more of its Wholly-Owned Subsidiaries (except for directors’ qualifying shares or other shares required by Applicable Law to be owned by a Person other than the Company).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5" w:name="page106"/>
    <w:bookmarkEnd w:id="105"/>
    <w:p>
      <w:pPr>
        <w:jc w:val="both"/>
        <w:ind w:right="20" w:firstLine="6"/>
        <w:spacing w:after="0" w:line="316" w:lineRule="auto"/>
        <w:rPr>
          <w:sz w:val="20"/>
          <w:szCs w:val="20"/>
          <w:color w:val="auto"/>
        </w:rPr>
      </w:pPr>
      <w:r>
        <w:rPr>
          <w:rFonts w:ascii="Arial" w:cs="Arial" w:eastAsia="Arial" w:hAnsi="Arial"/>
          <w:sz w:val="18"/>
          <w:szCs w:val="18"/>
          <w:color w:val="auto"/>
        </w:rPr>
        <w:t>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Other Definitions and Provisions</w:t>
      </w:r>
      <w:r>
        <w:rPr>
          <w:rFonts w:ascii="Arial" w:cs="Arial" w:eastAsia="Arial" w:hAnsi="Arial"/>
          <w:sz w:val="18"/>
          <w:szCs w:val="18"/>
          <w:color w:val="auto"/>
        </w:rPr>
        <w:t>. With reference to this Agreement and each other Loan Document,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specified herein or in such other Loan Document or unless the context requires otherwise: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definition of or reference to any agreement, instrument or other document (including the Loan Documents, any formation document or governing document of a Credit Party) herein shall be construed as referring to such agreement, instrument or other document as from time to time amended, amended and restated, extended, restated, replaced, supplemented or otherwise modified from time to time (subject to any restrictions on such amendments, supplements or modifications set forth herein or in any other Loan Document), (f) any reference herein to any Person shall be construed to include such Person’s successors and assigns, (g) the words “hereto,” “herein”, “hereof” and “hereunder”, and words of similar import when used in any Loan Document, shall be construed to refer to such Loan Document in its entirety and not to any particular provision thereof, (h) all references in a Loan Document to Articles, Sections, Preliminary Statements, Exhibits and Schedules shall be construed to refer to Articles and Sections of, and Preliminary Statements, Exhibits and Schedules to, the Loan Document in which such references appear, (i) the words “asset” and “property” shall be construed to have the same meaning and effect and to refer to any and all tangible and intangible assets and properties, including cash, securities, accounts and contract rights, (j)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(k) in the computation of periods of time from a specified date to a later specified date, the word “from” means “from and including;” the words “to” and “until” each mean “to but excluding;” and the word “through” means “to and including”, (l) section headings herein and in the other Loan Documents are included for convenience of reference only and shall not affect the interpretation of this Agreement or any other Loan Document and (m)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u w:val="single" w:color="auto"/>
          <w:color w:val="auto"/>
        </w:rPr>
        <w:t>Accounting Terms</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57" w:lineRule="auto"/>
        <w:tabs>
          <w:tab w:leader="none" w:pos="1739"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Accounting Terms</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required by </w:t>
      </w:r>
      <w:r>
        <w:rPr>
          <w:rFonts w:ascii="Arial" w:cs="Arial" w:eastAsia="Arial" w:hAnsi="Arial"/>
          <w:sz w:val="19"/>
          <w:szCs w:val="19"/>
          <w:u w:val="single" w:color="auto"/>
          <w:color w:val="auto"/>
        </w:rPr>
        <w:t>Section 7.1(b)</w:t>
      </w:r>
      <w:r>
        <w:rPr>
          <w:rFonts w:ascii="Arial" w:cs="Arial" w:eastAsia="Arial" w:hAnsi="Arial"/>
          <w:sz w:val="19"/>
          <w:szCs w:val="19"/>
          <w:color w:val="auto"/>
        </w:rPr>
        <w:t>, except as otherwise specifically prescribed herein. If the Company notifies the Administrative Agent that the Company requests an amendment to any provision hereof to eliminate the effect of any change occurring after the date hereof in GAAP (including the adoption of IFRS) or in the application thereof on the operation of such provision (or if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6" w:name="page107"/>
    <w:bookmarkEnd w:id="106"/>
    <w:p>
      <w:pPr>
        <w:jc w:val="both"/>
        <w:ind w:left="660" w:firstLine="6"/>
        <w:spacing w:after="0" w:line="263" w:lineRule="auto"/>
        <w:rPr>
          <w:sz w:val="20"/>
          <w:szCs w:val="20"/>
          <w:color w:val="auto"/>
        </w:rPr>
      </w:pPr>
      <w:r>
        <w:rPr>
          <w:rFonts w:ascii="Arial" w:cs="Arial" w:eastAsia="Arial" w:hAnsi="Arial"/>
          <w:sz w:val="19"/>
          <w:szCs w:val="19"/>
          <w:color w:val="auto"/>
        </w:rPr>
        <w:t>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6" w:lineRule="exact"/>
        <w:rPr>
          <w:sz w:val="20"/>
          <w:szCs w:val="20"/>
          <w:color w:val="auto"/>
        </w:rPr>
      </w:pPr>
    </w:p>
    <w:p>
      <w:pPr>
        <w:jc w:val="both"/>
        <w:ind w:left="660" w:firstLine="644"/>
        <w:spacing w:after="0" w:line="267" w:lineRule="auto"/>
        <w:tabs>
          <w:tab w:leader="none" w:pos="183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If at any time any change in GAAP or change in the Company’s accounting practices under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or change in the Company’s accounting practices under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and the Company’s accounting practice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or change in the Company’s accounting practices.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Company or any Subsidiary at “fair value”, as defined therein and</w:t>
      </w:r>
    </w:p>
    <w:p>
      <w:pPr>
        <w:spacing w:after="0" w:line="5" w:lineRule="exact"/>
        <w:rPr>
          <w:rFonts w:ascii="Arial" w:cs="Arial" w:eastAsia="Arial" w:hAnsi="Arial"/>
          <w:sz w:val="18"/>
          <w:szCs w:val="18"/>
          <w:color w:val="auto"/>
        </w:rPr>
      </w:pPr>
    </w:p>
    <w:p>
      <w:pPr>
        <w:jc w:val="both"/>
        <w:ind w:left="660" w:hanging="4"/>
        <w:spacing w:after="0" w:line="260" w:lineRule="auto"/>
        <w:tabs>
          <w:tab w:leader="none" w:pos="975"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without giving effect to any treatment of Indebtedness in respect of convertible debt instruments under Financial Accounting Standards Board Staff Position APB 14-1 to value any such Indebtedness in a reduced or bifurcated manner as described therein, and such Indebtedness shall at all times be valued at the full stated principal amount thereof.</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b w:val="1"/>
          <w:bCs w:val="1"/>
          <w:u w:val="single" w:color="auto"/>
          <w:color w:val="auto"/>
        </w:rPr>
        <w:t>UCC Terms</w:t>
      </w:r>
      <w:r>
        <w:rPr>
          <w:rFonts w:ascii="Arial" w:cs="Arial" w:eastAsia="Arial" w:hAnsi="Arial"/>
          <w:sz w:val="20"/>
          <w:szCs w:val="20"/>
          <w:color w:val="auto"/>
        </w:rPr>
        <w:t>. Terms defined in the UCC in effect on the Closing Date and not otherwise defined herein shall, unless</w:t>
      </w:r>
      <w:r>
        <w:rPr>
          <w:rFonts w:ascii="Arial" w:cs="Arial" w:eastAsia="Arial" w:hAnsi="Arial"/>
          <w:sz w:val="20"/>
          <w:szCs w:val="20"/>
          <w:b w:val="1"/>
          <w:bCs w:val="1"/>
          <w:color w:val="auto"/>
        </w:rPr>
        <w:t xml:space="preserve"> </w:t>
      </w:r>
      <w:r>
        <w:rPr>
          <w:rFonts w:ascii="Arial" w:cs="Arial" w:eastAsia="Arial" w:hAnsi="Arial"/>
          <w:sz w:val="20"/>
          <w:szCs w:val="20"/>
          <w:color w:val="auto"/>
        </w:rPr>
        <w:t>the context otherwise indicates, have the meanings provided by those definitions. Subject to the foregoing, the term “</w:t>
      </w:r>
      <w:r>
        <w:rPr>
          <w:rFonts w:ascii="Arial" w:cs="Arial" w:eastAsia="Arial" w:hAnsi="Arial"/>
          <w:sz w:val="20"/>
          <w:szCs w:val="20"/>
          <w:u w:val="single" w:color="auto"/>
          <w:color w:val="auto"/>
        </w:rPr>
        <w:t>UCC</w:t>
      </w:r>
      <w:r>
        <w:rPr>
          <w:rFonts w:ascii="Arial" w:cs="Arial" w:eastAsia="Arial" w:hAnsi="Arial"/>
          <w:sz w:val="20"/>
          <w:szCs w:val="20"/>
          <w:color w:val="auto"/>
        </w:rPr>
        <w:t>” refers, as of any date of determination, to the UCC then in effect.</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1.5 </w:t>
      </w:r>
      <w:r>
        <w:rPr>
          <w:rFonts w:ascii="Arial" w:cs="Arial" w:eastAsia="Arial" w:hAnsi="Arial"/>
          <w:sz w:val="20"/>
          <w:szCs w:val="20"/>
          <w:b w:val="1"/>
          <w:bCs w:val="1"/>
          <w:u w:val="single" w:color="auto"/>
          <w:color w:val="auto"/>
        </w:rPr>
        <w:t>Rounding</w:t>
      </w:r>
      <w:r>
        <w:rPr>
          <w:rFonts w:ascii="Arial" w:cs="Arial" w:eastAsia="Arial" w:hAnsi="Arial"/>
          <w:sz w:val="20"/>
          <w:szCs w:val="20"/>
          <w:color w:val="auto"/>
        </w:rPr>
        <w:t>. Any financial ratios required to be maintained by the Company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color w:val="auto"/>
        </w:rPr>
        <w:t>. Unless otherwise specified herein, the amount of a Letter of Credit at any time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be the Dollar Amount of the stated amount of such Letter of Credit in effect at such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Amount of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7" w:name="page108"/>
    <w:bookmarkEnd w:id="107"/>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6"/>
          <w:szCs w:val="16"/>
          <w:b w:val="1"/>
          <w:bCs w:val="1"/>
          <w:u w:val="single" w:color="auto"/>
          <w:color w:val="auto"/>
        </w:rPr>
        <w:t>Exchange Rates; Currency Equivalents</w:t>
      </w:r>
      <w:r>
        <w:rPr>
          <w:rFonts w:ascii="Arial" w:cs="Arial" w:eastAsia="Arial" w:hAnsi="Arial"/>
          <w:sz w:val="16"/>
          <w:szCs w:val="16"/>
          <w:u w:val="single" w:color="auto"/>
          <w:color w:val="auto"/>
        </w:rPr>
        <w:t>.</w:t>
      </w:r>
    </w:p>
    <w:p>
      <w:pPr>
        <w:spacing w:after="0" w:line="222" w:lineRule="exact"/>
        <w:rPr>
          <w:sz w:val="20"/>
          <w:szCs w:val="20"/>
          <w:color w:val="auto"/>
        </w:rPr>
      </w:pPr>
    </w:p>
    <w:p>
      <w:pPr>
        <w:jc w:val="both"/>
        <w:ind w:left="660" w:firstLine="644"/>
        <w:spacing w:after="0" w:line="274" w:lineRule="auto"/>
        <w:tabs>
          <w:tab w:leader="none" w:pos="17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or the applicable Issuing Lender, as applicable, shall determine the Exchange Rates as of each Computation Date to be used for calculating Dollar Amounts of Extensions of Credit and Outstanding Amounts denominated in Foreign Currencies. Such Exchange Rates shall become effective as of such Computation Date and shall be the Exchange Rates employed in converting any amounts between the applicable currencies until the next Computation Date to occur. Except for purposes of financial statements delivered by Credit Parties hereunder or calculating financial covenants hereunder or except as otherwise provided herein, the applicable amount of any currency (other than Dollars) for purposes of the Loan Documents shall be such Dollar Amount as so determined by the Administrative Agent or the applicable Issuing Lender, as applicable.</w:t>
      </w:r>
    </w:p>
    <w:p>
      <w:pPr>
        <w:spacing w:after="0" w:line="168" w:lineRule="exact"/>
        <w:rPr>
          <w:rFonts w:ascii="Arial" w:cs="Arial" w:eastAsia="Arial" w:hAnsi="Arial"/>
          <w:sz w:val="18"/>
          <w:szCs w:val="18"/>
          <w:color w:val="auto"/>
        </w:rPr>
      </w:pPr>
    </w:p>
    <w:p>
      <w:pPr>
        <w:jc w:val="both"/>
        <w:ind w:left="660" w:firstLine="644"/>
        <w:spacing w:after="0" w:line="243" w:lineRule="auto"/>
        <w:tabs>
          <w:tab w:leader="none" w:pos="1792" w:val="left"/>
        </w:tabs>
        <w:numPr>
          <w:ilvl w:val="0"/>
          <w:numId w:val="69"/>
        </w:numPr>
        <w:rPr>
          <w:rFonts w:ascii="Arial" w:cs="Arial" w:eastAsia="Arial" w:hAnsi="Arial"/>
          <w:sz w:val="20"/>
          <w:szCs w:val="20"/>
          <w:color w:val="auto"/>
        </w:rPr>
      </w:pPr>
      <w:r>
        <w:rPr>
          <w:rFonts w:ascii="Arial" w:cs="Arial" w:eastAsia="Arial" w:hAnsi="Arial"/>
          <w:sz w:val="20"/>
          <w:szCs w:val="20"/>
          <w:color w:val="auto"/>
        </w:rPr>
        <w:t>Wherever in this Agreement in connection with an Extension of Credit, conversion, continuation or prepayment of a Eurocurrency Rate Loan or the issuance, amendment or extension of a Letter of Credit, an amount, such as a required minimum or multiple amount, is expressed in Dollars, but such Extension of Credit, Eurocurrency Rate Loan or Letter of Credit is denominated in a Foreign Currency, such amount shall be the relevant Equivalent Amount of such Dollar amount (rounded to the nearest unit of such Foreign Currency, with 0.5 of a unit being rounded upward), as determined by the Administrative Agent or the applicable Issuing Lender, as the case may be.</w:t>
      </w:r>
    </w:p>
    <w:p>
      <w:pPr>
        <w:spacing w:after="0" w:line="195" w:lineRule="exact"/>
        <w:rPr>
          <w:rFonts w:ascii="Arial" w:cs="Arial" w:eastAsia="Arial" w:hAnsi="Arial"/>
          <w:sz w:val="20"/>
          <w:szCs w:val="20"/>
          <w:color w:val="auto"/>
        </w:rPr>
      </w:pPr>
    </w:p>
    <w:p>
      <w:pPr>
        <w:jc w:val="both"/>
        <w:ind w:left="660" w:firstLine="644"/>
        <w:spacing w:after="0" w:line="282" w:lineRule="auto"/>
        <w:tabs>
          <w:tab w:leader="none" w:pos="18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“Eurocurrency Rate” or with respect to any rate that is an alternative or replacement for or successor to any of such rates (including, without limitation, any Successor Rate) or the effect of any of the foregoing, or of any Successor Rate Conforming Changes.</w:t>
      </w:r>
    </w:p>
    <w:p>
      <w:pPr>
        <w:spacing w:after="0" w:line="161" w:lineRule="exact"/>
        <w:rPr>
          <w:rFonts w:ascii="Arial" w:cs="Arial" w:eastAsia="Arial" w:hAnsi="Arial"/>
          <w:sz w:val="18"/>
          <w:szCs w:val="18"/>
          <w:color w:val="auto"/>
        </w:rPr>
      </w:pPr>
    </w:p>
    <w:p>
      <w:pPr>
        <w:jc w:val="both"/>
        <w:ind w:left="660" w:firstLine="644"/>
        <w:spacing w:after="0" w:line="250" w:lineRule="auto"/>
        <w:tabs>
          <w:tab w:leader="none" w:pos="1752"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 purposes of determining compliance with any dollar basket contained herein, the Dollar Amount of such item shall be calculated at the time of incurrence or issuance thereof, unless otherwise agreed to by both the Company and the Administrative Agent.</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1.9</w:t>
      </w:r>
      <w:r>
        <w:rPr>
          <w:sz w:val="20"/>
          <w:szCs w:val="20"/>
          <w:color w:val="auto"/>
        </w:rPr>
        <w:tab/>
      </w:r>
      <w:r>
        <w:rPr>
          <w:rFonts w:ascii="Arial" w:cs="Arial" w:eastAsia="Arial" w:hAnsi="Arial"/>
          <w:sz w:val="18"/>
          <w:szCs w:val="18"/>
          <w:b w:val="1"/>
          <w:bCs w:val="1"/>
          <w:u w:val="single" w:color="auto"/>
          <w:color w:val="auto"/>
        </w:rPr>
        <w:t>Additional Foreign Currencies</w:t>
      </w:r>
      <w:r>
        <w:rPr>
          <w:rFonts w:ascii="Arial" w:cs="Arial" w:eastAsia="Arial" w:hAnsi="Arial"/>
          <w:sz w:val="18"/>
          <w:szCs w:val="18"/>
          <w:color w:val="auto"/>
        </w:rPr>
        <w:t>.</w:t>
      </w:r>
    </w:p>
    <w:p>
      <w:pPr>
        <w:spacing w:after="0" w:line="222" w:lineRule="exact"/>
        <w:rPr>
          <w:sz w:val="20"/>
          <w:szCs w:val="20"/>
          <w:color w:val="auto"/>
        </w:rPr>
      </w:pPr>
    </w:p>
    <w:p>
      <w:pPr>
        <w:jc w:val="both"/>
        <w:ind w:left="660" w:firstLine="644"/>
        <w:spacing w:after="0" w:line="242" w:lineRule="auto"/>
        <w:tabs>
          <w:tab w:leader="none" w:pos="17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Company may from time to time request that Eurocurrency Rate Loans be made and/or Letters of Credit be issued in a currency other than those specifically listed in the definition of “Foreign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requested currency complies with the proviso in the definition of “Foreign Currency” and (ii) such requested currency shall only be treated as a “LIBOR Quoted Currency” to the extent that there is published LIBOR rate for such currency. In the case of any such request with respect to the making of Eurocurrency Rate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applicable Issuing Lender.</w:t>
      </w:r>
    </w:p>
    <w:p>
      <w:pPr>
        <w:spacing w:after="0" w:line="196" w:lineRule="exact"/>
        <w:rPr>
          <w:rFonts w:ascii="Arial" w:cs="Arial" w:eastAsia="Arial" w:hAnsi="Arial"/>
          <w:sz w:val="20"/>
          <w:szCs w:val="20"/>
          <w:color w:val="auto"/>
        </w:rPr>
      </w:pPr>
    </w:p>
    <w:p>
      <w:pPr>
        <w:jc w:val="both"/>
        <w:ind w:left="660" w:firstLine="644"/>
        <w:spacing w:after="0" w:line="263" w:lineRule="auto"/>
        <w:tabs>
          <w:tab w:leader="none" w:pos="1757"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ten (10) Business Days prior to the date of the desired Extension of Credit (or such other time or date as may be agreed by the Administrative Agent and, in the case of any such request pertaining to Letters of Credit, the applicable Issuing Lender, in its or their sole discretion). In the case of any such request pertaining to Eurocurrency Rate Loans, the Administrative Agent shall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08" w:name="page109"/>
    <w:bookmarkEnd w:id="108"/>
    <w:p>
      <w:pPr>
        <w:jc w:val="both"/>
        <w:ind w:left="660" w:firstLine="6"/>
        <w:spacing w:after="0" w:line="243" w:lineRule="auto"/>
        <w:rPr>
          <w:sz w:val="20"/>
          <w:szCs w:val="20"/>
          <w:color w:val="auto"/>
        </w:rPr>
      </w:pPr>
      <w:r>
        <w:rPr>
          <w:rFonts w:ascii="Arial" w:cs="Arial" w:eastAsia="Arial" w:hAnsi="Arial"/>
          <w:sz w:val="20"/>
          <w:szCs w:val="20"/>
          <w:color w:val="auto"/>
        </w:rPr>
        <w:t>notify each Appropriate Lender thereof; and in the case of any such request pertaining to Letters of Credit, the Administrative Agent shall promptly notify the applicable Issuing Lender thereof. Each Appropriate Lender (in the case of any such request pertaining to Eurocurrency Rate Loans) or the applicable Issuing Lender (in the case of a request pertaining to Letters of Credit) shall notify the Administrative Agent, not later than 11:00 a.m., five (5) Business Days after receipt of such request whether it consents, in its sole discretion, to the making of Eurocurrency Rate Loans or the issuance of Letters of Credit, as the case may be, in such requested currency.</w:t>
      </w:r>
    </w:p>
    <w:p>
      <w:pPr>
        <w:spacing w:after="0" w:line="196" w:lineRule="exact"/>
        <w:rPr>
          <w:sz w:val="20"/>
          <w:szCs w:val="20"/>
          <w:color w:val="auto"/>
        </w:rPr>
      </w:pPr>
    </w:p>
    <w:p>
      <w:pPr>
        <w:jc w:val="both"/>
        <w:ind w:left="660" w:firstLine="644"/>
        <w:spacing w:after="0" w:line="268" w:lineRule="auto"/>
        <w:tabs>
          <w:tab w:leader="none" w:pos="17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failure by a Lender or an Issuing Lender, as the case may be, to respond to such request within the time period specified in the preceding sentence shall be deemed to be a refusal by such Lender or such Issuing Lender, as the case may be, to permit Eurocurrency Rate Loans to be made or Letters of Credit to be issued in such requested currency. If the Administrative Agent and all the Appropriate Lenders consent to making Eurocurrency Rate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Eurocurrency Rate for any Non-LIBOR Quoted Currency to the extent necessary to add the applicable Eurocurrency Rate for such currency and (ii) to the extent the definition of Eurocurrency Rate reflects the appropriate interest rate for such currency or has been amended to reflect the appropriate rate for such currency, such currency shall thereupon be deemed for all purposes to be a Foreign Currency for purposes of any Extensions of Credit of Eurocurrency Rate Loans. If the Administrative Agent and the applicable Issuing Lender consent to the issuance of Letters of Credit in such requested currency, the Administrative Agent shall so notify the Company and (A) the Administrative Agent and the applicable Issuing Lender may amend the definition of Eurocurrency Rate for any Non-LIBOR Quoted Currency to the extent necessary to add the applicable Eurocurrency Rate for such currency and (B) to the extent the definition of Eurocurrency Rate reflects the appropriate interest rate for such currency or has been amended to reflect the appropriate rate for such currency, such currency shall thereupon be deemed for all purposes to be a Foreign Currency,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1.9</w:t>
      </w:r>
      <w:r>
        <w:rPr>
          <w:rFonts w:ascii="Arial" w:cs="Arial" w:eastAsia="Arial" w:hAnsi="Arial"/>
          <w:sz w:val="18"/>
          <w:szCs w:val="18"/>
          <w:color w:val="auto"/>
        </w:rPr>
        <w:t>, the Administrative Agent shall promptly so notify the Company. Any specified currency of an Existing Letter of Credit that is neither Dollars nor one of the Foreign Currencies specifically listed in the definition of “Foreign Currency” shall be deemed an Agreed Currency with respect to such Existing Letter of Credit only.</w:t>
      </w:r>
    </w:p>
    <w:p>
      <w:pPr>
        <w:spacing w:after="0" w:line="17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8"/>
          <w:szCs w:val="18"/>
          <w:b w:val="1"/>
          <w:bCs w:val="1"/>
          <w:u w:val="single" w:color="auto"/>
          <w:color w:val="auto"/>
        </w:rPr>
        <w:t>Change of Currency</w:t>
      </w:r>
      <w:r>
        <w:rPr>
          <w:rFonts w:ascii="Arial" w:cs="Arial" w:eastAsia="Arial" w:hAnsi="Arial"/>
          <w:sz w:val="18"/>
          <w:szCs w:val="18"/>
          <w:color w:val="auto"/>
        </w:rPr>
        <w:t>.</w:t>
      </w:r>
    </w:p>
    <w:p>
      <w:pPr>
        <w:spacing w:after="0" w:line="222" w:lineRule="exact"/>
        <w:rPr>
          <w:sz w:val="20"/>
          <w:szCs w:val="20"/>
          <w:color w:val="auto"/>
        </w:rPr>
      </w:pPr>
    </w:p>
    <w:p>
      <w:pPr>
        <w:jc w:val="both"/>
        <w:ind w:left="660" w:firstLine="644"/>
        <w:spacing w:after="0" w:line="257" w:lineRule="auto"/>
        <w:tabs>
          <w:tab w:leader="none" w:pos="174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Each obligation of the Borrowers to make a payment denominated in the national currency unit of any member state of the EU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Extension of Credit in the currency of such member state is outstanding immediately prior to such date, such replacement shall take effect, with respect to such Extension of Credit, at the end of the then current Interest Period.</w:t>
      </w:r>
    </w:p>
    <w:p>
      <w:pPr>
        <w:spacing w:after="0" w:line="180" w:lineRule="exact"/>
        <w:rPr>
          <w:rFonts w:ascii="Arial" w:cs="Arial" w:eastAsia="Arial" w:hAnsi="Arial"/>
          <w:sz w:val="19"/>
          <w:szCs w:val="19"/>
          <w:color w:val="auto"/>
        </w:rPr>
      </w:pPr>
    </w:p>
    <w:p>
      <w:pPr>
        <w:ind w:left="660" w:firstLine="644"/>
        <w:spacing w:after="0" w:line="260" w:lineRule="auto"/>
        <w:tabs>
          <w:tab w:leader="none" w:pos="1812"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0"/>
          <w:szCs w:val="20"/>
          <w:color w:val="auto"/>
        </w:rPr>
        <w:t>the adoption of the euro by any member state of the EU and any relevant market conventions or practices relating to the euro.</w:t>
      </w:r>
    </w:p>
    <w:p>
      <w:pPr>
        <w:spacing w:after="0" w:line="216" w:lineRule="exact"/>
        <w:rPr>
          <w:sz w:val="20"/>
          <w:szCs w:val="20"/>
          <w:color w:val="auto"/>
        </w:rPr>
      </w:pPr>
    </w:p>
    <w:p>
      <w:pPr>
        <w:jc w:val="both"/>
        <w:ind w:left="660" w:firstLine="644"/>
        <w:spacing w:after="0" w:line="250" w:lineRule="auto"/>
        <w:tabs>
          <w:tab w:leader="none" w:pos="1731" w:val="left"/>
        </w:tabs>
        <w:numPr>
          <w:ilvl w:val="0"/>
          <w:numId w:val="73"/>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1.11 </w:t>
      </w:r>
      <w:r>
        <w:rPr>
          <w:rFonts w:ascii="Arial" w:cs="Arial" w:eastAsia="Arial" w:hAnsi="Arial"/>
          <w:sz w:val="20"/>
          <w:szCs w:val="20"/>
          <w:b w:val="1"/>
          <w:bCs w:val="1"/>
          <w:u w:val="single" w:color="auto"/>
          <w:color w:val="auto"/>
        </w:rPr>
        <w:t>Times of Day</w:t>
      </w:r>
      <w:r>
        <w:rPr>
          <w:rFonts w:ascii="Arial" w:cs="Arial" w:eastAsia="Arial" w:hAnsi="Arial"/>
          <w:sz w:val="20"/>
          <w:szCs w:val="20"/>
          <w:color w:val="auto"/>
        </w:rPr>
        <w:t>. Unless otherwise specified, all references herein to times of day shall be references to Eastern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SECTION 1.12 </w:t>
      </w:r>
      <w:r>
        <w:rPr>
          <w:rFonts w:ascii="Arial" w:cs="Arial" w:eastAsia="Arial" w:hAnsi="Arial"/>
          <w:sz w:val="19"/>
          <w:szCs w:val="19"/>
          <w:b w:val="1"/>
          <w:bCs w:val="1"/>
          <w:u w:val="single" w:color="auto"/>
          <w:color w:val="auto"/>
        </w:rPr>
        <w:t>Pro Forma Calculations</w:t>
      </w:r>
      <w:r>
        <w:rPr>
          <w:rFonts w:ascii="Arial" w:cs="Arial" w:eastAsia="Arial" w:hAnsi="Arial"/>
          <w:sz w:val="19"/>
          <w:szCs w:val="19"/>
          <w:color w:val="auto"/>
        </w:rPr>
        <w:t>. For the purpose of calculating the Net Leverage Ratio and the financial covenant set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each other section of this Agreement in which pro forma compliance with the financial covenant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is tested) for any period, if during such period the Company or any Restricted Subsidiary shall have made a material acquisition or material disposition (with materiality calculated in accordance with Article 11 of Regulation S-X under the Securities Act of 1933), each of the Net Leverage Ratio and the financial covenant set 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each other section of this Agreement in which pro forma compliance with the financial covenant set forth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is tested) shall be calculated giving pro forma effect (in accordance with Article 11 of Regulation S-X under the Securities Act of 1933) thereto as if such material acquisition or disposition occurred on the first day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only pro forma adjustments to EBITDA shall be the Pro Forma Adjustments.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FACILITIES</w:t>
      </w:r>
    </w:p>
    <w:p>
      <w:pPr>
        <w:spacing w:after="0" w:line="2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6"/>
          <w:szCs w:val="16"/>
          <w:b w:val="1"/>
          <w:bCs w:val="1"/>
          <w:u w:val="single" w:color="auto"/>
          <w:color w:val="auto"/>
        </w:rPr>
        <w:t>Loans.</w:t>
      </w:r>
    </w:p>
    <w:p>
      <w:pPr>
        <w:spacing w:after="0" w:line="200" w:lineRule="exact"/>
        <w:rPr>
          <w:sz w:val="20"/>
          <w:szCs w:val="20"/>
          <w:color w:val="auto"/>
        </w:rPr>
      </w:pPr>
    </w:p>
    <w:p>
      <w:pPr>
        <w:jc w:val="both"/>
        <w:ind w:left="660" w:firstLine="644"/>
        <w:spacing w:after="0" w:line="254" w:lineRule="auto"/>
        <w:tabs>
          <w:tab w:leader="none" w:pos="172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Dollar Tranche Revolving Credit Loans</w:t>
      </w:r>
      <w:r>
        <w:rPr>
          <w:rFonts w:ascii="Arial" w:cs="Arial" w:eastAsia="Arial" w:hAnsi="Arial"/>
          <w:sz w:val="19"/>
          <w:szCs w:val="19"/>
          <w:color w:val="auto"/>
        </w:rPr>
        <w:t xml:space="preserve">. Subject to the terms and conditions of this Agreement and in reliance upon the representations and warranties set forth herein, each Dollar Tranche Revolving Credit Lender severally agrees to make Dollar Tranche Revolving Credit Loans to the Borrowers in Dollars from time to time during the Availability Period as requested by the applicable Borrower in accordance with the terms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principal amount of all outstanding Dollar Tranche Revolving Credit Loans (after giving effect to any amount requested) shall not exceed the Dollar Tranche Revolving Credit Commitment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sum of all outstanding Swingline Loans and L/C Obligations, (b) the principal amount of outstanding Dollar Tranche Revolving Credit Loans from any Dollar Tranche Revolving Credit Lender to the Borrowers shall not at any time exceed such Dollar Tranche Revolving Credit Lender’s Dollar Tranche Revolving Credit Commitment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such Dollar Tranche Revolving Credit Lender’s Dollar Tranche Revolving Credit Commitment Percentage of outstanding L/C Obligations and outstanding Swingline Loans, (c) the aggregate principal amount of all outstanding Revolving Credit Loans (after giving effect to any amount requested) shall not exceed the Revolving Credit Commitment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sum of all outstanding Swingline Loans and L/C Obligations, and (d) the principal amount of outstanding Revolving Credit Loans from any Revolving Credit Lender to the Borrowers shall not at any time exceed such Revolving Credit Lender’s Revolving Credit Commitment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such Revolving Credit Lender’s Revolving Credit Commitment Percentage of outstanding L/C Obligations and outstanding Swingline Loans. Each Dollar Tranche Revolving Credit Loan by a Dollar Tranche Revolving Credit Lender shall be in a principal amount equal to such Dollar Tranche Revolving Credit Lender’s Dollar Tranche Revolving Credit Commitment Percentage of the aggregate principal amount of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0" w:name="page111"/>
    <w:bookmarkEnd w:id="110"/>
    <w:p>
      <w:pPr>
        <w:ind w:left="660" w:right="20" w:firstLine="6"/>
        <w:spacing w:after="0" w:line="260" w:lineRule="auto"/>
        <w:rPr>
          <w:sz w:val="20"/>
          <w:szCs w:val="20"/>
          <w:color w:val="auto"/>
        </w:rPr>
      </w:pPr>
      <w:r>
        <w:rPr>
          <w:rFonts w:ascii="Arial" w:cs="Arial" w:eastAsia="Arial" w:hAnsi="Arial"/>
          <w:sz w:val="20"/>
          <w:szCs w:val="20"/>
          <w:color w:val="auto"/>
        </w:rPr>
        <w:t>Tranche Revolving Credit Loans requested on such occasion. Subject to the terms and conditions hereof, the Borrowers may borrow, repay and reborrow Dollar Tranche Revolving Credit Loans hereunder until the Maturity Date.</w:t>
      </w:r>
    </w:p>
    <w:p>
      <w:pPr>
        <w:spacing w:after="0" w:line="177" w:lineRule="exact"/>
        <w:rPr>
          <w:sz w:val="20"/>
          <w:szCs w:val="20"/>
          <w:color w:val="auto"/>
        </w:rPr>
      </w:pPr>
    </w:p>
    <w:p>
      <w:pPr>
        <w:jc w:val="both"/>
        <w:ind w:left="660" w:firstLine="644"/>
        <w:spacing w:after="0" w:line="268" w:lineRule="auto"/>
        <w:tabs>
          <w:tab w:leader="none" w:pos="179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Designated Currency Tranche Revolving Credit Loans</w:t>
      </w:r>
      <w:r>
        <w:rPr>
          <w:rFonts w:ascii="Arial" w:cs="Arial" w:eastAsia="Arial" w:hAnsi="Arial"/>
          <w:sz w:val="18"/>
          <w:szCs w:val="18"/>
          <w:color w:val="auto"/>
        </w:rPr>
        <w:t xml:space="preserve">. Subject to the terms and conditions of this Agreement and in reliance upon the representations and warranties set forth herein, each Designated Currency Tranche Revolving Credit Lender severally agrees to make Designated Currency Tranche Revolving Credit Loans to the Borrowers in Agreed Currencies from time to time during the Availability Period as requested by the applicable Borrower in accordance with the terms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all outstanding Designated Currency Tranche Revolving Credit Loans (after giving effect to any amount requested) shall not exceed the Designated Currency Tranche Revolving Credit Commitment, (b) the principal amount of outstanding Designated Currency Tranche Revolving Credit Loans from any Designated Currency Tranche Revolving Credit Lender to the Borrowers shall not at any time exceed such Designated Currency Tranche Revolving Credit Lender’s Designated Currency Tranche Revolving Credit Commitment, (c) the aggregate principal amount of all outstanding Revolving Credit Loans (after giving effect to any amount requested) shall not exceed the Revolving Credit Commitment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all outstanding Swingline Loans and L/C Obligations, and (d) the principal amount of outstanding Revolving Credit Loans from any Revolving Credit Lender to the Borrowers shall not at any time exceed such Revolving Credit Lender’s Revolving Credit Commitment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such Revolving Credit Lender’s Revolving Credit Commitment Percentage of outstanding L/C Obligations and outstanding Swingline Loans. Each Designated Currency Tranche Revolving Credit Loan by a Designated Currency Tranche Revolving Credit Lender shall be in a principal amount equal to such Designated Currency Tranche Revolving Credit Lender’s Designated Currency Tranche Revolving Credit Commitment Percentage of the aggregate principal amount of Designated Currency Tranche Revolving Credit Loans requested on such occasion. Subject to the terms and conditions hereof, the Borrowers may borrow, repay and reborrow Designated Currency Tranche Revolving Credit Loans hereunder until the Maturity Date. The Administrative Agent will determine the Dollar Amount of each borrowing of Designated Currency Tranche Revolving Credit Loans as of the date two (2) Business Days prior to the date of such borrowing or, if applicable, the date of continuation or conversion of any such borrowing, and all Designated Currency Tranche Revolving Credit Loans on and as of the last Business Day of each calendar quarter and, during the continuation of an Event of Default, on any other Business Day elected by the Administrative Agent in its discretion or upon the instruction of the Required Lenders or a majority (based on Commitments, and if Commitments have been terminated, by outstandings) of the Designated Currency Tranche Revolving Credit Lenders (excluding Defaulting Lenders). Each day upon or as of which the Administrative Agent determines Dollar Amounts as described in this paragraph is herein described as a “</w:t>
      </w:r>
      <w:r>
        <w:rPr>
          <w:rFonts w:ascii="Arial" w:cs="Arial" w:eastAsia="Arial" w:hAnsi="Arial"/>
          <w:sz w:val="18"/>
          <w:szCs w:val="18"/>
          <w:u w:val="single" w:color="auto"/>
          <w:color w:val="auto"/>
        </w:rPr>
        <w:t>Computation Date</w:t>
      </w:r>
      <w:r>
        <w:rPr>
          <w:rFonts w:ascii="Arial" w:cs="Arial" w:eastAsia="Arial" w:hAnsi="Arial"/>
          <w:sz w:val="18"/>
          <w:szCs w:val="18"/>
          <w:color w:val="auto"/>
        </w:rPr>
        <w:t>” with respect to each Designated Currency Tranche Revolving Credit Loan (including payments of interest and fees thereon and in connection therewith) for which a Dollar Amount is determined on or as of such day.</w:t>
      </w:r>
    </w:p>
    <w:p>
      <w:pPr>
        <w:spacing w:after="0" w:line="171" w:lineRule="exact"/>
        <w:rPr>
          <w:rFonts w:ascii="Arial" w:cs="Arial" w:eastAsia="Arial" w:hAnsi="Arial"/>
          <w:sz w:val="18"/>
          <w:szCs w:val="18"/>
          <w:color w:val="auto"/>
        </w:rPr>
      </w:pPr>
    </w:p>
    <w:p>
      <w:pPr>
        <w:jc w:val="both"/>
        <w:ind w:left="660" w:firstLine="644"/>
        <w:spacing w:after="0" w:line="274" w:lineRule="auto"/>
        <w:tabs>
          <w:tab w:leader="none" w:pos="177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Subject to the terms and conditions of this Agreement (including, without limitation,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in reliance upon the representations and warranties set forth herein, each Term Loan Lender severally agrees to make a Term Loan to the Company in Dollars on the Closing Date as requested by the Company in accordance with the terms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aggregate principal amount of the outstanding Term Loan shall not exceed the Term Loan Commitment and (b) the principal amount of the outstanding Term Loan from any Term Loan Lender to the Company shall not at any time exceed such Term Loan Lender’s Term Loan Commitment. The Term Loan made by a Term Loan Lender shall be in a principal amount equal to such Term Loan Lender’s Term Loan Commitment Percentage of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1" w:name="page112"/>
    <w:bookmarkEnd w:id="111"/>
    <w:p>
      <w:pPr>
        <w:ind w:left="660" w:right="20" w:firstLine="6"/>
        <w:spacing w:after="0" w:line="260" w:lineRule="auto"/>
        <w:rPr>
          <w:sz w:val="20"/>
          <w:szCs w:val="20"/>
          <w:color w:val="auto"/>
        </w:rPr>
      </w:pPr>
      <w:r>
        <w:rPr>
          <w:rFonts w:ascii="Arial" w:cs="Arial" w:eastAsia="Arial" w:hAnsi="Arial"/>
          <w:sz w:val="20"/>
          <w:szCs w:val="20"/>
          <w:color w:val="auto"/>
        </w:rPr>
        <w:t>principal amount of the Term Loan. The Term Loan may not be repaid and subsequently reborrowed. The aggregate Term Loan Commitment shall be permanently reduced by the principal amount of any Term Loan extended hereunder.</w:t>
      </w:r>
    </w:p>
    <w:p>
      <w:pPr>
        <w:spacing w:after="0" w:line="17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2.2</w:t>
      </w:r>
      <w:r>
        <w:rPr>
          <w:sz w:val="20"/>
          <w:szCs w:val="20"/>
          <w:color w:val="auto"/>
        </w:rPr>
        <w:tab/>
      </w:r>
      <w:r>
        <w:rPr>
          <w:rFonts w:ascii="Arial" w:cs="Arial" w:eastAsia="Arial" w:hAnsi="Arial"/>
          <w:sz w:val="16"/>
          <w:szCs w:val="16"/>
          <w:b w:val="1"/>
          <w:bCs w:val="1"/>
          <w:color w:val="auto"/>
        </w:rPr>
        <w:t>Borrowings, Conversions and Continuations of Loans</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67" w:lineRule="auto"/>
        <w:tabs>
          <w:tab w:leader="none" w:pos="184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Each Extension of Credit, each conversion of Loans from one Type to the other, and each continuation of Eurocurrency Rate Loans shall be made upon the applicable Borrower’s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Loan Notice. Each such Loan Notice must be received by the Administrative Agent not later than 11:00 a.m. (i) three (3) Business Days prior to the requested date of any Extension of Credit of, conversion to or continuation of Eurocurrency Rate Loans denominated in Dollars or of any conversion of Eurocurrency Rate Loans denominated in Dollars to Base Rate Loans, (ii) four (4) Business Days (or five (5) Business Days in the case of a Special Notice Currency) prior to the requested date of any Extension of Credit or continuation of Eurocurrency Rate Loans denominated in Foreign Currencies, and (iii) on the requested date of any Extension of Credit of Base Rate Loans. Each Extension of Credit of, conversion to or continuation of Eurocurrency Rate Loans shall be in a principal amount of the Dollar Amount of $2,500,000 or a whole multiple of the Dollar Amount of $100,000 in excess thereof (or, in connection with any conversion or continuation of a Term Loan, if less, the entire principal thereof then outstanding). Except as provided in </w:t>
      </w:r>
      <w:r>
        <w:rPr>
          <w:rFonts w:ascii="Arial" w:cs="Arial" w:eastAsia="Arial" w:hAnsi="Arial"/>
          <w:sz w:val="18"/>
          <w:szCs w:val="18"/>
          <w:u w:val="single" w:color="auto"/>
          <w:color w:val="auto"/>
        </w:rPr>
        <w:t>Sections 2.3(c)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2.4(c)</w:t>
      </w:r>
      <w:r>
        <w:rPr>
          <w:rFonts w:ascii="Arial" w:cs="Arial" w:eastAsia="Arial" w:hAnsi="Arial"/>
          <w:sz w:val="18"/>
          <w:szCs w:val="18"/>
          <w:color w:val="auto"/>
        </w:rPr>
        <w:t xml:space="preserve">, each Extension of Credit of or conversion to Base Rate Loans shall be in a principal amount of $1,000,000 or a whole multiple of $100,000 in excess thereof (or, in connection with any conversion or continuation of a Term Loan, if less, the entire principal thereof then outstanding). Each Loan Notice and each telephonic notice shall specify (A) the applicable Facility and whether the applicable Borrower is requesting an Extension of Credit, a conversion of Loans from one Type to the other, or a continuation of Loans, as the case may be, under such Facility, (B) the requested date of the Extension of Credit, conversion or continuation, as the case may be (which shall be a Business Day), (C) the principal amount of Loans to be borrowed, converted or continued, (D) the Type of Loans to be borrowed or to which existing Loans are to be converted, (E) if applicable, the duration of the Interest Period with respect thereto, (F) the currency of the Loans to be borrowed, and (G) if applicable, the Subsidiary Borrower. If the applicable Borrower fails to specify a currency in a Loan Notice requesting an Extension of Credit, then the Loans so requested shall be made in Dollars. If the applicable Borrower fails to specify a Type of Loan in a Loan Notice or if the applicable Borrower fails to give a timely notice requesting a conversion or continuation, then the applicable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 failure to timely request a continuation of Loans denominated in a Foreign Currency, such Loans shall be continued as Eurocurrency Rate Loans in their original currency with an Interest Period of one (1) month. Any such automatic conversion to Base Rate Loans shall be effective as of the last day of the Interest Period then in effect with respect to the applicable Eurocurrency Rate Loans. If the applicable Borrower requests an Extension of Credit of, conversion to, or continuation of Eurocurrency Rate Loans in any such Loan Notice, but fails to specify an Interest Period, it will be deemed to have specified an Interest Period of one (1) month. Notwithstanding anything to the contrary herein, a Swingline Loan may not be converted to a Eurocurrency Rate Loan. Except as provided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no Loan may be converted into or continued as a Loan denominated in a different currency, but instead must be repaid in the original currency of such Loan and reborrowed in the other currency.</w:t>
      </w:r>
    </w:p>
    <w:p>
      <w:pPr>
        <w:spacing w:after="0" w:line="192" w:lineRule="exact"/>
        <w:rPr>
          <w:rFonts w:ascii="Arial" w:cs="Arial" w:eastAsia="Arial" w:hAnsi="Arial"/>
          <w:sz w:val="18"/>
          <w:szCs w:val="18"/>
          <w:color w:val="auto"/>
        </w:rPr>
      </w:pPr>
    </w:p>
    <w:p>
      <w:pPr>
        <w:jc w:val="both"/>
        <w:ind w:left="660" w:firstLine="644"/>
        <w:spacing w:after="0" w:line="250" w:lineRule="auto"/>
        <w:tabs>
          <w:tab w:leader="none" w:pos="184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Advances</w:t>
      </w:r>
      <w:r>
        <w:rPr>
          <w:rFonts w:ascii="Arial" w:cs="Arial" w:eastAsia="Arial" w:hAnsi="Arial"/>
          <w:sz w:val="20"/>
          <w:szCs w:val="20"/>
          <w:color w:val="auto"/>
        </w:rPr>
        <w:t>. Following receipt of a Loan Notice for a Facility, the Administrative Agent shall promptly notify each Appropriate Lender of the amount and currency of its Commitment Percentage under such Facility of the applicable Loans, and if no timely notice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2" w:name="page113"/>
    <w:bookmarkEnd w:id="112"/>
    <w:p>
      <w:pPr>
        <w:jc w:val="both"/>
        <w:ind w:left="660" w:firstLine="6"/>
        <w:spacing w:after="0" w:line="269" w:lineRule="auto"/>
        <w:rPr>
          <w:sz w:val="20"/>
          <w:szCs w:val="20"/>
          <w:color w:val="auto"/>
        </w:rPr>
      </w:pPr>
      <w:r>
        <w:rPr>
          <w:rFonts w:ascii="Arial" w:cs="Arial" w:eastAsia="Arial" w:hAnsi="Arial"/>
          <w:sz w:val="18"/>
          <w:szCs w:val="18"/>
          <w:color w:val="auto"/>
        </w:rPr>
        <w:t xml:space="preserve">conversion or continuation is provided by the applicable Borrower, the Administrative Agent shall notify each Appropriate Lender of the details of any automatic conversion to Base Rate Loans or continuation of Loans denominated in a currency other than Dollars, in each case as described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In the case of an Extension of Credit,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 Foreign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if such Extension of Credit is the initial Extension of Credit,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Administrative Agent shall make all funds so received available to the applicable Borrower in like funds as received by the Administrative Agent either by (i) crediting the account of the applicable Borrower on the books of Bank of America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a Loan Notice with respect to a borrowing of Revolving Credit Loans denominated in Dollars is given by a Borrower, there are L/C Borrowings outstanding, then the proceeds of such borrowing of Revolving Credit Loans,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181" w:lineRule="exact"/>
        <w:rPr>
          <w:sz w:val="20"/>
          <w:szCs w:val="20"/>
          <w:color w:val="auto"/>
        </w:rPr>
      </w:pPr>
    </w:p>
    <w:p>
      <w:pPr>
        <w:jc w:val="both"/>
        <w:ind w:left="660" w:firstLine="644"/>
        <w:spacing w:after="0" w:line="291" w:lineRule="auto"/>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Eurocurrency Rate Loans</w:t>
      </w:r>
      <w:r>
        <w:rPr>
          <w:rFonts w:ascii="Arial" w:cs="Arial" w:eastAsia="Arial" w:hAnsi="Arial"/>
          <w:sz w:val="18"/>
          <w:szCs w:val="18"/>
          <w:color w:val="auto"/>
        </w:rPr>
        <w:t>. Except as otherwise provided herein, a Eurocurrency Rate Loan may be continued or converted only on the last day of an Interest Period for such Eurocurrency Rate Loan. During the existence of an Event of Default, at the written request of the Required Lenders, no Loans may be requested as, converted to or continued as Eurocurrency Rate Loans.</w:t>
      </w:r>
    </w:p>
    <w:p>
      <w:pPr>
        <w:spacing w:after="0" w:line="151" w:lineRule="exact"/>
        <w:rPr>
          <w:rFonts w:ascii="Arial" w:cs="Arial" w:eastAsia="Arial" w:hAnsi="Arial"/>
          <w:sz w:val="18"/>
          <w:szCs w:val="18"/>
          <w:color w:val="auto"/>
        </w:rPr>
      </w:pPr>
    </w:p>
    <w:p>
      <w:pPr>
        <w:ind w:left="660" w:right="20" w:firstLine="644"/>
        <w:spacing w:after="0" w:line="287" w:lineRule="auto"/>
        <w:tabs>
          <w:tab w:leader="none" w:pos="181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Interest Rates</w:t>
      </w:r>
      <w:r>
        <w:rPr>
          <w:rFonts w:ascii="Arial" w:cs="Arial" w:eastAsia="Arial" w:hAnsi="Arial"/>
          <w:sz w:val="19"/>
          <w:szCs w:val="19"/>
          <w:color w:val="auto"/>
        </w:rPr>
        <w:t>. Each determination of an interest rate by the Administrative Agent pursuant to any provision of this Agreement shall be conclusive and binding on the Borrowers and the Lenders in the absence of manifest error.</w:t>
      </w:r>
    </w:p>
    <w:p>
      <w:pPr>
        <w:spacing w:after="0" w:line="152" w:lineRule="exact"/>
        <w:rPr>
          <w:rFonts w:ascii="Arial" w:cs="Arial" w:eastAsia="Arial" w:hAnsi="Arial"/>
          <w:sz w:val="19"/>
          <w:szCs w:val="19"/>
          <w:color w:val="auto"/>
        </w:rPr>
      </w:pPr>
    </w:p>
    <w:p>
      <w:pPr>
        <w:ind w:left="660" w:firstLine="644"/>
        <w:spacing w:after="0" w:line="260" w:lineRule="auto"/>
        <w:tabs>
          <w:tab w:leader="none" w:pos="180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Interest Periods</w:t>
      </w:r>
      <w:r>
        <w:rPr>
          <w:rFonts w:ascii="Arial" w:cs="Arial" w:eastAsia="Arial" w:hAnsi="Arial"/>
          <w:sz w:val="20"/>
          <w:szCs w:val="20"/>
          <w:color w:val="auto"/>
        </w:rPr>
        <w:t>. After giving effect to all borrowings, all conversions of Loans from one Type to the other, and all continuations of Loans as the same Type, there shall not be more than 12 Interest Periods in effect.</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87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Cashless Settlement Mechanism</w:t>
      </w:r>
      <w:r>
        <w:rPr>
          <w:rFonts w:ascii="Arial" w:cs="Arial" w:eastAsia="Arial" w:hAnsi="Arial"/>
          <w:sz w:val="20"/>
          <w:szCs w:val="20"/>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8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2.3</w:t>
      </w:r>
      <w:r>
        <w:rPr>
          <w:sz w:val="20"/>
          <w:szCs w:val="20"/>
          <w:color w:val="auto"/>
        </w:rPr>
        <w:tab/>
      </w:r>
      <w:r>
        <w:rPr>
          <w:rFonts w:ascii="Arial" w:cs="Arial" w:eastAsia="Arial" w:hAnsi="Arial"/>
          <w:sz w:val="18"/>
          <w:szCs w:val="18"/>
          <w:b w:val="1"/>
          <w:bCs w:val="1"/>
          <w:u w:val="single" w:color="auto"/>
          <w:color w:val="auto"/>
        </w:rPr>
        <w:t>Letters of Credit.</w:t>
      </w:r>
    </w:p>
    <w:p>
      <w:pPr>
        <w:spacing w:after="0" w:line="222" w:lineRule="exact"/>
        <w:rPr>
          <w:sz w:val="20"/>
          <w:szCs w:val="20"/>
          <w:color w:val="auto"/>
        </w:rPr>
      </w:pPr>
    </w:p>
    <w:p>
      <w:pPr>
        <w:ind w:left="1720" w:hanging="416"/>
        <w:spacing w:after="0"/>
        <w:tabs>
          <w:tab w:leader="none" w:pos="172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3" w:lineRule="auto"/>
        <w:tabs>
          <w:tab w:leader="none" w:pos="2453" w:val="left"/>
        </w:tabs>
        <w:numPr>
          <w:ilvl w:val="1"/>
          <w:numId w:val="78"/>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(A) each Issuing Lender agrees, in reliance upon the agreements of the Dollar Tranche Revolving Credit Lenders set forth in this Section, (1) from time to time on any Business Day during the period from the Closing Date until the Letter of Credit Expiration Date, to issue Letters of Credit for the account of the Company or any of its Restricted Subsidiaries organized under the laws of the United States or any state thereof or any country in which a Borrower is organized or, in each Issuing Lender’s sole and absolute discretion, any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3" w:name="page114"/>
    <w:bookmarkEnd w:id="113"/>
    <w:p>
      <w:pPr>
        <w:jc w:val="both"/>
        <w:ind w:left="1300" w:firstLine="6"/>
        <w:spacing w:after="0" w:line="269" w:lineRule="auto"/>
        <w:rPr>
          <w:sz w:val="20"/>
          <w:szCs w:val="20"/>
          <w:color w:val="auto"/>
        </w:rPr>
      </w:pPr>
      <w:r>
        <w:rPr>
          <w:rFonts w:ascii="Arial" w:cs="Arial" w:eastAsia="Arial" w:hAnsi="Arial"/>
          <w:sz w:val="18"/>
          <w:szCs w:val="18"/>
          <w:color w:val="auto"/>
        </w:rPr>
        <w:t xml:space="preserve">other Foreign Subsidiaries that are Restricted Subsidiaries, and to amend or extend Letters of Credit previously issued by it, in accordance with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and (2) to honor drawings under the Letters of Credit; and (B) the Dollar Tranche Revolving Credit Lenders severally agree to participate in Letters of Credit issued under such Tranche for the account of the Company or its Restricted Subsidiaries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Issuing Lender shall be obligated to issue a Letter of Credit if, after giving effect to any Letter of Credit, (w) the L/C Obligations would exceed the L/C Commitment,</w:t>
      </w:r>
    </w:p>
    <w:p>
      <w:pPr>
        <w:spacing w:after="0" w:line="4" w:lineRule="exact"/>
        <w:rPr>
          <w:sz w:val="20"/>
          <w:szCs w:val="20"/>
          <w:color w:val="auto"/>
        </w:rPr>
      </w:pPr>
    </w:p>
    <w:p>
      <w:pPr>
        <w:jc w:val="both"/>
        <w:ind w:left="1300" w:firstLine="4"/>
        <w:spacing w:after="0" w:line="269" w:lineRule="auto"/>
        <w:tabs>
          <w:tab w:leader="none" w:pos="16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outstanding Revolving Credit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principal amount of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of L/C Obligations would exceed the Revolving Credit Commitment and (y) the aggregate principal amount of outstanding Dollar Tranche Revolving Credit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principal amount of outstanding Swingline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of L/C Obligations would exceed the Dollar Tranche Revolving Credit Commitment. Each request by a Borrower for the issuance or amendment of a Letter of Credit shall be deemed to be a representation by such Borrower that the Letter of Credit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deemed L/C Obligations, and from and after the Closing Date shall be subject to and governed by the terms and conditions hereof.</w:t>
      </w:r>
    </w:p>
    <w:p>
      <w:pPr>
        <w:spacing w:after="0" w:line="172" w:lineRule="exact"/>
        <w:rPr>
          <w:rFonts w:ascii="Arial" w:cs="Arial" w:eastAsia="Arial" w:hAnsi="Arial"/>
          <w:sz w:val="18"/>
          <w:szCs w:val="18"/>
          <w:color w:val="auto"/>
        </w:rPr>
      </w:pPr>
    </w:p>
    <w:p>
      <w:pPr>
        <w:ind w:left="2400" w:hanging="448"/>
        <w:spacing w:after="0"/>
        <w:tabs>
          <w:tab w:leader="none" w:pos="2400" w:val="left"/>
        </w:tabs>
        <w:numPr>
          <w:ilvl w:val="1"/>
          <w:numId w:val="79"/>
        </w:numPr>
        <w:rPr>
          <w:rFonts w:ascii="Arial" w:cs="Arial" w:eastAsia="Arial" w:hAnsi="Arial"/>
          <w:sz w:val="20"/>
          <w:szCs w:val="20"/>
          <w:color w:val="auto"/>
        </w:rPr>
      </w:pPr>
      <w:r>
        <w:rPr>
          <w:rFonts w:ascii="Arial" w:cs="Arial" w:eastAsia="Arial" w:hAnsi="Arial"/>
          <w:sz w:val="20"/>
          <w:szCs w:val="20"/>
          <w:color w:val="auto"/>
        </w:rPr>
        <w:t>No Issuing Lender shall issue any Letter of Credit if:</w:t>
      </w:r>
    </w:p>
    <w:p>
      <w:pPr>
        <w:spacing w:after="0" w:line="215" w:lineRule="exact"/>
        <w:rPr>
          <w:rFonts w:ascii="Arial" w:cs="Arial" w:eastAsia="Arial" w:hAnsi="Arial"/>
          <w:sz w:val="20"/>
          <w:szCs w:val="20"/>
          <w:color w:val="auto"/>
        </w:rPr>
      </w:pPr>
    </w:p>
    <w:p>
      <w:pPr>
        <w:jc w:val="both"/>
        <w:ind w:left="1960" w:right="20" w:firstLine="640"/>
        <w:spacing w:after="0" w:line="250" w:lineRule="auto"/>
        <w:tabs>
          <w:tab w:leader="none" w:pos="3117" w:val="left"/>
        </w:tabs>
        <w:numPr>
          <w:ilvl w:val="2"/>
          <w:numId w:val="7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2.3(b)(iv)</w:t>
      </w:r>
      <w:r>
        <w:rPr>
          <w:rFonts w:ascii="Arial" w:cs="Arial" w:eastAsia="Arial" w:hAnsi="Arial"/>
          <w:sz w:val="20"/>
          <w:szCs w:val="20"/>
          <w:color w:val="auto"/>
        </w:rPr>
        <w:t>, the expiry date of the requested Letter of Credit would occur more than twelve (12) months after the date of issuance or last extension, unless the Required Revolving Credit Lenders have approved such expiry date; or</w:t>
      </w:r>
    </w:p>
    <w:p>
      <w:pPr>
        <w:spacing w:after="0" w:line="185" w:lineRule="exact"/>
        <w:rPr>
          <w:rFonts w:ascii="Arial" w:cs="Arial" w:eastAsia="Arial" w:hAnsi="Arial"/>
          <w:sz w:val="20"/>
          <w:szCs w:val="20"/>
          <w:color w:val="auto"/>
        </w:rPr>
      </w:pPr>
    </w:p>
    <w:p>
      <w:pPr>
        <w:ind w:left="1960" w:firstLine="640"/>
        <w:spacing w:after="0" w:line="260" w:lineRule="auto"/>
        <w:tabs>
          <w:tab w:leader="none" w:pos="3075"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expiry date of the requested Letter of Credit would occur after the Letter of Credit Expiration Date, unless all the Revolving Credit Lenders have approved such expiry date.</w:t>
      </w:r>
    </w:p>
    <w:p>
      <w:pPr>
        <w:spacing w:after="0" w:line="176" w:lineRule="exact"/>
        <w:rPr>
          <w:rFonts w:ascii="Arial" w:cs="Arial" w:eastAsia="Arial" w:hAnsi="Arial"/>
          <w:sz w:val="20"/>
          <w:szCs w:val="20"/>
          <w:color w:val="auto"/>
        </w:rPr>
      </w:pPr>
    </w:p>
    <w:p>
      <w:pPr>
        <w:ind w:left="2440" w:hanging="488"/>
        <w:spacing w:after="0"/>
        <w:tabs>
          <w:tab w:leader="none" w:pos="2440" w:val="left"/>
        </w:tabs>
        <w:numPr>
          <w:ilvl w:val="1"/>
          <w:numId w:val="79"/>
        </w:numPr>
        <w:rPr>
          <w:rFonts w:ascii="Arial" w:cs="Arial" w:eastAsia="Arial" w:hAnsi="Arial"/>
          <w:sz w:val="20"/>
          <w:szCs w:val="20"/>
          <w:color w:val="auto"/>
        </w:rPr>
      </w:pPr>
      <w:r>
        <w:rPr>
          <w:rFonts w:ascii="Arial" w:cs="Arial" w:eastAsia="Arial" w:hAnsi="Arial"/>
          <w:sz w:val="20"/>
          <w:szCs w:val="20"/>
          <w:color w:val="auto"/>
        </w:rPr>
        <w:t>No Issuing Lender shall be under any obligation to issue any Letter of Credit if:</w:t>
      </w:r>
    </w:p>
    <w:p>
      <w:pPr>
        <w:spacing w:after="0" w:line="215" w:lineRule="exact"/>
        <w:rPr>
          <w:rFonts w:ascii="Arial" w:cs="Arial" w:eastAsia="Arial" w:hAnsi="Arial"/>
          <w:sz w:val="20"/>
          <w:szCs w:val="20"/>
          <w:color w:val="auto"/>
        </w:rPr>
      </w:pPr>
    </w:p>
    <w:p>
      <w:pPr>
        <w:jc w:val="both"/>
        <w:ind w:left="1960" w:firstLine="640"/>
        <w:spacing w:after="0" w:line="256" w:lineRule="auto"/>
        <w:tabs>
          <w:tab w:leader="none" w:pos="3083" w:val="left"/>
        </w:tabs>
        <w:numPr>
          <w:ilvl w:val="2"/>
          <w:numId w:val="79"/>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Issuing Lender from issuing the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4" w:name="page115"/>
    <w:bookmarkEnd w:id="114"/>
    <w:p>
      <w:pPr>
        <w:ind w:left="1960" w:firstLine="640"/>
        <w:spacing w:after="0" w:line="260" w:lineRule="auto"/>
        <w:tabs>
          <w:tab w:leader="none" w:pos="3224" w:val="left"/>
        </w:tabs>
        <w:numPr>
          <w:ilvl w:val="2"/>
          <w:numId w:val="80"/>
        </w:numPr>
        <w:rPr>
          <w:rFonts w:ascii="Arial" w:cs="Arial" w:eastAsia="Arial" w:hAnsi="Arial"/>
          <w:sz w:val="20"/>
          <w:szCs w:val="20"/>
          <w:color w:val="auto"/>
        </w:rPr>
      </w:pPr>
      <w:r>
        <w:rPr>
          <w:rFonts w:ascii="Arial" w:cs="Arial" w:eastAsia="Arial" w:hAnsi="Arial"/>
          <w:sz w:val="20"/>
          <w:szCs w:val="20"/>
          <w:color w:val="auto"/>
        </w:rPr>
        <w:t>the issuance of the Letter of Credit would violate one or more policies of such Issuing Lender applicable to letters of credit generally;</w:t>
      </w:r>
    </w:p>
    <w:p>
      <w:pPr>
        <w:spacing w:after="0" w:line="176" w:lineRule="exact"/>
        <w:rPr>
          <w:rFonts w:ascii="Arial" w:cs="Arial" w:eastAsia="Arial" w:hAnsi="Arial"/>
          <w:sz w:val="20"/>
          <w:szCs w:val="20"/>
          <w:color w:val="auto"/>
        </w:rPr>
      </w:pPr>
    </w:p>
    <w:p>
      <w:pPr>
        <w:ind w:left="1960" w:firstLine="640"/>
        <w:spacing w:after="0" w:line="260" w:lineRule="auto"/>
        <w:tabs>
          <w:tab w:leader="none" w:pos="3101" w:val="left"/>
        </w:tabs>
        <w:numPr>
          <w:ilvl w:val="2"/>
          <w:numId w:val="8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Issuing Lender, the Letter of Credit is in an initial stated amount less than $25,000;</w:t>
      </w:r>
    </w:p>
    <w:p>
      <w:pPr>
        <w:spacing w:after="0" w:line="176" w:lineRule="exact"/>
        <w:rPr>
          <w:rFonts w:ascii="Arial" w:cs="Arial" w:eastAsia="Arial" w:hAnsi="Arial"/>
          <w:sz w:val="20"/>
          <w:szCs w:val="20"/>
          <w:color w:val="auto"/>
        </w:rPr>
      </w:pPr>
    </w:p>
    <w:p>
      <w:pPr>
        <w:ind w:left="1960" w:right="20" w:firstLine="640"/>
        <w:spacing w:after="0" w:line="260" w:lineRule="auto"/>
        <w:tabs>
          <w:tab w:leader="none" w:pos="3114" w:val="left"/>
        </w:tabs>
        <w:numPr>
          <w:ilvl w:val="2"/>
          <w:numId w:val="8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applicable Issuing Lender, the Letter of Credit is to be denominated in a currency other than Dollars or a Foreign Currency;</w:t>
      </w:r>
    </w:p>
    <w:p>
      <w:pPr>
        <w:spacing w:after="0" w:line="176" w:lineRule="exact"/>
        <w:rPr>
          <w:rFonts w:ascii="Arial" w:cs="Arial" w:eastAsia="Arial" w:hAnsi="Arial"/>
          <w:sz w:val="20"/>
          <w:szCs w:val="20"/>
          <w:color w:val="auto"/>
        </w:rPr>
      </w:pPr>
    </w:p>
    <w:p>
      <w:pPr>
        <w:jc w:val="both"/>
        <w:ind w:left="1960" w:firstLine="640"/>
        <w:spacing w:after="0" w:line="276" w:lineRule="auto"/>
        <w:tabs>
          <w:tab w:leader="none" w:pos="3087"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the applicable Issuing Lender has entered into arrangements, including the delivery of Cash Collateral, reasonably satisfactory to such Issuing Lender with the Company or such Revolving Credit Lender to eliminate the Issuing Lender’s actual or potential Fronting Exposure (after giving effect to </w:t>
      </w:r>
      <w:r>
        <w:rPr>
          <w:rFonts w:ascii="Arial" w:cs="Arial" w:eastAsia="Arial" w:hAnsi="Arial"/>
          <w:sz w:val="18"/>
          <w:szCs w:val="18"/>
          <w:u w:val="single" w:color="auto"/>
          <w:color w:val="auto"/>
        </w:rPr>
        <w:t>Section 4.14(a)(iv)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or</w:t>
      </w:r>
    </w:p>
    <w:p>
      <w:pPr>
        <w:spacing w:after="0" w:line="164" w:lineRule="exact"/>
        <w:rPr>
          <w:rFonts w:ascii="Arial" w:cs="Arial" w:eastAsia="Arial" w:hAnsi="Arial"/>
          <w:sz w:val="18"/>
          <w:szCs w:val="18"/>
          <w:color w:val="auto"/>
        </w:rPr>
      </w:pPr>
    </w:p>
    <w:p>
      <w:pPr>
        <w:ind w:left="1960" w:right="20" w:firstLine="640"/>
        <w:spacing w:after="0" w:line="260" w:lineRule="auto"/>
        <w:tabs>
          <w:tab w:leader="none" w:pos="3102" w:val="left"/>
        </w:tabs>
        <w:numPr>
          <w:ilvl w:val="2"/>
          <w:numId w:val="80"/>
        </w:numPr>
        <w:rPr>
          <w:rFonts w:ascii="Arial" w:cs="Arial" w:eastAsia="Arial" w:hAnsi="Arial"/>
          <w:sz w:val="20"/>
          <w:szCs w:val="20"/>
          <w:color w:val="auto"/>
        </w:rPr>
      </w:pPr>
      <w:r>
        <w:rPr>
          <w:rFonts w:ascii="Arial" w:cs="Arial" w:eastAsia="Arial" w:hAnsi="Arial"/>
          <w:sz w:val="20"/>
          <w:szCs w:val="20"/>
          <w:color w:val="auto"/>
        </w:rPr>
        <w:t>the applicable Issuing Lender does not as of the issuance date of the requested Letter of Credit issue Letters of Credit in the requested currency.</w:t>
      </w:r>
    </w:p>
    <w:p>
      <w:pPr>
        <w:spacing w:after="0" w:line="176" w:lineRule="exact"/>
        <w:rPr>
          <w:rFonts w:ascii="Arial" w:cs="Arial" w:eastAsia="Arial" w:hAnsi="Arial"/>
          <w:sz w:val="20"/>
          <w:szCs w:val="20"/>
          <w:color w:val="auto"/>
        </w:rPr>
      </w:pPr>
    </w:p>
    <w:p>
      <w:pPr>
        <w:ind w:left="1300" w:firstLine="652"/>
        <w:spacing w:after="0" w:line="260" w:lineRule="auto"/>
        <w:tabs>
          <w:tab w:leader="none" w:pos="2432" w:val="left"/>
        </w:tabs>
        <w:numPr>
          <w:ilvl w:val="1"/>
          <w:numId w:val="81"/>
        </w:numPr>
        <w:rPr>
          <w:rFonts w:ascii="Arial" w:cs="Arial" w:eastAsia="Arial" w:hAnsi="Arial"/>
          <w:sz w:val="20"/>
          <w:szCs w:val="20"/>
          <w:color w:val="auto"/>
        </w:rPr>
      </w:pPr>
      <w:r>
        <w:rPr>
          <w:rFonts w:ascii="Arial" w:cs="Arial" w:eastAsia="Arial" w:hAnsi="Arial"/>
          <w:sz w:val="20"/>
          <w:szCs w:val="20"/>
          <w:color w:val="auto"/>
        </w:rPr>
        <w:t>No Issuing Lender shall amend any Letter of Credit if such Issuing Lender would not be permitted at such time to issue the Letter of Credit in its amended form under the terms hereof.</w:t>
      </w:r>
    </w:p>
    <w:p>
      <w:pPr>
        <w:spacing w:after="0" w:line="176" w:lineRule="exact"/>
        <w:rPr>
          <w:rFonts w:ascii="Arial" w:cs="Arial" w:eastAsia="Arial" w:hAnsi="Arial"/>
          <w:sz w:val="20"/>
          <w:szCs w:val="20"/>
          <w:color w:val="auto"/>
        </w:rPr>
      </w:pPr>
    </w:p>
    <w:p>
      <w:pPr>
        <w:jc w:val="both"/>
        <w:ind w:left="1300" w:firstLine="652"/>
        <w:spacing w:after="0" w:line="269" w:lineRule="auto"/>
        <w:tabs>
          <w:tab w:leader="none" w:pos="2467"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 Issuing Lender shall be under any obligation to amend any Letter of Credit if (A) such Issuing Lender would have no obligation at such time to issue such Letter of Credit in its amended form under the terms hereof, or (B) the beneficiary of such Letter of Credit does not accept the proposed amendment to the Letter of Credit.</w:t>
      </w:r>
    </w:p>
    <w:p>
      <w:pPr>
        <w:spacing w:after="0" w:line="169" w:lineRule="exact"/>
        <w:rPr>
          <w:rFonts w:ascii="Arial" w:cs="Arial" w:eastAsia="Arial" w:hAnsi="Arial"/>
          <w:sz w:val="19"/>
          <w:szCs w:val="19"/>
          <w:color w:val="auto"/>
        </w:rPr>
      </w:pPr>
    </w:p>
    <w:p>
      <w:pPr>
        <w:jc w:val="both"/>
        <w:ind w:left="1300" w:firstLine="652"/>
        <w:spacing w:after="0" w:line="243" w:lineRule="auto"/>
        <w:tabs>
          <w:tab w:leader="none" w:pos="2483"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Each Issuing Lender shall act on behalf of the Dollar Tranche Revolving Credit Lenders with respect to any Letters of Credit issued by it and the documents associated therewith, and each Issuing Lender shall have all of the benefits and immunities (A) provided to the Administrative Agent in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with respect to any acts taken or omissions suffered by such Issuing Lender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included such Issuing Lender with respect to such acts or omissions, and (B) as additionally provided herein with respect to such Issuing Lender.</w:t>
      </w:r>
    </w:p>
    <w:p>
      <w:pPr>
        <w:spacing w:after="0" w:line="192" w:lineRule="exact"/>
        <w:rPr>
          <w:rFonts w:ascii="Arial" w:cs="Arial" w:eastAsia="Arial" w:hAnsi="Arial"/>
          <w:sz w:val="20"/>
          <w:szCs w:val="20"/>
          <w:color w:val="auto"/>
        </w:rPr>
      </w:pPr>
    </w:p>
    <w:p>
      <w:pPr>
        <w:ind w:left="1740" w:hanging="436"/>
        <w:spacing w:after="0"/>
        <w:tabs>
          <w:tab w:leader="none" w:pos="174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4" w:lineRule="auto"/>
        <w:tabs>
          <w:tab w:leader="none" w:pos="2452" w:val="left"/>
        </w:tabs>
        <w:numPr>
          <w:ilvl w:val="1"/>
          <w:numId w:val="82"/>
        </w:numPr>
        <w:rPr>
          <w:rFonts w:ascii="Arial" w:cs="Arial" w:eastAsia="Arial" w:hAnsi="Arial"/>
          <w:sz w:val="20"/>
          <w:szCs w:val="20"/>
          <w:color w:val="auto"/>
        </w:rPr>
      </w:pPr>
      <w:r>
        <w:rPr>
          <w:rFonts w:ascii="Arial" w:cs="Arial" w:eastAsia="Arial" w:hAnsi="Arial"/>
          <w:sz w:val="20"/>
          <w:szCs w:val="20"/>
          <w:color w:val="auto"/>
        </w:rPr>
        <w:t>Each Letter of Credit shall be issued or amended, as the case may be, upon the request of the applicable Borrower delivered to the applicable Issuing Lender (with a copy to the Administrative Agent) in the form of a Letter of Credit Application, appropriately completed and signed by a Responsible Officer of such Borrower and/or such Restricted Subsidiary, as required by such Issuing Lender. Such Letter of Credit Application may be sent by fax transmission, by United States mail, by overnight courier,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5" w:name="page116"/>
    <w:bookmarkEnd w:id="115"/>
    <w:p>
      <w:pPr>
        <w:jc w:val="both"/>
        <w:ind w:left="1300" w:firstLine="6"/>
        <w:spacing w:after="0" w:line="269" w:lineRule="auto"/>
        <w:rPr>
          <w:sz w:val="20"/>
          <w:szCs w:val="20"/>
          <w:color w:val="auto"/>
        </w:rPr>
      </w:pPr>
      <w:r>
        <w:rPr>
          <w:rFonts w:ascii="Arial" w:cs="Arial" w:eastAsia="Arial" w:hAnsi="Arial"/>
          <w:sz w:val="18"/>
          <w:szCs w:val="18"/>
          <w:color w:val="auto"/>
        </w:rPr>
        <w:t>by electronic transmission using the system provided by the applicable Issuing Lender, by personal delivery or by any other means acceptable to such Issuing Lender. Such Letter of Credit Application must be received by the applicable Issuing Lender and the Administrative Agent not later than 11:00 a.m. at least three (3) Business Days (or such earlier date and time as the Administrative Agent and such Issuing Lender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Lender: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Issuing Lender may reasonably require. In the case of a request for an amendment of any outstanding Letter of Credit, such Letter of Credit Application shall specify in form and detail reasonably satisfactory to the applicable Issuing Lender (1) the Letter of Credit to be amended; (2) the proposed date of amendment thereof (which shall be a Business Day); (3) the nature of the proposed amendment; and (4) such other matters as such Issuing Lender may reasonably require. Additionally, the applicable Borrower shall furnish to the applicable Issuing Lender and the Administrative Agent such other documents and information pertaining to such requested Letter of Credit issuance or amendment, including any Issuer Documents, as such Issuing Lender or the Administrative Agent may reasonably require.</w:t>
      </w:r>
    </w:p>
    <w:p>
      <w:pPr>
        <w:spacing w:after="0" w:line="171" w:lineRule="exact"/>
        <w:rPr>
          <w:sz w:val="20"/>
          <w:szCs w:val="20"/>
          <w:color w:val="auto"/>
        </w:rPr>
      </w:pPr>
    </w:p>
    <w:p>
      <w:pPr>
        <w:jc w:val="both"/>
        <w:ind w:left="1300" w:firstLine="652"/>
        <w:spacing w:after="0" w:line="255" w:lineRule="auto"/>
        <w:tabs>
          <w:tab w:leader="none" w:pos="2415"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applicable Issuing Lender will confirm with the Administrative Agent (by telephone or in writing) that the Administrative Agent has received a copy of such Letter of Credit Application from the applicable Borrower and, if not, such Issuing Lender will provide the Administrative Agent with a copy thereof. Unless the applicable Issuing Lender has received written notice from any Revolving Credit Lender, the Administrative Agent or any Credit Party, at least one (1)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then be satisfied, then, subject to the terms and conditions hereof, such Issuing Lender shall, on the requested date, issue a Letter of Credit for the account of the applicable Borrower (or the applicable Restricted Subsidiary) or enter into the applicable amendment, as the case may be, in each case in accordance with such Issuing Lender’s usual and customary business practices. Immediately upon the issuance of each Letter of Credit, each Revolving Credit Lender shall be deemed to, and hereby irrevocably and unconditionally agrees to, purchase from the applicable Issuing Lender a risk participation in such Letter of Credit in an amount equal to the product of such Revolving Credit Lender’s Applicable Percentage times the amount of such Letter of Credit.</w:t>
      </w:r>
    </w:p>
    <w:p>
      <w:pPr>
        <w:spacing w:after="0" w:line="181" w:lineRule="exact"/>
        <w:rPr>
          <w:rFonts w:ascii="Arial" w:cs="Arial" w:eastAsia="Arial" w:hAnsi="Arial"/>
          <w:sz w:val="19"/>
          <w:szCs w:val="19"/>
          <w:color w:val="auto"/>
        </w:rPr>
      </w:pPr>
    </w:p>
    <w:p>
      <w:pPr>
        <w:jc w:val="both"/>
        <w:ind w:left="1300" w:firstLine="652"/>
        <w:spacing w:after="0" w:line="269" w:lineRule="auto"/>
        <w:tabs>
          <w:tab w:leader="none" w:pos="2465" w:val="left"/>
        </w:tabs>
        <w:numPr>
          <w:ilvl w:val="0"/>
          <w:numId w:val="83"/>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applicable Issuing Lender will also deliver to the applicable Borrower and the Administrative Agent a true and complete copy of such Letter of Credit or amendment.</w:t>
      </w:r>
    </w:p>
    <w:p>
      <w:pPr>
        <w:spacing w:after="0" w:line="169" w:lineRule="exact"/>
        <w:rPr>
          <w:rFonts w:ascii="Arial" w:cs="Arial" w:eastAsia="Arial" w:hAnsi="Arial"/>
          <w:sz w:val="19"/>
          <w:szCs w:val="19"/>
          <w:color w:val="auto"/>
        </w:rPr>
      </w:pPr>
    </w:p>
    <w:p>
      <w:pPr>
        <w:ind w:left="1300" w:firstLine="652"/>
        <w:spacing w:after="0" w:line="260" w:lineRule="auto"/>
        <w:tabs>
          <w:tab w:leader="none" w:pos="2494"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the applicable Borrower so requests in any applicable Letter of Credit Application, the applicable Issuing Lender may, in its sole discretion, agree to issue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6" w:name="page117"/>
    <w:bookmarkEnd w:id="116"/>
    <w:p>
      <w:pPr>
        <w:jc w:val="both"/>
        <w:ind w:left="1300" w:firstLine="6"/>
        <w:spacing w:after="0" w:line="269" w:lineRule="auto"/>
        <w:rPr>
          <w:sz w:val="20"/>
          <w:szCs w:val="20"/>
          <w:color w:val="auto"/>
        </w:rPr>
      </w:pPr>
      <w:r>
        <w:rPr>
          <w:rFonts w:ascii="Arial" w:cs="Arial" w:eastAsia="Arial" w:hAnsi="Arial"/>
          <w:sz w:val="18"/>
          <w:szCs w:val="18"/>
          <w:color w:val="auto"/>
        </w:rPr>
        <w:t>standby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applicable Issuing Lender to prevent any such extension at least once in each twelve (12) 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 month period to be agreed upon at the time such Letter of Credit is issued. Unless otherwise directed by the applicable Issuing Lender, the applicable Borrower shall not be required to make a specific request to such Issuing Lender for any such extension. Once an Auto-Extension Letter of Credit has been issued, the Dollar Tranche Revolving Credit Lenders shall be deemed to have authorized (but may not require) the applicable Issuing Lender to permit the L/C Credit Extension at any time to an expiry date not later than the Letter of Credit Expiration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Issuing Lender shall not permit any such extension if (A) such Issuing Lender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(1) from the Administrative Agent that the Required Revolving Credit Lenders have elected not to permit such extension or (2) from the Administrative Agent, any Revolving Credit Lender or any Borrower that one or more of the applicable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is not then satisfied, and in each such case directing such Issuing Lender not to permit such extension.</w:t>
      </w:r>
    </w:p>
    <w:p>
      <w:pPr>
        <w:spacing w:after="0" w:line="176" w:lineRule="exact"/>
        <w:rPr>
          <w:sz w:val="20"/>
          <w:szCs w:val="20"/>
          <w:color w:val="auto"/>
        </w:rPr>
      </w:pPr>
    </w:p>
    <w:p>
      <w:pPr>
        <w:jc w:val="both"/>
        <w:ind w:left="1300" w:firstLine="652"/>
        <w:spacing w:after="0" w:line="269" w:lineRule="auto"/>
        <w:tabs>
          <w:tab w:leader="none" w:pos="24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applicable Borrower so requests in any applicable Letter of Credit Application, the applicable Issuing Lender may, in its sole discretion, agree to issue a Letter of Credit that permits the automatic reinstatement of all or a portion of the stated amount thereof after any drawing thereunder (each, an “</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Unless otherwise directed by the applicable Issuing Lender, the applicable Borrower shall not be required to make a specific request to such Issuing Lender to permit such reinstatement. Once an Auto-Reinstatement Letter of Credit has been issued, except as provided in the following sentence, the Dollar Tranche Revolving Credit Lenders shall be deemed to have authorized (but may not require) such Issuing Lender to reinstate all or a portion of the stated amount thereof in accordance with the provisions of such Letter of Credit. Notwithstanding the foregoing, if such Auto-Reinstatement Letter of Credit permits the applicable Issuing Lender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8"/>
          <w:szCs w:val="18"/>
          <w:u w:val="single" w:color="auto"/>
          <w:color w:val="auto"/>
        </w:rPr>
        <w:t>Non-Reinstatement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Deadline</w:t>
      </w:r>
      <w:r>
        <w:rPr>
          <w:rFonts w:ascii="Arial" w:cs="Arial" w:eastAsia="Arial" w:hAnsi="Arial"/>
          <w:sz w:val="18"/>
          <w:szCs w:val="18"/>
          <w:color w:val="auto"/>
        </w:rPr>
        <w:t xml:space="preserve">”), such Issuing Lender shall not permit such reinstatement if it has received a notice (which may be by telephone or in writing) on or before the day that is seven (7) Business Days before the Non-Reinstatement Deadline (A) from the Administrative Agent that the Required Revolving Credit Lenders have elected not to permit such reinstatement or (B) from the Administrative Agent, any Revolving Credit Lender or any Borrower that one or more of the applicable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is not then satisfied (treating such reinstatement as a Letter of Credit for purposes of this clause) and, in each case, directing the applicable Issuing Lender not to permit such reinstatement.</w:t>
      </w:r>
    </w:p>
    <w:p>
      <w:pPr>
        <w:spacing w:after="0" w:line="176" w:lineRule="exact"/>
        <w:rPr>
          <w:rFonts w:ascii="Arial" w:cs="Arial" w:eastAsia="Arial" w:hAnsi="Arial"/>
          <w:sz w:val="18"/>
          <w:szCs w:val="18"/>
          <w:color w:val="auto"/>
        </w:rPr>
      </w:pPr>
    </w:p>
    <w:p>
      <w:pPr>
        <w:jc w:val="both"/>
        <w:ind w:left="1300" w:firstLine="652"/>
        <w:spacing w:after="0" w:line="269" w:lineRule="auto"/>
        <w:tabs>
          <w:tab w:leader="none" w:pos="2456"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applicable Issuing Lender will also deliver to the applicable Borrower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7" w:name="page118"/>
    <w:bookmarkEnd w:id="117"/>
    <w:p>
      <w:pPr>
        <w:ind w:left="1720" w:hanging="416"/>
        <w:spacing w:after="0"/>
        <w:tabs>
          <w:tab w:leader="none" w:pos="172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67" w:lineRule="auto"/>
        <w:tabs>
          <w:tab w:leader="none" w:pos="2333" w:val="left"/>
        </w:tabs>
        <w:numPr>
          <w:ilvl w:val="1"/>
          <w:numId w:val="85"/>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Issuing Lender shall notify the applicable Borrower and the Administrative Agent thereof. In the case of a Letter of Credit denominated in a Foreign Currency, the applicable Borrower shall reimburse the applicable Issuing Lender in such Foreign Currency, unless (A) such Issuing Lender (at its option) shall have specified in such notice that it will require reimbursement in Dollars, or (B) in the absence of any such requirement for reimbursement in Dollars, such Borrower shall have notified the applicable Issuing Lender promptly following receipt of the notice of drawing that such Borrower will reimburse the applicable Issuing Lender in Dollars. In the case of any such reimbursement in Dollars of a drawing under a Letter of Credit denominated in a Foreign Currency, the applicable Issuing Lender shall notify the applicable Borrower of the Dollar Amount of the drawing promptly following the determination thereof. Not later than 11:00 a.m. on the first Business Day after the date of any payment by the applicable Issuing Lender under a Letter of Credit to be reimbursed in Dollars, or the Applicable Time on the date of any payment by an Issuing Lender under a Letter of Credit to be reimbursed in a Foreign Currency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applicable Borrower shall reimburse the applicable Issuing Lender through the Administrative Agent in an amount equal to the amount of such drawing and in the applicable currency. In the event that</w:t>
      </w:r>
    </w:p>
    <w:p>
      <w:pPr>
        <w:spacing w:after="0" w:line="5" w:lineRule="exact"/>
        <w:rPr>
          <w:rFonts w:ascii="Arial" w:cs="Arial" w:eastAsia="Arial" w:hAnsi="Arial"/>
          <w:sz w:val="18"/>
          <w:szCs w:val="18"/>
          <w:color w:val="auto"/>
        </w:rPr>
      </w:pPr>
    </w:p>
    <w:p>
      <w:pPr>
        <w:jc w:val="both"/>
        <w:ind w:left="1300"/>
        <w:spacing w:after="0" w:line="304" w:lineRule="auto"/>
        <w:rPr>
          <w:rFonts w:ascii="Arial" w:cs="Arial" w:eastAsia="Arial" w:hAnsi="Arial"/>
          <w:sz w:val="18"/>
          <w:szCs w:val="18"/>
          <w:color w:val="auto"/>
        </w:rPr>
      </w:pPr>
      <w:r>
        <w:rPr>
          <w:rFonts w:ascii="Arial" w:cs="Arial" w:eastAsia="Arial" w:hAnsi="Arial"/>
          <w:sz w:val="16"/>
          <w:szCs w:val="16"/>
          <w:color w:val="auto"/>
        </w:rPr>
        <w:t xml:space="preserve">(A) a drawing denominated in a Foreign Currency is to be reimbursed in Dollars pursuant to the second sentence in this </w:t>
      </w:r>
      <w:r>
        <w:rPr>
          <w:rFonts w:ascii="Arial" w:cs="Arial" w:eastAsia="Arial" w:hAnsi="Arial"/>
          <w:sz w:val="16"/>
          <w:szCs w:val="16"/>
          <w:u w:val="single" w:color="auto"/>
          <w:color w:val="auto"/>
        </w:rPr>
        <w:t>Section 2.3(c)(i)</w:t>
      </w:r>
      <w:r>
        <w:rPr>
          <w:rFonts w:ascii="Arial" w:cs="Arial" w:eastAsia="Arial" w:hAnsi="Arial"/>
          <w:sz w:val="16"/>
          <w:szCs w:val="16"/>
          <w:color w:val="auto"/>
        </w:rPr>
        <w:t xml:space="preserve"> and (B) the Dollar amount paid by the applicable Borrower, whether on or after the Honor Date, shall not be adequate on the date of that payment to purchase in accordance with normal banking procedures a sum denominated in the Foreign Currency equal to the drawing, the Company agrees, as a separate and independent obligation, to indemnify the applicable Issuing Lender for the loss resulting from its inability on that date to purchase the Foreign Currency in the full amount of the drawing. If the applicable Borrower fails to so reimburse the applicable Issuing Lender by such time, the Administrative Agent shall promptly notify each Dollar Tranche Revolving Credit Lender of the Honor Date, the amount of the unreimbursed drawing (expressed in the Dollar Amount thereof in the case of a Letter of Credit denominated in a Foreign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Dollar Tranche Revolving Credit Lender’s Applicable Percentage thereof. In such event, the applicable Borrower shall be deemed to have requested a borrowing of Dollar Tranche Revolving Credit Loans that are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the principal amount of Base Rate Loans, but subject to the amount of the unutilized portion of the Dollar Tranche Revolving Credit Commitments and the conditions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(other than the delivery of a Loan Notice). Any notice given by the applicable Issuing Lender or the Administrative Agent pursuant to this </w:t>
      </w:r>
      <w:r>
        <w:rPr>
          <w:rFonts w:ascii="Arial" w:cs="Arial" w:eastAsia="Arial" w:hAnsi="Arial"/>
          <w:sz w:val="16"/>
          <w:szCs w:val="16"/>
          <w:u w:val="single" w:color="auto"/>
          <w:color w:val="auto"/>
        </w:rPr>
        <w:t>Section 2.3(c)(i)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376" w:lineRule="exact"/>
        <w:rPr>
          <w:rFonts w:ascii="Arial" w:cs="Arial" w:eastAsia="Arial" w:hAnsi="Arial"/>
          <w:sz w:val="18"/>
          <w:szCs w:val="18"/>
          <w:color w:val="auto"/>
        </w:rPr>
      </w:pPr>
    </w:p>
    <w:p>
      <w:pPr>
        <w:jc w:val="both"/>
        <w:ind w:left="1300" w:firstLine="652"/>
        <w:spacing w:after="0" w:line="243" w:lineRule="auto"/>
        <w:tabs>
          <w:tab w:leader="none" w:pos="2428" w:val="left"/>
        </w:tabs>
        <w:numPr>
          <w:ilvl w:val="1"/>
          <w:numId w:val="85"/>
        </w:numPr>
        <w:rPr>
          <w:rFonts w:ascii="Arial" w:cs="Arial" w:eastAsia="Arial" w:hAnsi="Arial"/>
          <w:sz w:val="20"/>
          <w:szCs w:val="20"/>
          <w:color w:val="auto"/>
        </w:rPr>
      </w:pPr>
      <w:r>
        <w:rPr>
          <w:rFonts w:ascii="Arial" w:cs="Arial" w:eastAsia="Arial" w:hAnsi="Arial"/>
          <w:sz w:val="20"/>
          <w:szCs w:val="20"/>
          <w:color w:val="auto"/>
        </w:rPr>
        <w:t xml:space="preserve">Each Dollar Tranche Revolving Credit Lender shall upon any notice pursuant to </w:t>
      </w:r>
      <w:r>
        <w:rPr>
          <w:rFonts w:ascii="Arial" w:cs="Arial" w:eastAsia="Arial" w:hAnsi="Arial"/>
          <w:sz w:val="20"/>
          <w:szCs w:val="20"/>
          <w:u w:val="single" w:color="auto"/>
          <w:color w:val="auto"/>
        </w:rPr>
        <w:t>Section 2.3(c)(i)</w:t>
      </w:r>
      <w:r>
        <w:rPr>
          <w:rFonts w:ascii="Arial" w:cs="Arial" w:eastAsia="Arial" w:hAnsi="Arial"/>
          <w:sz w:val="20"/>
          <w:szCs w:val="20"/>
          <w:color w:val="auto"/>
        </w:rPr>
        <w:t xml:space="preserve"> make funds available (and the Administrative Agent may apply Cash Collateral provided for this purpose) for the account of the applicable Issuing Lender,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20"/>
          <w:szCs w:val="20"/>
          <w:u w:val="single" w:color="auto"/>
          <w:color w:val="auto"/>
        </w:rPr>
        <w:t>Section 2.3(c)(iii)</w:t>
      </w:r>
      <w:r>
        <w:rPr>
          <w:rFonts w:ascii="Arial" w:cs="Arial" w:eastAsia="Arial" w:hAnsi="Arial"/>
          <w:sz w:val="20"/>
          <w:szCs w:val="20"/>
          <w:color w:val="auto"/>
        </w:rPr>
        <w:t>, each Dollar Tranche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8" w:name="page119"/>
    <w:bookmarkEnd w:id="118"/>
    <w:p>
      <w:pPr>
        <w:ind w:left="1300" w:firstLine="6"/>
        <w:spacing w:after="0" w:line="316" w:lineRule="auto"/>
        <w:rPr>
          <w:sz w:val="20"/>
          <w:szCs w:val="20"/>
          <w:color w:val="auto"/>
        </w:rPr>
      </w:pPr>
      <w:r>
        <w:rPr>
          <w:rFonts w:ascii="Arial" w:cs="Arial" w:eastAsia="Arial" w:hAnsi="Arial"/>
          <w:sz w:val="18"/>
          <w:szCs w:val="18"/>
          <w:color w:val="auto"/>
        </w:rPr>
        <w:t>Credit Lender that so makes funds available shall be deemed to have made a Base Rate Loan to the applicable Borrower in such amount. The Administrative Agent shall remit the funds so received to the applicable Issuing Lender in Dollars.</w:t>
      </w:r>
    </w:p>
    <w:p>
      <w:pPr>
        <w:spacing w:after="0" w:line="130" w:lineRule="exact"/>
        <w:rPr>
          <w:sz w:val="20"/>
          <w:szCs w:val="20"/>
          <w:color w:val="auto"/>
        </w:rPr>
      </w:pPr>
    </w:p>
    <w:p>
      <w:pPr>
        <w:jc w:val="both"/>
        <w:ind w:left="1300" w:firstLine="652"/>
        <w:spacing w:after="0" w:line="273" w:lineRule="auto"/>
        <w:tabs>
          <w:tab w:leader="none" w:pos="25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borrowing of Dollar Tranche Revolving Credit Loans that are Base Rate Loans because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cannot be satisfied or for any other reason, the applicable Borrower shall be deemed to have incurred from the applicable Issuing Lender an L/C Borrowing in the amount of the Unreimbursed Amount that is not so refinanced, which L/C Borrowing shall be due and payable on demand (together with interest) and shall bear interest until paid or refinanced at the Default Rate. In such event, each Dollar Tranche Revolving Credit Lender’s payment to the Administrative Agent for the account of the applicable Issuing Lender pursuant to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Section.</w:t>
      </w:r>
    </w:p>
    <w:p>
      <w:pPr>
        <w:spacing w:after="0" w:line="168" w:lineRule="exact"/>
        <w:rPr>
          <w:rFonts w:ascii="Arial" w:cs="Arial" w:eastAsia="Arial" w:hAnsi="Arial"/>
          <w:sz w:val="18"/>
          <w:szCs w:val="18"/>
          <w:color w:val="auto"/>
        </w:rPr>
      </w:pPr>
    </w:p>
    <w:p>
      <w:pPr>
        <w:jc w:val="both"/>
        <w:ind w:left="1300" w:firstLine="652"/>
        <w:spacing w:after="0" w:line="246" w:lineRule="auto"/>
        <w:tabs>
          <w:tab w:leader="none" w:pos="2491"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Until each Dollar Tranche Revolving Credit Lender funds its Dollar Tranche Revolving Credit Loan or L/C Advance pursuant to this </w:t>
      </w:r>
      <w:r>
        <w:rPr>
          <w:rFonts w:ascii="Arial" w:cs="Arial" w:eastAsia="Arial" w:hAnsi="Arial"/>
          <w:sz w:val="20"/>
          <w:szCs w:val="20"/>
          <w:u w:val="single" w:color="auto"/>
          <w:color w:val="auto"/>
        </w:rPr>
        <w:t>Section 2.3(c)</w:t>
      </w:r>
      <w:r>
        <w:rPr>
          <w:rFonts w:ascii="Arial" w:cs="Arial" w:eastAsia="Arial" w:hAnsi="Arial"/>
          <w:sz w:val="20"/>
          <w:szCs w:val="20"/>
          <w:color w:val="auto"/>
        </w:rPr>
        <w:t xml:space="preserve"> to reimburse the applicable Issuing Lender for any amount drawn under any Letter of Credit, interest in respect of such Lender’s Applicable Percentage of such amount shall be solely for the account of such Issuing Lender.</w:t>
      </w:r>
    </w:p>
    <w:p>
      <w:pPr>
        <w:spacing w:after="0" w:line="191" w:lineRule="exact"/>
        <w:rPr>
          <w:rFonts w:ascii="Arial" w:cs="Arial" w:eastAsia="Arial" w:hAnsi="Arial"/>
          <w:sz w:val="20"/>
          <w:szCs w:val="20"/>
          <w:color w:val="auto"/>
        </w:rPr>
      </w:pPr>
    </w:p>
    <w:p>
      <w:pPr>
        <w:jc w:val="both"/>
        <w:ind w:left="1300" w:firstLine="652"/>
        <w:spacing w:after="0" w:line="271" w:lineRule="auto"/>
        <w:tabs>
          <w:tab w:leader="none" w:pos="2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Each Dollar Tranche Revolving Credit Lender’s obligation to make Dollar Tranche Revolving Credit Loans or L/C Advances to reimburse the applicable Issuing Lender for amounts drawn under Letters of Credit, as contemplated by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applicable Issuing Lender, the applicable Borrower, any Restricted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each Dollar Tranche Revolving Credit Lender’s obligation to make Dollar Tranche Revolving Credit Loans pursuant to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(other than delivery by the applicable Borrower of a Loan Notice). No such making of an L/C Advance shall relieve or otherwise impair the obligation of the applicable Borrower to reimburse the applicable Issuing Lender for the amount of any payment made by such Issuing Lender under any Letter of Credit, together with interest as provided herein.</w:t>
      </w:r>
    </w:p>
    <w:p>
      <w:pPr>
        <w:spacing w:after="0" w:line="169" w:lineRule="exact"/>
        <w:rPr>
          <w:rFonts w:ascii="Arial" w:cs="Arial" w:eastAsia="Arial" w:hAnsi="Arial"/>
          <w:sz w:val="18"/>
          <w:szCs w:val="18"/>
          <w:color w:val="auto"/>
        </w:rPr>
      </w:pPr>
    </w:p>
    <w:p>
      <w:pPr>
        <w:jc w:val="both"/>
        <w:ind w:left="1300" w:firstLine="652"/>
        <w:spacing w:after="0" w:line="255" w:lineRule="auto"/>
        <w:tabs>
          <w:tab w:leader="none" w:pos="2510"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If any Dollar Tranche Revolving Credit Lender fails to make available to the Administrative Agent for the account of the applicable Issuing Lender any amount required to be paid by such Lender pursuant to the foregoing provisions of this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2.3(c)(ii)</w:t>
      </w:r>
      <w:r>
        <w:rPr>
          <w:rFonts w:ascii="Arial" w:cs="Arial" w:eastAsia="Arial" w:hAnsi="Arial"/>
          <w:sz w:val="19"/>
          <w:szCs w:val="19"/>
          <w:color w:val="auto"/>
        </w:rPr>
        <w:t xml:space="preserve">, then, without limiting the other provisions of this Agreement, the applicable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per annum equal to the applicable Overnight Rate from time to time in effect,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such Issuing Lender in connection with the foregoing. If such Lender pays such amount (with interest and fees as aforesaid), the amount so paid shall constitute such Lender’s Dollar Tranche Revolving Credit Loan included in the relevant borrowing of Dollar Tranche Revolving Credit Loans or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19" w:name="page120"/>
    <w:bookmarkEnd w:id="119"/>
    <w:p>
      <w:pPr>
        <w:jc w:val="both"/>
        <w:ind w:left="1300" w:firstLine="6"/>
        <w:spacing w:after="0" w:line="250" w:lineRule="auto"/>
        <w:rPr>
          <w:sz w:val="20"/>
          <w:szCs w:val="20"/>
          <w:color w:val="auto"/>
        </w:rPr>
      </w:pPr>
      <w:r>
        <w:rPr>
          <w:rFonts w:ascii="Arial" w:cs="Arial" w:eastAsia="Arial" w:hAnsi="Arial"/>
          <w:sz w:val="20"/>
          <w:szCs w:val="20"/>
          <w:color w:val="auto"/>
        </w:rPr>
        <w:t xml:space="preserve">Advance in respect of the relevant L/C Borrowing, as the case may be. A certificate of the applicable Issuing Lender submitted to any Dollar Tranche Revolving Credit Lender (through the Administrative Agent) with respect to any amounts owing under this </w:t>
      </w:r>
      <w:r>
        <w:rPr>
          <w:rFonts w:ascii="Arial" w:cs="Arial" w:eastAsia="Arial" w:hAnsi="Arial"/>
          <w:sz w:val="20"/>
          <w:szCs w:val="20"/>
          <w:u w:val="single" w:color="auto"/>
          <w:color w:val="auto"/>
        </w:rPr>
        <w:t>Section 2.3(c)(vi)</w:t>
      </w:r>
      <w:r>
        <w:rPr>
          <w:rFonts w:ascii="Arial" w:cs="Arial" w:eastAsia="Arial" w:hAnsi="Arial"/>
          <w:sz w:val="20"/>
          <w:szCs w:val="20"/>
          <w:color w:val="auto"/>
        </w:rPr>
        <w:t xml:space="preserve"> shall be conclusive absent manifest error.</w:t>
      </w:r>
    </w:p>
    <w:p>
      <w:pPr>
        <w:spacing w:after="0" w:line="186" w:lineRule="exact"/>
        <w:rPr>
          <w:sz w:val="20"/>
          <w:szCs w:val="20"/>
          <w:color w:val="auto"/>
        </w:rPr>
      </w:pPr>
    </w:p>
    <w:p>
      <w:pPr>
        <w:ind w:left="1740" w:hanging="436"/>
        <w:spacing w:after="0"/>
        <w:tabs>
          <w:tab w:leader="none" w:pos="17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316" w:lineRule="auto"/>
        <w:tabs>
          <w:tab w:leader="none" w:pos="2329"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At any time after the applicable Issuing Lender has made a payment under any Letter of Credit and has received from any Dollar Tranche Revolving Credit Lender such Lender’s L/C Advance in respect of such payment in accordance with </w:t>
      </w:r>
      <w:r>
        <w:rPr>
          <w:rFonts w:ascii="Arial" w:cs="Arial" w:eastAsia="Arial" w:hAnsi="Arial"/>
          <w:sz w:val="16"/>
          <w:szCs w:val="16"/>
          <w:u w:val="single" w:color="auto"/>
          <w:color w:val="auto"/>
        </w:rPr>
        <w:t>Section 2.3(c)</w:t>
      </w:r>
      <w:r>
        <w:rPr>
          <w:rFonts w:ascii="Arial" w:cs="Arial" w:eastAsia="Arial" w:hAnsi="Arial"/>
          <w:sz w:val="16"/>
          <w:szCs w:val="16"/>
          <w:color w:val="auto"/>
        </w:rPr>
        <w:t>, if the Administrative Agent receives for the account of such Issuing Lender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39" w:lineRule="exact"/>
        <w:rPr>
          <w:rFonts w:ascii="Arial" w:cs="Arial" w:eastAsia="Arial" w:hAnsi="Arial"/>
          <w:sz w:val="16"/>
          <w:szCs w:val="16"/>
          <w:color w:val="auto"/>
        </w:rPr>
      </w:pPr>
    </w:p>
    <w:p>
      <w:pPr>
        <w:jc w:val="both"/>
        <w:ind w:left="1300" w:firstLine="652"/>
        <w:spacing w:after="0" w:line="274" w:lineRule="auto"/>
        <w:tabs>
          <w:tab w:leader="none" w:pos="23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applicable Issuing Lender pursuant to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(including pursuant to any settlement entered into by such Issuing Lender in its discretion), each Dollar Tranche Revolving Credit Lender shall pay to the Administrative Agent for the account of such Issuing Lender its Applicable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68" w:lineRule="exact"/>
        <w:rPr>
          <w:rFonts w:ascii="Arial" w:cs="Arial" w:eastAsia="Arial" w:hAnsi="Arial"/>
          <w:sz w:val="18"/>
          <w:szCs w:val="18"/>
          <w:color w:val="auto"/>
        </w:rPr>
      </w:pPr>
    </w:p>
    <w:p>
      <w:pPr>
        <w:jc w:val="both"/>
        <w:ind w:left="660" w:firstLine="644"/>
        <w:spacing w:after="0" w:line="269" w:lineRule="auto"/>
        <w:tabs>
          <w:tab w:leader="none" w:pos="1793"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each Borrower to reimburse the applicable Issuing Lender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69" w:lineRule="exact"/>
        <w:rPr>
          <w:rFonts w:ascii="Arial" w:cs="Arial" w:eastAsia="Arial" w:hAnsi="Arial"/>
          <w:sz w:val="19"/>
          <w:szCs w:val="19"/>
          <w:color w:val="auto"/>
        </w:rPr>
      </w:pPr>
    </w:p>
    <w:p>
      <w:pPr>
        <w:ind w:left="2340" w:hanging="388"/>
        <w:spacing w:after="0"/>
        <w:tabs>
          <w:tab w:leader="none" w:pos="234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27" w:lineRule="exact"/>
        <w:rPr>
          <w:rFonts w:ascii="Arial" w:cs="Arial" w:eastAsia="Arial" w:hAnsi="Arial"/>
          <w:sz w:val="19"/>
          <w:szCs w:val="19"/>
          <w:color w:val="auto"/>
        </w:rPr>
      </w:pPr>
    </w:p>
    <w:p>
      <w:pPr>
        <w:jc w:val="both"/>
        <w:ind w:left="1300" w:firstLine="652"/>
        <w:spacing w:after="0" w:line="244" w:lineRule="auto"/>
        <w:tabs>
          <w:tab w:leader="none" w:pos="2471"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any Borrower or any Restricted Subsidiary may have at any time against any beneficiary or any transferee of such Letter of Credit (or any Person for whom any such beneficiary or any such transferee may be acting), any Issuing Lender or any other Person, whether in connection with this Agreement or by such Letter of Credit, the transactions contemplated hereby or any agreement or instrument relating thereto, or any unrelated transaction;</w:t>
      </w:r>
    </w:p>
    <w:p>
      <w:pPr>
        <w:spacing w:after="0" w:line="194" w:lineRule="exact"/>
        <w:rPr>
          <w:rFonts w:ascii="Arial" w:cs="Arial" w:eastAsia="Arial" w:hAnsi="Arial"/>
          <w:sz w:val="20"/>
          <w:szCs w:val="20"/>
          <w:color w:val="auto"/>
        </w:rPr>
      </w:pPr>
    </w:p>
    <w:p>
      <w:pPr>
        <w:jc w:val="both"/>
        <w:ind w:left="1300" w:firstLine="652"/>
        <w:spacing w:after="0" w:line="246" w:lineRule="auto"/>
        <w:tabs>
          <w:tab w:leader="none" w:pos="253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0" w:name="page121"/>
    <w:bookmarkEnd w:id="120"/>
    <w:p>
      <w:pPr>
        <w:jc w:val="both"/>
        <w:ind w:left="1300" w:firstLine="652"/>
        <w:spacing w:after="0" w:line="250" w:lineRule="auto"/>
        <w:tabs>
          <w:tab w:leader="none" w:pos="2450" w:val="left"/>
        </w:tabs>
        <w:numPr>
          <w:ilvl w:val="0"/>
          <w:numId w:val="88"/>
        </w:numPr>
        <w:rPr>
          <w:rFonts w:ascii="Arial" w:cs="Arial" w:eastAsia="Arial" w:hAnsi="Arial"/>
          <w:sz w:val="20"/>
          <w:szCs w:val="20"/>
          <w:color w:val="auto"/>
        </w:rPr>
      </w:pPr>
      <w:r>
        <w:rPr>
          <w:rFonts w:ascii="Arial" w:cs="Arial" w:eastAsia="Arial" w:hAnsi="Arial"/>
          <w:sz w:val="20"/>
          <w:szCs w:val="20"/>
          <w:color w:val="auto"/>
        </w:rPr>
        <w:t>waiver by the applicable Issuing Lender of any requirement that exists for the Issuing Lender’s protection and not the protection of any Borrowers or any waiver by the applicable Issuing Lender which does not in fact materially prejudice any Borrower;</w:t>
      </w:r>
    </w:p>
    <w:p>
      <w:pPr>
        <w:spacing w:after="0" w:line="185" w:lineRule="exact"/>
        <w:rPr>
          <w:rFonts w:ascii="Arial" w:cs="Arial" w:eastAsia="Arial" w:hAnsi="Arial"/>
          <w:sz w:val="20"/>
          <w:szCs w:val="20"/>
          <w:color w:val="auto"/>
        </w:rPr>
      </w:pPr>
    </w:p>
    <w:p>
      <w:pPr>
        <w:ind w:left="1300" w:firstLine="652"/>
        <w:spacing w:after="0" w:line="260" w:lineRule="auto"/>
        <w:tabs>
          <w:tab w:leader="none" w:pos="2413" w:val="left"/>
        </w:tabs>
        <w:numPr>
          <w:ilvl w:val="0"/>
          <w:numId w:val="88"/>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1300" w:firstLine="652"/>
        <w:spacing w:after="0" w:line="250" w:lineRule="auto"/>
        <w:tabs>
          <w:tab w:leader="none" w:pos="2473"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payment made by any Issuing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5" w:lineRule="exact"/>
        <w:rPr>
          <w:rFonts w:ascii="Arial" w:cs="Arial" w:eastAsia="Arial" w:hAnsi="Arial"/>
          <w:sz w:val="20"/>
          <w:szCs w:val="20"/>
          <w:color w:val="auto"/>
        </w:rPr>
      </w:pPr>
    </w:p>
    <w:p>
      <w:pPr>
        <w:jc w:val="both"/>
        <w:ind w:left="1300" w:firstLine="652"/>
        <w:spacing w:after="0" w:line="278" w:lineRule="auto"/>
        <w:tabs>
          <w:tab w:leader="none" w:pos="253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payment by any Issuing Lender under such Letter of Credit against presentation of a draft or certificate that does not strictly comply with the terms of such Letter of Credit; or any payment made by such Issuing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4" w:lineRule="exact"/>
        <w:rPr>
          <w:rFonts w:ascii="Arial" w:cs="Arial" w:eastAsia="Arial" w:hAnsi="Arial"/>
          <w:sz w:val="18"/>
          <w:szCs w:val="18"/>
          <w:color w:val="auto"/>
        </w:rPr>
      </w:pPr>
    </w:p>
    <w:p>
      <w:pPr>
        <w:jc w:val="both"/>
        <w:ind w:left="1300" w:right="20" w:firstLine="652"/>
        <w:spacing w:after="0" w:line="250" w:lineRule="auto"/>
        <w:tabs>
          <w:tab w:leader="none" w:pos="2595"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any Borrower or any Restricted Subsidiary; or</w:t>
      </w:r>
    </w:p>
    <w:p>
      <w:pPr>
        <w:spacing w:after="0" w:line="185" w:lineRule="exact"/>
        <w:rPr>
          <w:rFonts w:ascii="Arial" w:cs="Arial" w:eastAsia="Arial" w:hAnsi="Arial"/>
          <w:sz w:val="20"/>
          <w:szCs w:val="20"/>
          <w:color w:val="auto"/>
        </w:rPr>
      </w:pPr>
    </w:p>
    <w:p>
      <w:pPr>
        <w:ind w:left="1300" w:right="20" w:firstLine="652"/>
        <w:spacing w:after="0" w:line="260" w:lineRule="auto"/>
        <w:tabs>
          <w:tab w:leader="none" w:pos="2434"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Foreign Currency to any Borrower or any Restricted Subsidiary or in the relevant currency markets generally.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the applicable Issuing Lender. The applicable Borrower shall be conclusively deemed to have waived any such claim against the applicable Issuing Lender and its correspondents unless such notice is given as aforesaid.</w:t>
      </w:r>
    </w:p>
    <w:p>
      <w:pPr>
        <w:spacing w:after="0" w:line="191" w:lineRule="exact"/>
        <w:rPr>
          <w:sz w:val="20"/>
          <w:szCs w:val="20"/>
          <w:color w:val="auto"/>
        </w:rPr>
      </w:pPr>
    </w:p>
    <w:p>
      <w:pPr>
        <w:jc w:val="both"/>
        <w:ind w:left="660" w:firstLine="644"/>
        <w:spacing w:after="0" w:line="303" w:lineRule="auto"/>
        <w:tabs>
          <w:tab w:leader="none" w:pos="1717"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Role of Issuing Lender</w:t>
      </w:r>
      <w:r>
        <w:rPr>
          <w:rFonts w:ascii="Arial" w:cs="Arial" w:eastAsia="Arial" w:hAnsi="Arial"/>
          <w:sz w:val="16"/>
          <w:szCs w:val="16"/>
          <w:color w:val="auto"/>
        </w:rPr>
        <w:t>. Each Lender and each Borrower agree that, in paying any drawing under a Letter of Credit, no Issuing Lender shall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any Issuing Lender, the Administrative Agent, any of their respective Related Parties nor any correspondent, participant or assignee of any Issuing Lender shall be liable to any Lender for</w:t>
      </w:r>
    </w:p>
    <w:p>
      <w:pPr>
        <w:spacing w:after="0" w:line="2" w:lineRule="exact"/>
        <w:rPr>
          <w:rFonts w:ascii="Arial" w:cs="Arial" w:eastAsia="Arial" w:hAnsi="Arial"/>
          <w:sz w:val="16"/>
          <w:szCs w:val="16"/>
          <w:color w:val="auto"/>
        </w:rPr>
      </w:pPr>
    </w:p>
    <w:p>
      <w:pPr>
        <w:jc w:val="both"/>
        <w:ind w:left="660" w:hanging="4"/>
        <w:spacing w:after="0" w:line="270" w:lineRule="auto"/>
        <w:tabs>
          <w:tab w:leader="none" w:pos="9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any action taken or omitted in connection herewith at the request or with the approval of the Revolving Credit Lenders, Required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this assumption is not intended to, and shall not, preclude such Borrower’s pursuing such rights and remedies as it may have against the beneficiary or transferee at law or under any other agreement. None of any Issuing Lender, the Administrative Agent, any of their respective Related Parties nor any correspondent, participant or assignee of any Issuing Lender shall be liable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1" w:name="page122"/>
    <w:bookmarkEnd w:id="121"/>
    <w:p>
      <w:pPr>
        <w:jc w:val="both"/>
        <w:ind w:left="660" w:firstLine="6"/>
        <w:spacing w:after="0" w:line="270" w:lineRule="auto"/>
        <w:rPr>
          <w:sz w:val="20"/>
          <w:szCs w:val="20"/>
          <w:color w:val="auto"/>
        </w:rPr>
      </w:pPr>
      <w:r>
        <w:rPr>
          <w:rFonts w:ascii="Arial" w:cs="Arial" w:eastAsia="Arial" w:hAnsi="Arial"/>
          <w:sz w:val="18"/>
          <w:szCs w:val="18"/>
          <w:color w:val="auto"/>
        </w:rPr>
        <w:t xml:space="preserve">responsible for any of the matters described in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a Borrower may have a claim against an Issuing Lender, and an Issuing Lender may be liable to such Borrower, to the extent, but only to the extent, of any direct, as opposed to consequential or exemplary, damages suffered by such Borrower which such Borrower proves, as determined by a final nonappealable judgment of a court of competent jurisdiction, were caused by such Issuing Lender’s bad faith, willful misconduct or gross negligence or such Issuing Lender’s willful failure to pay under any Letter of Credit after the presentation to it by the beneficiary of a sight or time draft and certificate(s) strictly complying with the terms and conditions of a Letter of Credit. In furtherance and not in limitation of the foregoing, each Issuing Lender may accept documents that appear on their face to be in order, without responsibility for further investigation, regardless of any notice or information to the contrary, and no Issuing Lender shall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Each Issuing Lender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72" w:lineRule="exact"/>
        <w:rPr>
          <w:sz w:val="20"/>
          <w:szCs w:val="20"/>
          <w:color w:val="auto"/>
        </w:rPr>
      </w:pPr>
    </w:p>
    <w:p>
      <w:pPr>
        <w:jc w:val="both"/>
        <w:ind w:left="660" w:firstLine="644"/>
        <w:spacing w:after="0" w:line="255" w:lineRule="auto"/>
        <w:tabs>
          <w:tab w:leader="none" w:pos="1777"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Applicability of ISP; Limitation of Liability</w:t>
      </w:r>
      <w:r>
        <w:rPr>
          <w:rFonts w:ascii="Arial" w:cs="Arial" w:eastAsia="Arial" w:hAnsi="Arial"/>
          <w:sz w:val="19"/>
          <w:szCs w:val="19"/>
          <w:color w:val="auto"/>
        </w:rPr>
        <w:t>. Unless otherwise expressly agreed by the applicable Issuing Lender and the applicable Borrower when a Letter of Credit is issued (including any such agreement applicable to an Existing Letter of Credit), the rules of the ISP shall apply to each standby Letter of Credit. Notwithstanding the foregoing, no Issuing Lender shall be responsible to the applicable Borrower for, and each Issuing Lender’s rights and remedies against such Borrower shall not be impaired by, any action or inaction of such Issuing Lender required or permitted under any law, order, or practice that is required or permitted to be applied to any Letter of Credit or this Agreement, including Applicable Law or any order of a jurisdiction where such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9" w:lineRule="exact"/>
        <w:rPr>
          <w:rFonts w:ascii="Arial" w:cs="Arial" w:eastAsia="Arial" w:hAnsi="Arial"/>
          <w:sz w:val="19"/>
          <w:szCs w:val="19"/>
          <w:color w:val="auto"/>
        </w:rPr>
      </w:pPr>
    </w:p>
    <w:p>
      <w:pPr>
        <w:jc w:val="both"/>
        <w:ind w:left="660" w:firstLine="644"/>
        <w:spacing w:after="0" w:line="273" w:lineRule="auto"/>
        <w:tabs>
          <w:tab w:leader="none" w:pos="181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Company shall pay to the Administrative Agent for the account of each Dollar Tranche Revolving Credit Lender in accordance, subject to </w:t>
      </w:r>
      <w:r>
        <w:rPr>
          <w:rFonts w:ascii="Arial" w:cs="Arial" w:eastAsia="Arial" w:hAnsi="Arial"/>
          <w:sz w:val="18"/>
          <w:szCs w:val="18"/>
          <w:u w:val="single" w:color="auto"/>
          <w:color w:val="auto"/>
        </w:rPr>
        <w:t>Section 4.14</w:t>
      </w:r>
      <w:r>
        <w:rPr>
          <w:rFonts w:ascii="Arial" w:cs="Arial" w:eastAsia="Arial" w:hAnsi="Arial"/>
          <w:sz w:val="18"/>
          <w:szCs w:val="18"/>
          <w:color w:val="auto"/>
        </w:rPr>
        <w:t>, with its Applicable Percentage a Letter of Credit fee (the “</w:t>
      </w:r>
      <w:r>
        <w:rPr>
          <w:rFonts w:ascii="Arial" w:cs="Arial" w:eastAsia="Arial" w:hAnsi="Arial"/>
          <w:sz w:val="18"/>
          <w:szCs w:val="18"/>
          <w:u w:val="single" w:color="auto"/>
          <w:color w:val="auto"/>
        </w:rPr>
        <w:t>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Fee</w:t>
      </w:r>
      <w:r>
        <w:rPr>
          <w:rFonts w:ascii="Arial" w:cs="Arial" w:eastAsia="Arial" w:hAnsi="Arial"/>
          <w:sz w:val="18"/>
          <w:szCs w:val="18"/>
          <w:color w:val="auto"/>
        </w:rPr>
        <w:t>”) for each Letter of Credit equal to the Applicable Margin for Eurocurrency Rate Loans times the Dollar Amount of the daily amount available to be drawn under such Letter of Credit. Letter of Credit Fees shall be (1) due and payable on the last Business Day of each fiscal quarter, commencing with the first such date to occur after the issuance of such Letter of Credit, on the Letter of Credit Expiration Date and thereafter on demand and (2) computed on a quarterly basis in arrears. If there is any change in the Applicable Margin during any quarter, the daily amount available to be drawn under each Letter of Credit shall be computed and multiplied by the Applicable Margin separately for each period during such quarter that such Applicable Margin was in effect.</w:t>
      </w:r>
    </w:p>
    <w:p>
      <w:pPr>
        <w:spacing w:after="0" w:line="168" w:lineRule="exact"/>
        <w:rPr>
          <w:rFonts w:ascii="Arial" w:cs="Arial" w:eastAsia="Arial" w:hAnsi="Arial"/>
          <w:sz w:val="18"/>
          <w:szCs w:val="18"/>
          <w:color w:val="auto"/>
        </w:rPr>
      </w:pPr>
    </w:p>
    <w:p>
      <w:pPr>
        <w:jc w:val="both"/>
        <w:ind w:left="660" w:firstLine="644"/>
        <w:spacing w:after="0" w:line="270" w:lineRule="auto"/>
        <w:tabs>
          <w:tab w:leader="none" w:pos="172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Issuing Lender</w:t>
      </w:r>
      <w:r>
        <w:rPr>
          <w:rFonts w:ascii="Arial" w:cs="Arial" w:eastAsia="Arial" w:hAnsi="Arial"/>
          <w:sz w:val="18"/>
          <w:szCs w:val="18"/>
          <w:color w:val="auto"/>
        </w:rPr>
        <w:t>. The Company shall pay directly to each Issuing Lender for its own account a fronting fee with respect to each Letter of Credit, at the rate per annum specified in a writing between the Company and the applicable Issuing Lender, computed on the Dollar Amount of the daily amount available to be drawn under such Letter of Credit on a quarterly basis in arrears. Such fronting fee shall be due and payable on the date that is ten</w:t>
      </w:r>
    </w:p>
    <w:p>
      <w:pPr>
        <w:spacing w:after="0" w:line="2" w:lineRule="exact"/>
        <w:rPr>
          <w:rFonts w:ascii="Arial" w:cs="Arial" w:eastAsia="Arial" w:hAnsi="Arial"/>
          <w:sz w:val="18"/>
          <w:szCs w:val="18"/>
          <w:color w:val="auto"/>
        </w:rPr>
      </w:pPr>
    </w:p>
    <w:p>
      <w:pPr>
        <w:ind w:left="1040" w:hanging="384"/>
        <w:spacing w:after="0"/>
        <w:tabs>
          <w:tab w:leader="none" w:pos="10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Business Days following each fiscal quarter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2" w:name="page123"/>
    <w:bookmarkEnd w:id="122"/>
    <w:p>
      <w:pPr>
        <w:jc w:val="both"/>
        <w:ind w:left="660" w:firstLine="6"/>
        <w:spacing w:after="0" w:line="259" w:lineRule="auto"/>
        <w:rPr>
          <w:sz w:val="20"/>
          <w:szCs w:val="20"/>
          <w:color w:val="auto"/>
        </w:rPr>
      </w:pPr>
      <w:r>
        <w:rPr>
          <w:rFonts w:ascii="Arial" w:cs="Arial" w:eastAsia="Arial" w:hAnsi="Arial"/>
          <w:sz w:val="19"/>
          <w:szCs w:val="19"/>
          <w:color w:val="auto"/>
        </w:rPr>
        <w:t xml:space="preserve">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1.7</w:t>
      </w:r>
      <w:r>
        <w:rPr>
          <w:rFonts w:ascii="Arial" w:cs="Arial" w:eastAsia="Arial" w:hAnsi="Arial"/>
          <w:sz w:val="19"/>
          <w:szCs w:val="19"/>
          <w:color w:val="auto"/>
        </w:rPr>
        <w:t>. In addition, the Company shall pay directly to each Issuing Lender for its own account, in Dollars, the customary issuance, presentation, amendment and other processing fees, and other standard costs and charges, of such Issuing Lender relating to letters of credit as from time to time in effect. Such customary fees and standard costs and charges are due and payable on demand and are nonrefundable.</w:t>
      </w:r>
    </w:p>
    <w:p>
      <w:pPr>
        <w:spacing w:after="0" w:line="178" w:lineRule="exact"/>
        <w:rPr>
          <w:sz w:val="20"/>
          <w:szCs w:val="20"/>
          <w:color w:val="auto"/>
        </w:rPr>
      </w:pPr>
    </w:p>
    <w:p>
      <w:pPr>
        <w:ind w:left="660" w:firstLine="644"/>
        <w:spacing w:after="0" w:line="260" w:lineRule="auto"/>
        <w:tabs>
          <w:tab w:leader="none" w:pos="178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76" w:lineRule="exact"/>
        <w:rPr>
          <w:rFonts w:ascii="Arial" w:cs="Arial" w:eastAsia="Arial" w:hAnsi="Arial"/>
          <w:sz w:val="20"/>
          <w:szCs w:val="20"/>
          <w:color w:val="auto"/>
        </w:rPr>
      </w:pPr>
    </w:p>
    <w:p>
      <w:pPr>
        <w:ind w:left="660" w:firstLine="644"/>
        <w:spacing w:after="0" w:line="316" w:lineRule="auto"/>
        <w:tabs>
          <w:tab w:leader="none" w:pos="175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Additional Issuing Lenders</w:t>
      </w:r>
      <w:r>
        <w:rPr>
          <w:rFonts w:ascii="Arial" w:cs="Arial" w:eastAsia="Arial" w:hAnsi="Arial"/>
          <w:sz w:val="18"/>
          <w:szCs w:val="18"/>
          <w:color w:val="auto"/>
        </w:rPr>
        <w:t>. Any Lender hereunder may become an Issuing Lender upon receipt by the Administrative Agent of a fully executed notice which shall be signed by the Company, the Administrative Agent and each Issuing Lender.</w:t>
      </w:r>
    </w:p>
    <w:p>
      <w:pPr>
        <w:spacing w:after="0" w:line="129" w:lineRule="exact"/>
        <w:rPr>
          <w:rFonts w:ascii="Arial" w:cs="Arial" w:eastAsia="Arial" w:hAnsi="Arial"/>
          <w:sz w:val="18"/>
          <w:szCs w:val="18"/>
          <w:color w:val="auto"/>
        </w:rPr>
      </w:pPr>
    </w:p>
    <w:p>
      <w:pPr>
        <w:jc w:val="both"/>
        <w:ind w:left="660" w:firstLine="644"/>
        <w:spacing w:after="0" w:line="278" w:lineRule="auto"/>
        <w:tabs>
          <w:tab w:leader="none" w:pos="181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the Company shall be obligated to reimburse the applicable Issuing Lender hereunder for any and all drawings under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64" w:lineRule="exact"/>
        <w:rPr>
          <w:rFonts w:ascii="Arial" w:cs="Arial" w:eastAsia="Arial" w:hAnsi="Arial"/>
          <w:sz w:val="18"/>
          <w:szCs w:val="18"/>
          <w:color w:val="auto"/>
        </w:rPr>
      </w:pPr>
    </w:p>
    <w:p>
      <w:pPr>
        <w:jc w:val="both"/>
        <w:ind w:left="660" w:firstLine="644"/>
        <w:spacing w:after="0" w:line="250" w:lineRule="auto"/>
        <w:tabs>
          <w:tab w:leader="none" w:pos="181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Letter of Credit Reports</w:t>
      </w:r>
      <w:r>
        <w:rPr>
          <w:rFonts w:ascii="Arial" w:cs="Arial" w:eastAsia="Arial" w:hAnsi="Arial"/>
          <w:sz w:val="20"/>
          <w:szCs w:val="20"/>
          <w:color w:val="auto"/>
        </w:rPr>
        <w:t>. Unless otherwise agreed by the Administrative Agent, each Issuing Lender shall, in addition to its notification obligations set forth elsewhere in this Section, provide the Administrative Agent a Letter of Credit Report, as set forth below:</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384" w:val="left"/>
        </w:tabs>
        <w:numPr>
          <w:ilvl w:val="1"/>
          <w:numId w:val="93"/>
        </w:numPr>
        <w:rPr>
          <w:rFonts w:ascii="Arial" w:cs="Arial" w:eastAsia="Arial" w:hAnsi="Arial"/>
          <w:sz w:val="20"/>
          <w:szCs w:val="20"/>
          <w:color w:val="auto"/>
        </w:rPr>
      </w:pPr>
      <w:r>
        <w:rPr>
          <w:rFonts w:ascii="Arial" w:cs="Arial" w:eastAsia="Arial" w:hAnsi="Arial"/>
          <w:sz w:val="20"/>
          <w:szCs w:val="20"/>
          <w:color w:val="auto"/>
        </w:rPr>
        <w:t>reasonably prior to the time that such Issuing Lender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91" w:lineRule="exact"/>
        <w:rPr>
          <w:rFonts w:ascii="Arial" w:cs="Arial" w:eastAsia="Arial" w:hAnsi="Arial"/>
          <w:sz w:val="20"/>
          <w:szCs w:val="20"/>
          <w:color w:val="auto"/>
        </w:rPr>
      </w:pPr>
    </w:p>
    <w:p>
      <w:pPr>
        <w:ind w:left="2400" w:hanging="448"/>
        <w:spacing w:after="0"/>
        <w:tabs>
          <w:tab w:leader="none" w:pos="2400" w:val="left"/>
        </w:tabs>
        <w:numPr>
          <w:ilvl w:val="1"/>
          <w:numId w:val="93"/>
        </w:numPr>
        <w:rPr>
          <w:rFonts w:ascii="Arial" w:cs="Arial" w:eastAsia="Arial" w:hAnsi="Arial"/>
          <w:sz w:val="19"/>
          <w:szCs w:val="19"/>
          <w:color w:val="auto"/>
        </w:rPr>
      </w:pPr>
      <w:r>
        <w:rPr>
          <w:rFonts w:ascii="Arial" w:cs="Arial" w:eastAsia="Arial" w:hAnsi="Arial"/>
          <w:sz w:val="19"/>
          <w:szCs w:val="19"/>
          <w:color w:val="auto"/>
        </w:rPr>
        <w:t>on each Business Day on which such Issuing Lender makes a payment pursuant to a Letter of Credit;</w:t>
      </w:r>
    </w:p>
    <w:p>
      <w:pPr>
        <w:spacing w:after="0" w:line="227" w:lineRule="exact"/>
        <w:rPr>
          <w:rFonts w:ascii="Arial" w:cs="Arial" w:eastAsia="Arial" w:hAnsi="Arial"/>
          <w:sz w:val="19"/>
          <w:szCs w:val="19"/>
          <w:color w:val="auto"/>
        </w:rPr>
      </w:pPr>
    </w:p>
    <w:p>
      <w:pPr>
        <w:ind w:left="1300" w:firstLine="652"/>
        <w:spacing w:after="0" w:line="316" w:lineRule="auto"/>
        <w:tabs>
          <w:tab w:leader="none" w:pos="2454"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any Business Day on which any Borrower fails to reimburse a payment made pursuant to a Letter of Credit required to be reimbursed to such Issuing Lender on such day, the date of such failure and the amount of such payment;</w:t>
      </w:r>
    </w:p>
    <w:p>
      <w:pPr>
        <w:spacing w:after="0" w:line="129" w:lineRule="exact"/>
        <w:rPr>
          <w:rFonts w:ascii="Arial" w:cs="Arial" w:eastAsia="Arial" w:hAnsi="Arial"/>
          <w:sz w:val="18"/>
          <w:szCs w:val="18"/>
          <w:color w:val="auto"/>
        </w:rPr>
      </w:pPr>
    </w:p>
    <w:p>
      <w:pPr>
        <w:ind w:left="1300" w:firstLine="652"/>
        <w:spacing w:after="0" w:line="260" w:lineRule="auto"/>
        <w:tabs>
          <w:tab w:leader="none" w:pos="2461" w:val="left"/>
        </w:tabs>
        <w:numPr>
          <w:ilvl w:val="1"/>
          <w:numId w:val="93"/>
        </w:numPr>
        <w:rPr>
          <w:rFonts w:ascii="Arial" w:cs="Arial" w:eastAsia="Arial" w:hAnsi="Arial"/>
          <w:sz w:val="20"/>
          <w:szCs w:val="20"/>
          <w:color w:val="auto"/>
        </w:rPr>
      </w:pPr>
      <w:r>
        <w:rPr>
          <w:rFonts w:ascii="Arial" w:cs="Arial" w:eastAsia="Arial" w:hAnsi="Arial"/>
          <w:sz w:val="20"/>
          <w:szCs w:val="20"/>
          <w:color w:val="auto"/>
        </w:rPr>
        <w:t>on any other Business Day, such other information as the Administrative Agent shall reasonably request as to the Letters of Credit issued by such Issuing Lender; and</w:t>
      </w:r>
    </w:p>
    <w:p>
      <w:pPr>
        <w:spacing w:after="0" w:line="176" w:lineRule="exact"/>
        <w:rPr>
          <w:rFonts w:ascii="Arial" w:cs="Arial" w:eastAsia="Arial" w:hAnsi="Arial"/>
          <w:sz w:val="20"/>
          <w:szCs w:val="20"/>
          <w:color w:val="auto"/>
        </w:rPr>
      </w:pPr>
    </w:p>
    <w:p>
      <w:pPr>
        <w:jc w:val="both"/>
        <w:ind w:left="1300" w:firstLine="652"/>
        <w:spacing w:after="0" w:line="244" w:lineRule="auto"/>
        <w:tabs>
          <w:tab w:leader="none" w:pos="2384" w:val="left"/>
        </w:tabs>
        <w:numPr>
          <w:ilvl w:val="1"/>
          <w:numId w:val="93"/>
        </w:numPr>
        <w:rPr>
          <w:rFonts w:ascii="Arial" w:cs="Arial" w:eastAsia="Arial" w:hAnsi="Arial"/>
          <w:sz w:val="20"/>
          <w:szCs w:val="20"/>
          <w:color w:val="auto"/>
        </w:rPr>
      </w:pPr>
      <w:r>
        <w:rPr>
          <w:rFonts w:ascii="Arial" w:cs="Arial" w:eastAsia="Arial" w:hAnsi="Arial"/>
          <w:sz w:val="20"/>
          <w:szCs w:val="20"/>
          <w:color w:val="auto"/>
        </w:rPr>
        <w:t>for so long as any Letter of Credit issued by an Issuing Lender is outstanding, such Issuing Lender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3" w:name="page124"/>
    <w:bookmarkEnd w:id="123"/>
    <w:p>
      <w:pPr>
        <w:ind w:left="1320"/>
        <w:spacing w:after="0"/>
        <w:rPr>
          <w:sz w:val="20"/>
          <w:szCs w:val="20"/>
          <w:color w:val="auto"/>
        </w:rPr>
      </w:pPr>
      <w:r>
        <w:rPr>
          <w:rFonts w:ascii="Arial" w:cs="Arial" w:eastAsia="Arial" w:hAnsi="Arial"/>
          <w:sz w:val="20"/>
          <w:szCs w:val="20"/>
          <w:color w:val="auto"/>
        </w:rPr>
        <w:t>completed with the information for every outstanding Letter of Credit issued by such Issuing Lender.</w:t>
      </w:r>
    </w:p>
    <w:p>
      <w:pPr>
        <w:spacing w:after="0" w:line="21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2.4</w:t>
      </w:r>
      <w:r>
        <w:rPr>
          <w:sz w:val="20"/>
          <w:szCs w:val="20"/>
          <w:color w:val="auto"/>
        </w:rPr>
        <w:tab/>
      </w:r>
      <w:r>
        <w:rPr>
          <w:rFonts w:ascii="Arial" w:cs="Arial" w:eastAsia="Arial" w:hAnsi="Arial"/>
          <w:sz w:val="16"/>
          <w:szCs w:val="16"/>
          <w:b w:val="1"/>
          <w:bCs w:val="1"/>
          <w:u w:val="single" w:color="auto"/>
          <w:color w:val="auto"/>
        </w:rPr>
        <w:t>Swingline Loans.</w:t>
      </w:r>
    </w:p>
    <w:p>
      <w:pPr>
        <w:spacing w:after="0" w:line="222" w:lineRule="exact"/>
        <w:rPr>
          <w:sz w:val="20"/>
          <w:szCs w:val="20"/>
          <w:color w:val="auto"/>
        </w:rPr>
      </w:pPr>
    </w:p>
    <w:p>
      <w:pPr>
        <w:jc w:val="both"/>
        <w:ind w:left="660" w:firstLine="644"/>
        <w:spacing w:after="0" w:line="269" w:lineRule="auto"/>
        <w:tabs>
          <w:tab w:leader="none" w:pos="18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The Swingline</w:t>
      </w:r>
      <w:r>
        <w:rPr>
          <w:rFonts w:ascii="Arial" w:cs="Arial" w:eastAsia="Arial" w:hAnsi="Arial"/>
          <w:sz w:val="18"/>
          <w:szCs w:val="18"/>
          <w:color w:val="auto"/>
        </w:rPr>
        <w:t>. Subject to the terms and conditions set forth herein, the Swingline Lender, in reliance upon the agreements of the other Dollar Tranche Revolving Credit Lenders set forth in this Section, may in its sole discretion make loans to the Company (each such loan, a “</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Each such Swingline Loan may be made, subject to the terms and conditions set forth herein, to the Company, in Dollars, from time to time on any Business Day. During the Availability Period in an aggregate amount not to exceed at any time outstanding the amount of the Swingline Commitment, notwithstanding the fact that such Swingline Loans, when aggregated with the Applicable Percentage of the Outstanding Amount of Revolving Credit Loans and L/C Obligations of the Lender acting as Swingline Lender, may exceed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after giving effect to any Swingline Loan, the aggregate principal amount of all outstanding Swingline Loans, shall not exceed the lesser of (A) the Dollar Tranche Revolving Credit Commitment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all outstanding Dollar Tranche Revolving Credit Loans and the L/C Obligations and (B) the Swingline Commitment, (ii) the Company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Extension of Credit may have, Fronting Exposure. Within the foregoing limits, and subject to the other terms and conditions hereof, the Company may borrow under this Section, prepay under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reborrow under this Section. Each Swingline Loan shall bear interest only at a rate based on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Immediately upon the making of a Swingline Loan, each Dollar Tranche Revolving Credit Lender shall be deemed to, and hereby irrevocably and unconditionally agrees to, purchase from the Swingline Lender a risk participation in such Swingline Loan in an amount equal to the product of such Dollar Tranche Revolving Credit Lender’s Applicable Percentage times the amount of such Swingline Loan.</w:t>
      </w:r>
    </w:p>
    <w:p>
      <w:pPr>
        <w:spacing w:after="0" w:line="171" w:lineRule="exact"/>
        <w:rPr>
          <w:rFonts w:ascii="Arial" w:cs="Arial" w:eastAsia="Arial" w:hAnsi="Arial"/>
          <w:sz w:val="18"/>
          <w:szCs w:val="18"/>
          <w:color w:val="auto"/>
        </w:rPr>
      </w:pPr>
    </w:p>
    <w:p>
      <w:pPr>
        <w:jc w:val="both"/>
        <w:ind w:left="660" w:firstLine="644"/>
        <w:spacing w:after="0" w:line="269" w:lineRule="auto"/>
        <w:tabs>
          <w:tab w:leader="none" w:pos="177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borrowing of Swingline Loans shall be made upon the Company’s irrevocable notice to the Swingline Lender and the Administrative Agent, which may be given by: (A) telephone or (B) a Swingline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Swingline Lender and the Administrative Agent of a Swingline Loan Notice. Each such Swingline Loan Notice must be received by the Swingline Lender and the Administrative Agent not later than 2:00 p.m. on the requested borrowing date, and shall specify (i) the amount to be borrowed, which shall be a minimum of $100,000, and (ii) the requested date of the Swingline Loan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Dollar Tranche Revolving Credit Lender) prior to 3:00 p.m. on the date of the proposed borrowing of Swingline Loans (A) directing the Swingline Lender not to make such Swingline Loan as a result of the limitations set forth in the first proviso to the first sentence of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Swingline Lender will, not later than 3:00 p.m. on the borrowing date specified in such Swingline Loan Notice, make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4" w:name="page125"/>
    <w:bookmarkEnd w:id="124"/>
    <w:p>
      <w:pPr>
        <w:ind w:left="660" w:firstLine="6"/>
        <w:spacing w:after="0" w:line="260" w:lineRule="auto"/>
        <w:rPr>
          <w:sz w:val="20"/>
          <w:szCs w:val="20"/>
          <w:color w:val="auto"/>
        </w:rPr>
      </w:pPr>
      <w:r>
        <w:rPr>
          <w:rFonts w:ascii="Arial" w:cs="Arial" w:eastAsia="Arial" w:hAnsi="Arial"/>
          <w:sz w:val="20"/>
          <w:szCs w:val="20"/>
          <w:color w:val="auto"/>
        </w:rPr>
        <w:t>of its Swingline Loan available to the Company at its office by crediting the account of the Company on the books of the Swingline Lender in Same Day Funds.</w:t>
      </w:r>
    </w:p>
    <w:p>
      <w:pPr>
        <w:spacing w:after="0" w:line="177" w:lineRule="exact"/>
        <w:rPr>
          <w:sz w:val="20"/>
          <w:szCs w:val="20"/>
          <w:color w:val="auto"/>
        </w:rPr>
      </w:pPr>
    </w:p>
    <w:p>
      <w:pPr>
        <w:ind w:left="1720" w:hanging="416"/>
        <w:spacing w:after="0"/>
        <w:tabs>
          <w:tab w:leader="none" w:pos="17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4" w:lineRule="auto"/>
        <w:tabs>
          <w:tab w:leader="none" w:pos="2366"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The Swingline Lender at any time in its sole discretion may request, on behalf of the Company (which hereby irrevocably authorizes the Swingline Lender to so request on its behalf), that each Dollar Tranche Revolving Credit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The Swingline Lender shall furnish the Company with a copy of the applicable Loan Notice promptly after delivering such notice to the Administrative Agent. Each Dollar Tranche Revolving Credit Lender shall make an amount equal to its Applicable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2.4(c)(ii)</w:t>
      </w:r>
      <w:r>
        <w:rPr>
          <w:rFonts w:ascii="Arial" w:cs="Arial" w:eastAsia="Arial" w:hAnsi="Arial"/>
          <w:sz w:val="19"/>
          <w:szCs w:val="19"/>
          <w:color w:val="auto"/>
        </w:rPr>
        <w:t>, each Dollar Tranche Revolving Credit Lender that so makes funds available shall be deemed to have made a Base Rate Loan to the Company in such amount. The Administrative Agent shall remit the funds so received to the Swingline Lender.</w:t>
      </w:r>
    </w:p>
    <w:p>
      <w:pPr>
        <w:spacing w:after="0" w:line="190" w:lineRule="exact"/>
        <w:rPr>
          <w:rFonts w:ascii="Arial" w:cs="Arial" w:eastAsia="Arial" w:hAnsi="Arial"/>
          <w:sz w:val="19"/>
          <w:szCs w:val="19"/>
          <w:color w:val="auto"/>
        </w:rPr>
      </w:pPr>
    </w:p>
    <w:p>
      <w:pPr>
        <w:jc w:val="both"/>
        <w:ind w:left="1300" w:firstLine="652"/>
        <w:spacing w:after="0" w:line="243" w:lineRule="auto"/>
        <w:tabs>
          <w:tab w:leader="none" w:pos="2415"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If for any reason any Swingline Loan cannot be refinanced by such a borrowing of Revolving Credit Loans in accordance with </w:t>
      </w:r>
      <w:r>
        <w:rPr>
          <w:rFonts w:ascii="Arial" w:cs="Arial" w:eastAsia="Arial" w:hAnsi="Arial"/>
          <w:sz w:val="20"/>
          <w:szCs w:val="20"/>
          <w:u w:val="single" w:color="auto"/>
          <w:color w:val="auto"/>
        </w:rPr>
        <w:t>Section 2.4(c)(i)</w:t>
      </w:r>
      <w:r>
        <w:rPr>
          <w:rFonts w:ascii="Arial" w:cs="Arial" w:eastAsia="Arial" w:hAnsi="Arial"/>
          <w:sz w:val="20"/>
          <w:szCs w:val="20"/>
          <w:color w:val="auto"/>
        </w:rPr>
        <w:t xml:space="preserve">, the request for Base Rate Loans submitted by the Swingline Lender as set forth herein shall be deemed to be a request by the Swingline Lender that each of the Dollar Tranche Revolving Credit Lenders fund its risk participation in the relevant Swingline Loan and each Dollar Tranche Revolving Credit Lender’s payment to the Administrative Agent for the account of the Swingline Lender pursuant to </w:t>
      </w:r>
      <w:r>
        <w:rPr>
          <w:rFonts w:ascii="Arial" w:cs="Arial" w:eastAsia="Arial" w:hAnsi="Arial"/>
          <w:sz w:val="20"/>
          <w:szCs w:val="20"/>
          <w:u w:val="single" w:color="auto"/>
          <w:color w:val="auto"/>
        </w:rPr>
        <w:t>Section 2.4(c)(i)</w:t>
      </w:r>
      <w:r>
        <w:rPr>
          <w:rFonts w:ascii="Arial" w:cs="Arial" w:eastAsia="Arial" w:hAnsi="Arial"/>
          <w:sz w:val="20"/>
          <w:szCs w:val="20"/>
          <w:color w:val="auto"/>
        </w:rPr>
        <w:t xml:space="preserve"> shall be deemed payment in respect of such participation.</w:t>
      </w:r>
    </w:p>
    <w:p>
      <w:pPr>
        <w:spacing w:after="0" w:line="195" w:lineRule="exact"/>
        <w:rPr>
          <w:rFonts w:ascii="Arial" w:cs="Arial" w:eastAsia="Arial" w:hAnsi="Arial"/>
          <w:sz w:val="20"/>
          <w:szCs w:val="20"/>
          <w:color w:val="auto"/>
        </w:rPr>
      </w:pPr>
    </w:p>
    <w:p>
      <w:pPr>
        <w:jc w:val="both"/>
        <w:ind w:left="1300" w:firstLine="652"/>
        <w:spacing w:after="0" w:line="271" w:lineRule="auto"/>
        <w:tabs>
          <w:tab w:leader="none" w:pos="25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If any Dollar Tranche Revolving Credit Lender fails to make available to the Administrative Agent for the account of the Swingline Lender any amount required to be paid by such Lender pursuant to the foregoing provisions of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2.4(c)(i)</w:t>
      </w:r>
      <w:r>
        <w:rPr>
          <w:rFonts w:ascii="Arial" w:cs="Arial" w:eastAsia="Arial" w:hAnsi="Arial"/>
          <w:sz w:val="18"/>
          <w:szCs w:val="18"/>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Credit Loan included in the relevant borrowing of Revolving Credit Loans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5" w:name="page126"/>
    <w:bookmarkEnd w:id="125"/>
    <w:p>
      <w:pPr>
        <w:jc w:val="both"/>
        <w:ind w:left="1300" w:firstLine="652"/>
        <w:spacing w:after="0" w:line="272" w:lineRule="auto"/>
        <w:tabs>
          <w:tab w:leader="none" w:pos="2432"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Each Dollar Tranche Revolving Credit Lender’s obligation to make Revolving Credit Loans or to purchase and fund risk participations in Swingline Loans pursuant to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each Dollar Tranche Revolving Credit Lender’s obligation to make Revolving Credit Loans pursuant to this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(other than delivery by the Company of a Loan Notice). No such funding of risk participations shall relieve or otherwise impair the obligation of the Company to repay Swingline Loans, together with interest as provided herein.</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345" w:val="left"/>
        </w:tabs>
        <w:numPr>
          <w:ilvl w:val="1"/>
          <w:numId w:val="97"/>
        </w:numPr>
        <w:rPr>
          <w:rFonts w:ascii="Arial" w:cs="Arial" w:eastAsia="Arial" w:hAnsi="Arial"/>
          <w:sz w:val="20"/>
          <w:szCs w:val="20"/>
          <w:color w:val="auto"/>
        </w:rPr>
      </w:pPr>
      <w:r>
        <w:rPr>
          <w:rFonts w:ascii="Arial" w:cs="Arial" w:eastAsia="Arial" w:hAnsi="Arial"/>
          <w:sz w:val="20"/>
          <w:szCs w:val="20"/>
          <w:color w:val="auto"/>
        </w:rPr>
        <w:t>At any time after any Dollar Tranche Revolving Credit Lender has purchased and funded a risk participation in a Swingline Loan, if the Swingline Lender receives any payment on account of such Swingline Loan, the Swingline Lender will distribute to such Dollar Tranche Revolving Credit Lender its Applicable Percentage thereof in the same funds as those received by the Swingline Lender.</w:t>
      </w:r>
    </w:p>
    <w:p>
      <w:pPr>
        <w:spacing w:after="0" w:line="191" w:lineRule="exact"/>
        <w:rPr>
          <w:rFonts w:ascii="Arial" w:cs="Arial" w:eastAsia="Arial" w:hAnsi="Arial"/>
          <w:sz w:val="20"/>
          <w:szCs w:val="20"/>
          <w:color w:val="auto"/>
        </w:rPr>
      </w:pPr>
    </w:p>
    <w:p>
      <w:pPr>
        <w:jc w:val="both"/>
        <w:ind w:left="1300" w:firstLine="652"/>
        <w:spacing w:after="0" w:line="242" w:lineRule="auto"/>
        <w:tabs>
          <w:tab w:leader="none" w:pos="2429"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20"/>
          <w:szCs w:val="20"/>
          <w:u w:val="single" w:color="auto"/>
          <w:color w:val="auto"/>
        </w:rPr>
        <w:t>Section 13.5</w:t>
      </w:r>
      <w:r>
        <w:rPr>
          <w:rFonts w:ascii="Arial" w:cs="Arial" w:eastAsia="Arial" w:hAnsi="Arial"/>
          <w:sz w:val="20"/>
          <w:szCs w:val="20"/>
          <w:color w:val="auto"/>
        </w:rPr>
        <w:t xml:space="preserve"> (including pursuant to any settlement entered into by the Swingline Lender in its discretion), each Dollar Tranche Revolving Credit Lender shall pay to the Swingline Lender its Applicable Percentage thereof on demand of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amount is returned, at a rate per annum equal to the applicable Overnight Rate. The Administrative Agent will make such demand upon the request of the Swingline Lender. The obligations of the Lenders under this clause shall survive the payment in full of the Obligations and the termination of this Agreement.</w:t>
      </w:r>
    </w:p>
    <w:p>
      <w:pPr>
        <w:spacing w:after="0" w:line="196" w:lineRule="exact"/>
        <w:rPr>
          <w:rFonts w:ascii="Arial" w:cs="Arial" w:eastAsia="Arial" w:hAnsi="Arial"/>
          <w:sz w:val="20"/>
          <w:szCs w:val="20"/>
          <w:color w:val="auto"/>
        </w:rPr>
      </w:pPr>
    </w:p>
    <w:p>
      <w:pPr>
        <w:jc w:val="both"/>
        <w:ind w:left="660" w:firstLine="644"/>
        <w:spacing w:after="0" w:line="263" w:lineRule="auto"/>
        <w:tabs>
          <w:tab w:leader="none" w:pos="177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Swingline Lender</w:t>
      </w:r>
      <w:r>
        <w:rPr>
          <w:rFonts w:ascii="Arial" w:cs="Arial" w:eastAsia="Arial" w:hAnsi="Arial"/>
          <w:sz w:val="19"/>
          <w:szCs w:val="19"/>
          <w:color w:val="auto"/>
        </w:rPr>
        <w:t>. The Swingline Lender shall be responsible for invoicing the Company for interest on the Swingline Loans. Until each Dollar Tranche Revolving Credit Lender funds its Base Rate Loan or risk participation pursuant to this Section to refinance such Dollar Tranche Revolving Credit Lender’s Applicable Percentage of any Swingline Loan, interest in respect of such Applicable Percentage shall be solely for the account of the Swingline Lender.</w:t>
      </w:r>
    </w:p>
    <w:p>
      <w:pPr>
        <w:spacing w:after="0" w:line="176" w:lineRule="exact"/>
        <w:rPr>
          <w:rFonts w:ascii="Arial" w:cs="Arial" w:eastAsia="Arial" w:hAnsi="Arial"/>
          <w:sz w:val="19"/>
          <w:szCs w:val="19"/>
          <w:color w:val="auto"/>
        </w:rPr>
      </w:pPr>
    </w:p>
    <w:p>
      <w:pPr>
        <w:ind w:left="660" w:firstLine="644"/>
        <w:spacing w:after="0" w:line="260" w:lineRule="auto"/>
        <w:tabs>
          <w:tab w:leader="none" w:pos="174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Company shall make all payments of principal and interest in respect of the Swingline Loans directly to the Swingline Lender.</w:t>
      </w:r>
    </w:p>
    <w:p>
      <w:pPr>
        <w:spacing w:after="0" w:line="17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2.5</w:t>
      </w:r>
      <w:r>
        <w:rPr>
          <w:sz w:val="20"/>
          <w:szCs w:val="20"/>
          <w:color w:val="auto"/>
        </w:rPr>
        <w:tab/>
      </w:r>
      <w:r>
        <w:rPr>
          <w:rFonts w:ascii="Arial" w:cs="Arial" w:eastAsia="Arial" w:hAnsi="Arial"/>
          <w:sz w:val="16"/>
          <w:szCs w:val="16"/>
          <w:b w:val="1"/>
          <w:bCs w:val="1"/>
          <w:u w:val="single" w:color="auto"/>
          <w:color w:val="auto"/>
        </w:rPr>
        <w:t>Prepayments.</w:t>
      </w:r>
    </w:p>
    <w:p>
      <w:pPr>
        <w:spacing w:after="0" w:line="222" w:lineRule="exact"/>
        <w:rPr>
          <w:sz w:val="20"/>
          <w:szCs w:val="20"/>
          <w:color w:val="auto"/>
        </w:rPr>
      </w:pPr>
    </w:p>
    <w:p>
      <w:pPr>
        <w:ind w:left="1720" w:hanging="416"/>
        <w:spacing w:after="0"/>
        <w:tabs>
          <w:tab w:leader="none" w:pos="172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01"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If (x) at any time, the outstanding principal amount of all Revolving Credit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sum of all outstanding Swingline Loans and L/C Obligations exceeds the Revolving Credit Commitment, (y) at any time, the outstanding principal amount of all Dollar Tranche Revolving Credit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sum of all outstanding Swingline Loans and L/C Obligations exceeds the Dollar Tranche Revolving Credit Commitment or (z)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6" w:name="page127"/>
    <w:bookmarkEnd w:id="126"/>
    <w:p>
      <w:pPr>
        <w:jc w:val="both"/>
        <w:ind w:left="1300" w:firstLine="6"/>
        <w:spacing w:after="0" w:line="255" w:lineRule="auto"/>
        <w:rPr>
          <w:sz w:val="20"/>
          <w:szCs w:val="20"/>
          <w:color w:val="auto"/>
        </w:rPr>
      </w:pPr>
      <w:r>
        <w:rPr>
          <w:rFonts w:ascii="Arial" w:cs="Arial" w:eastAsia="Arial" w:hAnsi="Arial"/>
          <w:sz w:val="19"/>
          <w:szCs w:val="19"/>
          <w:color w:val="auto"/>
        </w:rPr>
        <w:t xml:space="preserve">any Computation Date, the outstanding principal amount of all Designated Currency Tranche Revolving Credit Loans exceeds 105% of the Designated Currency Tranche Revolving Credit Commitment, the Borrowers agree to repay immediately upon notice from the Administrative Agent, by payment to the Administrative Agent for the account of the Lenders, Extensions of Credit in an amount equal to such excess with each such repayment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principal amount of outstanding Swingline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principal amount of all outstanding Loans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with respect to any Letters of Credit then outstanding, a payment of cash collateral into a cash collateral account opened by the Administrative Agent, for the benefit of the Revolving Credit Lenders in an amount equal to the aggregate then undrawn and unexpired amount of such Letters of Credit (such cash collateral to be applied in accordance with </w:t>
      </w:r>
      <w:r>
        <w:rPr>
          <w:rFonts w:ascii="Arial" w:cs="Arial" w:eastAsia="Arial" w:hAnsi="Arial"/>
          <w:sz w:val="19"/>
          <w:szCs w:val="19"/>
          <w:u w:val="single" w:color="auto"/>
          <w:color w:val="auto"/>
        </w:rPr>
        <w:t>Section 11.2(b)</w:t>
      </w:r>
      <w:r>
        <w:rPr>
          <w:rFonts w:ascii="Arial" w:cs="Arial" w:eastAsia="Arial" w:hAnsi="Arial"/>
          <w:sz w:val="19"/>
          <w:szCs w:val="19"/>
          <w:color w:val="auto"/>
        </w:rPr>
        <w:t>, and such cash collateral to be shared ratably between Letters of Credit issued and outstanding under the Dollar Tranche and the Designated Currency Tranche).</w:t>
      </w:r>
    </w:p>
    <w:p>
      <w:pPr>
        <w:spacing w:after="0" w:line="190" w:lineRule="exact"/>
        <w:rPr>
          <w:sz w:val="20"/>
          <w:szCs w:val="20"/>
          <w:color w:val="auto"/>
        </w:rPr>
      </w:pPr>
    </w:p>
    <w:p>
      <w:pPr>
        <w:jc w:val="both"/>
        <w:ind w:left="1300" w:firstLine="652"/>
        <w:spacing w:after="0" w:line="305" w:lineRule="auto"/>
        <w:tabs>
          <w:tab w:leader="none" w:pos="242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the Company or any Restricted Subsidiary in respect of any Prepayment Event, the Company, subject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shall, promptly, and in any event within five (5) Business Days after such Net Proceeds are received by the Company or such Restricted Subsidiary, prepay the Term Loan as set forth below in an aggregate amount equal to 100%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 described in clause (a) of the definition of the term “Prepayment Event”, if a Responsible Officer of the Company shall deliver to the Administrative Agent a certificate to the effect that the Company or the applicable Restricted Subsidiary, as the case may be, intends to apply the Net Proceeds from such event (or a portion thereof specified in such certificate), within 360 days after receipt of such Net Proceeds, to acquire real property, equipment or other assets (excluding inventory) to be used or useful in the business of the Company or the applicable Restricted Subsidiary, as the case may be, or to consummate a Permitted Acquisition, then no prepayment shall be required pursuant to this paragraph in respect of the Net Proceeds specified in such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any such Net Proceeds have not been so applied by the end of such 360-day period, then a prepayment shall be required at the end of such period in an amount equal to such Net Proceeds that have not been so applied. All prepayments under this clause (ii) shall be applied to prepay the Term Loan (to be applied to installments thereof pro rata). No prepayments shall be required under this clause (ii) subsequent to the termination or expiry of the Term Loan Commitments and the full repayment of the outstanding Term Loan.</w:t>
      </w:r>
    </w:p>
    <w:p>
      <w:pPr>
        <w:spacing w:after="0" w:line="385" w:lineRule="exact"/>
        <w:rPr>
          <w:rFonts w:ascii="Arial" w:cs="Arial" w:eastAsia="Arial" w:hAnsi="Arial"/>
          <w:sz w:val="16"/>
          <w:szCs w:val="16"/>
          <w:color w:val="auto"/>
        </w:rPr>
      </w:pPr>
    </w:p>
    <w:p>
      <w:pPr>
        <w:jc w:val="both"/>
        <w:ind w:left="1300" w:firstLine="652"/>
        <w:spacing w:after="0" w:line="255" w:lineRule="auto"/>
        <w:tabs>
          <w:tab w:leader="none" w:pos="255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to the contrary, (i) to the extent that any Net Proceeds in respect of any Prepayment Event by a Foreign Subsidiary is prohibited or delayed by Applicable Law from being repatriated to the United States, the portion of such Net Proceeds so affected will not be required to be applied to repay the Term Loan at the times provided above but may be retained by the applicable Foreign Subsidiary so long, but only so long, as the Applicable Law will not permit repatriation to the United States (the Company hereby agreeing to cause the applicable Foreign Subsidiary to promptly use commercially reasonable efforts to take all actions reasonably required by the Applicable Law to permit such repatriation), and once such repatriation of any of such affected Net Proceeds is permitted under the Applicable Law, such repatriation will be effected and such repatriated Net Proceeds will be promptly applied (net of additional taxes payable or reserved against as a result thereof) to the repayment of the Term Loan pursuant to </w:t>
      </w:r>
      <w:r>
        <w:rPr>
          <w:rFonts w:ascii="Arial" w:cs="Arial" w:eastAsia="Arial" w:hAnsi="Arial"/>
          <w:sz w:val="19"/>
          <w:szCs w:val="19"/>
          <w:u w:val="single" w:color="auto"/>
          <w:color w:val="auto"/>
        </w:rPr>
        <w:t>Section 2.5(a)(ii</w:t>
      </w:r>
      <w:r>
        <w:rPr>
          <w:rFonts w:ascii="Arial" w:cs="Arial" w:eastAsia="Arial" w:hAnsi="Arial"/>
          <w:sz w:val="19"/>
          <w:szCs w:val="19"/>
          <w:color w:val="auto"/>
        </w:rPr>
        <w:t>), to the extent provided herein and (ii) to the extent that the Company has determined in good faith that repatriation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7" w:name="page128"/>
    <w:bookmarkEnd w:id="127"/>
    <w:p>
      <w:pPr>
        <w:ind w:left="1300" w:firstLine="6"/>
        <w:spacing w:after="0" w:line="260" w:lineRule="auto"/>
        <w:rPr>
          <w:sz w:val="20"/>
          <w:szCs w:val="20"/>
          <w:color w:val="auto"/>
        </w:rPr>
      </w:pPr>
      <w:r>
        <w:rPr>
          <w:rFonts w:ascii="Arial" w:cs="Arial" w:eastAsia="Arial" w:hAnsi="Arial"/>
          <w:sz w:val="20"/>
          <w:szCs w:val="20"/>
          <w:color w:val="auto"/>
        </w:rPr>
        <w:t>or all of such Net Proceeds would have a material adverse tax consequence, the Net Proceeds so affected may be retained by the applicable Foreign Subsidiary.</w:t>
      </w:r>
    </w:p>
    <w:p>
      <w:pPr>
        <w:spacing w:after="0" w:line="177" w:lineRule="exact"/>
        <w:rPr>
          <w:sz w:val="20"/>
          <w:szCs w:val="20"/>
          <w:color w:val="auto"/>
        </w:rPr>
      </w:pPr>
    </w:p>
    <w:p>
      <w:pPr>
        <w:jc w:val="both"/>
        <w:ind w:left="660" w:firstLine="644"/>
        <w:spacing w:after="0" w:line="303" w:lineRule="auto"/>
        <w:tabs>
          <w:tab w:leader="none" w:pos="175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Any Borrower may at any time and from time to time prepay, without premium or penalty but including any amount required to be paid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hereof, Revolving Credit Loans, the Term Loan, Incremental Term Loans and Swingline Loans, in whole or in part, with irrevocable prior written notice to the Administrative Agent substantially in the form attached hereto as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given not later than 11:00 a.m. (i) on the same Business Day as each Base Rate Loan and each Swingline Loan, (ii) at least three (3) Business Days before each Eurocurrency Rate Loan under the Dollar Tranche, and (iii) at least four (4) Business Days (or five (5), in the case of prepayment of Loans denominated in Special Notice Currencies) before each Loan under the Designated Currency Tranche (or, in each case of clause (i) through clause (iii), such shorter time as agreed to by the Administrative Agent), specifying the date and amount of prepayment and whether the prepayment is of Dollar Tranche Revolving Credit Loans, Designated Currency Tranche Revolving Credit Loans, Term Loan, Incremental Term Loan, Swingline Loans, Eurocurrency Rate Loans, Base Rate Loans or a combination thereof, and, if of a combination thereof, the amount allocable to each. Upon receipt of such notice, the Administrative Agent shall promptly notify each Dollar Tranche Revolving Credit Lender, each Designated Currency Tranche Revolving Credit Lender, Term Loan Lender, Incremental Term Lender or Swingline Lender, as applicable. In the absence of direction otherwise in such Notice of Prepayment, any optional prepayment of Term Loans or Incremental Term Loans under this </w:t>
      </w:r>
      <w:r>
        <w:rPr>
          <w:rFonts w:ascii="Arial" w:cs="Arial" w:eastAsia="Arial" w:hAnsi="Arial"/>
          <w:sz w:val="16"/>
          <w:szCs w:val="16"/>
          <w:u w:val="single" w:color="auto"/>
          <w:color w:val="auto"/>
        </w:rPr>
        <w:t>Section 2.5(b)</w:t>
      </w:r>
      <w:r>
        <w:rPr>
          <w:rFonts w:ascii="Arial" w:cs="Arial" w:eastAsia="Arial" w:hAnsi="Arial"/>
          <w:sz w:val="16"/>
          <w:szCs w:val="16"/>
          <w:color w:val="auto"/>
        </w:rPr>
        <w:t xml:space="preserve"> shall be applied to the remaining installments in order of maturity. If any such notice is given, the amount specified in such notice shall be due and payable on the date set forth in such notice. Partial prepayments shall be in an aggregate Dollar Amount of $1,000,000 or a whole multiple of $100,000 in excess thereof with respect to Base Rate Loans (other than Swingline Loans) and Eurocurrency Rate Loans and $100,000 or a whole multiple of $100,000 in excess thereof with respect to Swingline Loans. A Notice of Prepayment received after 11:00 a.m. shall be deemed received on the next Business Day. Each such repayment shall be accompanied by any amount required to be paid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hereof. Notwithstanding the foregoing, the applicable Borrower may rescind or postpone any Notice of Prepayment if such prepayment would have resulted from a refinancing of a Credit Facility, which refinancing shall not be consummated or otherwise shall be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shall pay all amounts required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as a result of the rescission or postponement of such notice.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jc w:val="both"/>
        <w:ind w:left="660" w:firstLine="644"/>
        <w:spacing w:after="0" w:line="250" w:lineRule="auto"/>
        <w:tabs>
          <w:tab w:leader="none" w:pos="1739"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Limitation on Prepayment of Eurocurrency Rate Loans</w:t>
      </w:r>
      <w:r>
        <w:rPr>
          <w:rFonts w:ascii="Arial" w:cs="Arial" w:eastAsia="Arial" w:hAnsi="Arial"/>
          <w:sz w:val="20"/>
          <w:szCs w:val="20"/>
          <w:color w:val="auto"/>
        </w:rPr>
        <w:t xml:space="preserve">. No Borrower may prepay any Eurocurrency Rate Loan on any day other than on the last day of the Interest Period applicable thereto unless such prepayment is accompanied by any amount required to be paid pursuant to </w:t>
      </w: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hereof.</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5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Bank Product Obligations Unaffected</w:t>
      </w:r>
      <w:r>
        <w:rPr>
          <w:rFonts w:ascii="Arial" w:cs="Arial" w:eastAsia="Arial" w:hAnsi="Arial"/>
          <w:sz w:val="20"/>
          <w:szCs w:val="20"/>
          <w:color w:val="auto"/>
        </w:rPr>
        <w:t>. Any repayment or prepayment made pursuant to this Section shall not affect the Borrowers’ obligation to continue to make payments under any Bank Product, which shall remain in full force and effect notwithstanding such repayment or prepayment, subject to the terms of such Bank Product.</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2.6</w:t>
      </w:r>
      <w:r>
        <w:rPr>
          <w:sz w:val="20"/>
          <w:szCs w:val="20"/>
          <w:color w:val="auto"/>
        </w:rPr>
        <w:tab/>
      </w:r>
      <w:r>
        <w:rPr>
          <w:rFonts w:ascii="Arial" w:cs="Arial" w:eastAsia="Arial" w:hAnsi="Arial"/>
          <w:sz w:val="18"/>
          <w:szCs w:val="18"/>
          <w:b w:val="1"/>
          <w:bCs w:val="1"/>
          <w:u w:val="single" w:color="auto"/>
          <w:color w:val="auto"/>
        </w:rPr>
        <w:t>Termination or Reduction of Commitments.</w:t>
      </w:r>
    </w:p>
    <w:p>
      <w:pPr>
        <w:spacing w:after="0" w:line="222" w:lineRule="exact"/>
        <w:rPr>
          <w:sz w:val="20"/>
          <w:szCs w:val="20"/>
          <w:color w:val="auto"/>
        </w:rPr>
      </w:pPr>
    </w:p>
    <w:p>
      <w:pPr>
        <w:jc w:val="both"/>
        <w:ind w:left="660" w:firstLine="644"/>
        <w:spacing w:after="0" w:line="246" w:lineRule="auto"/>
        <w:tabs>
          <w:tab w:leader="none" w:pos="1833"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Voluntary Reduction</w:t>
      </w:r>
      <w:r>
        <w:rPr>
          <w:rFonts w:ascii="Arial" w:cs="Arial" w:eastAsia="Arial" w:hAnsi="Arial"/>
          <w:sz w:val="20"/>
          <w:szCs w:val="20"/>
          <w:color w:val="auto"/>
        </w:rPr>
        <w:t xml:space="preserve">. The Company shall have the right at any time and from time to time, upon at least five (5) Business Days’ (or such shorter period as may be agreed by the Administrative Agent) prior written notice to the Administrative Agent, to permanently reduce, without premium or penalty, but including any amount required to be paid pursuant to </w:t>
      </w: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hereof, (i) the entire Revolving Credit Commitment under both Tranches (with a corresponding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8" w:name="page129"/>
    <w:bookmarkEnd w:id="128"/>
    <w:p>
      <w:pPr>
        <w:jc w:val="both"/>
        <w:ind w:left="660" w:firstLine="6"/>
        <w:spacing w:after="0" w:line="256" w:lineRule="auto"/>
        <w:rPr>
          <w:sz w:val="20"/>
          <w:szCs w:val="20"/>
          <w:color w:val="auto"/>
        </w:rPr>
      </w:pPr>
      <w:r>
        <w:rPr>
          <w:rFonts w:ascii="Arial" w:cs="Arial" w:eastAsia="Arial" w:hAnsi="Arial"/>
          <w:sz w:val="19"/>
          <w:szCs w:val="19"/>
          <w:color w:val="auto"/>
        </w:rPr>
        <w:t>permanent reduction of the Swingline Commitment and the L/C Commitment) at any time or (ii) portions of the Dollar Tranche Revolving Credit Commitment or the Designated Currency Tranche Revolving Credit Commitment, from time to time, in each case in an aggregate principal Dollar Amount of not less than $2,500,000 or any whole multiple of $1,000,000 in excess thereof. Any reduction of the Dollar Tranche Revolving Credit Commitment or the Designated Currency Tranche Revolving Credit Commitment, as applicable, shall be applied to the Dollar Tranche Revolving Credit Commitment or the Designated Currency Tranche Revolving Credit Commitment of each Dollar Tranche Revolving Credit Lender or Designated Currency Tranche Revolving Credit Lender according to its Dollar Tranche Revolving Credit Commitment Percentage or Designated Currency Tranche Revolving Credit Commitment Percentage, as applicable. All commitment fees accrued until the effective date of any termination of the Revolving Credit Commitment shall be paid on the effective date of such termination.</w:t>
      </w:r>
    </w:p>
    <w:p>
      <w:pPr>
        <w:spacing w:after="0" w:line="184" w:lineRule="exact"/>
        <w:rPr>
          <w:sz w:val="20"/>
          <w:szCs w:val="20"/>
          <w:color w:val="auto"/>
        </w:rPr>
      </w:pPr>
    </w:p>
    <w:p>
      <w:pPr>
        <w:jc w:val="both"/>
        <w:ind w:left="660" w:firstLine="644"/>
        <w:spacing w:after="0" w:line="270" w:lineRule="auto"/>
        <w:tabs>
          <w:tab w:leader="none" w:pos="173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Corresponding Payment</w:t>
      </w:r>
      <w:r>
        <w:rPr>
          <w:rFonts w:ascii="Arial" w:cs="Arial" w:eastAsia="Arial" w:hAnsi="Arial"/>
          <w:sz w:val="18"/>
          <w:szCs w:val="18"/>
          <w:color w:val="auto"/>
        </w:rPr>
        <w:t xml:space="preserve">. Each permanent reduction permitted or required pursuant to this Section shall be accompanied by a payment of principal sufficient to reduce the aggregate outstanding Revolving Credit Loans, Swingline Loans, and L/C Obligations, as applicable, after such reduction to the Revolving Credit Commitment (and, if applicable, the Swingline Commitment), as so reduced, and if the Revolving Credit Commitment as so reduced is less than the aggregate amount of all outstanding Letters of Credit, the Borrowers shall be required to deposit cash collateral in a cash collateral account opened by the Administrative Agent in an amount equal to the aggregate then undrawn and unexpired amount of such Letters of Credit. Such cash collateral shall be applied in accordance with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If only one Tranche is being reduced, such cash collateral shall be applied toward the Letters of Credit issued under such Tranche.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Commitments and the Revolving Credit Facility. Such cash collateral shall be applied in accordance with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If the reduction of the Revolving Credit Commitment requires the repayment of any Eurocurrency Rate Loan, such repayment shall be accompanied by any amount required to be paid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hereof.</w:t>
      </w:r>
    </w:p>
    <w:p>
      <w:pPr>
        <w:spacing w:after="0" w:line="16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2.7</w:t>
      </w:r>
      <w:r>
        <w:rPr>
          <w:sz w:val="20"/>
          <w:szCs w:val="20"/>
          <w:color w:val="auto"/>
        </w:rPr>
        <w:tab/>
      </w:r>
      <w:r>
        <w:rPr>
          <w:rFonts w:ascii="Arial" w:cs="Arial" w:eastAsia="Arial" w:hAnsi="Arial"/>
          <w:sz w:val="16"/>
          <w:szCs w:val="16"/>
          <w:b w:val="1"/>
          <w:bCs w:val="1"/>
          <w:u w:val="single" w:color="auto"/>
          <w:color w:val="auto"/>
        </w:rPr>
        <w:t xml:space="preserve">Repayment of Loans. </w:t>
      </w:r>
      <w:r>
        <w:rPr>
          <w:rFonts w:ascii="Arial" w:cs="Arial" w:eastAsia="Arial" w:hAnsi="Arial"/>
          <w:sz w:val="16"/>
          <w:szCs w:val="16"/>
          <w:color w:val="auto"/>
        </w:rPr>
        <w:t>In each case, subject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301" w:lineRule="auto"/>
        <w:tabs>
          <w:tab w:leader="none" w:pos="1793"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Term Loans</w:t>
      </w:r>
      <w:r>
        <w:rPr>
          <w:rFonts w:ascii="Arial" w:cs="Arial" w:eastAsia="Arial" w:hAnsi="Arial"/>
          <w:sz w:val="16"/>
          <w:szCs w:val="16"/>
          <w:color w:val="auto"/>
        </w:rPr>
        <w:t xml:space="preserve">. On the last Business Day of each calendar quarter during the term of this Agreement, commencing on March 31, 2021, the Company shall repay to the Term Loan Lenders a portion of the aggregate principal amount of all Term Loans then outstanding in an amount equal to $2,500,000 (which amount shall be reduced as a result of the application of prepayments in accordance with the order of priority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unless accelerated sooner pursuant to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final principal repayment installment of the Term Loans shall be repaid on the Maturity Date for the Term Loan Credit Facility and in any event shall be in an amount equal to the aggregate principal amount of all Term Loans outstanding on such date and (ii) (A) if any principal repayment installment to be made by the Company (other than principal repayment installments on Eurocurrency Rate Loans) shall come due on a day other than a Business Day, such principal repayment installment shall be due on the next succeeding Business Day, and such extension of time shall be reflected in computing interest or fees, as the case may be and</w:t>
      </w:r>
    </w:p>
    <w:p>
      <w:pPr>
        <w:spacing w:after="0" w:line="4" w:lineRule="exact"/>
        <w:rPr>
          <w:rFonts w:ascii="Arial" w:cs="Arial" w:eastAsia="Arial" w:hAnsi="Arial"/>
          <w:sz w:val="16"/>
          <w:szCs w:val="16"/>
          <w:color w:val="auto"/>
        </w:rPr>
      </w:pPr>
    </w:p>
    <w:p>
      <w:pPr>
        <w:jc w:val="both"/>
        <w:ind w:left="660" w:hanging="4"/>
        <w:spacing w:after="0" w:line="257" w:lineRule="auto"/>
        <w:tabs>
          <w:tab w:leader="none" w:pos="98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any principal repayment installment to be made by the Company on a Eurocurrency Rate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29" w:name="page130"/>
    <w:bookmarkEnd w:id="129"/>
    <w:p>
      <w:pPr>
        <w:ind w:left="660" w:firstLine="644"/>
        <w:spacing w:after="0" w:line="260" w:lineRule="auto"/>
        <w:tabs>
          <w:tab w:leader="none" w:pos="1831"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The Borrowers shall repay to the Revolving Credit Lenders on the Maturity Date for the Revolving Credit Facility the aggregate principal amount of all Revolving Credit Loans outstanding on such date.</w:t>
      </w:r>
    </w:p>
    <w:p>
      <w:pPr>
        <w:spacing w:after="0" w:line="170" w:lineRule="exact"/>
        <w:rPr>
          <w:rFonts w:ascii="Arial" w:cs="Arial" w:eastAsia="Arial" w:hAnsi="Arial"/>
          <w:sz w:val="20"/>
          <w:szCs w:val="20"/>
          <w:color w:val="auto"/>
        </w:rPr>
      </w:pPr>
    </w:p>
    <w:p>
      <w:pPr>
        <w:ind w:left="660" w:firstLine="644"/>
        <w:spacing w:after="0" w:line="267" w:lineRule="auto"/>
        <w:tabs>
          <w:tab w:leader="none" w:pos="1847"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Swingline Loans</w:t>
      </w:r>
      <w:r>
        <w:rPr>
          <w:rFonts w:ascii="Arial" w:cs="Arial" w:eastAsia="Arial" w:hAnsi="Arial"/>
          <w:sz w:val="20"/>
          <w:szCs w:val="20"/>
          <w:b w:val="1"/>
          <w:bCs w:val="1"/>
          <w:color w:val="auto"/>
        </w:rPr>
        <w:t>.</w:t>
      </w:r>
      <w:r>
        <w:rPr>
          <w:rFonts w:ascii="Arial" w:cs="Arial" w:eastAsia="Arial" w:hAnsi="Arial"/>
          <w:sz w:val="20"/>
          <w:szCs w:val="20"/>
          <w:color w:val="auto"/>
        </w:rPr>
        <w:t xml:space="preserve"> The Company shall repay each Swingline Loan on the earlier to occur of (i) the date ten (10) Business Days after such Loan is made and (ii) the Maturity Date for the Revolving Credit Facility.</w:t>
      </w:r>
    </w:p>
    <w:p>
      <w:pPr>
        <w:spacing w:after="0" w:line="16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2.8</w:t>
      </w:r>
      <w:r>
        <w:rPr>
          <w:sz w:val="20"/>
          <w:szCs w:val="20"/>
          <w:color w:val="auto"/>
        </w:rPr>
        <w:tab/>
      </w:r>
      <w:r>
        <w:rPr>
          <w:rFonts w:ascii="Arial" w:cs="Arial" w:eastAsia="Arial" w:hAnsi="Arial"/>
          <w:sz w:val="18"/>
          <w:szCs w:val="18"/>
          <w:b w:val="1"/>
          <w:bCs w:val="1"/>
          <w:u w:val="single" w:color="auto"/>
          <w:color w:val="auto"/>
        </w:rPr>
        <w:t>Increase of Revolving Credit Commitment.</w:t>
      </w:r>
    </w:p>
    <w:p>
      <w:pPr>
        <w:spacing w:after="0" w:line="222" w:lineRule="exact"/>
        <w:rPr>
          <w:sz w:val="20"/>
          <w:szCs w:val="20"/>
          <w:color w:val="auto"/>
        </w:rPr>
      </w:pPr>
    </w:p>
    <w:p>
      <w:pPr>
        <w:jc w:val="both"/>
        <w:ind w:left="660" w:firstLine="644"/>
        <w:spacing w:after="0" w:line="257" w:lineRule="auto"/>
        <w:tabs>
          <w:tab w:leader="none" w:pos="175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As an alternative to, or in addition to,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below, subject to the conditions set forth below, at any time prior to the Maturity Date, the Company shall have the right upon not less than thirty (30) days’ (or such shorter period as may be agreed to by the Administrative Agent) prior written notice to the Administrative Agent pursuant to a Revolving Credit Increase Notification, to request an increase in the Revolving Credit Commitment in an aggregate principal amount as may be specified by the Company. Such Revolving Credit Increase Notification shall specify the applicable Revolving Credit Increase Effective Date and shall also specify the Tranche subject to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seeks to increase both Tranches, it shall indicate how such increase is to be allocated between the Tranches.</w:t>
      </w:r>
    </w:p>
    <w:p>
      <w:pPr>
        <w:spacing w:after="0" w:line="184" w:lineRule="exact"/>
        <w:rPr>
          <w:rFonts w:ascii="Arial" w:cs="Arial" w:eastAsia="Arial" w:hAnsi="Arial"/>
          <w:sz w:val="19"/>
          <w:szCs w:val="19"/>
          <w:color w:val="auto"/>
        </w:rPr>
      </w:pPr>
    </w:p>
    <w:p>
      <w:pPr>
        <w:jc w:val="both"/>
        <w:ind w:left="660" w:firstLine="644"/>
        <w:spacing w:after="0" w:line="260" w:lineRule="auto"/>
        <w:tabs>
          <w:tab w:leader="none" w:pos="184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Increases in the Revolving Credit Commitment shall be obtained from existing Revolving Credit Lenders or New Lenders that qualify as Eligible Assignees (each such New Lender, collectively with the existing Revolving Credit Lenders providing increased Revolving Credit Commitments, the “</w:t>
      </w:r>
      <w:r>
        <w:rPr>
          <w:rFonts w:ascii="Arial" w:cs="Arial" w:eastAsia="Arial" w:hAnsi="Arial"/>
          <w:sz w:val="19"/>
          <w:szCs w:val="19"/>
          <w:u w:val="single" w:color="auto"/>
          <w:color w:val="auto"/>
        </w:rPr>
        <w:t>Increasing Revolving Lenders</w:t>
      </w:r>
      <w:r>
        <w:rPr>
          <w:rFonts w:ascii="Arial" w:cs="Arial" w:eastAsia="Arial" w:hAnsi="Arial"/>
          <w:sz w:val="19"/>
          <w:szCs w:val="19"/>
          <w:color w:val="auto"/>
        </w:rPr>
        <w:t xml:space="preserve">”), in each case in accordance with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Revolving Credit Lender shall have any obligation to provide any portion of such increase, and a Revolving Credit Lender may agree to only increase its Commitment under a single Tranche.</w:t>
      </w:r>
    </w:p>
    <w:p>
      <w:pPr>
        <w:spacing w:after="0" w:line="180" w:lineRule="exact"/>
        <w:rPr>
          <w:rFonts w:ascii="Arial" w:cs="Arial" w:eastAsia="Arial" w:hAnsi="Arial"/>
          <w:sz w:val="19"/>
          <w:szCs w:val="19"/>
          <w:color w:val="auto"/>
        </w:rPr>
      </w:pPr>
    </w:p>
    <w:p>
      <w:pPr>
        <w:ind w:left="1720" w:hanging="416"/>
        <w:spacing w:after="0"/>
        <w:tabs>
          <w:tab w:leader="none" w:pos="17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following terms and conditions shall apply to each increase in the Revolving Credit Commitment: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375"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such increase in the Revolving Credit Commitment pursuant to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any Extensions of Credit made thereunder) shall constitute Obligations of the Borrowers and shall be guaranteed and, if applicable, secured with the other Extensions of Credit on a pari passu basis;</w:t>
      </w:r>
    </w:p>
    <w:p>
      <w:pPr>
        <w:spacing w:after="0" w:line="185" w:lineRule="exact"/>
        <w:rPr>
          <w:rFonts w:ascii="Arial" w:cs="Arial" w:eastAsia="Arial" w:hAnsi="Arial"/>
          <w:sz w:val="20"/>
          <w:szCs w:val="20"/>
          <w:color w:val="auto"/>
        </w:rPr>
      </w:pPr>
    </w:p>
    <w:p>
      <w:pPr>
        <w:jc w:val="both"/>
        <w:ind w:left="1300" w:firstLine="652"/>
        <w:spacing w:after="0" w:line="243" w:lineRule="auto"/>
        <w:tabs>
          <w:tab w:leader="none" w:pos="2427"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from the Company an Officer’s Compliance Certificate, in each case in form and substance reasonably satisfactory to the Administrative Agent, demonstrating that, as of the Revolving Credit Increase Effective Date and after giving effect to any such increase in the Revolving Credit Commitment (and, if applicable, any simultaneous Incremental Term Loan made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and any Extensions of Credit made or to be made in connection therewith, the Company will be in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compliance with the financial covenants set forth in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1300" w:firstLine="652"/>
        <w:spacing w:after="0" w:line="246" w:lineRule="auto"/>
        <w:tabs>
          <w:tab w:leader="none" w:pos="250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no Default or Event of Default shall have occurred and be continuing as of the applicable Revolving Credit Increase Effective Date and immediately after giving effect to such increase in the Revolving Credit Commitment pursuant to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if applicable, any simultaneous Incremental Term Loan made pursuant to </w:t>
      </w:r>
      <w:r>
        <w:rPr>
          <w:rFonts w:ascii="Arial" w:cs="Arial" w:eastAsia="Arial" w:hAnsi="Arial"/>
          <w:sz w:val="20"/>
          <w:szCs w:val="20"/>
          <w:u w:val="single" w:color="auto"/>
          <w:color w:val="auto"/>
        </w:rPr>
        <w:t>Section 2.9</w:t>
      </w:r>
      <w:r>
        <w:rPr>
          <w:rFonts w:ascii="Arial" w:cs="Arial" w:eastAsia="Arial" w:hAnsi="Arial"/>
          <w:sz w:val="20"/>
          <w:szCs w:val="20"/>
          <w:color w:val="auto"/>
        </w:rPr>
        <w:t>) and any Extensions of Credit made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0" w:name="page131"/>
    <w:bookmarkEnd w:id="130"/>
    <w:p>
      <w:pPr>
        <w:jc w:val="both"/>
        <w:ind w:left="1300" w:firstLine="652"/>
        <w:spacing w:after="0" w:line="243" w:lineRule="auto"/>
        <w:tabs>
          <w:tab w:leader="none" w:pos="243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representations and warranties made by each Credit Party in this Agreement and the other Loan Documents shall be true and correct in all material respects (or, if qualified by materiality or Material Adverse Effect, in all respects) on and as of the Revolving Credit Increase Effective Date with the same effect as if made on and as of such date (other than those representations and warranties that by their terms speak as of a particular date, which representations and warranties shall be true and correct in all material respects (or, if qualified by materiality or Material Adverse Effect, in all respects) as of such particular date);</w:t>
      </w:r>
    </w:p>
    <w:p>
      <w:pPr>
        <w:spacing w:after="0" w:line="195" w:lineRule="exact"/>
        <w:rPr>
          <w:rFonts w:ascii="Arial" w:cs="Arial" w:eastAsia="Arial" w:hAnsi="Arial"/>
          <w:sz w:val="20"/>
          <w:szCs w:val="20"/>
          <w:color w:val="auto"/>
        </w:rPr>
      </w:pPr>
    </w:p>
    <w:p>
      <w:pPr>
        <w:jc w:val="both"/>
        <w:ind w:left="1300" w:firstLine="652"/>
        <w:spacing w:after="0" w:line="257" w:lineRule="auto"/>
        <w:tabs>
          <w:tab w:leader="none" w:pos="243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in no event shall the aggregate amount of all increases in the Revolving Credit Commitment pursuant to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exceed the sum of (i) (x) $250,000,000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(y) the sum of (A) the aggregate principal amount of all simultaneous or prior Incremental Term Loans made pursuant to </w:t>
      </w:r>
      <w:r>
        <w:rPr>
          <w:rFonts w:ascii="Arial" w:cs="Arial" w:eastAsia="Arial" w:hAnsi="Arial"/>
          <w:sz w:val="19"/>
          <w:szCs w:val="19"/>
          <w:u w:val="single" w:color="auto"/>
          <w:color w:val="auto"/>
        </w:rPr>
        <w:t>Section 2.9(c)(v)(i)</w:t>
      </w:r>
      <w:r>
        <w:rPr>
          <w:rFonts w:ascii="Arial" w:cs="Arial" w:eastAsia="Arial" w:hAnsi="Arial"/>
          <w:sz w:val="19"/>
          <w:szCs w:val="19"/>
          <w:color w:val="auto"/>
        </w:rPr>
        <w:t xml:space="preserve"> and (B) the aggregate principal amount of all prior increases to the Revolving Credit Commitment made pursuant to this </w:t>
      </w:r>
      <w:r>
        <w:rPr>
          <w:rFonts w:ascii="Arial" w:cs="Arial" w:eastAsia="Arial" w:hAnsi="Arial"/>
          <w:sz w:val="19"/>
          <w:szCs w:val="19"/>
          <w:u w:val="single" w:color="auto"/>
          <w:color w:val="auto"/>
        </w:rPr>
        <w:t>Section 2.8(c)(v)(i) plus</w:t>
      </w:r>
      <w:r>
        <w:rPr>
          <w:rFonts w:ascii="Arial" w:cs="Arial" w:eastAsia="Arial" w:hAnsi="Arial"/>
          <w:sz w:val="19"/>
          <w:szCs w:val="19"/>
          <w:color w:val="auto"/>
        </w:rPr>
        <w:t xml:space="preserve"> (ii) at the Borrower’s option, up to an amount of increased Revolving Credit Commitments such that the Net Leverage Ratio (calculated on a pro forma basis after giving effect to such increases (assuming the borrowing of the maximum credit thereunder) and the application of the proceeds therefrom) shall be no greater than 3.25 to 1.00;</w:t>
      </w:r>
    </w:p>
    <w:p>
      <w:pPr>
        <w:spacing w:after="0" w:line="184" w:lineRule="exact"/>
        <w:rPr>
          <w:rFonts w:ascii="Arial" w:cs="Arial" w:eastAsia="Arial" w:hAnsi="Arial"/>
          <w:sz w:val="19"/>
          <w:szCs w:val="19"/>
          <w:color w:val="auto"/>
        </w:rPr>
      </w:pPr>
    </w:p>
    <w:p>
      <w:pPr>
        <w:ind w:left="1300" w:firstLine="652"/>
        <w:spacing w:after="0" w:line="316" w:lineRule="auto"/>
        <w:tabs>
          <w:tab w:leader="none" w:pos="244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amount of such increase in the Revolving Credit Commitment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not be less than a minimum principal amount of $10,000,000, or, if less, the remaining amount permitted pursuant to clause (v) above;</w:t>
      </w:r>
    </w:p>
    <w:p>
      <w:pPr>
        <w:spacing w:after="0" w:line="129" w:lineRule="exact"/>
        <w:rPr>
          <w:rFonts w:ascii="Arial" w:cs="Arial" w:eastAsia="Arial" w:hAnsi="Arial"/>
          <w:sz w:val="18"/>
          <w:szCs w:val="18"/>
          <w:color w:val="auto"/>
        </w:rPr>
      </w:pPr>
    </w:p>
    <w:p>
      <w:pPr>
        <w:ind w:left="1300" w:right="20" w:firstLine="652"/>
        <w:spacing w:after="0" w:line="287" w:lineRule="auto"/>
        <w:tabs>
          <w:tab w:leader="none" w:pos="256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unless previously provided, the Administrative Agent shall have received a resolution duly adopted by the board of directors of each Credit Party authorizing such increase in the Revolving Credit Commitment;</w:t>
      </w:r>
    </w:p>
    <w:p>
      <w:pPr>
        <w:spacing w:after="0" w:line="152" w:lineRule="exact"/>
        <w:rPr>
          <w:rFonts w:ascii="Arial" w:cs="Arial" w:eastAsia="Arial" w:hAnsi="Arial"/>
          <w:sz w:val="19"/>
          <w:szCs w:val="19"/>
          <w:color w:val="auto"/>
        </w:rPr>
      </w:pPr>
    </w:p>
    <w:p>
      <w:pPr>
        <w:ind w:left="1300" w:right="20" w:firstLine="652"/>
        <w:spacing w:after="0" w:line="287" w:lineRule="auto"/>
        <w:tabs>
          <w:tab w:leader="none" w:pos="267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Borrowers and each Increasing Revolving Lender shall execute and deliver a Lender Addition and Acknowledgement Agreement to the Administrative Agent, for its acceptance and recording in the Register;</w:t>
      </w:r>
    </w:p>
    <w:p>
      <w:pPr>
        <w:spacing w:after="0" w:line="152" w:lineRule="exact"/>
        <w:rPr>
          <w:rFonts w:ascii="Arial" w:cs="Arial" w:eastAsia="Arial" w:hAnsi="Arial"/>
          <w:sz w:val="19"/>
          <w:szCs w:val="19"/>
          <w:color w:val="auto"/>
        </w:rPr>
      </w:pPr>
    </w:p>
    <w:p>
      <w:pPr>
        <w:jc w:val="both"/>
        <w:ind w:left="1300" w:firstLine="652"/>
        <w:spacing w:after="0" w:line="250" w:lineRule="auto"/>
        <w:tabs>
          <w:tab w:leader="none" w:pos="246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the Administrative Agent shall have received any documents or information, including any joinder agreement and opinions of counsel, in connection with such increase in the Revolving Credit Commitment as it may request in its reasonable discretion; and</w:t>
      </w:r>
    </w:p>
    <w:p>
      <w:pPr>
        <w:spacing w:after="0" w:line="185" w:lineRule="exact"/>
        <w:rPr>
          <w:rFonts w:ascii="Arial" w:cs="Arial" w:eastAsia="Arial" w:hAnsi="Arial"/>
          <w:sz w:val="20"/>
          <w:szCs w:val="20"/>
          <w:color w:val="auto"/>
        </w:rPr>
      </w:pPr>
    </w:p>
    <w:p>
      <w:pPr>
        <w:jc w:val="both"/>
        <w:ind w:left="1300" w:firstLine="652"/>
        <w:spacing w:after="0" w:line="276" w:lineRule="auto"/>
        <w:tabs>
          <w:tab w:leader="none" w:pos="24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Revolving Credit Commitment Percentages of L/C Obligations under the applicable Tranche will be reallocated by the Administrative Agent on the applicable Revolving Credit Increase Effective Date among the Revolving Credit Lenders subject to such Tranche in accordance with their revised Revolving Credit Commitment Percentages in respect of such Tranche (and the Revolving Credit Lenders under such Tranche agree to make all payments and adjustments necessary to effect such reallocation and the Borrowers shall pay any and all costs required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in connection with such reallocation as if such reallocation were a repayment).</w:t>
      </w:r>
    </w:p>
    <w:p>
      <w:pPr>
        <w:spacing w:after="0" w:line="164" w:lineRule="exact"/>
        <w:rPr>
          <w:rFonts w:ascii="Arial" w:cs="Arial" w:eastAsia="Arial" w:hAnsi="Arial"/>
          <w:sz w:val="18"/>
          <w:szCs w:val="18"/>
          <w:color w:val="auto"/>
        </w:rPr>
      </w:pPr>
    </w:p>
    <w:p>
      <w:pPr>
        <w:jc w:val="both"/>
        <w:ind w:left="660" w:firstLine="644"/>
        <w:spacing w:after="0" w:line="291" w:lineRule="auto"/>
        <w:tabs>
          <w:tab w:leader="none" w:pos="18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to the contrary, the Administrative Agent is hereby authorized to execute and deliver amendment documentation evidencing any amendments necessary to effectuate the proposed increase in the Revolving Credit Commitment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on behalf of the Revolving Credit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1" w:name="page132"/>
    <w:bookmarkEnd w:id="131"/>
    <w:p>
      <w:pPr>
        <w:ind w:left="660" w:firstLine="6"/>
        <w:spacing w:after="0" w:line="287" w:lineRule="auto"/>
        <w:rPr>
          <w:sz w:val="20"/>
          <w:szCs w:val="20"/>
          <w:color w:val="auto"/>
        </w:rPr>
      </w:pPr>
      <w:r>
        <w:rPr>
          <w:rFonts w:ascii="Arial" w:cs="Arial" w:eastAsia="Arial" w:hAnsi="Arial"/>
          <w:sz w:val="19"/>
          <w:szCs w:val="19"/>
          <w:color w:val="auto"/>
        </w:rPr>
        <w:t xml:space="preserve">amendment shall not modify this Agreement or any other Loan Document in any manner materially adverse to any Lender without the consent of such Lenders materially adversely affected thereby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hereof.</w:t>
      </w:r>
    </w:p>
    <w:p>
      <w:pPr>
        <w:spacing w:after="0" w:line="152" w:lineRule="exact"/>
        <w:rPr>
          <w:sz w:val="20"/>
          <w:szCs w:val="20"/>
          <w:color w:val="auto"/>
        </w:rPr>
      </w:pPr>
    </w:p>
    <w:p>
      <w:pPr>
        <w:jc w:val="both"/>
        <w:ind w:left="660" w:firstLine="644"/>
        <w:spacing w:after="0" w:line="259" w:lineRule="auto"/>
        <w:tabs>
          <w:tab w:leader="none" w:pos="184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Upon the execution, delivery, acceptance and recording of the applicable Lender Addition and Acknowledgement Agreement, from and after the applicable Revolving Credit Increase Effective Date, (i) each Increasing Revolving Lender shall have a Revolving Credit Commitment as set forth in the Register and all the rights and obligations of a Revolving Credit Lender with a Revolving Credit Commitment hereunder and (ii) all Revolving Credit Loans made on account of the increased portion of the Revolving Credit Commitment pursuant to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shall bear interest at the rate as determined and agreed to at the time of such increase by the Borrowers and each Increasing Revolving Lender.</w:t>
      </w:r>
    </w:p>
    <w:p>
      <w:pPr>
        <w:spacing w:after="0" w:line="178" w:lineRule="exact"/>
        <w:rPr>
          <w:rFonts w:ascii="Arial" w:cs="Arial" w:eastAsia="Arial" w:hAnsi="Arial"/>
          <w:sz w:val="19"/>
          <w:szCs w:val="19"/>
          <w:color w:val="auto"/>
        </w:rPr>
      </w:pPr>
    </w:p>
    <w:p>
      <w:pPr>
        <w:ind w:left="660" w:firstLine="644"/>
        <w:spacing w:after="0" w:line="260" w:lineRule="auto"/>
        <w:tabs>
          <w:tab w:leader="none" w:pos="173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The Administrative Agent shall maintain a copy of each Lender Addition and Acknowledgement Agreement delivered to it in accordance with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4"/>
        <w:spacing w:after="0" w:line="276" w:lineRule="auto"/>
        <w:tabs>
          <w:tab w:leader="none" w:pos="176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Applicable Margin and pricing grid for the additional Revolving Credit Commitments (and corresponding Loans) shall be the same as the Applicable Margin and pricing grid for the Revolving Credit Commitments (and corresponding Loans) in effect prior to the increase thereof unless the Applicable Margin and pricing grid for the Revolving Credit Commitment (and corresponding Loan) as in effect prior to the increase thereof are increased to an amount that is equal to the Applicable Margin and pricing grid for such additional Revolving Credit Commitments (and corresponding Loans), it being agreed that the consent of any Lender that is not an Increasing Revolving Lender shall not be required for any amendment required to effect the foregoing.</w:t>
      </w:r>
    </w:p>
    <w:p>
      <w:pPr>
        <w:spacing w:after="0" w:line="15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8"/>
          <w:szCs w:val="18"/>
          <w:b w:val="1"/>
          <w:bCs w:val="1"/>
          <w:u w:val="single" w:color="auto"/>
          <w:color w:val="auto"/>
        </w:rPr>
        <w:t>Optional Incremental Term Loans.</w:t>
      </w:r>
    </w:p>
    <w:p>
      <w:pPr>
        <w:spacing w:after="0" w:line="222" w:lineRule="exact"/>
        <w:rPr>
          <w:sz w:val="20"/>
          <w:szCs w:val="20"/>
          <w:color w:val="auto"/>
        </w:rPr>
      </w:pPr>
    </w:p>
    <w:p>
      <w:pPr>
        <w:jc w:val="both"/>
        <w:ind w:left="660" w:firstLine="644"/>
        <w:spacing w:after="0" w:line="276" w:lineRule="auto"/>
        <w:tabs>
          <w:tab w:leader="none" w:pos="17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As an alternative to, or in addition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above, subject to the conditions set forth below, at any time prior to the Maturity Date, the Company shall have the right upon not less than thirty (30) days’ (or such shorter period as may be agreed to by the Administrative Agent) prior written notice to the Administrative Agent pursuant to an Incremental Term Loan Notification, to request term loans in an aggregate principal amount as may be specified by the Company (such term loans, the “</w:t>
      </w:r>
      <w:r>
        <w:rPr>
          <w:rFonts w:ascii="Arial" w:cs="Arial" w:eastAsia="Arial" w:hAnsi="Arial"/>
          <w:sz w:val="18"/>
          <w:szCs w:val="18"/>
          <w:u w:val="single" w:color="auto"/>
          <w:color w:val="auto"/>
        </w:rPr>
        <w:t>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Such Incremental Term Loan Notification shall specify the applicable Incremental Term Loan Effective Date, and on or prior to such date, the applicable Borrower shall deliver a Loan Notice with respect to such Incremental Term Loan.</w:t>
      </w:r>
    </w:p>
    <w:p>
      <w:pPr>
        <w:spacing w:after="0" w:line="164" w:lineRule="exact"/>
        <w:rPr>
          <w:rFonts w:ascii="Arial" w:cs="Arial" w:eastAsia="Arial" w:hAnsi="Arial"/>
          <w:sz w:val="18"/>
          <w:szCs w:val="18"/>
          <w:color w:val="auto"/>
        </w:rPr>
      </w:pPr>
    </w:p>
    <w:p>
      <w:pPr>
        <w:jc w:val="both"/>
        <w:ind w:left="660" w:firstLine="644"/>
        <w:spacing w:after="0" w:line="246" w:lineRule="auto"/>
        <w:tabs>
          <w:tab w:leader="none" w:pos="181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Each Incremental Term Loan shall be obtained from existing Lenders or from New Lenders that qualify as Eligible Assignees (each such New Lender, collectively with the existing Lenders providing Incremental Term Loans, the “</w:t>
      </w:r>
      <w:r>
        <w:rPr>
          <w:rFonts w:ascii="Arial" w:cs="Arial" w:eastAsia="Arial" w:hAnsi="Arial"/>
          <w:sz w:val="20"/>
          <w:szCs w:val="20"/>
          <w:u w:val="single" w:color="auto"/>
          <w:color w:val="auto"/>
        </w:rPr>
        <w:t>Incremental Term</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in each case in accordance with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have any obligation to provide any portion of such Incremental Term Loans.</w:t>
      </w:r>
    </w:p>
    <w:p>
      <w:pPr>
        <w:spacing w:after="0" w:line="191" w:lineRule="exact"/>
        <w:rPr>
          <w:rFonts w:ascii="Arial" w:cs="Arial" w:eastAsia="Arial" w:hAnsi="Arial"/>
          <w:sz w:val="20"/>
          <w:szCs w:val="20"/>
          <w:color w:val="auto"/>
        </w:rPr>
      </w:pPr>
    </w:p>
    <w:p>
      <w:pPr>
        <w:ind w:left="1720" w:hanging="416"/>
        <w:spacing w:after="0"/>
        <w:tabs>
          <w:tab w:leader="none" w:pos="172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following terms and conditions shall apply to each Incremental Term Loan:</w:t>
      </w:r>
    </w:p>
    <w:p>
      <w:pPr>
        <w:spacing w:after="0" w:line="215" w:lineRule="exact"/>
        <w:rPr>
          <w:rFonts w:ascii="Arial" w:cs="Arial" w:eastAsia="Arial" w:hAnsi="Arial"/>
          <w:sz w:val="20"/>
          <w:szCs w:val="20"/>
          <w:color w:val="auto"/>
        </w:rPr>
      </w:pPr>
    </w:p>
    <w:p>
      <w:pPr>
        <w:ind w:left="1300" w:firstLine="652"/>
        <w:spacing w:after="0" w:line="316" w:lineRule="auto"/>
        <w:tabs>
          <w:tab w:leader="none" w:pos="236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such Incremental Term Loan made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constitute an Obligation of the applicable Borrower and shall be guaranteed and, if applicable, secured with the other Extensions of Credit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2" w:name="page133"/>
    <w:bookmarkEnd w:id="132"/>
    <w:p>
      <w:pPr>
        <w:jc w:val="both"/>
        <w:ind w:left="1300" w:firstLine="652"/>
        <w:spacing w:after="0" w:line="260" w:lineRule="auto"/>
        <w:tabs>
          <w:tab w:leader="none" w:pos="2427"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from the Company an Officer’s Compliance Certificate, in each case in form and substance reasonably satisfactory to the Administrative Agent, demonstrating that, as of the Incremental Term Loan Effective Date and after giving effect to any such Incremental Term Loan (and, if applicable, any simultaneous increase in the Revolving Credit Commitment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the Company will be in pro forma compliance with the financial covenants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1300" w:firstLine="652"/>
        <w:spacing w:after="0" w:line="269" w:lineRule="auto"/>
        <w:tabs>
          <w:tab w:leader="none" w:pos="249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no Default or Event of Default shall have occurred and be continuing as of the applicable Incremental Term Loan Effective Date and immediately after giving effect to the making of any such Incremental Term Loans (and, if applicable, any simultaneous increase in the Revolving Credit Commitment pursuant to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left="1300" w:firstLine="652"/>
        <w:spacing w:after="0" w:line="243" w:lineRule="auto"/>
        <w:tabs>
          <w:tab w:leader="none" w:pos="258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representations and warranties made by each Credit Party in this Agreement and in the other Loan Documents shall be true and correct in all material respects (or, if qualified by materiality or Material Adverse Effect, in all respects) on and as of the Incremental Term Loan Effective Date with the same effect as if made on and as of such date (other than those representations and warranties that by their terms speak as of a particular date, which representations and warranties shall be true and correct in all material respects (or, if qualified by materiality or Material Adverse Effect, in all respects) as of such particular date);</w:t>
      </w:r>
    </w:p>
    <w:p>
      <w:pPr>
        <w:spacing w:after="0" w:line="195" w:lineRule="exact"/>
        <w:rPr>
          <w:rFonts w:ascii="Arial" w:cs="Arial" w:eastAsia="Arial" w:hAnsi="Arial"/>
          <w:sz w:val="20"/>
          <w:szCs w:val="20"/>
          <w:color w:val="auto"/>
        </w:rPr>
      </w:pPr>
    </w:p>
    <w:p>
      <w:pPr>
        <w:jc w:val="both"/>
        <w:ind w:left="1300" w:firstLine="652"/>
        <w:spacing w:after="0" w:line="243" w:lineRule="auto"/>
        <w:tabs>
          <w:tab w:leader="none" w:pos="2547"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in no event shall the aggregate principal amount of all Incremental Term Loans made pursuant to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exceed the sum of (i) (x) $250,000,000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(y) the sum of (A) the aggregate principal amount of all prior or simultaneous increases in the Revolving Credit Commitment made pursuant to </w:t>
      </w:r>
      <w:r>
        <w:rPr>
          <w:rFonts w:ascii="Arial" w:cs="Arial" w:eastAsia="Arial" w:hAnsi="Arial"/>
          <w:sz w:val="20"/>
          <w:szCs w:val="20"/>
          <w:u w:val="single" w:color="auto"/>
          <w:color w:val="auto"/>
        </w:rPr>
        <w:t>Section 2.8(c)(v)(i)</w:t>
      </w:r>
      <w:r>
        <w:rPr>
          <w:rFonts w:ascii="Arial" w:cs="Arial" w:eastAsia="Arial" w:hAnsi="Arial"/>
          <w:sz w:val="20"/>
          <w:szCs w:val="20"/>
          <w:color w:val="auto"/>
        </w:rPr>
        <w:t xml:space="preserve"> and (B) the aggregate principal amount of all prior Incremental Term Loans made pursuant to </w:t>
      </w:r>
      <w:r>
        <w:rPr>
          <w:rFonts w:ascii="Arial" w:cs="Arial" w:eastAsia="Arial" w:hAnsi="Arial"/>
          <w:sz w:val="20"/>
          <w:szCs w:val="20"/>
          <w:u w:val="single" w:color="auto"/>
          <w:color w:val="auto"/>
        </w:rPr>
        <w:t>Section 2.9(c)(v)(i) plus</w:t>
      </w:r>
      <w:r>
        <w:rPr>
          <w:rFonts w:ascii="Arial" w:cs="Arial" w:eastAsia="Arial" w:hAnsi="Arial"/>
          <w:sz w:val="20"/>
          <w:szCs w:val="20"/>
          <w:color w:val="auto"/>
        </w:rPr>
        <w:t xml:space="preserve"> (ii) at the Borrower’s option, up to an amount of Incremental Term Loans such that the Net Leverage Ratio (calculated on a pro forma basis after giving effect to such increases (assuming the borrowing of the maximum credit thereunder) and the application of the proceeds therefrom) shall be no greater than 3.25 to 1.00;</w:t>
      </w:r>
    </w:p>
    <w:p>
      <w:pPr>
        <w:spacing w:after="0" w:line="192" w:lineRule="exact"/>
        <w:rPr>
          <w:rFonts w:ascii="Arial" w:cs="Arial" w:eastAsia="Arial" w:hAnsi="Arial"/>
          <w:sz w:val="20"/>
          <w:szCs w:val="20"/>
          <w:color w:val="auto"/>
        </w:rPr>
      </w:pPr>
    </w:p>
    <w:p>
      <w:pPr>
        <w:ind w:left="1300" w:firstLine="652"/>
        <w:spacing w:after="0" w:line="260" w:lineRule="auto"/>
        <w:tabs>
          <w:tab w:leader="none" w:pos="251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amount of such Incremental Term Loan obtained hereunder shall not be less than a minimum principal amount of $10,000,000, or, if less, the remaining amount permitted pursuant to clause (v) above;</w:t>
      </w:r>
    </w:p>
    <w:p>
      <w:pPr>
        <w:spacing w:after="0" w:line="176" w:lineRule="exact"/>
        <w:rPr>
          <w:rFonts w:ascii="Arial" w:cs="Arial" w:eastAsia="Arial" w:hAnsi="Arial"/>
          <w:sz w:val="20"/>
          <w:szCs w:val="20"/>
          <w:color w:val="auto"/>
        </w:rPr>
      </w:pPr>
    </w:p>
    <w:p>
      <w:pPr>
        <w:ind w:left="2500" w:hanging="548"/>
        <w:spacing w:after="0"/>
        <w:tabs>
          <w:tab w:leader="none" w:pos="25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Incremental Term Loan shall: (A) have a maturity date that is no earlier than the then latest Maturity Date;</w:t>
      </w:r>
    </w:p>
    <w:p>
      <w:pPr>
        <w:spacing w:after="0" w:line="38" w:lineRule="exact"/>
        <w:rPr>
          <w:rFonts w:ascii="Arial" w:cs="Arial" w:eastAsia="Arial" w:hAnsi="Arial"/>
          <w:sz w:val="18"/>
          <w:szCs w:val="18"/>
          <w:color w:val="auto"/>
        </w:rPr>
      </w:pPr>
    </w:p>
    <w:p>
      <w:pPr>
        <w:jc w:val="both"/>
        <w:ind w:left="1300" w:firstLine="4"/>
        <w:spacing w:after="0" w:line="254" w:lineRule="auto"/>
        <w:tabs>
          <w:tab w:leader="none" w:pos="161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have a weighted average life to maturity that is no shorter than the weighted average life to maturity of the existing Term Loans (it being understood that, subject to the foregoing, the amortization schedule applicable to such Incremental Term Loan shall be determined by the applicable Borrower and the Lenders of such Incremental Term Loan); and (C) otherwise have terms and conditions, subject to the conditions set forth in the preceding clauses (A) and (B), as are determined by the applicable Borrower and the Lenders of such Incremental Term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negative covenants and events of default relating to such Incremental Term Loan, if not consistent with the terms of the existing Credit Facility, shall not be, as determined by the Company its reasonable business judgment, materially more restrictive, taken as a whole, to the Company and its Restricted Subsidiaries than the existing Credit Facility (except to the extent permitted above or below with respect to the maturity date, amortization, mandatory prepayments and interest rate and except for such other terms which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3" w:name="page134"/>
    <w:bookmarkEnd w:id="133"/>
    <w:p>
      <w:pPr>
        <w:ind w:left="1300" w:firstLine="6"/>
        <w:spacing w:after="0" w:line="260" w:lineRule="auto"/>
        <w:rPr>
          <w:sz w:val="20"/>
          <w:szCs w:val="20"/>
          <w:color w:val="auto"/>
        </w:rPr>
      </w:pPr>
      <w:r>
        <w:rPr>
          <w:rFonts w:ascii="Arial" w:cs="Arial" w:eastAsia="Arial" w:hAnsi="Arial"/>
          <w:sz w:val="20"/>
          <w:szCs w:val="20"/>
          <w:color w:val="auto"/>
        </w:rPr>
        <w:t>existing Lenders receive the benefit of such more restrictive terms of or (y) are applicable only after the latest Maturity Date then in effect);</w:t>
      </w:r>
    </w:p>
    <w:p>
      <w:pPr>
        <w:spacing w:after="0" w:line="177" w:lineRule="exact"/>
        <w:rPr>
          <w:sz w:val="20"/>
          <w:szCs w:val="20"/>
          <w:color w:val="auto"/>
        </w:rPr>
      </w:pPr>
    </w:p>
    <w:p>
      <w:pPr>
        <w:ind w:left="1300" w:firstLine="652"/>
        <w:spacing w:after="0" w:line="260" w:lineRule="auto"/>
        <w:tabs>
          <w:tab w:leader="none" w:pos="260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unless previously provided, the Administrative Agent shall have received a resolution duly adopted by the board of directors of each Credit Party authorizing such Incremental Term Loan;</w:t>
      </w:r>
    </w:p>
    <w:p>
      <w:pPr>
        <w:spacing w:after="0" w:line="176" w:lineRule="exact"/>
        <w:rPr>
          <w:rFonts w:ascii="Arial" w:cs="Arial" w:eastAsia="Arial" w:hAnsi="Arial"/>
          <w:sz w:val="20"/>
          <w:szCs w:val="20"/>
          <w:color w:val="auto"/>
        </w:rPr>
      </w:pPr>
    </w:p>
    <w:p>
      <w:pPr>
        <w:jc w:val="both"/>
        <w:ind w:left="1300" w:firstLine="652"/>
        <w:spacing w:after="0" w:line="263" w:lineRule="auto"/>
        <w:tabs>
          <w:tab w:leader="none" w:pos="245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each Incremental Term Loan shall be made on the applicable Incremental Term Loan Effective Date specified in the Incremental Term Loan Notification and will mature and amortize in a manner reasonably acceptable to the Administrative Agent, the Incremental Term Lenders making such Incremental Term Loan and the Company, but such Incremental Term Loan will not in any event have a maturity date earlier than the Maturity Date;</w:t>
      </w:r>
    </w:p>
    <w:p>
      <w:pPr>
        <w:spacing w:after="0" w:line="176" w:lineRule="exact"/>
        <w:rPr>
          <w:rFonts w:ascii="Arial" w:cs="Arial" w:eastAsia="Arial" w:hAnsi="Arial"/>
          <w:sz w:val="19"/>
          <w:szCs w:val="19"/>
          <w:color w:val="auto"/>
        </w:rPr>
      </w:pPr>
    </w:p>
    <w:p>
      <w:pPr>
        <w:ind w:left="1300" w:firstLine="652"/>
        <w:spacing w:after="0" w:line="287" w:lineRule="auto"/>
        <w:tabs>
          <w:tab w:leader="none" w:pos="261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Borrowers and each Incremental Term Lender shall execute and deliver a Lender Addition and Acknowledgement Agreement to the Administrative Agent, for its acceptance and recording in the Register; and</w:t>
      </w:r>
    </w:p>
    <w:p>
      <w:pPr>
        <w:spacing w:after="0" w:line="152" w:lineRule="exact"/>
        <w:rPr>
          <w:rFonts w:ascii="Arial" w:cs="Arial" w:eastAsia="Arial" w:hAnsi="Arial"/>
          <w:sz w:val="19"/>
          <w:szCs w:val="19"/>
          <w:color w:val="auto"/>
        </w:rPr>
      </w:pPr>
    </w:p>
    <w:p>
      <w:pPr>
        <w:ind w:left="1300" w:firstLine="652"/>
        <w:spacing w:after="0" w:line="316" w:lineRule="auto"/>
        <w:tabs>
          <w:tab w:leader="none" w:pos="244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Administrative Agent shall have received any documents or information, including any joinder agreements and opinions of counsel, in connection with such Incremental Term Loan as it may request in its reasonable discretion.</w:t>
      </w:r>
    </w:p>
    <w:p>
      <w:pPr>
        <w:spacing w:after="0" w:line="129" w:lineRule="exact"/>
        <w:rPr>
          <w:rFonts w:ascii="Arial" w:cs="Arial" w:eastAsia="Arial" w:hAnsi="Arial"/>
          <w:sz w:val="18"/>
          <w:szCs w:val="18"/>
          <w:color w:val="auto"/>
        </w:rPr>
      </w:pPr>
    </w:p>
    <w:p>
      <w:pPr>
        <w:jc w:val="both"/>
        <w:ind w:left="660" w:firstLine="644"/>
        <w:spacing w:after="0" w:line="244" w:lineRule="auto"/>
        <w:tabs>
          <w:tab w:leader="none" w:pos="186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Notwithstanding the provisions of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to the contrary, the Administrative Agent is hereby authorized to execute and deliver amendment documentation evidencing any amendments necessary to effectuate the Incremental Term Loan pursuant to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on behalf of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 shall not modify this Agreement or any other Loan Document in any manner materially adverse to any Lender without the consent of such Lenders adversely affected thereby in accordance with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hereof.</w:t>
      </w:r>
    </w:p>
    <w:p>
      <w:pPr>
        <w:spacing w:after="0" w:line="194" w:lineRule="exact"/>
        <w:rPr>
          <w:rFonts w:ascii="Arial" w:cs="Arial" w:eastAsia="Arial" w:hAnsi="Arial"/>
          <w:sz w:val="20"/>
          <w:szCs w:val="20"/>
          <w:color w:val="auto"/>
        </w:rPr>
      </w:pPr>
    </w:p>
    <w:p>
      <w:pPr>
        <w:jc w:val="both"/>
        <w:ind w:left="660" w:firstLine="644"/>
        <w:spacing w:after="0" w:line="243" w:lineRule="auto"/>
        <w:tabs>
          <w:tab w:leader="none" w:pos="184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Upon the execution, delivery, acceptance and recording of the applicable Lender Addition and Acknowledgement Agreement, from and after the applicable Incremental Term Loan Effective Date, each Incremental Term Lender shall have an Incremental Term Loan Commitment as set forth in the Register and all the rights and obligations of a Lender with such an Incremental Term Loan Commitment hereunder. The applicable Incremental Term Lenders shall make the Incremental Term Loans to the applicable Borrower on the applicable Incremental Term Loan Effective Date in an amount equal to the Incremental Term Loan Commitment of each Incremental Term Lender with respect to such Incremental Term Loan as agreed upon pursuant to subsection (b) above.</w:t>
      </w:r>
    </w:p>
    <w:p>
      <w:pPr>
        <w:spacing w:after="0" w:line="192" w:lineRule="exact"/>
        <w:rPr>
          <w:rFonts w:ascii="Arial" w:cs="Arial" w:eastAsia="Arial" w:hAnsi="Arial"/>
          <w:sz w:val="20"/>
          <w:szCs w:val="20"/>
          <w:color w:val="auto"/>
        </w:rPr>
      </w:pPr>
    </w:p>
    <w:p>
      <w:pPr>
        <w:ind w:left="660" w:firstLine="644"/>
        <w:spacing w:after="0" w:line="260" w:lineRule="auto"/>
        <w:tabs>
          <w:tab w:leader="none" w:pos="173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The Administrative Agent shall maintain a copy of each Lender Addition and Acknowledgement Agreement delivered to it in accordance with </w:t>
      </w:r>
      <w:r>
        <w:rPr>
          <w:rFonts w:ascii="Arial" w:cs="Arial" w:eastAsia="Arial" w:hAnsi="Arial"/>
          <w:sz w:val="20"/>
          <w:szCs w:val="20"/>
          <w:u w:val="single" w:color="auto"/>
          <w:color w:val="auto"/>
        </w:rPr>
        <w:t>Section 2.9(c)</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right="20" w:firstLine="644"/>
        <w:spacing w:after="0" w:line="243" w:lineRule="auto"/>
        <w:tabs>
          <w:tab w:leader="none" w:pos="1828"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The Applicable Margin and pricing grid, if applicable, for the Incremental Term Loans shall be determined on the applicable Incremental Term Loan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Applicable Margin and pricing grid, if any, for any Incremental Term Loan shall not exceed the Applicable Margin and pricing grid for the Term Loans and the Revolving Credit Commitment by more than 50 basis points unless the Applicable Margin and pricing grid for the Term Loans and the Revolving Credit Commitment are increased to an amount that is no more than 50 basis points less than the Applicable Margin and pricing grid for the applicable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4" w:name="page135"/>
    <w:bookmarkEnd w:id="134"/>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8"/>
          <w:szCs w:val="18"/>
          <w:b w:val="1"/>
          <w:bCs w:val="1"/>
          <w:u w:val="single" w:color="auto"/>
          <w:color w:val="auto"/>
        </w:rPr>
        <w:t>Additional Borrowers</w:t>
      </w:r>
      <w:r>
        <w:rPr>
          <w:rFonts w:ascii="Arial" w:cs="Arial" w:eastAsia="Arial" w:hAnsi="Arial"/>
          <w:sz w:val="18"/>
          <w:szCs w:val="18"/>
          <w:color w:val="auto"/>
        </w:rPr>
        <w:t>.</w:t>
      </w:r>
    </w:p>
    <w:p>
      <w:pPr>
        <w:spacing w:after="0" w:line="222" w:lineRule="exact"/>
        <w:rPr>
          <w:sz w:val="20"/>
          <w:szCs w:val="20"/>
          <w:color w:val="auto"/>
        </w:rPr>
      </w:pPr>
    </w:p>
    <w:p>
      <w:pPr>
        <w:jc w:val="both"/>
        <w:ind w:left="660" w:firstLine="644"/>
        <w:spacing w:after="0" w:line="267" w:lineRule="auto"/>
        <w:tabs>
          <w:tab w:leader="none" w:pos="183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Subsidiary Borrowers</w:t>
      </w:r>
      <w:r>
        <w:rPr>
          <w:rFonts w:ascii="Arial" w:cs="Arial" w:eastAsia="Arial" w:hAnsi="Arial"/>
          <w:sz w:val="18"/>
          <w:szCs w:val="18"/>
          <w:color w:val="auto"/>
        </w:rPr>
        <w:t>. The Company may from time to time request that a Restricted Subsidiary be added to this Agreement and the other Loan Documents as an additional Borrower with the ability to request and receive Extensions of Credit from the Lenders (each, a “</w:t>
      </w:r>
      <w:r>
        <w:rPr>
          <w:rFonts w:ascii="Arial" w:cs="Arial" w:eastAsia="Arial" w:hAnsi="Arial"/>
          <w:sz w:val="18"/>
          <w:szCs w:val="18"/>
          <w:u w:val="single" w:color="auto"/>
          <w:color w:val="auto"/>
        </w:rPr>
        <w:t>Subsidiary Borrower</w:t>
      </w:r>
      <w:r>
        <w:rPr>
          <w:rFonts w:ascii="Arial" w:cs="Arial" w:eastAsia="Arial" w:hAnsi="Arial"/>
          <w:sz w:val="18"/>
          <w:szCs w:val="18"/>
          <w:color w:val="auto"/>
        </w:rPr>
        <w:t xml:space="preserve">”). No more than five (5) requests shall be delivered during the term of this Agreement. Each such request shall be delivered in writing to the Administrative Agent and the Lenders and shall specify the name of such Subsidiary, such Subsidiary’s jurisdiction of organization, the Tranche under which such Subsidiary would be able to request and receive Extensions of Credit from the Lenders, and the Business Day on which the Company would like such joinder to be given effect. Such request shall be delivered at least thirty (30) days (or such shorter period as may be agreed by the Administrative Agent in its sole discretion) prior to the date on which the Company wishes to join such Subsidiary Borrower hereto. The Administrative Agent and the Lenders, subsequent to their receipt of such request, may ask the Company for additional information related to the proposed Subsidiary Borrower in their respective reasonable discretion. Taxes resulting from payments to any Lender by any such Subsidiary Borrower shall not be treated as Indemnified Taxes to the extent that Taxes resulting from such payment would have been Excluded Taxes if such payments had been made by the Company. In addition, no Lender shall be required to make Extensions of Credit to such Subsidiary Borrower if such Lender shall have given notice to the Administrative Agent and the Company within fifteen (15) Business Days after its receipt of the request to join such Subsidiary Borrower hereto that such Lender has determined in good faith that it would be subject, in making Extensions of Credit to such Subsidiary Borrower, to (i) regulatory or legal limitations or restrictions, (ii) material internal operations burdens or (iii) material financial disadvantage arising out of or attributable to the location or jurisdiction of organization of such Subsidiary Borrower or the nature of its activities. If all of the Lenders under the applicable Tranche inform the Administrative Agent and the Company that they are subject to such regulatory, legal or other burdens or limitations and restrictions or are otherwise disadvantaged as described above, then such Subsidiary Borrower shall not be joined hereto. If only a subset of the Lenders are unable to make Extensions of Credit to such Subsidiary Borrower as a result of the foregoing, then the Administrative Agent shall have the right to adjust (including, without limitation, further tranching hereof)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other terms and conditions of this Agreement as it may reasonably determine to enable the Lenders that are able to make Extensions of Credit to such Subsidiary Borrower without becoming subject to any such regulatory or any legal restriction or limitation or such burden or financial disadvantage, and without causing the Company or any Subsidiary Borrower to incur any such disadvantages of its own (including any such disadvantage in the form of being required to indemnify Lenders for withholding payments including Taxes), to make Extensions of Credit available to such Subsidiary Borrower on a non-pro rata basis with Lenders that are not so able, with such adjustments to be made in a manner that, to the extent practicable, are reasonably equitable to all the Lenders. In order to join a Subsidiary Borrower hereto, the Company shall cause the delivery of the following to the Administrative Agent and the Lenders at least five (5) Business Days prior to the date on which the Company has requested that such joinder be given effect: (i) a joinder agreement executed by the Company, the applicable Subsidiary Borrower and the Administrative Agent, in form and substance reasonably acceptable to each of them, pursuant to which such Subsidiary Borrower shall agree to be bound by the terms and conditions hereof and shall be entitled to request and receive Extensions of Credit hereunder; (ii) appropriate Notes made by such Subsidiary Borrower in favor of the applicable Lenders; (iii) organizational documents, resolutions, incumbency certificates and other similar corporate documents in respect of such Subsidiary Borrower, each in form and substance reasonably acceptable to the Administrative Agent, (iv) opinions of counsel for the Subsidiary Borrower in form and substance reasonably acceptable to the Administrative Agent; (v) documentation and other information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35" w:name="page136"/>
    <w:bookmarkEnd w:id="135"/>
    <w:p>
      <w:pPr>
        <w:jc w:val="both"/>
        <w:ind w:left="660" w:firstLine="6"/>
        <w:spacing w:after="0" w:line="270" w:lineRule="auto"/>
        <w:rPr>
          <w:sz w:val="20"/>
          <w:szCs w:val="20"/>
          <w:color w:val="auto"/>
        </w:rPr>
      </w:pPr>
      <w:r>
        <w:rPr>
          <w:rFonts w:ascii="Arial" w:cs="Arial" w:eastAsia="Arial" w:hAnsi="Arial"/>
          <w:sz w:val="18"/>
          <w:szCs w:val="18"/>
          <w:color w:val="auto"/>
        </w:rPr>
        <w:t xml:space="preserve">Lenders or the Administrative Agent under applicable “know your customer” and anti-money laundering rules and regulations, including the Patriot Act and the Beneficial Ownership Regulation; (vi) no-default certificates, borrowing requests and other similar deliverables as required for the Company under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and (vii) such other agreements, documents and instruments reasonably requested by the Administrative Agent (it being agreed that the forms of agreements and deliverables delivered by the Company on the Closing Date are acceptable for purposes of any Domestic Subsidiary being added as a Subsidiary Borrower). Upon satisfaction of the requirements set forth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the applicable Subsidiary Borrower shall for all purposes of this Agreement be a party to this Agreement. The Company and the Administrative Agent may enter into an amendment hereto, in form and substance reasonably acceptable to each of them, to give further effect to the addition of such Subsidiary Borrower hereto, and the Lenders authorize the Administrative Agent to enter into such an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amendment shall be technical and ministerial in nature and shall be focused solely on appropriately inserting the Subsidiary Borrower into this Agreement and the other Loan Documents. The Company shall guarantee the Obligations of each Subsidiary Borrower on terms and conditions reasonably acceptable to the Administrative Agent.</w:t>
      </w:r>
    </w:p>
    <w:p>
      <w:pPr>
        <w:spacing w:after="0" w:line="176" w:lineRule="exact"/>
        <w:rPr>
          <w:sz w:val="20"/>
          <w:szCs w:val="20"/>
          <w:color w:val="auto"/>
        </w:rPr>
      </w:pPr>
    </w:p>
    <w:p>
      <w:pPr>
        <w:jc w:val="both"/>
        <w:ind w:left="660" w:firstLine="644"/>
        <w:spacing w:after="0" w:line="271" w:lineRule="auto"/>
        <w:tabs>
          <w:tab w:leader="none" w:pos="181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The Obligations of the Company and each of the Subsidiary Borrowers that are Domestic Subsidiaries shall be joint and several in nature regardless of which such Person actually receives Extensions of Credit hereunder or the amount of such Extensions of Credit received or the manner in which the Administrative Agent, any Issuing Lender or any Lender accounts for such Extensions of Credit on its books and records. Notwithstanding anything contained to the contrary herein or in any Loan Document (including any Subsidiary Borrower joinder agreement), (A) no Subsidiary Borrower that is a Foreign Subsidiary shall be obligated with respect to any Obligations of the Company or of any Domestic Subsidiary and, for the avoidance of doubt, no Subsidiary Borrower that is a Foreign Subsidiary shall be obligated to make any payment with respect to any Obligation of the Company or any Domestic Subsidiary hereunder or under any other Loan Document, (B) the Obligations owed by a Subsidiary Borrower that is a Foreign Subsidiary shall be several and not joint with the Obligations of the Company or of any Subsidiary Borrower that is a Domestic Subsidiary and (C) no Subsidiary Borrower that is a Foreign Subsidiary shall be obligated as a Guarantor under the Guaranty Agreement with respect to the Obligations of the Company or any Domestic Subsidiary.</w:t>
      </w:r>
    </w:p>
    <w:p>
      <w:pPr>
        <w:spacing w:after="0" w:line="169" w:lineRule="exact"/>
        <w:rPr>
          <w:rFonts w:ascii="Arial" w:cs="Arial" w:eastAsia="Arial" w:hAnsi="Arial"/>
          <w:sz w:val="18"/>
          <w:szCs w:val="18"/>
          <w:color w:val="auto"/>
        </w:rPr>
      </w:pPr>
    </w:p>
    <w:p>
      <w:pPr>
        <w:jc w:val="both"/>
        <w:ind w:left="660" w:firstLine="644"/>
        <w:spacing w:after="0" w:line="274" w:lineRule="auto"/>
        <w:tabs>
          <w:tab w:leader="none" w:pos="192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Subsidiary of the Company that is or becomes a “Subsidiary Borrower”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hereby irrevocably appoints the Company to act as its agent for all purposes of this Agreement and the other Loan Documents and agrees that (i) the Company may execute such documents on behalf of such Subsidiary Borrower as the Company deems appropriate in its sole discretion and each Subsidiary Borrower shall be obligated by all of the terms of any such document executed on its behalf, (ii) any notice or communication delivered by the Administrative Agent or the Lender to the Company shall be deemed delivered to each Subsidiary Borrower and (iii) the Administrative Agent or the Lenders may accept, and be permitted to rely on, any document, instrument or agreement executed by the Company on behalf of each of the Credit Parties.</w:t>
      </w:r>
    </w:p>
    <w:p>
      <w:pPr>
        <w:spacing w:after="0" w:line="168" w:lineRule="exact"/>
        <w:rPr>
          <w:rFonts w:ascii="Arial" w:cs="Arial" w:eastAsia="Arial" w:hAnsi="Arial"/>
          <w:sz w:val="18"/>
          <w:szCs w:val="18"/>
          <w:color w:val="auto"/>
        </w:rPr>
      </w:pPr>
    </w:p>
    <w:p>
      <w:pPr>
        <w:jc w:val="both"/>
        <w:ind w:left="660" w:firstLine="644"/>
        <w:spacing w:after="0" w:line="282" w:lineRule="auto"/>
        <w:tabs>
          <w:tab w:leader="none" w:pos="175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Company may from time to time, upon not less than 15 Business Days’ notice from the Company to the Administrative Agent (or such shorter period as may be agreed by the Administrative Agent), terminate a Subsidiary Borrower’s status as such, provided that there are no outstanding Loans payable by such Subsidiary Borrower, or other amounts payable by such Subsidiary Borrower on account of any Loans made to it, as of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[INTENTIONALLY OMITTED]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GENERAL LOAN PROVISIONS</w:t>
      </w:r>
    </w:p>
    <w:p>
      <w:pPr>
        <w:spacing w:after="0" w:line="24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8"/>
          <w:szCs w:val="18"/>
          <w:b w:val="1"/>
          <w:bCs w:val="1"/>
          <w:u w:val="single" w:color="auto"/>
          <w:color w:val="auto"/>
        </w:rPr>
        <w:t>Interest and Default Rate.</w:t>
      </w:r>
    </w:p>
    <w:p>
      <w:pPr>
        <w:spacing w:after="0" w:line="222" w:lineRule="exact"/>
        <w:rPr>
          <w:sz w:val="20"/>
          <w:szCs w:val="20"/>
          <w:color w:val="auto"/>
        </w:rPr>
      </w:pPr>
    </w:p>
    <w:p>
      <w:pPr>
        <w:jc w:val="both"/>
        <w:ind w:left="660" w:firstLine="644"/>
        <w:spacing w:after="0" w:line="242" w:lineRule="auto"/>
        <w:tabs>
          <w:tab w:leader="none" w:pos="1725"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Subject to the provisions of </w:t>
      </w:r>
      <w:r>
        <w:rPr>
          <w:rFonts w:ascii="Arial" w:cs="Arial" w:eastAsia="Arial" w:hAnsi="Arial"/>
          <w:sz w:val="20"/>
          <w:szCs w:val="20"/>
          <w:u w:val="single" w:color="auto"/>
          <w:color w:val="auto"/>
        </w:rPr>
        <w:t>Section 4.1(b)</w:t>
      </w:r>
      <w:r>
        <w:rPr>
          <w:rFonts w:ascii="Arial" w:cs="Arial" w:eastAsia="Arial" w:hAnsi="Arial"/>
          <w:sz w:val="20"/>
          <w:szCs w:val="20"/>
          <w:color w:val="auto"/>
        </w:rPr>
        <w:t xml:space="preserve">, (i) each Eurocurrency Rate Loan under a Facility shall bear interest on the outstanding principal amount thereof for each Interest Period from the applicable borrowing date at a rate per annum equal to the Eurocurrency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such Facility; (ii) each Base Rate Loan under a Facility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such Facility; and (iii) each Swingline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for the Revolving Credit Facility. To the extent that any calculation of interest or any fee required to be paid under this Agreement shall be based on (or result in) a calculation that is less than zero, such calculation shall be deemed zero for purposes of this Agreement.</w:t>
      </w:r>
    </w:p>
    <w:p>
      <w:pPr>
        <w:spacing w:after="0" w:line="194" w:lineRule="exact"/>
        <w:rPr>
          <w:rFonts w:ascii="Arial" w:cs="Arial" w:eastAsia="Arial" w:hAnsi="Arial"/>
          <w:sz w:val="20"/>
          <w:szCs w:val="20"/>
          <w:color w:val="auto"/>
        </w:rPr>
      </w:pPr>
    </w:p>
    <w:p>
      <w:pPr>
        <w:ind w:left="1740" w:hanging="436"/>
        <w:spacing w:after="0"/>
        <w:tabs>
          <w:tab w:leader="none" w:pos="174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408" w:val="left"/>
        </w:tabs>
        <w:numPr>
          <w:ilvl w:val="1"/>
          <w:numId w:val="117"/>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 Payment Event of Default, such overdue amount shall thereafter bear interest at a fluctuating interest rate per annum equal to the Default Rate until paid in full to the fullest extent permitted by applicable Laws.</w:t>
      </w:r>
    </w:p>
    <w:p>
      <w:pPr>
        <w:spacing w:after="0" w:line="185" w:lineRule="exact"/>
        <w:rPr>
          <w:rFonts w:ascii="Arial" w:cs="Arial" w:eastAsia="Arial" w:hAnsi="Arial"/>
          <w:sz w:val="20"/>
          <w:szCs w:val="20"/>
          <w:color w:val="auto"/>
        </w:rPr>
      </w:pPr>
    </w:p>
    <w:p>
      <w:pPr>
        <w:jc w:val="both"/>
        <w:ind w:left="1300" w:right="20" w:firstLine="652"/>
        <w:spacing w:after="0" w:line="250" w:lineRule="auto"/>
        <w:tabs>
          <w:tab w:leader="none" w:pos="2447" w:val="left"/>
        </w:tabs>
        <w:numPr>
          <w:ilvl w:val="1"/>
          <w:numId w:val="117"/>
        </w:numPr>
        <w:rPr>
          <w:rFonts w:ascii="Arial" w:cs="Arial" w:eastAsia="Arial" w:hAnsi="Arial"/>
          <w:sz w:val="20"/>
          <w:szCs w:val="20"/>
          <w:color w:val="auto"/>
        </w:rPr>
      </w:pPr>
      <w:r>
        <w:rPr>
          <w:rFonts w:ascii="Arial" w:cs="Arial" w:eastAsia="Arial" w:hAnsi="Arial"/>
          <w:sz w:val="20"/>
          <w:szCs w:val="20"/>
          <w:color w:val="auto"/>
        </w:rPr>
        <w:t>Upon the request of the Required Lenders, while any Event of Default exists (including a Payment Event of Default), all outstanding Obligations (including Letter of Credit Fees) may accrue at a fluctuating interest rate per annum at all times equal to the Default Rate to the fullest extent permitted by applicable Laws.</w:t>
      </w:r>
    </w:p>
    <w:p>
      <w:pPr>
        <w:spacing w:after="0" w:line="185" w:lineRule="exact"/>
        <w:rPr>
          <w:rFonts w:ascii="Arial" w:cs="Arial" w:eastAsia="Arial" w:hAnsi="Arial"/>
          <w:sz w:val="20"/>
          <w:szCs w:val="20"/>
          <w:color w:val="auto"/>
        </w:rPr>
      </w:pPr>
    </w:p>
    <w:p>
      <w:pPr>
        <w:ind w:left="1300" w:firstLine="652"/>
        <w:spacing w:after="0" w:line="260" w:lineRule="auto"/>
        <w:tabs>
          <w:tab w:leader="none" w:pos="2514"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6" w:lineRule="exact"/>
        <w:rPr>
          <w:rFonts w:ascii="Arial" w:cs="Arial" w:eastAsia="Arial" w:hAnsi="Arial"/>
          <w:sz w:val="20"/>
          <w:szCs w:val="20"/>
          <w:color w:val="auto"/>
        </w:rPr>
      </w:pPr>
    </w:p>
    <w:p>
      <w:pPr>
        <w:jc w:val="both"/>
        <w:ind w:left="660" w:firstLine="644"/>
        <w:spacing w:after="0" w:line="342" w:lineRule="auto"/>
        <w:tabs>
          <w:tab w:leader="none" w:pos="17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Interest Payments</w:t>
      </w:r>
      <w:r>
        <w:rPr>
          <w:rFonts w:ascii="Arial" w:cs="Arial" w:eastAsia="Arial" w:hAnsi="Arial"/>
          <w:sz w:val="16"/>
          <w:szCs w:val="16"/>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7" w:lineRule="exact"/>
        <w:rPr>
          <w:rFonts w:ascii="Arial" w:cs="Arial" w:eastAsia="Arial" w:hAnsi="Arial"/>
          <w:sz w:val="16"/>
          <w:szCs w:val="16"/>
          <w:color w:val="auto"/>
        </w:rPr>
      </w:pPr>
    </w:p>
    <w:p>
      <w:pPr>
        <w:jc w:val="both"/>
        <w:ind w:left="660" w:firstLine="644"/>
        <w:spacing w:after="0" w:line="257" w:lineRule="auto"/>
        <w:tabs>
          <w:tab w:leader="none" w:pos="1777"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Maximum Rate</w:t>
      </w:r>
      <w:r>
        <w:rPr>
          <w:rFonts w:ascii="Arial" w:cs="Arial" w:eastAsia="Arial" w:hAnsi="Arial"/>
          <w:sz w:val="19"/>
          <w:szCs w:val="19"/>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Company (or the applicable Borrower) any interest received by the Lenders in excess of the maximum lawful rate or (ii) apply such excess to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37" w:name="page138"/>
    <w:bookmarkEnd w:id="137"/>
    <w:p>
      <w:pPr>
        <w:jc w:val="both"/>
        <w:ind w:left="660" w:firstLine="6"/>
        <w:spacing w:after="0" w:line="250" w:lineRule="auto"/>
        <w:rPr>
          <w:sz w:val="20"/>
          <w:szCs w:val="20"/>
          <w:color w:val="auto"/>
        </w:rPr>
      </w:pPr>
      <w:r>
        <w:rPr>
          <w:rFonts w:ascii="Arial" w:cs="Arial" w:eastAsia="Arial" w:hAnsi="Arial"/>
          <w:sz w:val="20"/>
          <w:szCs w:val="20"/>
          <w:color w:val="auto"/>
        </w:rPr>
        <w:t>of the Obligations on a pro rata basis. It is the intent hereof that no Borrower pay or contract to pay, and that neither the Administrative Agent nor any Lender receive or contract to receive, directly or indirectly in any manner whatsoever, interest in excess of that which may be paid by a Borrower under Applicable Law.</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4.2</w:t>
      </w:r>
      <w:r>
        <w:rPr>
          <w:sz w:val="20"/>
          <w:szCs w:val="20"/>
          <w:color w:val="auto"/>
        </w:rPr>
        <w:tab/>
      </w:r>
      <w:r>
        <w:rPr>
          <w:rFonts w:ascii="Arial" w:cs="Arial" w:eastAsia="Arial" w:hAnsi="Arial"/>
          <w:sz w:val="16"/>
          <w:szCs w:val="16"/>
          <w:b w:val="1"/>
          <w:bCs w:val="1"/>
          <w:u w:val="single" w:color="auto"/>
          <w:color w:val="auto"/>
        </w:rPr>
        <w:t>Computation of Interest and Fees.</w:t>
      </w:r>
    </w:p>
    <w:p>
      <w:pPr>
        <w:spacing w:after="0" w:line="222" w:lineRule="exact"/>
        <w:rPr>
          <w:sz w:val="20"/>
          <w:szCs w:val="20"/>
          <w:color w:val="auto"/>
        </w:rPr>
      </w:pPr>
    </w:p>
    <w:p>
      <w:pPr>
        <w:jc w:val="both"/>
        <w:ind w:left="660" w:firstLine="644"/>
        <w:spacing w:after="0" w:line="272" w:lineRule="auto"/>
        <w:tabs>
          <w:tab w:leader="none" w:pos="19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or, in the case of interest in respect of Loans denominated in Foreign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4.4(a)</w:t>
      </w:r>
      <w:r>
        <w:rPr>
          <w:rFonts w:ascii="Arial" w:cs="Arial" w:eastAsia="Arial" w:hAnsi="Arial"/>
          <w:sz w:val="18"/>
          <w:szCs w:val="18"/>
          <w:color w:val="auto"/>
        </w:rPr>
        <w:t>, bear interest for one (1) day. Each determination by the Administrative Agent of an interest rate or fee hereunder shall be conclusive and binding for all purposes, absent manifest error.</w:t>
      </w:r>
    </w:p>
    <w:p>
      <w:pPr>
        <w:spacing w:after="0" w:line="170" w:lineRule="exact"/>
        <w:rPr>
          <w:rFonts w:ascii="Arial" w:cs="Arial" w:eastAsia="Arial" w:hAnsi="Arial"/>
          <w:sz w:val="18"/>
          <w:szCs w:val="18"/>
          <w:color w:val="auto"/>
        </w:rPr>
      </w:pPr>
    </w:p>
    <w:p>
      <w:pPr>
        <w:jc w:val="both"/>
        <w:ind w:left="660" w:firstLine="644"/>
        <w:spacing w:after="0" w:line="269" w:lineRule="auto"/>
        <w:tabs>
          <w:tab w:leader="none" w:pos="17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that any financial statement or Officer’s Compliance Certificate delivered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is shown to be inaccurate (regardless of whether (A) this Agreement is in effect, (B) the Revolving Credit Commitments, Swingline Commitments, or Term Loan Commitments are in effect, or (C) any Extension of Credit is outstanding when such inaccuracy is discovered or such financial statement or Officer’s Compliance Certificate was delivered), and such inaccuracy, if corrected, would have led to the application of (i) a higher Applicable Margin for any period (an “</w:t>
      </w:r>
      <w:r>
        <w:rPr>
          <w:rFonts w:ascii="Arial" w:cs="Arial" w:eastAsia="Arial" w:hAnsi="Arial"/>
          <w:sz w:val="18"/>
          <w:szCs w:val="18"/>
          <w:u w:val="single" w:color="auto"/>
          <w:color w:val="auto"/>
        </w:rPr>
        <w:t>Applicable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than the Applicable Margin applied for such Applicable Period, and only in such case, then (1) the Company shall promptly deliver to the Administrative Agent a corrected Officer’s Compliance Certificate for such Applicable Period, (2) the Applicable Margin for such Applicable Period shall be determined as if the Net Leverage Ratio in the corrected Officer’s Compliance Certificate were applicable for such Applicable Period and (3) the Company shall promptly pay to the Administrative Agent the accrued additional interest and fees, as applicable, owing as a result of such increased Applicable Margin for such Applicable Period, which payment shall be promptly applied by the Administrative Agent in accordance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(ii) a lower Applicable Margin for such Applicable Period, the Lenders shall have no obligation to repay any interest or fees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a result of any restatement or other event, a proper calculation of the Net Leverage Ratio would have resulted in higher pricing for one or more periods and lower pricing for one or more other periods (due to the shifting of income or expenses from one period to another period or any similar reason), then the amount payable by the Company pursuant to clause (i) above shall be based upon the excess, if any, of the amount of interest and fees that should have been paid for all Applicable Periods over the amount of interest and fees paid for all such Applicable Periods. Nothing in this paragraph shall limit the rights of the Administrative Agent and Lenders with respect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4.3</w:t>
      </w:r>
      <w:r>
        <w:rPr>
          <w:sz w:val="20"/>
          <w:szCs w:val="20"/>
          <w:color w:val="auto"/>
        </w:rPr>
        <w:tab/>
      </w:r>
      <w:r>
        <w:rPr>
          <w:rFonts w:ascii="Arial" w:cs="Arial" w:eastAsia="Arial" w:hAnsi="Arial"/>
          <w:sz w:val="16"/>
          <w:szCs w:val="16"/>
          <w:b w:val="1"/>
          <w:bCs w:val="1"/>
          <w:u w:val="single" w:color="auto"/>
          <w:color w:val="auto"/>
        </w:rPr>
        <w:t>Fees.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subsections (h) and (i) of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8" w:name="page139"/>
    <w:bookmarkEnd w:id="138"/>
    <w:p>
      <w:pPr>
        <w:jc w:val="both"/>
        <w:ind w:left="660" w:firstLine="644"/>
        <w:spacing w:after="0" w:line="271" w:lineRule="auto"/>
        <w:tabs>
          <w:tab w:leader="none" w:pos="187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Commitment Fee (Revolving Credit Facility)</w:t>
      </w:r>
      <w:r>
        <w:rPr>
          <w:rFonts w:ascii="Arial" w:cs="Arial" w:eastAsia="Arial" w:hAnsi="Arial"/>
          <w:sz w:val="18"/>
          <w:szCs w:val="18"/>
          <w:color w:val="auto"/>
        </w:rPr>
        <w:t xml:space="preserve">. Commencing on the Closing Date, the Company shall pay to the Administrative Agent, for the account of the Lenders (other than any Defaulting Lenders), a non-refundable commitment fee at a rate per annum equal to the Applicable Margin times (i) for Lenders under the Dollar Tranche, the actual daily unused portion of the Revolving Credit Commitment for such Tranche (other than the Defaulting Lenders,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outstanding Swingline Loans shall not be considered usage of the Revolving Credit Commitment under such Tranche for the purpose of calculating such commitment fee; and (ii) for Lenders under the Designated Currency Tranche, the actual daily unused portion of the Revolving Credit Commitment for such Tranche (other than the Defaulting Lenders, if any). The commitment fee shall be payable in arrears on the last Business Day of each calendar quarter during the term of this Agreement commencing December 31, 2020, and on the last day of the Availability Period. Such commitment fee shall be distributed by the Administrative Agent to the Revolving Credit Lenders (other than any Defaulting Lender) under a Tranche pro rata in accordance with the Revolving Credit Lenders’ respective Revolving Credit Commitment Percentages under such Tranche.</w:t>
      </w:r>
    </w:p>
    <w:p>
      <w:pPr>
        <w:spacing w:after="0" w:line="169" w:lineRule="exact"/>
        <w:rPr>
          <w:rFonts w:ascii="Arial" w:cs="Arial" w:eastAsia="Arial" w:hAnsi="Arial"/>
          <w:sz w:val="18"/>
          <w:szCs w:val="18"/>
          <w:color w:val="auto"/>
        </w:rPr>
      </w:pPr>
    </w:p>
    <w:p>
      <w:pPr>
        <w:jc w:val="both"/>
        <w:ind w:left="660" w:firstLine="644"/>
        <w:spacing w:after="0" w:line="250" w:lineRule="auto"/>
        <w:tabs>
          <w:tab w:leader="none" w:pos="1844"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Administrative Agent’s Fees</w:t>
      </w:r>
      <w:r>
        <w:rPr>
          <w:rFonts w:ascii="Arial" w:cs="Arial" w:eastAsia="Arial" w:hAnsi="Arial"/>
          <w:sz w:val="20"/>
          <w:szCs w:val="20"/>
          <w:color w:val="auto"/>
        </w:rPr>
        <w:t>. In order to compensate the Administrative Agent for structuring and syndicating the Loans and for its obligations hereunder, the Company agrees to pay to the Administrative Agent and its Affiliates, for their own account, the fees set forth in the Administrative Agent Fee Letter.</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52"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4.4</w:t>
      </w:r>
      <w:r>
        <w:rPr>
          <w:sz w:val="20"/>
          <w:szCs w:val="20"/>
          <w:color w:val="auto"/>
        </w:rPr>
        <w:tab/>
      </w:r>
      <w:r>
        <w:rPr>
          <w:rFonts w:ascii="Arial" w:cs="Arial" w:eastAsia="Arial" w:hAnsi="Arial"/>
          <w:sz w:val="18"/>
          <w:szCs w:val="18"/>
          <w:b w:val="1"/>
          <w:bCs w:val="1"/>
          <w:u w:val="single" w:color="auto"/>
          <w:color w:val="auto"/>
        </w:rPr>
        <w:t>Payments Generally; Administrative Agent’s Clawback.</w:t>
      </w:r>
    </w:p>
    <w:p>
      <w:pPr>
        <w:spacing w:after="0" w:line="222" w:lineRule="exact"/>
        <w:rPr>
          <w:sz w:val="20"/>
          <w:szCs w:val="20"/>
          <w:color w:val="auto"/>
        </w:rPr>
      </w:pPr>
    </w:p>
    <w:p>
      <w:pPr>
        <w:jc w:val="both"/>
        <w:ind w:left="660" w:firstLine="644"/>
        <w:spacing w:after="0" w:line="269" w:lineRule="auto"/>
        <w:tabs>
          <w:tab w:leader="none" w:pos="179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All payments to be made by any Borrower, subject to </w:t>
      </w:r>
      <w:r>
        <w:rPr>
          <w:rFonts w:ascii="Arial" w:cs="Arial" w:eastAsia="Arial" w:hAnsi="Arial"/>
          <w:sz w:val="18"/>
          <w:szCs w:val="18"/>
          <w:u w:val="single" w:color="auto"/>
          <w:color w:val="auto"/>
        </w:rPr>
        <w:t>Section 4.11(a)</w:t>
      </w:r>
      <w:r>
        <w:rPr>
          <w:rFonts w:ascii="Arial" w:cs="Arial" w:eastAsia="Arial" w:hAnsi="Arial"/>
          <w:sz w:val="18"/>
          <w:szCs w:val="18"/>
          <w:color w:val="auto"/>
        </w:rPr>
        <w:t xml:space="preserve">, shall be made free and clear of and without condition or deduction for any counterclaim, defense, recoupment or setoff. Except as otherwise expressly provided herein and except with respect to principal of and interest on Loans denominated in a Foreign Currency all payments by a Borrower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Company and the Subsidiary Borrowers hereunder with respect to principal and interest on Loans denominated in a Foreign Currency shall be made to the Administrative Agent, for the account of the respective Lenders to which such payment is owed, at the applicable Administrative Agent’s Office in such Foreign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of the Company or a Subsidiary Borrower is prohibited by any Applicable Law from making any required payment hereunder in a Foreign Currency, the Company or such Subsidiary Borrower shall make such payment in Dollars in the Dollar Amount of the Foreign Currency payment amount. The Administrative Agent will promptly distribute to each Lender its Commitment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 Foreign Currency, shall in each case be deemed received on the next succeeding Business Day and any applicable interest or fee shall continue to accrue. Subject to </w:t>
      </w:r>
      <w:r>
        <w:rPr>
          <w:rFonts w:ascii="Arial" w:cs="Arial" w:eastAsia="Arial" w:hAnsi="Arial"/>
          <w:sz w:val="18"/>
          <w:szCs w:val="18"/>
          <w:u w:val="single" w:color="auto"/>
          <w:color w:val="auto"/>
        </w:rPr>
        <w:t>Section 2.7(a)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39" w:name="page140"/>
    <w:bookmarkEnd w:id="139"/>
    <w:p>
      <w:pPr>
        <w:jc w:val="both"/>
        <w:ind w:left="660" w:firstLine="6"/>
        <w:spacing w:after="0" w:line="250" w:lineRule="auto"/>
        <w:rPr>
          <w:sz w:val="20"/>
          <w:szCs w:val="20"/>
          <w:color w:val="auto"/>
        </w:rPr>
      </w:pPr>
      <w:r>
        <w:rPr>
          <w:rFonts w:ascii="Arial" w:cs="Arial" w:eastAsia="Arial" w:hAnsi="Arial"/>
          <w:sz w:val="20"/>
          <w:szCs w:val="20"/>
          <w:color w:val="auto"/>
        </w:rPr>
        <w:t>and as otherwise specifically provided for in this Agreement,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186" w:lineRule="exact"/>
        <w:rPr>
          <w:sz w:val="20"/>
          <w:szCs w:val="20"/>
          <w:color w:val="auto"/>
        </w:rPr>
      </w:pPr>
    </w:p>
    <w:p>
      <w:pPr>
        <w:jc w:val="both"/>
        <w:ind w:left="660" w:firstLine="644"/>
        <w:spacing w:after="0" w:line="268" w:lineRule="auto"/>
        <w:tabs>
          <w:tab w:leader="none" w:pos="17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Extension of Credit of Eurocurrency Rate Loans (or, in the case of any Extension of Credit of Base Rate Loans, prior to 12:00 noon on the date of such Extension of Credit) that such Lender will not make available to the Administrative Agent such Lender’s share of such Extension of Credit, the Administrative Agent may assume that such Lender has made such share available on such date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in the case of an Extension of Credit of Base Rate Loans, that such Lender has made such share available in accordance with and at the time required by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may, in reliance upon such assumption, make available to the applicable Borrower a corresponding amount. In such event, if a Lender has not in fact made its share of the applicable Extension of Credit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or in the case of Foreign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Extension of Credit to the Administrative Agent, then the amount so paid shall constitute such Lender’s Loan included in such Extension of Credit. Any payment by any Borrower shall be without prejudice to any claim such Borrower may have against a Lender that shall have failed to make such payment to the Administrative Agent.</w:t>
      </w:r>
    </w:p>
    <w:p>
      <w:pPr>
        <w:spacing w:after="0" w:line="184" w:lineRule="exact"/>
        <w:rPr>
          <w:rFonts w:ascii="Arial" w:cs="Arial" w:eastAsia="Arial" w:hAnsi="Arial"/>
          <w:sz w:val="18"/>
          <w:szCs w:val="18"/>
          <w:color w:val="auto"/>
        </w:rPr>
      </w:pPr>
    </w:p>
    <w:p>
      <w:pPr>
        <w:jc w:val="both"/>
        <w:ind w:left="1300" w:firstLine="652"/>
        <w:spacing w:after="0" w:line="255" w:lineRule="auto"/>
        <w:tabs>
          <w:tab w:leader="none" w:pos="2455"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Payments by Borrower; Presumptions by Administrative Agent</w:t>
      </w:r>
      <w:r>
        <w:rPr>
          <w:rFonts w:ascii="Arial" w:cs="Arial" w:eastAsia="Arial" w:hAnsi="Arial"/>
          <w:sz w:val="19"/>
          <w:szCs w:val="19"/>
          <w:color w:val="auto"/>
        </w:rPr>
        <w:t>. Unless the Administrative Agent shall have received notice from the applicable Borrower prior to the date on which any payment is due to the Administrative Agent for the account of the Lenders or the Issuing Lenders hereunder that such Borrower will not make such payment, the Administrative Agent may assume that such Borrower has made such payment on such date in accordance herewith and may, in reliance upon such assumption, distribute to the Appropriate Lenders or the Issuing Lenders, as the case may be, the amount due. In such event, if the applicable Borrower has not in fact made such payment, then each of the Appropriate Lenders or the Issuing Lenders, as the case may be, severally agrees to repay to the Administrative Agent forthwith on demand the amount so distributed to such Lender or such Issuing Lender, in Same Day Funds with interest thereon, for each day from and including the date such amount is distributed to it to but excluding the date of payment to the Administrative Agent, at the Overnight Rate.</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notice of the Administrative Agent to any Lender or any Borrower with respect to any amount owing under this subsection (b) shall be conclusive, absent manifest error.</w:t>
      </w:r>
    </w:p>
    <w:p>
      <w:pPr>
        <w:spacing w:after="0" w:line="177" w:lineRule="exact"/>
        <w:rPr>
          <w:sz w:val="20"/>
          <w:szCs w:val="20"/>
          <w:color w:val="auto"/>
        </w:rPr>
      </w:pPr>
    </w:p>
    <w:p>
      <w:pPr>
        <w:ind w:left="660" w:firstLine="644"/>
        <w:spacing w:after="0" w:line="260" w:lineRule="auto"/>
        <w:tabs>
          <w:tab w:leader="none" w:pos="1739"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If any Lender makes available to the Administrative Agent funds for any Loan to be made by such Lender as provided in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0" w:name="page141"/>
    <w:bookmarkEnd w:id="140"/>
    <w:p>
      <w:pPr>
        <w:jc w:val="both"/>
        <w:ind w:left="660" w:firstLine="6"/>
        <w:spacing w:after="0" w:line="246" w:lineRule="auto"/>
        <w:rPr>
          <w:sz w:val="20"/>
          <w:szCs w:val="20"/>
          <w:color w:val="auto"/>
        </w:rPr>
      </w:pPr>
      <w:r>
        <w:rPr>
          <w:rFonts w:ascii="Arial" w:cs="Arial" w:eastAsia="Arial" w:hAnsi="Arial"/>
          <w:sz w:val="20"/>
          <w:szCs w:val="20"/>
          <w:color w:val="auto"/>
        </w:rPr>
        <w:t xml:space="preserve">provisions of this Agreement, and such funds are not made available to the applicable Borrower by the Administrative Agent because the conditions to the applicable Extension of Credit set forth in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1" w:lineRule="exact"/>
        <w:rPr>
          <w:sz w:val="20"/>
          <w:szCs w:val="20"/>
          <w:color w:val="auto"/>
        </w:rPr>
      </w:pPr>
    </w:p>
    <w:p>
      <w:pPr>
        <w:jc w:val="both"/>
        <w:ind w:left="660" w:firstLine="644"/>
        <w:spacing w:after="0" w:line="243" w:lineRule="auto"/>
        <w:tabs>
          <w:tab w:leader="none" w:pos="1777"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Term Loans and Revolving Credit Loans, to fund participations in Letters of Credit and Swingline Loans and to make payments pursuant to </w:t>
      </w:r>
      <w:r>
        <w:rPr>
          <w:rFonts w:ascii="Arial" w:cs="Arial" w:eastAsia="Arial" w:hAnsi="Arial"/>
          <w:sz w:val="20"/>
          <w:szCs w:val="20"/>
          <w:u w:val="single" w:color="auto"/>
          <w:color w:val="auto"/>
        </w:rPr>
        <w:t>Section 13.4(c)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13.4(c)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13.4(c)</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660" w:firstLine="644"/>
        <w:spacing w:after="0" w:line="250" w:lineRule="auto"/>
        <w:tabs>
          <w:tab w:leader="none" w:pos="1833"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left="660" w:firstLine="644"/>
        <w:spacing w:after="0" w:line="271" w:lineRule="auto"/>
        <w:tabs>
          <w:tab w:leader="none" w:pos="170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to the extent otherwise provided herein: (i) each Extension of Credit (other than borrowings of Swingline Loans) shall be made from the Appropriate Lenders, each payment of fees under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shall be made for account of the Appropriate Lenders, and each termination or reduction of the amount of the Commitments shall be applied to the respective Commitments of the Lenders, pro rata according to the amounts of their respective Commitments; (ii) each Extension of Credit shall be allocated pro rata among the Lenders according to the amounts of their respective Commitments (in the case of the making of Revolving Credit Loans) or their respective Loans that are to be included in such Extension of Credit (in the case of conversions and continuations of Loans); (iii) each payment or prepayment of principal of Loans by the Borrowers shall be made for account of the Appropriate Lenders pro rata in accordance with the respective unpaid principal amounts of the Loans held by them; and (iv) each payment of interest on Loans by the Borrowers shall be made for account of the Appropriate Lenders pro rata in accordance with the amounts of interest on such Loans then due and payable to the respective Appropriate Lenders.</w:t>
      </w:r>
    </w:p>
    <w:p>
      <w:pPr>
        <w:spacing w:after="0" w:line="16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4.5</w:t>
      </w:r>
      <w:r>
        <w:rPr>
          <w:sz w:val="20"/>
          <w:szCs w:val="20"/>
          <w:color w:val="auto"/>
        </w:rPr>
        <w:tab/>
      </w:r>
      <w:r>
        <w:rPr>
          <w:rFonts w:ascii="Arial" w:cs="Arial" w:eastAsia="Arial" w:hAnsi="Arial"/>
          <w:sz w:val="16"/>
          <w:szCs w:val="16"/>
          <w:b w:val="1"/>
          <w:bCs w:val="1"/>
          <w:u w:val="single" w:color="auto"/>
          <w:color w:val="auto"/>
        </w:rPr>
        <w:t>Evidence of Debt.</w:t>
      </w:r>
    </w:p>
    <w:p>
      <w:pPr>
        <w:spacing w:after="0" w:line="222" w:lineRule="exact"/>
        <w:rPr>
          <w:sz w:val="20"/>
          <w:szCs w:val="20"/>
          <w:color w:val="auto"/>
        </w:rPr>
      </w:pPr>
    </w:p>
    <w:p>
      <w:pPr>
        <w:jc w:val="both"/>
        <w:ind w:left="660" w:firstLine="644"/>
        <w:spacing w:after="0" w:line="271" w:lineRule="auto"/>
        <w:tabs>
          <w:tab w:leader="none" w:pos="177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Extensions of Credit</w:t>
      </w:r>
      <w:r>
        <w:rPr>
          <w:rFonts w:ascii="Arial" w:cs="Arial" w:eastAsia="Arial" w:hAnsi="Arial"/>
          <w:sz w:val="18"/>
          <w:szCs w:val="18"/>
          <w:color w:val="auto"/>
        </w:rPr>
        <w:t xml:space="preserve">. The Extensions of Credit made by each Lender shall be evidenced by one or more accounts or records (including the Register maintained pursuant to </w:t>
      </w:r>
      <w:r>
        <w:rPr>
          <w:rFonts w:ascii="Arial" w:cs="Arial" w:eastAsia="Arial" w:hAnsi="Arial"/>
          <w:sz w:val="18"/>
          <w:szCs w:val="18"/>
          <w:u w:val="single" w:color="auto"/>
          <w:color w:val="auto"/>
        </w:rPr>
        <w:t>Section 13.9(c)</w:t>
      </w:r>
      <w:r>
        <w:rPr>
          <w:rFonts w:ascii="Arial" w:cs="Arial" w:eastAsia="Arial" w:hAnsi="Arial"/>
          <w:sz w:val="18"/>
          <w:szCs w:val="18"/>
          <w:color w:val="auto"/>
        </w:rPr>
        <w:t xml:space="preserve">) maintained by such Lender and by the Administrative Agent in the ordinary course of business. The accounts or records (including the Register maintained pursuant to </w:t>
      </w:r>
      <w:r>
        <w:rPr>
          <w:rFonts w:ascii="Arial" w:cs="Arial" w:eastAsia="Arial" w:hAnsi="Arial"/>
          <w:sz w:val="18"/>
          <w:szCs w:val="18"/>
          <w:u w:val="single" w:color="auto"/>
          <w:color w:val="auto"/>
        </w:rPr>
        <w:t>Section 13.9(c)</w:t>
      </w:r>
      <w:r>
        <w:rPr>
          <w:rFonts w:ascii="Arial" w:cs="Arial" w:eastAsia="Arial" w:hAnsi="Arial"/>
          <w:sz w:val="18"/>
          <w:szCs w:val="18"/>
          <w:color w:val="auto"/>
        </w:rPr>
        <w:t xml:space="preserve">) maintained by the Administrative Agent and each Lender shall be conclusive absent manifest error of the amount of the Extensions of Credit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(including the Register maintained pursuant to </w:t>
      </w:r>
      <w:r>
        <w:rPr>
          <w:rFonts w:ascii="Arial" w:cs="Arial" w:eastAsia="Arial" w:hAnsi="Arial"/>
          <w:sz w:val="18"/>
          <w:szCs w:val="18"/>
          <w:u w:val="single" w:color="auto"/>
          <w:color w:val="auto"/>
        </w:rPr>
        <w:t>Section 13.9(c)</w:t>
      </w:r>
      <w:r>
        <w:rPr>
          <w:rFonts w:ascii="Arial" w:cs="Arial" w:eastAsia="Arial" w:hAnsi="Arial"/>
          <w:sz w:val="18"/>
          <w:szCs w:val="18"/>
          <w:color w:val="auto"/>
        </w:rPr>
        <w:t>) shall control in the absence of manifest error. Upon the request of any Lender made through the Administrative Agent, a Borrower shall execute and deliver to such Lender (through the Administrative Agent) a Revolving Credit Note, Term Loan Note, Swingline Note, and/or Incremental Term Loan Note, as applicable,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1" w:name="page142"/>
    <w:bookmarkEnd w:id="141"/>
    <w:p>
      <w:pPr>
        <w:ind w:left="660" w:firstLine="6"/>
        <w:spacing w:after="0" w:line="260" w:lineRule="auto"/>
        <w:rPr>
          <w:sz w:val="20"/>
          <w:szCs w:val="20"/>
          <w:color w:val="auto"/>
        </w:rPr>
      </w:pPr>
      <w:r>
        <w:rPr>
          <w:rFonts w:ascii="Arial" w:cs="Arial" w:eastAsia="Arial" w:hAnsi="Arial"/>
          <w:sz w:val="20"/>
          <w:szCs w:val="20"/>
          <w:color w:val="auto"/>
        </w:rPr>
        <w:t>evidence such Lender’s Revolving Credit Loans, Term Loan, Swingline Loans and/or Incremental Term Loans, as applicable, in addition to such accounts or records.</w:t>
      </w:r>
    </w:p>
    <w:p>
      <w:pPr>
        <w:spacing w:after="0" w:line="177" w:lineRule="exact"/>
        <w:rPr>
          <w:sz w:val="20"/>
          <w:szCs w:val="20"/>
          <w:color w:val="auto"/>
        </w:rPr>
      </w:pPr>
    </w:p>
    <w:p>
      <w:pPr>
        <w:jc w:val="both"/>
        <w:ind w:left="660" w:firstLine="644"/>
        <w:spacing w:after="0" w:line="243" w:lineRule="auto"/>
        <w:tabs>
          <w:tab w:leader="none" w:pos="1763"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xml:space="preserve">. In addition to the accounts and records referred to in subsection (a), each Revolving Credit Lender and the Administrative Agent shall maintain in accordance with its usual practice accounts or records (including the Participant Register maintained pursuant to </w:t>
      </w:r>
      <w:r>
        <w:rPr>
          <w:rFonts w:ascii="Arial" w:cs="Arial" w:eastAsia="Arial" w:hAnsi="Arial"/>
          <w:sz w:val="20"/>
          <w:szCs w:val="20"/>
          <w:u w:val="single" w:color="auto"/>
          <w:color w:val="auto"/>
        </w:rPr>
        <w:t>Section 13.9(d)</w:t>
      </w:r>
      <w:r>
        <w:rPr>
          <w:rFonts w:ascii="Arial" w:cs="Arial" w:eastAsia="Arial" w:hAnsi="Arial"/>
          <w:sz w:val="20"/>
          <w:szCs w:val="20"/>
          <w:color w:val="auto"/>
        </w:rPr>
        <w:t xml:space="preserve">) evidencing the purchases and sales by such Revolving Credit Lender of participations in L/C Obligations and Swingline Loans. In the event of any conflict between the accounts and records maintained by the Administrative Agent and the accounts and records of any Revolving Credit Lender in respect of such matters, the accounts and records of the Administrative Agent (including the Participant Register maintained pursuant to </w:t>
      </w:r>
      <w:r>
        <w:rPr>
          <w:rFonts w:ascii="Arial" w:cs="Arial" w:eastAsia="Arial" w:hAnsi="Arial"/>
          <w:sz w:val="20"/>
          <w:szCs w:val="20"/>
          <w:u w:val="single" w:color="auto"/>
          <w:color w:val="auto"/>
        </w:rPr>
        <w:t>Section 13.9(d)</w:t>
      </w:r>
      <w:r>
        <w:rPr>
          <w:rFonts w:ascii="Arial" w:cs="Arial" w:eastAsia="Arial" w:hAnsi="Arial"/>
          <w:sz w:val="20"/>
          <w:szCs w:val="20"/>
          <w:color w:val="auto"/>
        </w:rPr>
        <w:t>) shall control in the absence of manifest error.</w:t>
      </w:r>
    </w:p>
    <w:p>
      <w:pPr>
        <w:spacing w:after="0" w:line="18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4.6</w:t>
      </w:r>
      <w:r>
        <w:rPr>
          <w:sz w:val="20"/>
          <w:szCs w:val="20"/>
          <w:color w:val="auto"/>
        </w:rPr>
        <w:tab/>
      </w:r>
      <w:r>
        <w:rPr>
          <w:rFonts w:ascii="Arial" w:cs="Arial" w:eastAsia="Arial" w:hAnsi="Arial"/>
          <w:sz w:val="16"/>
          <w:szCs w:val="16"/>
          <w:b w:val="1"/>
          <w:bCs w:val="1"/>
          <w:u w:val="single" w:color="auto"/>
          <w:color w:val="auto"/>
        </w:rPr>
        <w:t>Adjustments.</w:t>
      </w:r>
    </w:p>
    <w:p>
      <w:pPr>
        <w:spacing w:after="0" w:line="2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w:t>
      </w:r>
    </w:p>
    <w:p>
      <w:pPr>
        <w:spacing w:after="0" w:line="7" w:lineRule="exact"/>
        <w:rPr>
          <w:sz w:val="20"/>
          <w:szCs w:val="20"/>
          <w:color w:val="auto"/>
        </w:rPr>
      </w:pPr>
    </w:p>
    <w:p>
      <w:pPr>
        <w:jc w:val="both"/>
        <w:ind w:firstLine="8"/>
        <w:spacing w:after="0" w:line="241" w:lineRule="auto"/>
        <w:tabs>
          <w:tab w:leader="none" w:pos="325"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4" w:lineRule="exact"/>
        <w:rPr>
          <w:rFonts w:ascii="Arial" w:cs="Arial" w:eastAsia="Arial" w:hAnsi="Arial"/>
          <w:sz w:val="20"/>
          <w:szCs w:val="20"/>
          <w:color w:val="auto"/>
        </w:rPr>
      </w:pPr>
    </w:p>
    <w:p>
      <w:pPr>
        <w:jc w:val="both"/>
        <w:ind w:left="2600" w:firstLine="648"/>
        <w:spacing w:after="0" w:line="250" w:lineRule="auto"/>
        <w:tabs>
          <w:tab w:leader="none" w:pos="3773" w:val="left"/>
        </w:tabs>
        <w:numPr>
          <w:ilvl w:val="1"/>
          <w:numId w:val="126"/>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6" w:lineRule="exact"/>
        <w:rPr>
          <w:sz w:val="20"/>
          <w:szCs w:val="20"/>
          <w:color w:val="auto"/>
        </w:rPr>
      </w:pPr>
    </w:p>
    <w:p>
      <w:pPr>
        <w:jc w:val="both"/>
        <w:ind w:left="2600" w:firstLine="648"/>
        <w:spacing w:after="0" w:line="243" w:lineRule="auto"/>
        <w:tabs>
          <w:tab w:leader="none" w:pos="370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20"/>
          <w:szCs w:val="20"/>
          <w:u w:val="single" w:color="auto"/>
          <w:color w:val="auto"/>
        </w:rPr>
        <w:t>Section 4.13</w:t>
      </w:r>
      <w:r>
        <w:rPr>
          <w:rFonts w:ascii="Arial" w:cs="Arial" w:eastAsia="Arial" w:hAnsi="Arial"/>
          <w:sz w:val="20"/>
          <w:szCs w:val="20"/>
          <w:color w:val="auto"/>
        </w:rPr>
        <w:t>, or (z) any payment obtained by a Lender as consideration for the assignment of or sale of a participation in any of its Loans or subparticipations in L/C Obligations or Swingline Loans to any assignee or participant,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2" w:name="page143"/>
    <w:bookmarkEnd w:id="142"/>
    <w:p>
      <w:pPr>
        <w:ind w:left="2600" w:firstLine="6"/>
        <w:spacing w:after="0" w:line="260" w:lineRule="auto"/>
        <w:rPr>
          <w:sz w:val="20"/>
          <w:szCs w:val="20"/>
          <w:color w:val="auto"/>
        </w:rPr>
      </w:pPr>
      <w:r>
        <w:rPr>
          <w:rFonts w:ascii="Arial" w:cs="Arial" w:eastAsia="Arial" w:hAnsi="Arial"/>
          <w:sz w:val="20"/>
          <w:szCs w:val="20"/>
          <w:color w:val="auto"/>
        </w:rPr>
        <w:t>an assignment to any Credit Party or any Affiliate thereof (as to which the provisions of this Section shall apply).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4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4.7</w:t>
      </w:r>
      <w:r>
        <w:rPr>
          <w:sz w:val="20"/>
          <w:szCs w:val="20"/>
          <w:color w:val="auto"/>
        </w:rPr>
        <w:tab/>
      </w:r>
      <w:r>
        <w:rPr>
          <w:rFonts w:ascii="Arial" w:cs="Arial" w:eastAsia="Arial" w:hAnsi="Arial"/>
          <w:sz w:val="18"/>
          <w:szCs w:val="18"/>
          <w:b w:val="1"/>
          <w:bCs w:val="1"/>
          <w:u w:val="single" w:color="auto"/>
          <w:color w:val="auto"/>
        </w:rPr>
        <w:t>Illegality.</w:t>
      </w:r>
    </w:p>
    <w:p>
      <w:pPr>
        <w:spacing w:after="0" w:line="222" w:lineRule="exact"/>
        <w:rPr>
          <w:sz w:val="20"/>
          <w:szCs w:val="20"/>
          <w:color w:val="auto"/>
        </w:rPr>
      </w:pPr>
    </w:p>
    <w:p>
      <w:pPr>
        <w:jc w:val="both"/>
        <w:ind w:left="660" w:firstLine="644"/>
        <w:spacing w:after="0" w:line="268" w:lineRule="auto"/>
        <w:tabs>
          <w:tab w:leader="none" w:pos="17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If any Lender determines that any law has made it unlawful, or that any Governmental Authority has asserted that it is unlawful, for any Lender or its applicable Lending Office to make, maintain or fund or charge interest with respect to any Extension of Credit or to determine or charge interest rates based upon the Eurocurrency Rate, or any Governmental Authority has imposed material restrictions on the authority of such Lender to purchase or sell, or to take deposits of, Dollars or any Foreign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(A) the Borrowers shall, subject to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(B)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 together with any additional amounts required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660" w:firstLine="644"/>
        <w:spacing w:after="0" w:line="274" w:lineRule="auto"/>
        <w:tabs>
          <w:tab w:leader="none" w:pos="183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hold a commitment or maintain its participation in any Loan or Letter of Credit or (iii) issue, make, maintain, fund or charge interest or fees with respect to any Extension of Credit to any Subsidiary Borrower who is organized under the laws of a jurisdiction other than the United States, a State thereof or the District of Columbia such Person shall promptly notify the Administrative Agent, then, upon the Administrative Agent notifying the Company, and until such notice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3" w:name="page144"/>
    <w:bookmarkEnd w:id="143"/>
    <w:p>
      <w:pPr>
        <w:jc w:val="both"/>
        <w:ind w:left="660" w:firstLine="6"/>
        <w:spacing w:after="0" w:line="273" w:lineRule="auto"/>
        <w:rPr>
          <w:sz w:val="20"/>
          <w:szCs w:val="20"/>
          <w:color w:val="auto"/>
        </w:rPr>
      </w:pPr>
      <w:r>
        <w:rPr>
          <w:rFonts w:ascii="Arial" w:cs="Arial" w:eastAsia="Arial" w:hAnsi="Arial"/>
          <w:sz w:val="18"/>
          <w:szCs w:val="18"/>
          <w:color w:val="auto"/>
        </w:rPr>
        <w:t>Person is revoked, any obligation of such Person to issue, make, maintain, fund or charge interest or fees with respect to any such Extension of Credit shall be suspended, and to the extent required by applicable Law, cancelled. Upon receipt of such notice, the Credit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 Issuing Lender,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6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4.8</w:t>
      </w:r>
      <w:r>
        <w:rPr>
          <w:sz w:val="20"/>
          <w:szCs w:val="20"/>
          <w:color w:val="auto"/>
        </w:rPr>
        <w:tab/>
      </w:r>
      <w:r>
        <w:rPr>
          <w:rFonts w:ascii="Arial" w:cs="Arial" w:eastAsia="Arial" w:hAnsi="Arial"/>
          <w:sz w:val="18"/>
          <w:szCs w:val="18"/>
          <w:b w:val="1"/>
          <w:bCs w:val="1"/>
          <w:u w:val="single" w:color="auto"/>
          <w:color w:val="auto"/>
        </w:rPr>
        <w:t>Inability to Determine Rates.</w:t>
      </w:r>
    </w:p>
    <w:p>
      <w:pPr>
        <w:spacing w:after="0" w:line="222" w:lineRule="exact"/>
        <w:rPr>
          <w:sz w:val="20"/>
          <w:szCs w:val="20"/>
          <w:color w:val="auto"/>
        </w:rPr>
      </w:pPr>
    </w:p>
    <w:p>
      <w:pPr>
        <w:jc w:val="both"/>
        <w:ind w:left="660" w:firstLine="644"/>
        <w:spacing w:after="0" w:line="269" w:lineRule="auto"/>
        <w:tabs>
          <w:tab w:leader="none" w:pos="181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in connection with any request for a Eurocurrency Rate Loan or a conversion to or continuation thereof, (i) the Administrative Agent determines that (A) deposits (whether in Dollars or a Foreign Currency) are not being offered to banks in the applicable offshore interbank eurocurrency market for such currency for the applicable amount and Interest Period of such Eurocurrency Rate Loan or (B) adequate and reasonable means do not exist for determining the Eurocurrency Rate for any requested Interest Period with respect to a proposed Eurocurrency Rate Loan (whether denominated in Dollars or a Foreign Currency) or in connection with an existing or proposed Base Rate Loan (in each case with respect to clause (i), “</w:t>
      </w:r>
      <w:r>
        <w:rPr>
          <w:rFonts w:ascii="Arial" w:cs="Arial" w:eastAsia="Arial" w:hAnsi="Arial"/>
          <w:sz w:val="18"/>
          <w:szCs w:val="18"/>
          <w:u w:val="single" w:color="auto"/>
          <w:color w:val="auto"/>
        </w:rPr>
        <w:t>Impacted Loans</w:t>
      </w:r>
      <w:r>
        <w:rPr>
          <w:rFonts w:ascii="Arial" w:cs="Arial" w:eastAsia="Arial" w:hAnsi="Arial"/>
          <w:sz w:val="18"/>
          <w:szCs w:val="18"/>
          <w:color w:val="auto"/>
        </w:rPr>
        <w:t>”), or (ii) the Administrative Agent or the Required Lenders determine that for any reason Eurocurrency Rate for any requested Interest Period with respect to a proposed Eurocurrency Rate Loan does not adequately and fairly reflect the cost to such Lenders of funding such Loan,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applicable Borrower may revoke any pending request for an Extension of Credit of, conversion to or continuation of Eurocurrency Rate Loans in the affected currency or currencies (to the extent of the affected Eurocurrency Rate Loans or Interest Periods) or, failing that, will be deemed to have converted such request into a request for an Extension of Credit of Base Rate Loans in Dollars in the amount specified therein.</w:t>
      </w:r>
    </w:p>
    <w:p>
      <w:pPr>
        <w:spacing w:after="0" w:line="173" w:lineRule="exact"/>
        <w:rPr>
          <w:rFonts w:ascii="Arial" w:cs="Arial" w:eastAsia="Arial" w:hAnsi="Arial"/>
          <w:sz w:val="18"/>
          <w:szCs w:val="18"/>
          <w:color w:val="auto"/>
        </w:rPr>
      </w:pPr>
    </w:p>
    <w:p>
      <w:pPr>
        <w:jc w:val="both"/>
        <w:ind w:left="660" w:firstLine="644"/>
        <w:spacing w:after="0" w:line="272" w:lineRule="auto"/>
        <w:tabs>
          <w:tab w:leader="none" w:pos="17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Notwithstanding the foregoing, if the Administrative Agent has made the determination described in clause (a)(i) of this Section, the Administrative Agent in consultation with the Company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Administrative Agent and the Company that such alternative interest rate does not adequately and fairly reflect the cost to the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4" w:name="page145"/>
    <w:bookmarkEnd w:id="144"/>
    <w:p>
      <w:pPr>
        <w:ind w:left="660" w:firstLine="6"/>
        <w:spacing w:after="0" w:line="260" w:lineRule="auto"/>
        <w:rPr>
          <w:sz w:val="20"/>
          <w:szCs w:val="20"/>
          <w:color w:val="auto"/>
        </w:rPr>
      </w:pPr>
      <w:r>
        <w:rPr>
          <w:rFonts w:ascii="Arial" w:cs="Arial" w:eastAsia="Arial" w:hAnsi="Arial"/>
          <w:sz w:val="20"/>
          <w:szCs w:val="20"/>
          <w:color w:val="auto"/>
        </w:rPr>
        <w:t>material restrictions on the authority of such Lender to do any of the foregoing and provides the Administrative Agent and the Company written notice thereof.</w:t>
      </w:r>
    </w:p>
    <w:p>
      <w:pPr>
        <w:spacing w:after="0" w:line="177" w:lineRule="exact"/>
        <w:rPr>
          <w:sz w:val="20"/>
          <w:szCs w:val="20"/>
          <w:color w:val="auto"/>
        </w:rPr>
      </w:pPr>
    </w:p>
    <w:p>
      <w:pPr>
        <w:jc w:val="both"/>
        <w:ind w:left="660" w:firstLine="644"/>
        <w:spacing w:after="0" w:line="246" w:lineRule="auto"/>
        <w:tabs>
          <w:tab w:leader="none" w:pos="174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91" w:lineRule="exact"/>
        <w:rPr>
          <w:rFonts w:ascii="Arial" w:cs="Arial" w:eastAsia="Arial" w:hAnsi="Arial"/>
          <w:sz w:val="20"/>
          <w:szCs w:val="20"/>
          <w:color w:val="auto"/>
        </w:rPr>
      </w:pPr>
    </w:p>
    <w:p>
      <w:pPr>
        <w:jc w:val="both"/>
        <w:ind w:left="1300" w:firstLine="652"/>
        <w:spacing w:after="0" w:line="246" w:lineRule="auto"/>
        <w:tabs>
          <w:tab w:leader="none" w:pos="238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the Applicable Reference Rate for an Applicable Currency for any Interest Period hereunder or any other tenors of the Applicable Reference Rate for an Applicable Currency, including, without limitation, because the Screen Rate is not available or published on a current basis and such circumstances are unlikely to be temporary; or</w:t>
      </w:r>
    </w:p>
    <w:p>
      <w:pPr>
        <w:spacing w:after="0" w:line="191" w:lineRule="exact"/>
        <w:rPr>
          <w:rFonts w:ascii="Arial" w:cs="Arial" w:eastAsia="Arial" w:hAnsi="Arial"/>
          <w:sz w:val="20"/>
          <w:szCs w:val="20"/>
          <w:color w:val="auto"/>
        </w:rPr>
      </w:pPr>
    </w:p>
    <w:p>
      <w:pPr>
        <w:jc w:val="both"/>
        <w:ind w:left="1300" w:firstLine="652"/>
        <w:spacing w:after="0" w:line="257" w:lineRule="auto"/>
        <w:tabs>
          <w:tab w:leader="none" w:pos="2574"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the administrator of the Screen Rate for an Applicable Currency or a Governmental Authority having jurisdiction over the Administrative Agent or such administrator has made a public statement identifying a specific date after which the Applicable Reference Rate for an Applicable Currency or the Screen Rate for an Applicable Currency shall no longer be made available, or used for determining the interest rate of loans denominated in such Applicable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there is no successor administrator that is satisfactory to the Administrative Agent, that will continue to provide the Applicable Reference Rate for such Applicable Currency after such specific date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184" w:lineRule="exact"/>
        <w:rPr>
          <w:rFonts w:ascii="Arial" w:cs="Arial" w:eastAsia="Arial" w:hAnsi="Arial"/>
          <w:sz w:val="19"/>
          <w:szCs w:val="19"/>
          <w:color w:val="auto"/>
        </w:rPr>
      </w:pPr>
    </w:p>
    <w:p>
      <w:pPr>
        <w:jc w:val="both"/>
        <w:ind w:left="1300" w:firstLine="652"/>
        <w:spacing w:after="0" w:line="250" w:lineRule="auto"/>
        <w:tabs>
          <w:tab w:leader="none" w:pos="261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administrator of the Screen Rate for an Applicable Currency or a Governmental Authority having jurisdiction over such administrator has made a public statement announcing that all Interest Periods and other tenors of the Applicable Reference Rate for an Applicable Currency are no longer representative; or</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 xml:space="preserve">syndicated loans currently being executed, or that include language similar to that contained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4.8</w:t>
      </w:r>
      <w:r>
        <w:rPr>
          <w:rFonts w:ascii="Arial" w:cs="Arial" w:eastAsia="Arial" w:hAnsi="Arial"/>
          <w:sz w:val="20"/>
          <w:szCs w:val="20"/>
          <w:color w:val="auto"/>
        </w:rPr>
        <w:t>, are being executed or amended (as applicable) to incorporate or adopt a new benchmark interest rate to replace the Applicable Reference Rate for an Applicable Currency;</w:t>
      </w:r>
    </w:p>
    <w:p>
      <w:pPr>
        <w:spacing w:after="0" w:line="186" w:lineRule="exact"/>
        <w:rPr>
          <w:sz w:val="20"/>
          <w:szCs w:val="20"/>
          <w:color w:val="auto"/>
        </w:rPr>
      </w:pPr>
    </w:p>
    <w:p>
      <w:pPr>
        <w:jc w:val="both"/>
        <w:ind w:left="1300"/>
        <w:spacing w:after="0" w:line="272" w:lineRule="auto"/>
        <w:rPr>
          <w:sz w:val="20"/>
          <w:szCs w:val="20"/>
          <w:color w:val="auto"/>
        </w:rPr>
      </w:pPr>
      <w:r>
        <w:rPr>
          <w:rFonts w:ascii="Arial" w:cs="Arial" w:eastAsia="Arial" w:hAnsi="Arial"/>
          <w:sz w:val="18"/>
          <w:szCs w:val="18"/>
          <w:color w:val="auto"/>
        </w:rPr>
        <w:t>then, with respect to Dollars in the case of clauses (i)-(iii) above, on a date and time determined by the Administrative Agent (any such date, the “</w:t>
      </w:r>
      <w:r>
        <w:rPr>
          <w:rFonts w:ascii="Arial" w:cs="Arial" w:eastAsia="Arial" w:hAnsi="Arial"/>
          <w:sz w:val="18"/>
          <w:szCs w:val="18"/>
          <w:u w:val="single" w:color="auto"/>
          <w:color w:val="auto"/>
        </w:rPr>
        <w:t>Applicable Reference Rate Replacement Date</w:t>
      </w:r>
      <w:r>
        <w:rPr>
          <w:rFonts w:ascii="Arial" w:cs="Arial" w:eastAsia="Arial" w:hAnsi="Arial"/>
          <w:sz w:val="18"/>
          <w:szCs w:val="18"/>
          <w:color w:val="auto"/>
        </w:rPr>
        <w:t>”),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8"/>
          <w:szCs w:val="18"/>
          <w:u w:val="single" w:color="auto"/>
          <w:color w:val="auto"/>
        </w:rPr>
        <w:t>Dollar LIBOR Successor Rate</w:t>
      </w:r>
      <w:r>
        <w:rPr>
          <w:rFonts w:ascii="Arial" w:cs="Arial" w:eastAsia="Arial" w:hAnsi="Arial"/>
          <w:sz w:val="18"/>
          <w:szCs w:val="18"/>
          <w:color w:val="auto"/>
        </w:rPr>
        <w:t>”; and any such rate before giving effect to the Related Adjustment, the “</w:t>
      </w:r>
      <w:r>
        <w:rPr>
          <w:rFonts w:ascii="Arial" w:cs="Arial" w:eastAsia="Arial" w:hAnsi="Arial"/>
          <w:sz w:val="18"/>
          <w:szCs w:val="18"/>
          <w:u w:val="single" w:color="auto"/>
          <w:color w:val="auto"/>
        </w:rPr>
        <w:t>Pre-Adjustment Successor Rate</w:t>
      </w:r>
      <w:r>
        <w:rPr>
          <w:rFonts w:ascii="Arial" w:cs="Arial" w:eastAsia="Arial" w:hAnsi="Arial"/>
          <w:sz w:val="18"/>
          <w:szCs w:val="18"/>
          <w:color w:val="auto"/>
        </w:rPr>
        <w:t>”):</w:t>
      </w:r>
    </w:p>
    <w:p>
      <w:pPr>
        <w:spacing w:after="0" w:line="170" w:lineRule="exact"/>
        <w:rPr>
          <w:sz w:val="20"/>
          <w:szCs w:val="20"/>
          <w:color w:val="auto"/>
        </w:rPr>
      </w:pPr>
    </w:p>
    <w:p>
      <w:pPr>
        <w:ind w:left="2380" w:hanging="428"/>
        <w:spacing w:after="0"/>
        <w:tabs>
          <w:tab w:leader="none" w:pos="23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Term SOFR plus the Related Adjustment;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75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5" w:name="page146"/>
    <w:bookmarkEnd w:id="145"/>
    <w:p>
      <w:pPr>
        <w:ind w:left="2440" w:hanging="488"/>
        <w:spacing w:after="0"/>
        <w:tabs>
          <w:tab w:leader="none" w:pos="24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SOFR plus the Related Adjustment;</w:t>
      </w:r>
    </w:p>
    <w:p>
      <w:pPr>
        <w:spacing w:after="0" w:line="216" w:lineRule="exact"/>
        <w:rPr>
          <w:sz w:val="20"/>
          <w:szCs w:val="20"/>
          <w:color w:val="auto"/>
        </w:rPr>
      </w:pPr>
    </w:p>
    <w:p>
      <w:pPr>
        <w:jc w:val="both"/>
        <w:ind w:left="1300"/>
        <w:spacing w:after="0" w:line="247" w:lineRule="auto"/>
        <w:rPr>
          <w:sz w:val="20"/>
          <w:szCs w:val="20"/>
          <w:color w:val="auto"/>
        </w:rPr>
      </w:pPr>
      <w:r>
        <w:rPr>
          <w:rFonts w:ascii="Arial" w:cs="Arial" w:eastAsia="Arial" w:hAnsi="Arial"/>
          <w:sz w:val="19"/>
          <w:szCs w:val="19"/>
          <w:color w:val="auto"/>
        </w:rPr>
        <w:t>and with respect to Dollars in the case of clause (iv) above, the Company and the Administrative Agent may amend this Agreement solely for the purpose of replacing LIBOR with respect to Dollars under this Agreement and under any other Loan Document in accordance with the definition of “Dollar LIBOR Successor Rate” and such amendment will become effective at 5:00 p.m., on the fifth (5</w:t>
      </w:r>
      <w:r>
        <w:rPr>
          <w:rFonts w:ascii="Arial" w:cs="Arial" w:eastAsia="Arial" w:hAnsi="Arial"/>
          <w:sz w:val="24"/>
          <w:szCs w:val="24"/>
          <w:color w:val="auto"/>
          <w:vertAlign w:val="superscript"/>
        </w:rPr>
        <w:t>th</w:t>
      </w:r>
      <w:r>
        <w:rPr>
          <w:rFonts w:ascii="Arial" w:cs="Arial" w:eastAsia="Arial" w:hAnsi="Arial"/>
          <w:sz w:val="19"/>
          <w:szCs w:val="19"/>
          <w:color w:val="auto"/>
        </w:rPr>
        <w:t>) Business Day after the Administrative Agent shall have notified all Lenders and the Company of the occurrence of the circumstances described in clause (iv) above unless, prior to such time, Lenders comprising the Required Lenders have delivered to the Administrative Agent written notice that such Required Lenders object to the implementation of a Dollar LIBOR Successor Rate pursuant to such clause;</w:t>
      </w:r>
    </w:p>
    <w:p>
      <w:pPr>
        <w:spacing w:after="0" w:line="189" w:lineRule="exact"/>
        <w:rPr>
          <w:sz w:val="20"/>
          <w:szCs w:val="20"/>
          <w:color w:val="auto"/>
        </w:rPr>
      </w:pPr>
    </w:p>
    <w:p>
      <w:pPr>
        <w:jc w:val="both"/>
        <w:ind w:left="1300"/>
        <w:spacing w:after="0" w:line="27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Dollar LIBOR Successor Rate then in effect was so identified,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Dollar LIBOR Successor Rate shall be Term SOFR plus the relevant Related Adjustment;</w:t>
      </w:r>
    </w:p>
    <w:p>
      <w:pPr>
        <w:spacing w:after="0" w:line="168"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then, with respect to any Foreign Currency, reasonably promptly after such determination by the Administrative Agent or receipt by the Administrative Agent of such notice, as applicable, the Administrative Agent and the Company may amend this Agreement solely for the purpose of replacing the Applicable Reference Rate for the Applicable Currency in accordance with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with another alternate benchmark rate giving due consideration to any evolving or then existing convention for similar syndicated credit facilities syndicated in the U.S. and denominated in the Applicable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Applicable Currency for such benchmarks,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Arial" w:cs="Arial" w:eastAsia="Arial" w:hAnsi="Arial"/>
          <w:sz w:val="18"/>
          <w:szCs w:val="18"/>
          <w:u w:val="single" w:color="auto"/>
          <w:color w:val="auto"/>
        </w:rPr>
        <w:t>Adjustment</w:t>
      </w:r>
      <w:r>
        <w:rPr>
          <w:rFonts w:ascii="Arial" w:cs="Arial" w:eastAsia="Arial" w:hAnsi="Arial"/>
          <w:sz w:val="18"/>
          <w:szCs w:val="18"/>
          <w:color w:val="auto"/>
        </w:rPr>
        <w:t>;” and any such proposed rate, a “</w:t>
      </w:r>
      <w:r>
        <w:rPr>
          <w:rFonts w:ascii="Arial" w:cs="Arial" w:eastAsia="Arial" w:hAnsi="Arial"/>
          <w:sz w:val="18"/>
          <w:szCs w:val="18"/>
          <w:u w:val="single" w:color="auto"/>
          <w:color w:val="auto"/>
        </w:rPr>
        <w:t>Foreign Currency Successor Rate</w:t>
      </w:r>
      <w:r>
        <w:rPr>
          <w:rFonts w:ascii="Arial" w:cs="Arial" w:eastAsia="Arial" w:hAnsi="Arial"/>
          <w:sz w:val="18"/>
          <w:szCs w:val="18"/>
          <w:color w:val="auto"/>
        </w:rPr>
        <w:t>”), and any such amendment shall become effective at 5:00 p.m.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78"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The Administrative Agent will promptly (in one or more notices) notify the Company and each Lender of (x) any occurrence of any of the events, periods or circumstances under clauses (i) through (iii) above, (y) an Applicable Reference Rate Replacement Date and (z) the Successor Rate.</w:t>
      </w:r>
    </w:p>
    <w:p>
      <w:pPr>
        <w:spacing w:after="0" w:line="186"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6" w:name="page147"/>
    <w:bookmarkEnd w:id="146"/>
    <w:p>
      <w:pPr>
        <w:jc w:val="both"/>
        <w:ind w:left="1300" w:right="20"/>
        <w:spacing w:after="0" w:line="260" w:lineRule="auto"/>
        <w:rPr>
          <w:sz w:val="20"/>
          <w:szCs w:val="20"/>
          <w:color w:val="auto"/>
        </w:rPr>
      </w:pPr>
      <w:r>
        <w:rPr>
          <w:rFonts w:ascii="Arial" w:cs="Arial" w:eastAsia="Arial" w:hAnsi="Arial"/>
          <w:sz w:val="20"/>
          <w:szCs w:val="20"/>
          <w:color w:val="auto"/>
        </w:rPr>
        <w:t>Administrative Agent, such Successor Rate shall be applied in a manner as otherwise reasonably determined by the Administrative Agent.</w:t>
      </w:r>
    </w:p>
    <w:p>
      <w:pPr>
        <w:spacing w:after="0" w:line="177" w:lineRule="exact"/>
        <w:rPr>
          <w:sz w:val="20"/>
          <w:szCs w:val="20"/>
          <w:color w:val="auto"/>
        </w:rPr>
      </w:pPr>
    </w:p>
    <w:p>
      <w:pPr>
        <w:jc w:val="both"/>
        <w:ind w:left="1300" w:right="20"/>
        <w:spacing w:after="0" w:line="316"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130" w:lineRule="exact"/>
        <w:rPr>
          <w:sz w:val="20"/>
          <w:szCs w:val="20"/>
          <w:color w:val="auto"/>
        </w:rPr>
      </w:pPr>
    </w:p>
    <w:p>
      <w:pPr>
        <w:jc w:val="both"/>
        <w:ind w:left="1300"/>
        <w:spacing w:after="0" w:line="257" w:lineRule="auto"/>
        <w:rPr>
          <w:sz w:val="20"/>
          <w:szCs w:val="20"/>
          <w:color w:val="auto"/>
        </w:rPr>
      </w:pPr>
      <w:r>
        <w:rPr>
          <w:rFonts w:ascii="Arial" w:cs="Arial" w:eastAsia="Arial" w:hAnsi="Arial"/>
          <w:sz w:val="19"/>
          <w:szCs w:val="19"/>
          <w:color w:val="auto"/>
        </w:rPr>
        <w:t xml:space="preserve">In connection with the implementation of a Successor Rate for any currency, the Administrative Agent will have the right to make Successor Rate Conforming Changes with respect to such currency from time to time and, notwithstanding anything to the contrary herein or in any other Loan Document, any amendments implementing such Successor Rate Conforming Changes will become effective without any further action or consent of any other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Successor Rate Conforming Changes for the Applicable Currency to the Company and the Lenders reasonably promptly after such amendment becomes effective.</w:t>
      </w:r>
    </w:p>
    <w:p>
      <w:pPr>
        <w:spacing w:after="0" w:line="185"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 xml:space="preserve">If the events or circumstances of the type described in </w:t>
      </w:r>
      <w:r>
        <w:rPr>
          <w:rFonts w:ascii="Arial" w:cs="Arial" w:eastAsia="Arial" w:hAnsi="Arial"/>
          <w:sz w:val="20"/>
          <w:szCs w:val="20"/>
          <w:u w:val="single" w:color="auto"/>
          <w:color w:val="auto"/>
        </w:rPr>
        <w:t>Section 4.8(c)(i)</w:t>
      </w:r>
      <w:r>
        <w:rPr>
          <w:rFonts w:ascii="Arial" w:cs="Arial" w:eastAsia="Arial" w:hAnsi="Arial"/>
          <w:sz w:val="20"/>
          <w:szCs w:val="20"/>
          <w:color w:val="auto"/>
        </w:rPr>
        <w:t xml:space="preserve"> to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have occurred with respect to the Successor Rate then in effect, then the successor rate thereto shall be determined in accordance with the definition of “Dollar LIBOR Successor Rate” or “Foreign Currency Successor Rate,” as applicable.</w:t>
      </w:r>
    </w:p>
    <w:p>
      <w:pPr>
        <w:spacing w:after="0" w:line="186" w:lineRule="exact"/>
        <w:rPr>
          <w:sz w:val="20"/>
          <w:szCs w:val="20"/>
          <w:color w:val="auto"/>
        </w:rPr>
      </w:pPr>
    </w:p>
    <w:p>
      <w:pPr>
        <w:jc w:val="both"/>
        <w:ind w:left="660" w:firstLine="644"/>
        <w:spacing w:after="0" w:line="269" w:lineRule="auto"/>
        <w:tabs>
          <w:tab w:leader="none" w:pos="189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in the case of Dollars (i) after any such determination by the Administrative Agent or receipt by the Administrative Agent of any such notice described under </w:t>
      </w:r>
      <w:r>
        <w:rPr>
          <w:rFonts w:ascii="Arial" w:cs="Arial" w:eastAsia="Arial" w:hAnsi="Arial"/>
          <w:sz w:val="18"/>
          <w:szCs w:val="18"/>
          <w:u w:val="single" w:color="auto"/>
          <w:color w:val="auto"/>
        </w:rPr>
        <w:t>Section 4.8(c)(i)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as applicable, if the Administrative Agent determines that none of the Dollar LIBOR Successor Rates are available on or prior to the Applicable Reference Rate Replacement Date, (ii) if the events or circumstances described in </w:t>
      </w:r>
      <w:r>
        <w:rPr>
          <w:rFonts w:ascii="Arial" w:cs="Arial" w:eastAsia="Arial" w:hAnsi="Arial"/>
          <w:sz w:val="18"/>
          <w:szCs w:val="18"/>
          <w:u w:val="single" w:color="auto"/>
          <w:color w:val="auto"/>
        </w:rPr>
        <w:t>Section 4.8(c)(iv)</w:t>
      </w:r>
      <w:r>
        <w:rPr>
          <w:rFonts w:ascii="Arial" w:cs="Arial" w:eastAsia="Arial" w:hAnsi="Arial"/>
          <w:sz w:val="18"/>
          <w:szCs w:val="18"/>
          <w:color w:val="auto"/>
        </w:rPr>
        <w:t xml:space="preserve"> have occurred but none of the Dollar LIBOR Successor Rates are available, or (iii) if the events or circumstances of the type described in </w:t>
      </w:r>
      <w:r>
        <w:rPr>
          <w:rFonts w:ascii="Arial" w:cs="Arial" w:eastAsia="Arial" w:hAnsi="Arial"/>
          <w:sz w:val="18"/>
          <w:szCs w:val="18"/>
          <w:u w:val="single" w:color="auto"/>
          <w:color w:val="auto"/>
        </w:rPr>
        <w:t>Section 4.8(c)</w:t>
      </w:r>
    </w:p>
    <w:p>
      <w:pPr>
        <w:spacing w:after="0" w:line="3" w:lineRule="exact"/>
        <w:rPr>
          <w:rFonts w:ascii="Arial" w:cs="Arial" w:eastAsia="Arial" w:hAnsi="Arial"/>
          <w:sz w:val="18"/>
          <w:szCs w:val="18"/>
          <w:color w:val="auto"/>
        </w:rPr>
      </w:pPr>
    </w:p>
    <w:p>
      <w:pPr>
        <w:jc w:val="both"/>
        <w:ind w:left="660" w:hanging="4"/>
        <w:spacing w:after="0" w:line="262" w:lineRule="auto"/>
        <w:tabs>
          <w:tab w:leader="none" w:pos="910" w:val="left"/>
        </w:tabs>
        <w:numPr>
          <w:ilvl w:val="0"/>
          <w:numId w:val="134"/>
        </w:numPr>
        <w:rPr>
          <w:rFonts w:ascii="Arial" w:cs="Arial" w:eastAsia="Arial" w:hAnsi="Arial"/>
          <w:sz w:val="18"/>
          <w:szCs w:val="18"/>
          <w:u w:val="single" w:color="auto"/>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have occurred with respect to the Dollar LIBOR Successor Rate then in effect and the Administrative Agent determines that none of the Dollar LIBOR Successor Rates are available, then in each case, the Administrative Agent and the Company may amend this Agreement solely for the purpose of replacing LIBOR or any then current Dollar LIBOR Successor Rate in accordance with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at the end of any Interest Period, relevant interest payment date or payment period for interest calculated, as applicable, with another alternate benchmark rate giving due consideration to any evolving or then existing convention for similar syndicated credit facilities syndicated in the U.S. and denominated in Dollars for such alternative benchmarks and, in each case, including any Related Adjustments and any other mathematical or other adjustments to such benchmark giving due consideration to any evolving or then existing convention for similar syndicated credit facilities syndicated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Dollar LIBOR Successor Rate. Any such amendment shall become effective at 5:00 p.m.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7" w:name="page148"/>
    <w:bookmarkEnd w:id="147"/>
    <w:p>
      <w:pPr>
        <w:jc w:val="both"/>
        <w:ind w:left="660" w:firstLine="644"/>
        <w:spacing w:after="0" w:line="268" w:lineRule="auto"/>
        <w:tabs>
          <w:tab w:leader="none" w:pos="185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If, at the end of any Interest Period, relevant interest payment date or payment period for interest calculated, no Successor Rate for an Applicable Currency has been determined in accordance with clauses (c) or (d) of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the circumstances under clauses (c)(i) or (c)(iii) above exist or the Scheduled Unavailability Date has occurred (as applicable), the Administrative Agent will promptly so notify the Company and each Lender. Thereafter, (x) the obligation of the Lenders to make or maintain Eurocurrency Rate Loans in each such Applicable Currency shall be suspended, (to the extent of the affected Eurocurrency Rate Loans, Interest Periods, interest payment dates or payment periods), and (y) in the case of LIBOR, the Eurocurrency Rate component shall no longer be utilized in determining the Base Rate, until the applicable Successor Rate has been determined in accordance with clauses (c) or (d). Upon receipt of such notice, the Borrowers may revoke any pending request for a borrowing of, conversion to or continuation of Eurocurrency Rate Loans in each such affected Applicable Currency (to the extent of the affected Eurocurrency Rate Loans, Interest Periods, interest payment dates or payment periods) or, failing that, will be deemed to have converted each such request into a request for a borrowing of Base Rate Loans denominated in Dollars in the Dollar Amount of the amount specified therein and (ii) (A) any outstanding affected Eurocurrency Rate Loans denominated in Dollars will be deemed to have been converted into Base Rate Loans at the end of the applicable Interest Period and (B) any outstanding affected Eurocurrency Rate Loans denominated in a Foreign Currency, at the Company’s election, shall either (1) be converted into a borrowing of Base Rate Loans denominated in Dollars in the Dollar Amount of the amount of such outstanding Eurocurrency Rate Loan at the end of the applicable Interest Period or (2) be prepaid at the end of the applicable Interest Period in full;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election is made by the Company by the earlier of (x) the date that is three Business Days after receipt by the Company of such notice and (y) the last day of the current Interest Period for the applicable Eurocurrency Rate Loan, the Company shall be deemed to have elected clause (1) above.</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4.9 </w:t>
      </w:r>
      <w:r>
        <w:rPr>
          <w:rFonts w:ascii="Arial" w:cs="Arial" w:eastAsia="Arial" w:hAnsi="Arial"/>
          <w:sz w:val="19"/>
          <w:szCs w:val="19"/>
          <w:b w:val="1"/>
          <w:bCs w:val="1"/>
          <w:u w:val="single" w:color="auto"/>
          <w:color w:val="auto"/>
        </w:rPr>
        <w:t>Indemnity</w:t>
      </w:r>
      <w:r>
        <w:rPr>
          <w:rFonts w:ascii="Arial" w:cs="Arial" w:eastAsia="Arial" w:hAnsi="Arial"/>
          <w:sz w:val="19"/>
          <w:szCs w:val="19"/>
          <w:color w:val="auto"/>
        </w:rPr>
        <w:t>. Each Borrower hereby indemnifies,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2.10(b)</w:t>
      </w:r>
      <w:r>
        <w:rPr>
          <w:rFonts w:ascii="Arial" w:cs="Arial" w:eastAsia="Arial" w:hAnsi="Arial"/>
          <w:sz w:val="19"/>
          <w:szCs w:val="19"/>
          <w:color w:val="auto"/>
        </w:rPr>
        <w:t>, each of the Lenders against any actual</w:t>
      </w:r>
      <w:r>
        <w:rPr>
          <w:rFonts w:ascii="Arial" w:cs="Arial" w:eastAsia="Arial" w:hAnsi="Arial"/>
          <w:sz w:val="19"/>
          <w:szCs w:val="19"/>
          <w:b w:val="1"/>
          <w:bCs w:val="1"/>
          <w:color w:val="auto"/>
        </w:rPr>
        <w:t xml:space="preserve"> </w:t>
      </w:r>
      <w:r>
        <w:rPr>
          <w:rFonts w:ascii="Arial" w:cs="Arial" w:eastAsia="Arial" w:hAnsi="Arial"/>
          <w:sz w:val="19"/>
          <w:szCs w:val="19"/>
          <w:color w:val="auto"/>
        </w:rPr>
        <w:t>loss or expense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Eurocurrency Rate Loan, (b) due to any failure of such Borrower to borrow, continue or convert on a date specified therefor in a Loan Notice or (c) due to any payment, prepayment or conversion of any Eurocurrency Rate Loan on a date other than the last day of the Interest Period therefor. The amount of such loss or expense shall be determined, in the applicable Lender’s sole discretion, based upon the assumption that such Lender funded its Commitment Percentage of the Eurocurrency Rate Loans in the London interbank market (or other applicable market for Foreign Currencies)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4.10</w:t>
      </w:r>
      <w:r>
        <w:rPr>
          <w:sz w:val="20"/>
          <w:szCs w:val="20"/>
          <w:color w:val="auto"/>
        </w:rPr>
        <w:tab/>
      </w:r>
      <w:r>
        <w:rPr>
          <w:rFonts w:ascii="Arial" w:cs="Arial" w:eastAsia="Arial" w:hAnsi="Arial"/>
          <w:sz w:val="16"/>
          <w:szCs w:val="16"/>
          <w:b w:val="1"/>
          <w:bCs w:val="1"/>
          <w:u w:val="single" w:color="auto"/>
          <w:color w:val="auto"/>
        </w:rPr>
        <w:t>Increased Costs.</w:t>
      </w:r>
    </w:p>
    <w:p>
      <w:pPr>
        <w:spacing w:after="0" w:line="222" w:lineRule="exact"/>
        <w:rPr>
          <w:sz w:val="20"/>
          <w:szCs w:val="20"/>
          <w:color w:val="auto"/>
        </w:rPr>
      </w:pPr>
    </w:p>
    <w:p>
      <w:pPr>
        <w:ind w:left="1720" w:hanging="416"/>
        <w:spacing w:after="0"/>
        <w:tabs>
          <w:tab w:leader="none" w:pos="172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1300" w:right="20" w:firstLine="652"/>
        <w:spacing w:after="0" w:line="269" w:lineRule="auto"/>
        <w:tabs>
          <w:tab w:leader="none" w:pos="237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advances, loans or other credit extended or participated in by, any Lender (except any reserve requirement reflected in the LIBOR Rate) or any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8" w:name="page149"/>
    <w:bookmarkEnd w:id="148"/>
    <w:p>
      <w:pPr>
        <w:jc w:val="both"/>
        <w:ind w:left="1300" w:firstLine="652"/>
        <w:spacing w:after="0" w:line="246" w:lineRule="auto"/>
        <w:tabs>
          <w:tab w:leader="none" w:pos="249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with respect to this Agreement, or its deposits, reserves, other liabilities or capital attributable thereto; or</w:t>
      </w:r>
    </w:p>
    <w:p>
      <w:pPr>
        <w:spacing w:after="0" w:line="191" w:lineRule="exact"/>
        <w:rPr>
          <w:rFonts w:ascii="Arial" w:cs="Arial" w:eastAsia="Arial" w:hAnsi="Arial"/>
          <w:sz w:val="20"/>
          <w:szCs w:val="20"/>
          <w:color w:val="auto"/>
        </w:rPr>
      </w:pPr>
    </w:p>
    <w:p>
      <w:pPr>
        <w:jc w:val="both"/>
        <w:ind w:left="1300" w:firstLine="652"/>
        <w:spacing w:after="0" w:line="250" w:lineRule="auto"/>
        <w:tabs>
          <w:tab w:leader="none" w:pos="248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impose on any Lender or any Issuing Lender or the London interbank market (or other applicable market for Foreign Currencies) any other condition, cost or expense (other than Taxes) affecting this Agreement or Eurocurrency Rate Loans made by such Lender or any Letter of Credit or participation therein;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other Recipient hereunder (whether of principal, interest or any other amount) (including, in all cases, the Lenders under the Designated Currency Tranche being required to convert a Loan from one Agreed Currency to another Agreed Currency), then, upon request of such Lender, such Issuing Lender or other Recipient, the Company will pay (or will cause the applicable Subsidiary Borrower to pay) to such Lender, such Issuing Lender or other Recipient, as the case may be, such additional amount or amounts as will compensate such Lender, such Issuing Lender or other Recipient, as the case may be, for such additional costs incurred or reduction suffered.</w:t>
      </w:r>
    </w:p>
    <w:p>
      <w:pPr>
        <w:spacing w:after="0" w:line="170" w:lineRule="exact"/>
        <w:rPr>
          <w:sz w:val="20"/>
          <w:szCs w:val="20"/>
          <w:color w:val="auto"/>
        </w:rPr>
      </w:pPr>
    </w:p>
    <w:p>
      <w:pPr>
        <w:jc w:val="both"/>
        <w:ind w:left="660" w:firstLine="644"/>
        <w:spacing w:after="0" w:line="255" w:lineRule="auto"/>
        <w:tabs>
          <w:tab w:leader="none" w:pos="1763"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the written request of such Lender, the Company shall promptly pay (or shall cause the applicable Subsidiary Borrower to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84" w:lineRule="exact"/>
        <w:rPr>
          <w:rFonts w:ascii="Arial" w:cs="Arial" w:eastAsia="Arial" w:hAnsi="Arial"/>
          <w:sz w:val="19"/>
          <w:szCs w:val="19"/>
          <w:color w:val="auto"/>
        </w:rPr>
      </w:pPr>
    </w:p>
    <w:p>
      <w:pPr>
        <w:jc w:val="both"/>
        <w:ind w:left="660" w:firstLine="644"/>
        <w:spacing w:after="0" w:line="246" w:lineRule="auto"/>
        <w:tabs>
          <w:tab w:leader="none" w:pos="1725"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Mandatory Costs</w:t>
      </w:r>
      <w:r>
        <w:rPr>
          <w:rFonts w:ascii="Arial" w:cs="Arial" w:eastAsia="Arial" w:hAnsi="Arial"/>
          <w:sz w:val="20"/>
          <w:szCs w:val="20"/>
          <w:color w:val="auto"/>
        </w:rPr>
        <w:t>. If any Lender or any Issuing Lender incurs any Mandatory Costs attributable to the Obligations, then from time to time the Company will pay (or cause the applicable Subsidiary Borrower to pay) to such Lender or such Issuing Lender, as the case may be, such Mandatory Costs. Such amount shall be expressed as a percentage rate per annum and shall be payable on the full amount of the applicable Obligations.</w:t>
      </w:r>
    </w:p>
    <w:p>
      <w:pPr>
        <w:spacing w:after="0" w:line="191" w:lineRule="exact"/>
        <w:rPr>
          <w:rFonts w:ascii="Arial" w:cs="Arial" w:eastAsia="Arial" w:hAnsi="Arial"/>
          <w:sz w:val="20"/>
          <w:szCs w:val="20"/>
          <w:color w:val="auto"/>
        </w:rPr>
      </w:pPr>
    </w:p>
    <w:p>
      <w:pPr>
        <w:jc w:val="both"/>
        <w:ind w:left="660" w:firstLine="644"/>
        <w:spacing w:after="0" w:line="291" w:lineRule="auto"/>
        <w:tabs>
          <w:tab w:leader="none" w:pos="180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Issuing Lender setting forth the amount or amounts necessary to compensate such Lender or such Issuing Lender or its holding company, as the case may be, as specified in paragraph (a), (b) or (c) of this Section and delivered to the Company shall be conclusive absent manifest error.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49" w:name="page150"/>
    <w:bookmarkEnd w:id="149"/>
    <w:p>
      <w:pPr>
        <w:ind w:left="660" w:firstLine="6"/>
        <w:spacing w:after="0" w:line="260" w:lineRule="auto"/>
        <w:rPr>
          <w:sz w:val="20"/>
          <w:szCs w:val="20"/>
          <w:color w:val="auto"/>
        </w:rPr>
      </w:pPr>
      <w:r>
        <w:rPr>
          <w:rFonts w:ascii="Arial" w:cs="Arial" w:eastAsia="Arial" w:hAnsi="Arial"/>
          <w:sz w:val="20"/>
          <w:szCs w:val="20"/>
          <w:color w:val="auto"/>
        </w:rPr>
        <w:t>shall pay (or shall cause the applicable Subsidiary Borrower to pay) such Lender or such Issuing Lender, as the case may be, the amount shown as due on any such certificate within ten (10) days after receipt thereof.</w:t>
      </w:r>
    </w:p>
    <w:p>
      <w:pPr>
        <w:spacing w:after="0" w:line="177" w:lineRule="exact"/>
        <w:rPr>
          <w:sz w:val="20"/>
          <w:szCs w:val="20"/>
          <w:color w:val="auto"/>
        </w:rPr>
      </w:pPr>
    </w:p>
    <w:p>
      <w:pPr>
        <w:jc w:val="both"/>
        <w:ind w:left="660" w:firstLine="644"/>
        <w:spacing w:after="0" w:line="313" w:lineRule="auto"/>
        <w:tabs>
          <w:tab w:leader="none" w:pos="1739"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any Issuing Lender to demand compensation pursuant to this Section shall not constitute a waiver of such Lender’s or such Issuing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an Issuing Lender pursuant to this Section for any increased costs incurred or reductions suffered more than nine months prior to the date that such Lender or such Issuing Lender, as the case may be, notifies the Company of the Change in Law giving rise to such increased costs or reductions and of such Lender’s or such Issuing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3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4.11</w:t>
      </w:r>
      <w:r>
        <w:rPr>
          <w:sz w:val="20"/>
          <w:szCs w:val="20"/>
          <w:color w:val="auto"/>
        </w:rPr>
        <w:tab/>
      </w:r>
      <w:r>
        <w:rPr>
          <w:rFonts w:ascii="Arial" w:cs="Arial" w:eastAsia="Arial" w:hAnsi="Arial"/>
          <w:sz w:val="16"/>
          <w:szCs w:val="16"/>
          <w:b w:val="1"/>
          <w:bCs w:val="1"/>
          <w:u w:val="single" w:color="auto"/>
          <w:color w:val="auto"/>
        </w:rPr>
        <w:t>Taxes.</w:t>
      </w:r>
    </w:p>
    <w:p>
      <w:pPr>
        <w:spacing w:after="0" w:line="222" w:lineRule="exact"/>
        <w:rPr>
          <w:sz w:val="20"/>
          <w:szCs w:val="20"/>
          <w:color w:val="auto"/>
        </w:rPr>
      </w:pPr>
    </w:p>
    <w:p>
      <w:pPr>
        <w:ind w:left="1720" w:hanging="416"/>
        <w:spacing w:after="0"/>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3" w:lineRule="auto"/>
        <w:tabs>
          <w:tab w:leader="none" w:pos="2324"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any Credit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upon the basis of the information and documentation to be delivered pursuant to subsection (e) below.</w:t>
      </w:r>
    </w:p>
    <w:p>
      <w:pPr>
        <w:spacing w:after="0" w:line="195" w:lineRule="exact"/>
        <w:rPr>
          <w:rFonts w:ascii="Arial" w:cs="Arial" w:eastAsia="Arial" w:hAnsi="Arial"/>
          <w:sz w:val="20"/>
          <w:szCs w:val="20"/>
          <w:color w:val="auto"/>
        </w:rPr>
      </w:pPr>
    </w:p>
    <w:p>
      <w:pPr>
        <w:jc w:val="both"/>
        <w:ind w:left="1300" w:firstLine="652"/>
        <w:spacing w:after="0" w:line="272" w:lineRule="auto"/>
        <w:tabs>
          <w:tab w:leader="none" w:pos="23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If any Withholding Agent shall be required by the Code to withhold or deduct any Taxes, including both United States federal backup withholding and withholding taxes, from any payment, then (A) such Withholding Agent shall withhold or make such deductions as are determined by such Withholding Agent to be required based upon the information and documentation it has received pursuant to subsection (e) below, (B) such Withholding Agent shall timely pay the full amount withheld or deducted to the relevant Governmental Authority in accordance with the Code, and (C) to the extent that the withholding or deduction is made on account of Indemnified Taxes, the sum payable by the applicable Credit Party, subject to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4.11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0" w:lineRule="exact"/>
        <w:rPr>
          <w:rFonts w:ascii="Arial" w:cs="Arial" w:eastAsia="Arial" w:hAnsi="Arial"/>
          <w:sz w:val="18"/>
          <w:szCs w:val="18"/>
          <w:color w:val="auto"/>
        </w:rPr>
      </w:pPr>
    </w:p>
    <w:p>
      <w:pPr>
        <w:jc w:val="both"/>
        <w:ind w:left="1300" w:firstLine="652"/>
        <w:spacing w:after="0" w:line="243" w:lineRule="auto"/>
        <w:tabs>
          <w:tab w:leader="none" w:pos="245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If any Withholding Agent shall be required by any Applicable Laws other than the Code to withhold or deduct any Taxes from any payment, then (A) such Withholding Agent, as required by such Applicable Laws, shall withhold or make such deductions as are determined by it to be required based upon the information and documentation it has received pursuant to subsection (e) below, (B) such Withholding Agent, to the extent required by such Applicable Laws, shall timely pay the full amount withheld or deducted to the relevant Governmental Authority in accordance with such Applicable Laws, and (C) to the extent that the withholding or deduction is made on account of Indemnified Taxes, the sum payable by the applicable Credit Party,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0" w:name="page151"/>
    <w:bookmarkEnd w:id="150"/>
    <w:p>
      <w:pPr>
        <w:jc w:val="both"/>
        <w:ind w:left="1300" w:right="20" w:firstLine="6"/>
        <w:spacing w:after="0" w:line="291" w:lineRule="auto"/>
        <w:rPr>
          <w:sz w:val="20"/>
          <w:szCs w:val="20"/>
          <w:color w:val="auto"/>
        </w:rPr>
      </w:pP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4.11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52" w:lineRule="exact"/>
        <w:rPr>
          <w:sz w:val="20"/>
          <w:szCs w:val="20"/>
          <w:color w:val="auto"/>
        </w:rPr>
      </w:pPr>
    </w:p>
    <w:p>
      <w:pPr>
        <w:jc w:val="both"/>
        <w:ind w:left="660" w:firstLine="644"/>
        <w:spacing w:after="0" w:line="250" w:lineRule="auto"/>
        <w:tabs>
          <w:tab w:leader="none" w:pos="1844"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Credit Parties</w:t>
      </w:r>
      <w:r>
        <w:rPr>
          <w:rFonts w:ascii="Arial" w:cs="Arial" w:eastAsia="Arial" w:hAnsi="Arial"/>
          <w:sz w:val="20"/>
          <w:szCs w:val="20"/>
          <w:color w:val="auto"/>
        </w:rPr>
        <w:t>. Without limiting the provisions of subsection (a) above, the Credit Parties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5" w:lineRule="auto"/>
        <w:tabs>
          <w:tab w:leader="none" w:pos="2405"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each of the Credit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Issuing Lender (with a copy to the Administrative Agent), or by the Administrative Agent on its own behalf or on behalf of a Lender or an Issuing Lender, shall be conclusive absent manifest error. Each of the Credit Parties shall also, and does hereby, jointly and severally indemnify the Administrative Agent, and shall make payment in respect thereof within ten (10) days after demand therefor, for any amount which a Lender or an Issuing Lender for any reason fails to pay indefeasibly to the Administrative Agent as required pursuant to </w:t>
      </w:r>
      <w:r>
        <w:rPr>
          <w:rFonts w:ascii="Arial" w:cs="Arial" w:eastAsia="Arial" w:hAnsi="Arial"/>
          <w:sz w:val="19"/>
          <w:szCs w:val="19"/>
          <w:u w:val="single" w:color="auto"/>
          <w:color w:val="auto"/>
        </w:rPr>
        <w:t>Section 4.11(c)(ii)</w:t>
      </w:r>
      <w:r>
        <w:rPr>
          <w:rFonts w:ascii="Arial" w:cs="Arial" w:eastAsia="Arial" w:hAnsi="Arial"/>
          <w:sz w:val="19"/>
          <w:szCs w:val="19"/>
          <w:color w:val="auto"/>
        </w:rPr>
        <w:t xml:space="preserve"> below.</w:t>
      </w:r>
    </w:p>
    <w:p>
      <w:pPr>
        <w:spacing w:after="0" w:line="184" w:lineRule="exact"/>
        <w:rPr>
          <w:rFonts w:ascii="Arial" w:cs="Arial" w:eastAsia="Arial" w:hAnsi="Arial"/>
          <w:sz w:val="19"/>
          <w:szCs w:val="19"/>
          <w:color w:val="auto"/>
        </w:rPr>
      </w:pPr>
    </w:p>
    <w:p>
      <w:pPr>
        <w:jc w:val="both"/>
        <w:ind w:left="1300" w:firstLine="652"/>
        <w:spacing w:after="0" w:line="270" w:lineRule="auto"/>
        <w:tabs>
          <w:tab w:leader="none" w:pos="243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Each Lender and each Issuing Lender shall, and does hereby, severally indemnify and shall make payment in respect thereof within ten (10) days after demand therefor, (A) the Administrative Agent against any Indemnified Taxes attributable to such Lender or such Issuing Lender (but only to the extent that any Credit Party has not already indemnified the Administrative Agent for such Indemnified Taxes and without limiting the obligation of the Credit Parties to do so),</w:t>
      </w:r>
    </w:p>
    <w:p>
      <w:pPr>
        <w:spacing w:after="0" w:line="2"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9"/>
          <w:szCs w:val="19"/>
          <w:color w:val="auto"/>
        </w:rPr>
        <w:t xml:space="preserve">(B) the Administrative Agent and the Credit Parties, as applicable, against any Taxes attributable to such Lender’s failure to comply with the provisions of </w:t>
      </w:r>
      <w:r>
        <w:rPr>
          <w:rFonts w:ascii="Arial" w:cs="Arial" w:eastAsia="Arial" w:hAnsi="Arial"/>
          <w:sz w:val="19"/>
          <w:szCs w:val="19"/>
          <w:u w:val="single" w:color="auto"/>
          <w:color w:val="auto"/>
        </w:rPr>
        <w:t>Section 13.9(d)</w:t>
      </w:r>
      <w:r>
        <w:rPr>
          <w:rFonts w:ascii="Arial" w:cs="Arial" w:eastAsia="Arial" w:hAnsi="Arial"/>
          <w:sz w:val="19"/>
          <w:szCs w:val="19"/>
          <w:color w:val="auto"/>
        </w:rPr>
        <w:t xml:space="preserve"> relating to the maintenance of a Participant Register and (C) the Administrative Agent and the Credit Parties, as applicable, against any Excluded Taxes attributable to such Lender or such Issuing Lender, in each case, that are payable or paid by the Administrative Agent or a Credit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Issuing Lender hereby authorizes the Administrative Agent to set off and apply any and all amounts at any time owing to such Lender or such Issuing Lender, as the case may be, under this Agreement or any other Loan Document against any amount due to the Administrative Agent under this clause (ii).</w:t>
      </w:r>
    </w:p>
    <w:p>
      <w:pPr>
        <w:spacing w:after="0" w:line="182" w:lineRule="exact"/>
        <w:rPr>
          <w:rFonts w:ascii="Arial" w:cs="Arial" w:eastAsia="Arial" w:hAnsi="Arial"/>
          <w:sz w:val="18"/>
          <w:szCs w:val="18"/>
          <w:color w:val="auto"/>
        </w:rPr>
      </w:pPr>
    </w:p>
    <w:p>
      <w:pPr>
        <w:ind w:left="660" w:firstLine="644"/>
        <w:spacing w:after="0" w:line="260" w:lineRule="auto"/>
        <w:tabs>
          <w:tab w:leader="none" w:pos="1831"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Credit Party to a Governmental Authority, as provided in this </w:t>
      </w:r>
      <w:r>
        <w:rPr>
          <w:rFonts w:ascii="Arial" w:cs="Arial" w:eastAsia="Arial" w:hAnsi="Arial"/>
          <w:sz w:val="20"/>
          <w:szCs w:val="20"/>
          <w:u w:val="single" w:color="auto"/>
          <w:color w:val="auto"/>
        </w:rPr>
        <w:t>Section 4.11</w:t>
      </w:r>
      <w:r>
        <w:rPr>
          <w:rFonts w:ascii="Arial" w:cs="Arial" w:eastAsia="Arial" w:hAnsi="Arial"/>
          <w:sz w:val="20"/>
          <w:szCs w:val="20"/>
          <w:color w:val="auto"/>
        </w:rPr>
        <w:t>,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1" w:name="page152"/>
    <w:bookmarkEnd w:id="151"/>
    <w:p>
      <w:pPr>
        <w:jc w:val="both"/>
        <w:ind w:left="660" w:firstLine="6"/>
        <w:spacing w:after="0" w:line="250" w:lineRule="auto"/>
        <w:rPr>
          <w:sz w:val="20"/>
          <w:szCs w:val="20"/>
          <w:color w:val="auto"/>
        </w:rPr>
      </w:pPr>
      <w:r>
        <w:rPr>
          <w:rFonts w:ascii="Arial" w:cs="Arial" w:eastAsia="Arial" w:hAnsi="Arial"/>
          <w:sz w:val="20"/>
          <w:szCs w:val="20"/>
          <w:color w:val="auto"/>
        </w:rPr>
        <w:t>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86" w:lineRule="exact"/>
        <w:rPr>
          <w:sz w:val="20"/>
          <w:szCs w:val="20"/>
          <w:color w:val="auto"/>
        </w:rPr>
      </w:pPr>
    </w:p>
    <w:p>
      <w:pPr>
        <w:ind w:left="1720" w:hanging="416"/>
        <w:spacing w:after="0"/>
        <w:tabs>
          <w:tab w:leader="none" w:pos="172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0" w:lineRule="auto"/>
        <w:tabs>
          <w:tab w:leader="none" w:pos="240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4.11(e)(ii)(A)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5" w:lineRule="exact"/>
        <w:rPr>
          <w:rFonts w:ascii="Arial" w:cs="Arial" w:eastAsia="Arial" w:hAnsi="Arial"/>
          <w:sz w:val="18"/>
          <w:szCs w:val="18"/>
          <w:color w:val="auto"/>
        </w:rPr>
      </w:pPr>
    </w:p>
    <w:p>
      <w:pPr>
        <w:ind w:left="2380" w:hanging="428"/>
        <w:spacing w:after="0"/>
        <w:tabs>
          <w:tab w:leader="none" w:pos="238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215" w:lineRule="exact"/>
        <w:rPr>
          <w:rFonts w:ascii="Arial" w:cs="Arial" w:eastAsia="Arial" w:hAnsi="Arial"/>
          <w:sz w:val="20"/>
          <w:szCs w:val="20"/>
          <w:color w:val="auto"/>
        </w:rPr>
      </w:pPr>
    </w:p>
    <w:p>
      <w:pPr>
        <w:jc w:val="both"/>
        <w:ind w:left="1960" w:firstLine="640"/>
        <w:spacing w:after="0" w:line="263" w:lineRule="auto"/>
        <w:tabs>
          <w:tab w:leader="none" w:pos="3160" w:val="left"/>
        </w:tabs>
        <w:numPr>
          <w:ilvl w:val="2"/>
          <w:numId w:val="142"/>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76" w:lineRule="exact"/>
        <w:rPr>
          <w:rFonts w:ascii="Arial" w:cs="Arial" w:eastAsia="Arial" w:hAnsi="Arial"/>
          <w:sz w:val="19"/>
          <w:szCs w:val="19"/>
          <w:color w:val="auto"/>
        </w:rPr>
      </w:pPr>
    </w:p>
    <w:p>
      <w:pPr>
        <w:jc w:val="both"/>
        <w:ind w:left="1960" w:firstLine="640"/>
        <w:spacing w:after="0" w:line="282" w:lineRule="auto"/>
        <w:tabs>
          <w:tab w:leader="none" w:pos="311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61" w:lineRule="exact"/>
        <w:rPr>
          <w:rFonts w:ascii="Arial" w:cs="Arial" w:eastAsia="Arial" w:hAnsi="Arial"/>
          <w:sz w:val="18"/>
          <w:szCs w:val="18"/>
          <w:color w:val="auto"/>
        </w:rPr>
      </w:pPr>
    </w:p>
    <w:p>
      <w:pPr>
        <w:jc w:val="both"/>
        <w:ind w:left="2600" w:firstLine="648"/>
        <w:spacing w:after="0" w:line="257" w:lineRule="auto"/>
        <w:tabs>
          <w:tab w:leader="none" w:pos="3769" w:val="left"/>
        </w:tabs>
        <w:numPr>
          <w:ilvl w:val="3"/>
          <w:numId w:val="142"/>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2" w:name="page153"/>
    <w:bookmarkEnd w:id="152"/>
    <w:p>
      <w:pPr>
        <w:ind w:left="3680" w:hanging="432"/>
        <w:spacing w:after="0"/>
        <w:tabs>
          <w:tab w:leader="none" w:pos="368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15" w:lineRule="exact"/>
        <w:rPr>
          <w:rFonts w:ascii="Arial" w:cs="Arial" w:eastAsia="Arial" w:hAnsi="Arial"/>
          <w:sz w:val="20"/>
          <w:szCs w:val="20"/>
          <w:color w:val="auto"/>
        </w:rPr>
      </w:pPr>
    </w:p>
    <w:p>
      <w:pPr>
        <w:jc w:val="both"/>
        <w:ind w:left="2600" w:firstLine="648"/>
        <w:spacing w:after="0" w:line="276" w:lineRule="auto"/>
        <w:tabs>
          <w:tab w:leader="none" w:pos="374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i w:val="1"/>
          <w:iCs w:val="1"/>
          <w:color w:val="auto"/>
        </w:rPr>
        <w:t>Exhibit K-1</w:t>
      </w:r>
      <w:r>
        <w:rPr>
          <w:rFonts w:ascii="Arial" w:cs="Arial" w:eastAsia="Arial" w:hAnsi="Arial"/>
          <w:sz w:val="18"/>
          <w:szCs w:val="18"/>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W-8BEN-E (or W-8BEN, as applicable); or</w:t>
      </w:r>
    </w:p>
    <w:p>
      <w:pPr>
        <w:spacing w:after="0" w:line="164" w:lineRule="exact"/>
        <w:rPr>
          <w:rFonts w:ascii="Arial" w:cs="Arial" w:eastAsia="Arial" w:hAnsi="Arial"/>
          <w:sz w:val="18"/>
          <w:szCs w:val="18"/>
          <w:color w:val="auto"/>
        </w:rPr>
      </w:pPr>
    </w:p>
    <w:p>
      <w:pPr>
        <w:jc w:val="both"/>
        <w:ind w:left="2600" w:firstLine="648"/>
        <w:spacing w:after="0" w:line="257" w:lineRule="auto"/>
        <w:tabs>
          <w:tab w:leader="none" w:pos="374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9"/>
          <w:szCs w:val="19"/>
          <w:b w:val="1"/>
          <w:bCs w:val="1"/>
          <w:i w:val="1"/>
          <w:iCs w:val="1"/>
          <w:color w:val="auto"/>
        </w:rPr>
        <w:t>Exhibit K-2</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Exhibit K-3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b w:val="1"/>
          <w:bCs w:val="1"/>
          <w:i w:val="1"/>
          <w:iCs w:val="1"/>
          <w:color w:val="auto"/>
        </w:rPr>
        <w:t>Exhibit K-4</w:t>
      </w:r>
      <w:r>
        <w:rPr>
          <w:rFonts w:ascii="Arial" w:cs="Arial" w:eastAsia="Arial" w:hAnsi="Arial"/>
          <w:sz w:val="19"/>
          <w:szCs w:val="19"/>
          <w:color w:val="auto"/>
        </w:rPr>
        <w:t xml:space="preserve"> on behalf of each such direct and indirect partner;</w:t>
      </w:r>
    </w:p>
    <w:p>
      <w:pPr>
        <w:spacing w:after="0" w:line="184" w:lineRule="exact"/>
        <w:rPr>
          <w:rFonts w:ascii="Arial" w:cs="Arial" w:eastAsia="Arial" w:hAnsi="Arial"/>
          <w:sz w:val="19"/>
          <w:szCs w:val="19"/>
          <w:color w:val="auto"/>
        </w:rPr>
      </w:pPr>
    </w:p>
    <w:p>
      <w:pPr>
        <w:jc w:val="both"/>
        <w:ind w:left="1960" w:firstLine="640"/>
        <w:spacing w:after="0" w:line="242" w:lineRule="auto"/>
        <w:tabs>
          <w:tab w:leader="none" w:pos="311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96" w:lineRule="exact"/>
        <w:rPr>
          <w:rFonts w:ascii="Arial" w:cs="Arial" w:eastAsia="Arial" w:hAnsi="Arial"/>
          <w:sz w:val="20"/>
          <w:szCs w:val="20"/>
          <w:color w:val="auto"/>
        </w:rPr>
      </w:pPr>
    </w:p>
    <w:p>
      <w:pPr>
        <w:jc w:val="both"/>
        <w:ind w:left="1960" w:firstLine="640"/>
        <w:spacing w:after="0" w:line="255" w:lineRule="auto"/>
        <w:tabs>
          <w:tab w:leader="none" w:pos="327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3" w:name="page154"/>
    <w:bookmarkEnd w:id="153"/>
    <w:p>
      <w:pPr>
        <w:jc w:val="both"/>
        <w:ind w:left="1300" w:firstLine="652"/>
        <w:spacing w:after="0" w:line="250" w:lineRule="auto"/>
        <w:tabs>
          <w:tab w:leader="none" w:pos="2562"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5" w:lineRule="exact"/>
        <w:rPr>
          <w:rFonts w:ascii="Arial" w:cs="Arial" w:eastAsia="Arial" w:hAnsi="Arial"/>
          <w:sz w:val="20"/>
          <w:szCs w:val="20"/>
          <w:color w:val="auto"/>
        </w:rPr>
      </w:pPr>
    </w:p>
    <w:p>
      <w:pPr>
        <w:jc w:val="both"/>
        <w:ind w:left="660" w:firstLine="644"/>
        <w:spacing w:after="0" w:line="254" w:lineRule="auto"/>
        <w:tabs>
          <w:tab w:leader="none" w:pos="1704"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an Issuing Lender, or have any obligation to pay to any Lender or any Issuing Lender, any refund of Taxes withheld or deducted from funds paid for the account of such Lender or such Issuing Lender, as the case may be. If any Recipient determines, in its sole discretion exercised in good faith, that it has received a refund of any Taxes as to which it has been indemnified by any Credit Party or with respect to which any Credit Party has paid additional amounts pursuant to this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it shall pay to such Credit Party an amount equal to such refund (but only to the extent of indemnity payments made, or additional amounts paid, by such Credit Party under this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Credit Party, upon the request of the Recipient, agrees to repay the amount paid over to such Credit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Credit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Credit Party or any other Person.</w:t>
      </w:r>
    </w:p>
    <w:p>
      <w:pPr>
        <w:spacing w:after="0" w:line="184" w:lineRule="exact"/>
        <w:rPr>
          <w:rFonts w:ascii="Arial" w:cs="Arial" w:eastAsia="Arial" w:hAnsi="Arial"/>
          <w:sz w:val="19"/>
          <w:szCs w:val="19"/>
          <w:color w:val="auto"/>
        </w:rPr>
      </w:pPr>
    </w:p>
    <w:p>
      <w:pPr>
        <w:jc w:val="both"/>
        <w:ind w:left="660" w:firstLine="644"/>
        <w:spacing w:after="0" w:line="250" w:lineRule="auto"/>
        <w:tabs>
          <w:tab w:leader="none" w:pos="1925"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4.11</w:t>
      </w:r>
      <w:r>
        <w:rPr>
          <w:rFonts w:ascii="Arial" w:cs="Arial" w:eastAsia="Arial" w:hAnsi="Arial"/>
          <w:sz w:val="20"/>
          <w:szCs w:val="20"/>
          <w:color w:val="auto"/>
        </w:rPr>
        <w:t xml:space="preserve"> shall survive the resignation or replacement of the Administrative Agent or any assignment of rights by, or the replacement of, a Lender or an Issuing Lender, the termination of the Commitments and the repayment, satisfaction or discharge of all other Obligations.</w:t>
      </w:r>
    </w:p>
    <w:p>
      <w:pPr>
        <w:spacing w:after="0" w:line="185" w:lineRule="exact"/>
        <w:rPr>
          <w:rFonts w:ascii="Arial" w:cs="Arial" w:eastAsia="Arial" w:hAnsi="Arial"/>
          <w:sz w:val="20"/>
          <w:szCs w:val="20"/>
          <w:color w:val="auto"/>
        </w:rPr>
      </w:pPr>
    </w:p>
    <w:p>
      <w:pPr>
        <w:ind w:left="1740" w:hanging="436"/>
        <w:spacing w:after="0"/>
        <w:tabs>
          <w:tab w:leader="none" w:pos="174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Defined Term</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4.11</w:t>
      </w:r>
      <w:r>
        <w:rPr>
          <w:rFonts w:ascii="Arial" w:cs="Arial" w:eastAsia="Arial" w:hAnsi="Arial"/>
          <w:sz w:val="20"/>
          <w:szCs w:val="20"/>
          <w:color w:val="auto"/>
        </w:rPr>
        <w:t>, the term “Applicable Law” includes FATCA.</w:t>
      </w:r>
    </w:p>
    <w:p>
      <w:pPr>
        <w:spacing w:after="0" w:line="21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4.12</w:t>
      </w:r>
      <w:r>
        <w:rPr>
          <w:sz w:val="20"/>
          <w:szCs w:val="20"/>
          <w:color w:val="auto"/>
        </w:rPr>
        <w:tab/>
      </w:r>
      <w:r>
        <w:rPr>
          <w:rFonts w:ascii="Arial" w:cs="Arial" w:eastAsia="Arial" w:hAnsi="Arial"/>
          <w:sz w:val="16"/>
          <w:szCs w:val="16"/>
          <w:b w:val="1"/>
          <w:bCs w:val="1"/>
          <w:u w:val="single" w:color="auto"/>
          <w:color w:val="auto"/>
        </w:rPr>
        <w:t>Mitigation Obligations; Replacement of Lenders.</w:t>
      </w:r>
    </w:p>
    <w:p>
      <w:pPr>
        <w:spacing w:after="0" w:line="222" w:lineRule="exact"/>
        <w:rPr>
          <w:sz w:val="20"/>
          <w:szCs w:val="20"/>
          <w:color w:val="auto"/>
        </w:rPr>
      </w:pPr>
    </w:p>
    <w:p>
      <w:pPr>
        <w:jc w:val="both"/>
        <w:ind w:left="660" w:firstLine="644"/>
        <w:spacing w:after="0" w:line="256" w:lineRule="auto"/>
        <w:tabs>
          <w:tab w:leader="none" w:pos="1779"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or requires any Borrower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4.11</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The Company hereby agrees to pay (or to cause the applicable Subsidiary Borrower to pay) all reasonable costs and expenses incurred by any Lender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4" w:name="page155"/>
    <w:bookmarkEnd w:id="154"/>
    <w:p>
      <w:pPr>
        <w:jc w:val="both"/>
        <w:ind w:left="660" w:firstLine="644"/>
        <w:spacing w:after="0" w:line="253" w:lineRule="auto"/>
        <w:tabs>
          <w:tab w:leader="none" w:pos="173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or if any Borrower is required to pay any Indemnified Taxes or additional amount to any Lender or any Governmental Authority for the account of any Lender pursuant to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and, in each case, such Lender has declined or is unable to designate a different lending office in accordance with clause (a) above, or if any Lender is a 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4.10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4.11</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7" w:lineRule="exact"/>
        <w:rPr>
          <w:rFonts w:ascii="Arial" w:cs="Arial" w:eastAsia="Arial" w:hAnsi="Arial"/>
          <w:sz w:val="19"/>
          <w:szCs w:val="19"/>
          <w:color w:val="auto"/>
        </w:rPr>
      </w:pPr>
    </w:p>
    <w:p>
      <w:pPr>
        <w:ind w:left="1300" w:firstLine="652"/>
        <w:spacing w:after="0" w:line="244" w:lineRule="auto"/>
        <w:tabs>
          <w:tab w:leader="none" w:pos="2478" w:val="left"/>
        </w:tabs>
        <w:numPr>
          <w:ilvl w:val="1"/>
          <w:numId w:val="148"/>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a Subsidiary Borrower to pay) to the Administrative Agent the assignment fee (if any) specified in </w:t>
      </w:r>
      <w:r>
        <w:rPr>
          <w:rFonts w:ascii="Arial" w:cs="Arial" w:eastAsia="Arial" w:hAnsi="Arial"/>
          <w:sz w:val="20"/>
          <w:szCs w:val="20"/>
          <w:u w:val="single" w:color="auto"/>
          <w:color w:val="auto"/>
        </w:rPr>
        <w:t>Section 13.9(b)</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300" w:firstLine="652"/>
        <w:spacing w:after="0" w:line="282" w:lineRule="auto"/>
        <w:tabs>
          <w:tab w:leader="none" w:pos="24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4.9</w:t>
      </w:r>
      <w:r>
        <w:rPr>
          <w:rFonts w:ascii="Arial" w:cs="Arial" w:eastAsia="Arial" w:hAnsi="Arial"/>
          <w:sz w:val="18"/>
          <w:szCs w:val="18"/>
          <w:color w:val="auto"/>
        </w:rPr>
        <w:t>) from the assignee (to the extent of such outstanding principal and accrued interest and fees) or the Company or applicable Subsidiary Borrower (in the case of all other amounts);</w:t>
      </w:r>
    </w:p>
    <w:p>
      <w:pPr>
        <w:spacing w:after="0" w:line="161" w:lineRule="exact"/>
        <w:rPr>
          <w:rFonts w:ascii="Arial" w:cs="Arial" w:eastAsia="Arial" w:hAnsi="Arial"/>
          <w:sz w:val="18"/>
          <w:szCs w:val="18"/>
          <w:color w:val="auto"/>
        </w:rPr>
      </w:pPr>
    </w:p>
    <w:p>
      <w:pPr>
        <w:jc w:val="both"/>
        <w:ind w:left="1300" w:firstLine="652"/>
        <w:spacing w:after="0" w:line="250" w:lineRule="auto"/>
        <w:tabs>
          <w:tab w:leader="none" w:pos="2491" w:val="left"/>
        </w:tabs>
        <w:numPr>
          <w:ilvl w:val="1"/>
          <w:numId w:val="148"/>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4.10</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4.11</w:t>
      </w:r>
      <w:r>
        <w:rPr>
          <w:rFonts w:ascii="Arial" w:cs="Arial" w:eastAsia="Arial" w:hAnsi="Arial"/>
          <w:sz w:val="20"/>
          <w:szCs w:val="20"/>
          <w:color w:val="auto"/>
        </w:rPr>
        <w:t>, such assignment will result in a reduction in such compensation or payments thereafter;</w:t>
      </w:r>
    </w:p>
    <w:p>
      <w:pPr>
        <w:spacing w:after="0" w:line="185" w:lineRule="exact"/>
        <w:rPr>
          <w:rFonts w:ascii="Arial" w:cs="Arial" w:eastAsia="Arial" w:hAnsi="Arial"/>
          <w:sz w:val="20"/>
          <w:szCs w:val="20"/>
          <w:color w:val="auto"/>
        </w:rPr>
      </w:pPr>
    </w:p>
    <w:p>
      <w:pPr>
        <w:ind w:left="2440" w:hanging="488"/>
        <w:spacing w:after="0"/>
        <w:tabs>
          <w:tab w:leader="none" w:pos="244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left="1300" w:firstLine="652"/>
        <w:spacing w:after="0" w:line="260" w:lineRule="auto"/>
        <w:tabs>
          <w:tab w:leader="none" w:pos="249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4.13</w:t>
      </w:r>
      <w:r>
        <w:rPr>
          <w:sz w:val="20"/>
          <w:szCs w:val="20"/>
          <w:color w:val="auto"/>
        </w:rPr>
        <w:tab/>
      </w:r>
      <w:r>
        <w:rPr>
          <w:rFonts w:ascii="Arial" w:cs="Arial" w:eastAsia="Arial" w:hAnsi="Arial"/>
          <w:sz w:val="18"/>
          <w:szCs w:val="18"/>
          <w:b w:val="1"/>
          <w:bCs w:val="1"/>
          <w:u w:val="single" w:color="auto"/>
          <w:color w:val="auto"/>
        </w:rPr>
        <w:t>Cash Collateral.</w:t>
      </w:r>
    </w:p>
    <w:p>
      <w:pPr>
        <w:spacing w:after="0" w:line="222" w:lineRule="exact"/>
        <w:rPr>
          <w:sz w:val="20"/>
          <w:szCs w:val="20"/>
          <w:color w:val="auto"/>
        </w:rPr>
      </w:pPr>
    </w:p>
    <w:p>
      <w:pPr>
        <w:jc w:val="both"/>
        <w:ind w:left="660" w:firstLine="644"/>
        <w:spacing w:after="0" w:line="260" w:lineRule="auto"/>
        <w:tabs>
          <w:tab w:leader="none" w:pos="1820"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Cash Collateral</w:t>
      </w:r>
      <w:r>
        <w:rPr>
          <w:rFonts w:ascii="Arial" w:cs="Arial" w:eastAsia="Arial" w:hAnsi="Arial"/>
          <w:sz w:val="19"/>
          <w:szCs w:val="19"/>
          <w:color w:val="auto"/>
        </w:rPr>
        <w:t xml:space="preserve">. At any time that there shall exist a Defaulting Lender, within one (1) Business Day following the written request of the Administrative Agent, any Issuing Lender (with a copy to the Administrative Agent) or the Swingline Lender (with a copy to the Administrative Agent), the Company shall (or shall cause the applicable Subsidiary Borrower to) Cash Collateralize all Fronting Exposure of the Issuing Lenders and the Swingline Lender with respect to such Defaulting Lender (determined after giving effect to </w:t>
      </w:r>
      <w:r>
        <w:rPr>
          <w:rFonts w:ascii="Arial" w:cs="Arial" w:eastAsia="Arial" w:hAnsi="Arial"/>
          <w:sz w:val="19"/>
          <w:szCs w:val="19"/>
          <w:u w:val="single" w:color="auto"/>
          <w:color w:val="auto"/>
        </w:rPr>
        <w:t>Section 4.14(b)</w:t>
      </w:r>
      <w:r>
        <w:rPr>
          <w:rFonts w:ascii="Arial" w:cs="Arial" w:eastAsia="Arial" w:hAnsi="Arial"/>
          <w:sz w:val="19"/>
          <w:szCs w:val="19"/>
          <w:color w:val="auto"/>
        </w:rPr>
        <w:t xml:space="preserve"> and any Cash Collateral provided by the Defaulting Lender).</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844"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Grant of Security Interest</w:t>
      </w:r>
      <w:r>
        <w:rPr>
          <w:rFonts w:ascii="Arial" w:cs="Arial" w:eastAsia="Arial" w:hAnsi="Arial"/>
          <w:sz w:val="20"/>
          <w:szCs w:val="20"/>
          <w:color w:val="auto"/>
        </w:rPr>
        <w:t>. Each Borrower, and to the extent provided by any Defaulting Lender, such Defaulting Lender, hereby grants to the Administrative Agent, for the benefit of the Administrative Agent, the Issuing Lenders and the Lenders (including the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5" w:name="page156"/>
    <w:bookmarkEnd w:id="155"/>
    <w:p>
      <w:pPr>
        <w:jc w:val="both"/>
        <w:ind w:left="660" w:firstLine="6"/>
        <w:spacing w:after="0" w:line="274" w:lineRule="auto"/>
        <w:rPr>
          <w:sz w:val="20"/>
          <w:szCs w:val="20"/>
          <w:color w:val="auto"/>
        </w:rPr>
      </w:pPr>
      <w:r>
        <w:rPr>
          <w:rFonts w:ascii="Arial" w:cs="Arial" w:eastAsia="Arial" w:hAnsi="Arial"/>
          <w:sz w:val="18"/>
          <w:szCs w:val="18"/>
          <w:color w:val="auto"/>
        </w:rPr>
        <w:t>Lender), and agrees to maintain, a first priority security interest in all such Cash Collateral as security for the Defaulting Lenders’ obligations to which such Cash Collateral may be applied pursuant to clause (c) below. If at any time the Administrative Agent, an Issuing Lender, or Swingline Lender determines that Cash Collateral is subject to any right or claim of any Person other than the Administrative Agent as herein provided, or that the total amount of such Cash Collateral is less than the applicable Fronting Exposure, the Company will, promptly upon demand by the Administrative Agent, any Issuing Lender, or Swingline Lender pay or provide (or cause the applicable Subsidiary Borrower to pay or provide) to the Administrative Agent additional Cash Collateral in an amount sufficient to eliminate such deficiency (after giving effect to any Cash Collateral provided by the Defaulting Lender).</w:t>
      </w:r>
    </w:p>
    <w:p>
      <w:pPr>
        <w:spacing w:after="0" w:line="168" w:lineRule="exact"/>
        <w:rPr>
          <w:sz w:val="20"/>
          <w:szCs w:val="20"/>
          <w:color w:val="auto"/>
        </w:rPr>
      </w:pPr>
    </w:p>
    <w:p>
      <w:pPr>
        <w:jc w:val="both"/>
        <w:ind w:left="660" w:firstLine="644"/>
        <w:spacing w:after="0" w:line="260" w:lineRule="auto"/>
        <w:tabs>
          <w:tab w:leader="none" w:pos="172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Section or </w:t>
      </w:r>
      <w:r>
        <w:rPr>
          <w:rFonts w:ascii="Arial" w:cs="Arial" w:eastAsia="Arial" w:hAnsi="Arial"/>
          <w:sz w:val="19"/>
          <w:szCs w:val="19"/>
          <w:u w:val="single" w:color="auto"/>
          <w:color w:val="auto"/>
        </w:rPr>
        <w:t>Section 4.14</w:t>
      </w:r>
      <w:r>
        <w:rPr>
          <w:rFonts w:ascii="Arial" w:cs="Arial" w:eastAsia="Arial" w:hAnsi="Arial"/>
          <w:sz w:val="19"/>
          <w:szCs w:val="19"/>
          <w:color w:val="auto"/>
        </w:rPr>
        <w:t xml:space="preserve"> in respect of Letters of Credit, or Swingline Loans, shall be held and applied to the satisfaction of the specific L/C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0" w:lineRule="exact"/>
        <w:rPr>
          <w:rFonts w:ascii="Arial" w:cs="Arial" w:eastAsia="Arial" w:hAnsi="Arial"/>
          <w:sz w:val="19"/>
          <w:szCs w:val="19"/>
          <w:color w:val="auto"/>
        </w:rPr>
      </w:pPr>
    </w:p>
    <w:p>
      <w:pPr>
        <w:jc w:val="both"/>
        <w:ind w:left="660" w:firstLine="644"/>
        <w:spacing w:after="0" w:line="257" w:lineRule="auto"/>
        <w:tabs>
          <w:tab w:leader="none" w:pos="173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Fronting Exposure or other obligations shall no longer be required to be held as Cash Collateral pursuant to this </w:t>
      </w:r>
      <w:r>
        <w:rPr>
          <w:rFonts w:ascii="Arial" w:cs="Arial" w:eastAsia="Arial" w:hAnsi="Arial"/>
          <w:sz w:val="19"/>
          <w:szCs w:val="19"/>
          <w:u w:val="single" w:color="auto"/>
          <w:color w:val="auto"/>
        </w:rPr>
        <w:t>Section 4.13</w:t>
      </w:r>
      <w:r>
        <w:rPr>
          <w:rFonts w:ascii="Arial" w:cs="Arial" w:eastAsia="Arial" w:hAnsi="Arial"/>
          <w:sz w:val="19"/>
          <w:szCs w:val="19"/>
          <w:color w:val="auto"/>
        </w:rPr>
        <w:t xml:space="preserve"> following (i) the elimination of the applicable Fronting Exposure or other obligations giving rise thereto (including by the termination of Defaulting Lender status of the applicable Lender), or (ii) the determination by the Administrative Agent, each Issuing Lender, and the Swingline Lender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4.14</w:t>
      </w:r>
      <w:r>
        <w:rPr>
          <w:rFonts w:ascii="Arial" w:cs="Arial" w:eastAsia="Arial" w:hAnsi="Arial"/>
          <w:sz w:val="19"/>
          <w:szCs w:val="19"/>
          <w:color w:val="auto"/>
        </w:rPr>
        <w:t>, the Person providing Cash Collateral and each applicable Issuing Lender, and the Swingline Lender may agree that Cash Collateral shall be held to support future anticipated Fronting Exposure or other obligations.</w:t>
      </w:r>
    </w:p>
    <w:p>
      <w:pPr>
        <w:spacing w:after="0" w:line="17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4.14</w:t>
      </w:r>
      <w:r>
        <w:rPr>
          <w:sz w:val="20"/>
          <w:szCs w:val="20"/>
          <w:color w:val="auto"/>
        </w:rPr>
        <w:tab/>
      </w:r>
      <w:r>
        <w:rPr>
          <w:rFonts w:ascii="Arial" w:cs="Arial" w:eastAsia="Arial" w:hAnsi="Arial"/>
          <w:sz w:val="16"/>
          <w:szCs w:val="16"/>
          <w:b w:val="1"/>
          <w:bCs w:val="1"/>
          <w:u w:val="single" w:color="auto"/>
          <w:color w:val="auto"/>
        </w:rPr>
        <w:t>Defaulting Lenders.</w:t>
      </w:r>
    </w:p>
    <w:p>
      <w:pPr>
        <w:spacing w:after="0" w:line="222" w:lineRule="exact"/>
        <w:rPr>
          <w:sz w:val="20"/>
          <w:szCs w:val="20"/>
          <w:color w:val="auto"/>
        </w:rPr>
      </w:pPr>
    </w:p>
    <w:p>
      <w:pPr>
        <w:jc w:val="both"/>
        <w:ind w:left="660" w:firstLine="644"/>
        <w:spacing w:after="0" w:line="250" w:lineRule="auto"/>
        <w:tabs>
          <w:tab w:leader="none" w:pos="1766"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rFonts w:ascii="Arial" w:cs="Arial" w:eastAsia="Arial" w:hAnsi="Arial"/>
          <w:sz w:val="20"/>
          <w:szCs w:val="20"/>
          <w:color w:val="auto"/>
        </w:rPr>
      </w:pPr>
    </w:p>
    <w:p>
      <w:pPr>
        <w:ind w:left="1300" w:firstLine="652"/>
        <w:spacing w:after="0" w:line="316" w:lineRule="auto"/>
        <w:tabs>
          <w:tab w:leader="none" w:pos="234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1300" w:firstLine="652"/>
        <w:spacing w:after="0" w:line="272" w:lineRule="auto"/>
        <w:tabs>
          <w:tab w:leader="none" w:pos="2536"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any Issuing Lender, or the Swingline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each Issuing Lender’s or Swingline Lender’s Fronting Exposure with respect to such Defaulting Lender in accordance with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as the Company may request (so long as no Default or Event of Default exists), to the funding of any Loan in respect of which such Defaulting Lender has failed to fund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6" w:name="page157"/>
    <w:bookmarkEnd w:id="156"/>
    <w:p>
      <w:pPr>
        <w:ind w:left="1300" w:firstLine="6"/>
        <w:spacing w:after="0" w:line="275" w:lineRule="auto"/>
        <w:rPr>
          <w:sz w:val="20"/>
          <w:szCs w:val="20"/>
          <w:color w:val="auto"/>
        </w:rPr>
      </w:pPr>
      <w:r>
        <w:rPr>
          <w:rFonts w:ascii="Arial" w:cs="Arial" w:eastAsia="Arial" w:hAnsi="Arial"/>
          <w:sz w:val="18"/>
          <w:szCs w:val="18"/>
          <w:color w:val="auto"/>
        </w:rPr>
        <w:t xml:space="preserve">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Company, to be held in a non-interest bearing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w:t>
      </w:r>
    </w:p>
    <w:p>
      <w:pPr>
        <w:spacing w:after="0" w:line="1" w:lineRule="exact"/>
        <w:rPr>
          <w:sz w:val="20"/>
          <w:szCs w:val="20"/>
          <w:color w:val="auto"/>
        </w:rPr>
      </w:pPr>
    </w:p>
    <w:p>
      <w:pPr>
        <w:jc w:val="both"/>
        <w:ind w:left="1300" w:firstLine="4"/>
        <w:spacing w:after="0" w:line="267" w:lineRule="auto"/>
        <w:tabs>
          <w:tab w:leader="none" w:pos="158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satisfy such Defaulting Lender’s potential future funding obligations with respect to Loans under this Agreement and (y) Cash Collateralize each Issuing Lender’s, and the Swingline Lender’s future Fronting Exposure with respect to such Defaulting Lender in accordance with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Lenders, or the Swingline Lender as a result of any judgment of a court of competent jurisdiction obtained by any Lender, the Issuing Lenders, the Swingline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to such Defaulting Lender or as otherwise directed by a court of competent jurisdiction;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if (A)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payment is a payment of the principal amount of any Loans or L/C Obligations in respect of which such Defaulting Lender has not fully funded its appropriate share and (B) such Loans were made or the related Letters of Credit were issued at a time when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under the applicable Credit Facility and applicable Tranche without giving effect to </w:t>
      </w:r>
      <w:r>
        <w:rPr>
          <w:rFonts w:ascii="Arial" w:cs="Arial" w:eastAsia="Arial" w:hAnsi="Arial"/>
          <w:sz w:val="18"/>
          <w:szCs w:val="18"/>
          <w:u w:val="single" w:color="auto"/>
          <w:color w:val="auto"/>
        </w:rPr>
        <w:t>Section 4.14(a)(iv)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4.14(a)(ii)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85" w:lineRule="exact"/>
        <w:rPr>
          <w:rFonts w:ascii="Arial" w:cs="Arial" w:eastAsia="Arial" w:hAnsi="Arial"/>
          <w:sz w:val="18"/>
          <w:szCs w:val="18"/>
          <w:color w:val="auto"/>
        </w:rPr>
      </w:pPr>
    </w:p>
    <w:p>
      <w:pPr>
        <w:ind w:left="2440" w:hanging="488"/>
        <w:spacing w:after="0"/>
        <w:tabs>
          <w:tab w:leader="none" w:pos="2440"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960" w:firstLine="640"/>
        <w:spacing w:after="0" w:line="250" w:lineRule="auto"/>
        <w:tabs>
          <w:tab w:leader="none" w:pos="3175" w:val="left"/>
        </w:tabs>
        <w:numPr>
          <w:ilvl w:val="2"/>
          <w:numId w:val="152"/>
        </w:numPr>
        <w:rPr>
          <w:rFonts w:ascii="Arial" w:cs="Arial" w:eastAsia="Arial" w:hAnsi="Arial"/>
          <w:sz w:val="20"/>
          <w:szCs w:val="20"/>
          <w:color w:val="auto"/>
        </w:rPr>
      </w:pPr>
      <w:r>
        <w:rPr>
          <w:rFonts w:ascii="Arial" w:cs="Arial" w:eastAsia="Arial" w:hAnsi="Arial"/>
          <w:sz w:val="20"/>
          <w:szCs w:val="20"/>
          <w:u w:val="single" w:color="auto"/>
          <w:color w:val="auto"/>
        </w:rPr>
        <w:t>Commitment Fees</w:t>
      </w:r>
      <w:r>
        <w:rPr>
          <w:rFonts w:ascii="Arial" w:cs="Arial" w:eastAsia="Arial" w:hAnsi="Arial"/>
          <w:sz w:val="20"/>
          <w:szCs w:val="20"/>
          <w:color w:val="auto"/>
        </w:rPr>
        <w:t>. No Defaulting Lender shall be entitled to receive any commitment fee for any period during which that Lender is a Defaulting Lender (and the Company shall not be required to pay any such fee that otherwise would have been required to have been paid to that Defaulting Lender).</w:t>
      </w:r>
    </w:p>
    <w:p>
      <w:pPr>
        <w:spacing w:after="0" w:line="185" w:lineRule="exact"/>
        <w:rPr>
          <w:rFonts w:ascii="Arial" w:cs="Arial" w:eastAsia="Arial" w:hAnsi="Arial"/>
          <w:sz w:val="20"/>
          <w:szCs w:val="20"/>
          <w:color w:val="auto"/>
        </w:rPr>
      </w:pPr>
    </w:p>
    <w:p>
      <w:pPr>
        <w:jc w:val="both"/>
        <w:ind w:left="1960" w:firstLine="640"/>
        <w:spacing w:after="0" w:line="246" w:lineRule="auto"/>
        <w:tabs>
          <w:tab w:leader="none" w:pos="3110" w:val="left"/>
        </w:tabs>
        <w:numPr>
          <w:ilvl w:val="2"/>
          <w:numId w:val="152"/>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Each Defaulting Lender shall be entitled to receive letter of credit fees for any period during which that Lender is a Defaulting Lender only to the extent allocable to its Applicable Percentage under the applicable Tranche of the stated amount of Letters of Credit under the applicable Tranche for which it has provided Cash Collateral pursuant to </w:t>
      </w:r>
      <w:r>
        <w:rPr>
          <w:rFonts w:ascii="Arial" w:cs="Arial" w:eastAsia="Arial" w:hAnsi="Arial"/>
          <w:sz w:val="20"/>
          <w:szCs w:val="20"/>
          <w:u w:val="single" w:color="auto"/>
          <w:color w:val="auto"/>
        </w:rPr>
        <w:t>Section 4.13</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960" w:firstLine="640"/>
        <w:spacing w:after="0" w:line="259" w:lineRule="auto"/>
        <w:tabs>
          <w:tab w:leader="none" w:pos="3097" w:val="left"/>
        </w:tabs>
        <w:numPr>
          <w:ilvl w:val="2"/>
          <w:numId w:val="152"/>
        </w:numPr>
        <w:rPr>
          <w:rFonts w:ascii="Arial" w:cs="Arial" w:eastAsia="Arial" w:hAnsi="Arial"/>
          <w:sz w:val="19"/>
          <w:szCs w:val="19"/>
          <w:color w:val="auto"/>
        </w:rPr>
      </w:pPr>
      <w:r>
        <w:rPr>
          <w:rFonts w:ascii="Arial" w:cs="Arial" w:eastAsia="Arial" w:hAnsi="Arial"/>
          <w:sz w:val="19"/>
          <w:szCs w:val="19"/>
          <w:u w:val="single" w:color="auto"/>
          <w:color w:val="auto"/>
        </w:rPr>
        <w:t>Reallocation of Fees</w:t>
      </w:r>
      <w:r>
        <w:rPr>
          <w:rFonts w:ascii="Arial" w:cs="Arial" w:eastAsia="Arial" w:hAnsi="Arial"/>
          <w:sz w:val="19"/>
          <w:szCs w:val="19"/>
          <w:color w:val="auto"/>
        </w:rPr>
        <w:t>. With respect to any letter of credit fee not required to be paid to any Defaulting Lender pursuant to clause (B) above, the Company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Issuing Lender the amount of any such fee otherwise payable to such Defaulting Lender to the extent allocable to such Issuing Lender’s Fronting Exposure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7" w:name="page158"/>
    <w:bookmarkEnd w:id="157"/>
    <w:p>
      <w:pPr>
        <w:ind w:left="1960"/>
        <w:spacing w:after="0"/>
        <w:rPr>
          <w:sz w:val="20"/>
          <w:szCs w:val="20"/>
          <w:color w:val="auto"/>
        </w:rPr>
      </w:pPr>
      <w:r>
        <w:rPr>
          <w:rFonts w:ascii="Arial" w:cs="Arial" w:eastAsia="Arial" w:hAnsi="Arial"/>
          <w:sz w:val="20"/>
          <w:szCs w:val="20"/>
          <w:color w:val="auto"/>
        </w:rPr>
        <w:t>Defaulting Lender, and (z) not be required to pay the remaining amount of any such fee.</w:t>
      </w:r>
    </w:p>
    <w:p>
      <w:pPr>
        <w:spacing w:after="0" w:line="216" w:lineRule="exact"/>
        <w:rPr>
          <w:sz w:val="20"/>
          <w:szCs w:val="20"/>
          <w:color w:val="auto"/>
        </w:rPr>
      </w:pPr>
    </w:p>
    <w:p>
      <w:pPr>
        <w:jc w:val="both"/>
        <w:ind w:left="1300" w:firstLine="652"/>
        <w:spacing w:after="0" w:line="270" w:lineRule="auto"/>
        <w:tabs>
          <w:tab w:leader="none" w:pos="2553"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xml:space="preserve">. All or any part of such Defaulting Lender’s participation in L/C Obligations and Swingline Loans shall be reallocated among the Non-Defaulting Lenders in accordance with their respective Applicable Percentages under the applicable Tranche (calculated without regard to such Defaulting Lender’s Revolving Credit Commitment in respect of such Tranche) but only to the extent that (x)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satisfied at the time of such reallocation (and, unless the Company shall have otherwise notified the Administrative Agent at such time, the Company shall be deemed to have represented and warranted that such conditions are satisfied at such time) and (y) such reallocation does not cause the aggregate principal amount of outstanding Revolving Credit Loans and participations in L/C Obligations and Swingline Loans any Non-Defaulting Lender at such time under the applicable Tranche to exceed such Non-Defaulting Lender’s Revolving Credit Commitment in respect of such Tranche. Subject to </w:t>
      </w:r>
      <w:r>
        <w:rPr>
          <w:rFonts w:ascii="Arial" w:cs="Arial" w:eastAsia="Arial" w:hAnsi="Arial"/>
          <w:sz w:val="18"/>
          <w:szCs w:val="18"/>
          <w:u w:val="single" w:color="auto"/>
          <w:color w:val="auto"/>
        </w:rPr>
        <w:t>Section 13.25</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5" w:lineRule="exact"/>
        <w:rPr>
          <w:rFonts w:ascii="Arial" w:cs="Arial" w:eastAsia="Arial" w:hAnsi="Arial"/>
          <w:sz w:val="18"/>
          <w:szCs w:val="18"/>
          <w:color w:val="auto"/>
        </w:rPr>
      </w:pPr>
    </w:p>
    <w:p>
      <w:pPr>
        <w:jc w:val="both"/>
        <w:ind w:left="1300" w:firstLine="652"/>
        <w:spacing w:after="0" w:line="244" w:lineRule="auto"/>
        <w:tabs>
          <w:tab w:leader="none" w:pos="2417" w:val="left"/>
        </w:tabs>
        <w:numPr>
          <w:ilvl w:val="1"/>
          <w:numId w:val="153"/>
        </w:numPr>
        <w:rPr>
          <w:rFonts w:ascii="Arial" w:cs="Arial" w:eastAsia="Arial" w:hAnsi="Arial"/>
          <w:sz w:val="20"/>
          <w:szCs w:val="20"/>
          <w:color w:val="auto"/>
        </w:rPr>
      </w:pPr>
      <w:r>
        <w:rPr>
          <w:rFonts w:ascii="Arial" w:cs="Arial" w:eastAsia="Arial" w:hAnsi="Arial"/>
          <w:sz w:val="20"/>
          <w:szCs w:val="20"/>
          <w:u w:val="single" w:color="auto"/>
          <w:color w:val="auto"/>
        </w:rPr>
        <w:t>Cash Collateral and Repayment of Swingline Loans</w:t>
      </w:r>
      <w:r>
        <w:rPr>
          <w:rFonts w:ascii="Arial" w:cs="Arial" w:eastAsia="Arial" w:hAnsi="Arial"/>
          <w:sz w:val="20"/>
          <w:szCs w:val="20"/>
          <w:color w:val="auto"/>
        </w:rPr>
        <w:t xml:space="preserve">. If the reallocation described in clause (iv) above cannot, or can only partially, be effected, the Company shall, without prejudice to any right or remedy available to it hereunder or under law, (x) </w:t>
      </w:r>
      <w:r>
        <w:rPr>
          <w:rFonts w:ascii="Arial" w:cs="Arial" w:eastAsia="Arial" w:hAnsi="Arial"/>
          <w:sz w:val="20"/>
          <w:szCs w:val="20"/>
          <w:i w:val="1"/>
          <w:iCs w:val="1"/>
          <w:color w:val="auto"/>
        </w:rPr>
        <w:t>first</w:t>
      </w:r>
      <w:r>
        <w:rPr>
          <w:rFonts w:ascii="Arial" w:cs="Arial" w:eastAsia="Arial" w:hAnsi="Arial"/>
          <w:sz w:val="20"/>
          <w:szCs w:val="20"/>
          <w:color w:val="auto"/>
        </w:rPr>
        <w:t xml:space="preserve">, ratably prepay Swingline Loans in an amount equal to the Swingline Lender’s respective Fronting Exposure and (y) </w:t>
      </w:r>
      <w:r>
        <w:rPr>
          <w:rFonts w:ascii="Arial" w:cs="Arial" w:eastAsia="Arial" w:hAnsi="Arial"/>
          <w:sz w:val="20"/>
          <w:szCs w:val="20"/>
          <w:i w:val="1"/>
          <w:iCs w:val="1"/>
          <w:color w:val="auto"/>
        </w:rPr>
        <w:t>second</w:t>
      </w:r>
      <w:r>
        <w:rPr>
          <w:rFonts w:ascii="Arial" w:cs="Arial" w:eastAsia="Arial" w:hAnsi="Arial"/>
          <w:sz w:val="20"/>
          <w:szCs w:val="20"/>
          <w:color w:val="auto"/>
        </w:rPr>
        <w:t xml:space="preserve">, Cash Collateralize each Issuing Lender’s Fronting Exposure in accordance with the procedures set forth in </w:t>
      </w:r>
      <w:r>
        <w:rPr>
          <w:rFonts w:ascii="Arial" w:cs="Arial" w:eastAsia="Arial" w:hAnsi="Arial"/>
          <w:sz w:val="20"/>
          <w:szCs w:val="20"/>
          <w:u w:val="single" w:color="auto"/>
          <w:color w:val="auto"/>
        </w:rPr>
        <w:t>Section 4.13</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left="660" w:firstLine="644"/>
        <w:spacing w:after="0" w:line="271" w:lineRule="auto"/>
        <w:tabs>
          <w:tab w:leader="none" w:pos="175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Company, the Administrative Agent and the Swingline Lender, and each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in respect of the applicable Tranche (without giving effect to </w:t>
      </w:r>
      <w:r>
        <w:rPr>
          <w:rFonts w:ascii="Arial" w:cs="Arial" w:eastAsia="Arial" w:hAnsi="Arial"/>
          <w:sz w:val="18"/>
          <w:szCs w:val="18"/>
          <w:u w:val="single" w:color="auto"/>
          <w:color w:val="auto"/>
        </w:rPr>
        <w:t>Section 4.14(a)(iv)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rFonts w:ascii="Arial" w:cs="Arial" w:eastAsia="Arial" w:hAnsi="Arial"/>
          <w:sz w:val="18"/>
          <w:szCs w:val="18"/>
          <w:color w:val="auto"/>
        </w:rPr>
      </w:pPr>
    </w:p>
    <w:p>
      <w:pPr>
        <w:jc w:val="both"/>
        <w:ind w:left="660" w:firstLine="644"/>
        <w:spacing w:after="0" w:line="246" w:lineRule="auto"/>
        <w:tabs>
          <w:tab w:leader="none" w:pos="176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Article V</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CLOSING; CONDITIONS OF CLOSING AND BORROWING</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0"/>
          <w:szCs w:val="20"/>
          <w:b w:val="1"/>
          <w:bCs w:val="1"/>
          <w:u w:val="single" w:color="auto"/>
          <w:color w:val="auto"/>
        </w:rPr>
        <w:t>Conditions to Closing and Initial Extensions of Credit</w:t>
      </w:r>
      <w:r>
        <w:rPr>
          <w:rFonts w:ascii="Arial" w:cs="Arial" w:eastAsia="Arial" w:hAnsi="Arial"/>
          <w:sz w:val="20"/>
          <w:szCs w:val="20"/>
          <w:color w:val="auto"/>
        </w:rPr>
        <w:t>. The obligation of the Lenders to close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to make the initial Loan or issue or participate in the initial Letter of Credit, if any, is subject to the satisfaction of each of the following conditions:</w:t>
      </w:r>
    </w:p>
    <w:p>
      <w:pPr>
        <w:spacing w:after="0" w:line="196" w:lineRule="exact"/>
        <w:rPr>
          <w:sz w:val="20"/>
          <w:szCs w:val="20"/>
          <w:color w:val="auto"/>
        </w:rPr>
      </w:pPr>
    </w:p>
    <w:p>
      <w:pPr>
        <w:jc w:val="both"/>
        <w:ind w:left="660" w:firstLine="644"/>
        <w:spacing w:after="0" w:line="260" w:lineRule="auto"/>
        <w:tabs>
          <w:tab w:leader="none" w:pos="1847"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Executed Loan Documents</w:t>
      </w:r>
      <w:r>
        <w:rPr>
          <w:rFonts w:ascii="Arial" w:cs="Arial" w:eastAsia="Arial" w:hAnsi="Arial"/>
          <w:sz w:val="19"/>
          <w:szCs w:val="19"/>
          <w:color w:val="auto"/>
        </w:rPr>
        <w:t>. This Agreement, a Revolving Credit Note in favor of each Revolving Credit Lender requesting a Revolving Credit Note, a Term Loan Note in favor of each Term Loan Lender requesting a Term Loan Note, a Swingline Note in favor of the Swingline Lender (if requested thereby), the applicable Security Documents,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80" w:lineRule="exact"/>
        <w:rPr>
          <w:rFonts w:ascii="Arial" w:cs="Arial" w:eastAsia="Arial" w:hAnsi="Arial"/>
          <w:sz w:val="19"/>
          <w:szCs w:val="19"/>
          <w:color w:val="auto"/>
        </w:rPr>
      </w:pPr>
    </w:p>
    <w:p>
      <w:pPr>
        <w:ind w:left="660" w:firstLine="644"/>
        <w:spacing w:after="0" w:line="260" w:lineRule="auto"/>
        <w:tabs>
          <w:tab w:leader="none" w:pos="179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The Administrative Agent shall have received each of the following in form and substance reasonably satisfactory to the Administrative Agent:</w:t>
      </w:r>
    </w:p>
    <w:p>
      <w:pPr>
        <w:spacing w:after="0" w:line="176" w:lineRule="exact"/>
        <w:rPr>
          <w:rFonts w:ascii="Arial" w:cs="Arial" w:eastAsia="Arial" w:hAnsi="Arial"/>
          <w:sz w:val="20"/>
          <w:szCs w:val="20"/>
          <w:color w:val="auto"/>
        </w:rPr>
      </w:pPr>
    </w:p>
    <w:p>
      <w:pPr>
        <w:ind w:left="1300" w:firstLine="652"/>
        <w:spacing w:after="0" w:line="260" w:lineRule="auto"/>
        <w:tabs>
          <w:tab w:leader="none" w:pos="2373" w:val="left"/>
        </w:tabs>
        <w:numPr>
          <w:ilvl w:val="1"/>
          <w:numId w:val="155"/>
        </w:numPr>
        <w:rPr>
          <w:rFonts w:ascii="Arial" w:cs="Arial" w:eastAsia="Arial" w:hAnsi="Arial"/>
          <w:sz w:val="20"/>
          <w:szCs w:val="20"/>
          <w:color w:val="auto"/>
        </w:rPr>
      </w:pPr>
      <w:r>
        <w:rPr>
          <w:rFonts w:ascii="Arial" w:cs="Arial" w:eastAsia="Arial" w:hAnsi="Arial"/>
          <w:sz w:val="20"/>
          <w:szCs w:val="20"/>
          <w:u w:val="single" w:color="auto"/>
          <w:color w:val="auto"/>
        </w:rPr>
        <w:t>Officer’s Certificate of the Company</w:t>
      </w:r>
      <w:r>
        <w:rPr>
          <w:rFonts w:ascii="Arial" w:cs="Arial" w:eastAsia="Arial" w:hAnsi="Arial"/>
          <w:sz w:val="20"/>
          <w:szCs w:val="20"/>
          <w:color w:val="auto"/>
        </w:rPr>
        <w:t xml:space="preserve">. A certificate from a Responsible Officer of the Company certifying that the conditions set forth in </w:t>
      </w:r>
      <w:r>
        <w:rPr>
          <w:rFonts w:ascii="Arial" w:cs="Arial" w:eastAsia="Arial" w:hAnsi="Arial"/>
          <w:sz w:val="20"/>
          <w:szCs w:val="20"/>
          <w:u w:val="single" w:color="auto"/>
          <w:color w:val="auto"/>
        </w:rPr>
        <w:t>Section 5.1(f)</w:t>
      </w:r>
      <w:r>
        <w:rPr>
          <w:rFonts w:ascii="Arial" w:cs="Arial" w:eastAsia="Arial" w:hAnsi="Arial"/>
          <w:sz w:val="20"/>
          <w:szCs w:val="20"/>
          <w:color w:val="auto"/>
        </w:rPr>
        <w:t xml:space="preserve">, </w:t>
      </w:r>
      <w:r>
        <w:rPr>
          <w:rFonts w:ascii="Arial" w:cs="Arial" w:eastAsia="Arial" w:hAnsi="Arial"/>
          <w:sz w:val="20"/>
          <w:szCs w:val="20"/>
          <w:u w:val="single" w:color="auto"/>
          <w:color w:val="auto"/>
        </w:rPr>
        <w:t>5.2(a)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5.2(b)</w:t>
      </w:r>
      <w:r>
        <w:rPr>
          <w:rFonts w:ascii="Arial" w:cs="Arial" w:eastAsia="Arial" w:hAnsi="Arial"/>
          <w:sz w:val="20"/>
          <w:szCs w:val="20"/>
          <w:color w:val="auto"/>
        </w:rPr>
        <w:t xml:space="preserve"> are satisfied as of the Closing Date.</w:t>
      </w:r>
    </w:p>
    <w:p>
      <w:pPr>
        <w:spacing w:after="0" w:line="176" w:lineRule="exact"/>
        <w:rPr>
          <w:rFonts w:ascii="Arial" w:cs="Arial" w:eastAsia="Arial" w:hAnsi="Arial"/>
          <w:sz w:val="20"/>
          <w:szCs w:val="20"/>
          <w:color w:val="auto"/>
        </w:rPr>
      </w:pPr>
    </w:p>
    <w:p>
      <w:pPr>
        <w:jc w:val="both"/>
        <w:ind w:left="1300" w:firstLine="652"/>
        <w:spacing w:after="0" w:line="256" w:lineRule="auto"/>
        <w:tabs>
          <w:tab w:leader="none" w:pos="2509"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Certificate of Secretary of each Credit Party</w:t>
      </w:r>
      <w:r>
        <w:rPr>
          <w:rFonts w:ascii="Arial" w:cs="Arial" w:eastAsia="Arial" w:hAnsi="Arial"/>
          <w:sz w:val="19"/>
          <w:szCs w:val="19"/>
          <w:color w:val="auto"/>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of such Credit Party and all amendments thereto, certified as of a recent date by the appropriate Governmental Authority in its jurisdiction of incorporation or formation, (B) the bylaws or other governing document of such Credit Party as in effect on the Closing Date, (C) resolutions duly adopted by the board of directors or other governing body of such Credit Party authorizing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9"/>
          <w:szCs w:val="19"/>
          <w:u w:val="single" w:color="auto"/>
          <w:color w:val="auto"/>
        </w:rPr>
        <w:t>Section 5.1(b)(iii</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300" w:firstLine="652"/>
        <w:spacing w:after="0" w:line="260" w:lineRule="auto"/>
        <w:tabs>
          <w:tab w:leader="none" w:pos="2456" w:val="left"/>
        </w:tabs>
        <w:numPr>
          <w:ilvl w:val="1"/>
          <w:numId w:val="155"/>
        </w:numPr>
        <w:rPr>
          <w:rFonts w:ascii="Arial" w:cs="Arial" w:eastAsia="Arial" w:hAnsi="Arial"/>
          <w:sz w:val="20"/>
          <w:szCs w:val="20"/>
          <w:color w:val="auto"/>
        </w:rPr>
      </w:pPr>
      <w:r>
        <w:rPr>
          <w:rFonts w:ascii="Arial" w:cs="Arial" w:eastAsia="Arial" w:hAnsi="Arial"/>
          <w:sz w:val="20"/>
          <w:szCs w:val="20"/>
          <w:u w:val="single" w:color="auto"/>
          <w:color w:val="auto"/>
        </w:rPr>
        <w:t>Certificates of Good Standing</w:t>
      </w:r>
      <w:r>
        <w:rPr>
          <w:rFonts w:ascii="Arial" w:cs="Arial" w:eastAsia="Arial" w:hAnsi="Arial"/>
          <w:sz w:val="20"/>
          <w:szCs w:val="20"/>
          <w:color w:val="auto"/>
        </w:rPr>
        <w:t>. Certificates as of a recent date of the good standing of each Credit Party under the laws of its jurisdiction of organization.</w:t>
      </w:r>
    </w:p>
    <w:p>
      <w:pPr>
        <w:spacing w:after="0" w:line="176" w:lineRule="exact"/>
        <w:rPr>
          <w:rFonts w:ascii="Arial" w:cs="Arial" w:eastAsia="Arial" w:hAnsi="Arial"/>
          <w:sz w:val="20"/>
          <w:szCs w:val="20"/>
          <w:color w:val="auto"/>
        </w:rPr>
      </w:pPr>
    </w:p>
    <w:p>
      <w:pPr>
        <w:jc w:val="both"/>
        <w:ind w:left="1300" w:firstLine="652"/>
        <w:spacing w:after="0" w:line="269" w:lineRule="auto"/>
        <w:tabs>
          <w:tab w:leader="none" w:pos="2539"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Favorable opinions of counsel to the Credit Parties addressed to the Administrative Agent and the Lenders with respect to the Credit Parties, the Loan Documents and such other matters as the Lenders shall request, each in form and substance reasonably satisfactory to the Administrative Agent.</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766"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No Litigation</w:t>
      </w:r>
      <w:r>
        <w:rPr>
          <w:rFonts w:ascii="Arial" w:cs="Arial" w:eastAsia="Arial" w:hAnsi="Arial"/>
          <w:sz w:val="20"/>
          <w:szCs w:val="20"/>
          <w:color w:val="auto"/>
        </w:rPr>
        <w:t>. The absence of any action, suit, investigation or proceeding pending or, to the knowledge of the Credit Parties, threatened in any court or before any arbitrator or Governmental Authority that would reasonably be expected to have a Material Adverse Effect.</w:t>
      </w:r>
    </w:p>
    <w:p>
      <w:pPr>
        <w:spacing w:after="0" w:line="185" w:lineRule="exact"/>
        <w:rPr>
          <w:rFonts w:ascii="Arial" w:cs="Arial" w:eastAsia="Arial" w:hAnsi="Arial"/>
          <w:sz w:val="20"/>
          <w:szCs w:val="20"/>
          <w:color w:val="auto"/>
        </w:rPr>
      </w:pPr>
    </w:p>
    <w:p>
      <w:pPr>
        <w:ind w:left="1740" w:hanging="436"/>
        <w:spacing w:after="0"/>
        <w:tabs>
          <w:tab w:leader="none" w:pos="174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59" w:name="page160"/>
    <w:bookmarkEnd w:id="159"/>
    <w:p>
      <w:pPr>
        <w:jc w:val="both"/>
        <w:ind w:left="1300" w:firstLine="652"/>
        <w:spacing w:after="0" w:line="243" w:lineRule="auto"/>
        <w:tabs>
          <w:tab w:leader="none" w:pos="2441" w:val="left"/>
        </w:tabs>
        <w:numPr>
          <w:ilvl w:val="1"/>
          <w:numId w:val="156"/>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Administrative Agent shall have received (x) the audited Consolidated financial statements of the Company and its Subsidiaries for Fiscal Years 2017, 2018 and 2019, (y) the unaudited Consolidated financial statements of the Company and its Subsidiaries for the fiscal quarter ended June 30, 2020 and (z) the Consolidated forecasted balance sheet, statements of income and cash flows of the Company and its Restricted Subsidiaries for the Fiscal Years 2020, 2021, 2022, 2023, 2024 and 2025, all in form and substance reasonably satisfactory to the Administrative Agent and prepared in accordance with GAAP.</w:t>
      </w:r>
    </w:p>
    <w:p>
      <w:pPr>
        <w:spacing w:after="0" w:line="195" w:lineRule="exact"/>
        <w:rPr>
          <w:rFonts w:ascii="Arial" w:cs="Arial" w:eastAsia="Arial" w:hAnsi="Arial"/>
          <w:sz w:val="20"/>
          <w:szCs w:val="20"/>
          <w:color w:val="auto"/>
        </w:rPr>
      </w:pPr>
    </w:p>
    <w:p>
      <w:pPr>
        <w:jc w:val="both"/>
        <w:ind w:left="1300" w:firstLine="652"/>
        <w:spacing w:after="0" w:line="257" w:lineRule="auto"/>
        <w:tabs>
          <w:tab w:leader="none" w:pos="2387"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Financial Condition Certificate</w:t>
      </w:r>
      <w:r>
        <w:rPr>
          <w:rFonts w:ascii="Arial" w:cs="Arial" w:eastAsia="Arial" w:hAnsi="Arial"/>
          <w:sz w:val="19"/>
          <w:szCs w:val="19"/>
          <w:color w:val="auto"/>
        </w:rPr>
        <w:t xml:space="preserve">. The Company shall have delivered to the Administrative Agent a certificate, in form and substance reasonably satisfactory to the Administrative Agent, and certified as accurate by a Responsible Officer of the Company, that (A) after giving effect to the transactions contemplated hereby on the Closing Date, the Company and each of its Restricted Subsidiaries, taken as a whole are Solvent, (B) after giving effect to the transactions contemplated hereby on the Closing Date, the Company is in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compliance with the covenants contained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 and (C) the financial projections previously delivered to the Administrative Agent represent the good faith estimates (utilizing reasonable assumptions) of the financial condition and operations of the Company and its Restricted Subsidiaries, taken as a whole, in all material respects.</w:t>
      </w:r>
    </w:p>
    <w:p>
      <w:pPr>
        <w:spacing w:after="0" w:line="180" w:lineRule="exact"/>
        <w:rPr>
          <w:rFonts w:ascii="Arial" w:cs="Arial" w:eastAsia="Arial" w:hAnsi="Arial"/>
          <w:sz w:val="19"/>
          <w:szCs w:val="19"/>
          <w:color w:val="auto"/>
        </w:rPr>
      </w:pPr>
    </w:p>
    <w:p>
      <w:pPr>
        <w:jc w:val="both"/>
        <w:ind w:left="1300" w:firstLine="652"/>
        <w:spacing w:after="0" w:line="276" w:lineRule="auto"/>
        <w:tabs>
          <w:tab w:leader="none" w:pos="2483"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Payment at Closing; Fee Letters</w:t>
      </w:r>
      <w:r>
        <w:rPr>
          <w:rFonts w:ascii="Arial" w:cs="Arial" w:eastAsia="Arial" w:hAnsi="Arial"/>
          <w:sz w:val="18"/>
          <w:szCs w:val="18"/>
          <w:color w:val="auto"/>
        </w:rPr>
        <w:t xml:space="preserve">. The Company shall have paid to the Administrative Agent and the Lenders the fees set forth or referenced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to the extent payable on the Closing Date and any other accrued and unpaid fees or commissions due hereunder (including, without limitation, reasonable and documented out-of-pocket legal fees and expenses) and to any other Person such amount as may be due thereto in connection with the transactions contemplated hereby, including all taxes, fees and other charges in connection with the execution, delivery, recording, filing and registration of any of the Loan Documents, in each case to the extent invoiced at least one day prior to the Closing Date.</w:t>
      </w:r>
    </w:p>
    <w:p>
      <w:pPr>
        <w:spacing w:after="0" w:line="164" w:lineRule="exact"/>
        <w:rPr>
          <w:rFonts w:ascii="Arial" w:cs="Arial" w:eastAsia="Arial" w:hAnsi="Arial"/>
          <w:sz w:val="18"/>
          <w:szCs w:val="18"/>
          <w:color w:val="auto"/>
        </w:rPr>
      </w:pPr>
    </w:p>
    <w:p>
      <w:pPr>
        <w:jc w:val="both"/>
        <w:ind w:left="1300" w:firstLine="652"/>
        <w:spacing w:after="0" w:line="270" w:lineRule="auto"/>
        <w:tabs>
          <w:tab w:leader="none" w:pos="2458"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Credit Parties shall have (A) paid all accrued and unpaid interest on the term loan outstanding under the Existing Credit Agreement to the Closing Date, (B) paid all accrued and unpaid interest on the dollar tranche revolving credit loans outstanding under the Existing Credit Agreement to the Closing Date, (C) paid all accrued and unpaid interest on the designated currency tranche revolving credit loans outstanding under the Existing Credit Agreement to the Closing Date, (D) to the extent necessary, repaid any term loans in excess of the Term Loan Commitments of the Lenders hereunder as of the Closing Date, (E) prepaid any dollar tranche revolving credit loans outstanding under the Existing Credit Agreement to the extent necessary to keep the outstanding Dollar Tranche Revolving Credit Loans ratable with the revised Dollar Tranche Revolving Credit Commitments as of the Closing Date, (F) prepaid any designated currency tranche revolving credit loans outstanding under the Existing Credit Agreement to the extent necessary to keep the outstanding Designated Currency Tranche Revolving Credit Loans ratable with the revised Designated Currency Tranche Revolving Credit Commitments as of the Closing Date and (G) paid all accrued fees owing to the lenders under the Existing Credit Agreement to the Closing Date.</w:t>
      </w:r>
    </w:p>
    <w:p>
      <w:pPr>
        <w:spacing w:after="0" w:line="175" w:lineRule="exact"/>
        <w:rPr>
          <w:rFonts w:ascii="Arial" w:cs="Arial" w:eastAsia="Arial" w:hAnsi="Arial"/>
          <w:sz w:val="18"/>
          <w:szCs w:val="18"/>
          <w:color w:val="auto"/>
        </w:rPr>
      </w:pPr>
    </w:p>
    <w:p>
      <w:pPr>
        <w:ind w:left="1720" w:hanging="416"/>
        <w:spacing w:after="0"/>
        <w:tabs>
          <w:tab w:leader="none" w:pos="172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Collateral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0" w:name="page161"/>
    <w:bookmarkEnd w:id="160"/>
    <w:p>
      <w:pPr>
        <w:jc w:val="both"/>
        <w:ind w:left="1300" w:firstLine="652"/>
        <w:spacing w:after="0" w:line="243" w:lineRule="auto"/>
        <w:tabs>
          <w:tab w:leader="none" w:pos="2441"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Filings and Recordings</w:t>
      </w:r>
      <w:r>
        <w:rPr>
          <w:rFonts w:ascii="Arial" w:cs="Arial" w:eastAsia="Arial" w:hAnsi="Arial"/>
          <w:sz w:val="20"/>
          <w:szCs w:val="20"/>
          <w:color w:val="auto"/>
        </w:rPr>
        <w:t xml:space="preserve">. The Administrative Agent shall have received all filings and recordations that are necessary to perfect the security interests of the Administrative Agent, on behalf of itself and the Lenders, in the Collateral, and the Administrative Agent shall have received evidence reasonably satisfactory to the Administrative Agent that upon such filings and recordations such security interests constitute valid and perfected first priority Liens thereon;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pledge documentation governed by the local laws of a Foreign Subsidiary’s jurisdiction of organization shall be required as of the Closing Date.</w:t>
      </w:r>
    </w:p>
    <w:p>
      <w:pPr>
        <w:spacing w:after="0" w:line="195" w:lineRule="exact"/>
        <w:rPr>
          <w:rFonts w:ascii="Arial" w:cs="Arial" w:eastAsia="Arial" w:hAnsi="Arial"/>
          <w:sz w:val="20"/>
          <w:szCs w:val="20"/>
          <w:color w:val="auto"/>
        </w:rPr>
      </w:pPr>
    </w:p>
    <w:p>
      <w:pPr>
        <w:jc w:val="both"/>
        <w:ind w:left="1300" w:firstLine="652"/>
        <w:spacing w:after="0" w:line="269" w:lineRule="auto"/>
        <w:tabs>
          <w:tab w:leader="none" w:pos="2522"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Pledged Collateral</w:t>
      </w:r>
      <w:r>
        <w:rPr>
          <w:rFonts w:ascii="Arial" w:cs="Arial" w:eastAsia="Arial" w:hAnsi="Arial"/>
          <w:sz w:val="19"/>
          <w:szCs w:val="19"/>
          <w:color w:val="auto"/>
        </w:rPr>
        <w:t>. To the extent applicable, the Administrative Agent shall have received original stock certificates or other certificates evidencing the Capital Stock pledged pursuant to the Security Documents, together with an undated stock power for each such certificate duly executed in blank by the registered owner thereof.</w:t>
      </w:r>
    </w:p>
    <w:p>
      <w:pPr>
        <w:spacing w:after="0" w:line="169" w:lineRule="exact"/>
        <w:rPr>
          <w:rFonts w:ascii="Arial" w:cs="Arial" w:eastAsia="Arial" w:hAnsi="Arial"/>
          <w:sz w:val="19"/>
          <w:szCs w:val="19"/>
          <w:color w:val="auto"/>
        </w:rPr>
      </w:pPr>
    </w:p>
    <w:p>
      <w:pPr>
        <w:jc w:val="both"/>
        <w:ind w:left="1300" w:firstLine="652"/>
        <w:spacing w:after="0" w:line="243" w:lineRule="auto"/>
        <w:tabs>
          <w:tab w:leader="none" w:pos="2469" w:val="left"/>
        </w:tabs>
        <w:numPr>
          <w:ilvl w:val="1"/>
          <w:numId w:val="158"/>
        </w:numPr>
        <w:rPr>
          <w:rFonts w:ascii="Arial" w:cs="Arial" w:eastAsia="Arial" w:hAnsi="Arial"/>
          <w:sz w:val="20"/>
          <w:szCs w:val="20"/>
          <w:color w:val="auto"/>
        </w:rPr>
      </w:pPr>
      <w:r>
        <w:rPr>
          <w:rFonts w:ascii="Arial" w:cs="Arial" w:eastAsia="Arial" w:hAnsi="Arial"/>
          <w:sz w:val="20"/>
          <w:szCs w:val="20"/>
          <w:u w:val="single" w:color="auto"/>
          <w:color w:val="auto"/>
        </w:rPr>
        <w:t>Lien Search</w:t>
      </w:r>
      <w:r>
        <w:rPr>
          <w:rFonts w:ascii="Arial" w:cs="Arial" w:eastAsia="Arial" w:hAnsi="Arial"/>
          <w:sz w:val="20"/>
          <w:szCs w:val="20"/>
          <w:color w:val="auto"/>
        </w:rPr>
        <w:t>. The Administrative Agent shall have received the results of a Lien search (including a search as to judgments, pending litigation and tax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substantially all of the assets of such Credit Party, indicating among other things that its assets are free and clear of any Lien except for Permitted Liens.</w:t>
      </w:r>
    </w:p>
    <w:p>
      <w:pPr>
        <w:spacing w:after="0" w:line="195" w:lineRule="exact"/>
        <w:rPr>
          <w:rFonts w:ascii="Arial" w:cs="Arial" w:eastAsia="Arial" w:hAnsi="Arial"/>
          <w:sz w:val="20"/>
          <w:szCs w:val="20"/>
          <w:color w:val="auto"/>
        </w:rPr>
      </w:pPr>
    </w:p>
    <w:p>
      <w:pPr>
        <w:jc w:val="both"/>
        <w:ind w:left="660" w:firstLine="644"/>
        <w:spacing w:after="0" w:line="250" w:lineRule="auto"/>
        <w:tabs>
          <w:tab w:leader="none" w:pos="192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Consents</w:t>
      </w:r>
      <w:r>
        <w:rPr>
          <w:rFonts w:ascii="Arial" w:cs="Arial" w:eastAsia="Arial" w:hAnsi="Arial"/>
          <w:sz w:val="20"/>
          <w:szCs w:val="20"/>
          <w:color w:val="auto"/>
        </w:rPr>
        <w:t>. The Administrative Agent shall have received evidence that all boards of directors, governmental, shareholder and material third party consents and approvals necessary in connection with the entering into of this Agreement have been obtained.</w:t>
      </w:r>
    </w:p>
    <w:p>
      <w:pPr>
        <w:spacing w:after="0" w:line="185" w:lineRule="exact"/>
        <w:rPr>
          <w:rFonts w:ascii="Arial" w:cs="Arial" w:eastAsia="Arial" w:hAnsi="Arial"/>
          <w:sz w:val="20"/>
          <w:szCs w:val="20"/>
          <w:color w:val="auto"/>
        </w:rPr>
      </w:pPr>
    </w:p>
    <w:p>
      <w:pPr>
        <w:ind w:left="1740" w:hanging="436"/>
        <w:spacing w:after="0"/>
        <w:tabs>
          <w:tab w:leader="none" w:pos="174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342" w:lineRule="auto"/>
        <w:tabs>
          <w:tab w:leader="none" w:pos="2414"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Loan Notice</w:t>
      </w:r>
      <w:r>
        <w:rPr>
          <w:rFonts w:ascii="Arial" w:cs="Arial" w:eastAsia="Arial" w:hAnsi="Arial"/>
          <w:sz w:val="16"/>
          <w:szCs w:val="16"/>
          <w:color w:val="auto"/>
        </w:rPr>
        <w:t xml:space="preserve">. The Administrative Agent shall have received a Loan Notice from the applicable Borrower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(if a Loan is to be made or a Letter of Credit issued) and a Notice of Account Designation specifying the account or accounts to which the proceeds of any Loans made on or after the Closing Date are to be disbursed.</w:t>
      </w:r>
    </w:p>
    <w:p>
      <w:pPr>
        <w:spacing w:after="0" w:line="117" w:lineRule="exact"/>
        <w:rPr>
          <w:rFonts w:ascii="Arial" w:cs="Arial" w:eastAsia="Arial" w:hAnsi="Arial"/>
          <w:sz w:val="16"/>
          <w:szCs w:val="16"/>
          <w:color w:val="auto"/>
        </w:rPr>
      </w:pPr>
    </w:p>
    <w:p>
      <w:pPr>
        <w:jc w:val="both"/>
        <w:ind w:left="1300" w:firstLine="652"/>
        <w:spacing w:after="0" w:line="259" w:lineRule="auto"/>
        <w:tabs>
          <w:tab w:leader="none" w:pos="2414"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Anti-Money-Laundering; Beneficial Ownership</w:t>
      </w:r>
      <w:r>
        <w:rPr>
          <w:rFonts w:ascii="Arial" w:cs="Arial" w:eastAsia="Arial" w:hAnsi="Arial"/>
          <w:sz w:val="19"/>
          <w:szCs w:val="19"/>
          <w:color w:val="auto"/>
        </w:rPr>
        <w:t>. To the extent reasonably requested by any Lender at least ten (10) days prior to the Closing Date,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Credit Party that qualifies as a “legal entity customer” under the Beneficial Ownership Regulation shall have delivered to each Lender that so requests, a Beneficial Ownership Certification in relation to such Credit Party.</w:t>
      </w:r>
    </w:p>
    <w:p>
      <w:pPr>
        <w:spacing w:after="0" w:line="178" w:lineRule="exact"/>
        <w:rPr>
          <w:rFonts w:ascii="Arial" w:cs="Arial" w:eastAsia="Arial" w:hAnsi="Arial"/>
          <w:sz w:val="19"/>
          <w:szCs w:val="19"/>
          <w:color w:val="auto"/>
        </w:rPr>
      </w:pPr>
    </w:p>
    <w:p>
      <w:pPr>
        <w:jc w:val="both"/>
        <w:ind w:left="1300" w:firstLine="652"/>
        <w:spacing w:after="0" w:line="263" w:lineRule="auto"/>
        <w:tabs>
          <w:tab w:leader="none" w:pos="2469"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All opinions, certificates and other instruments and all proceedings in connection with the transactions contemplated by this Agreement shall be in form and substance reasonably satisfactory to the Administrative Agent. The Administrative Agent shall have received copies of all other documents, certificates and instruments reasonably requested thereby, with respect to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1" w:name="page162"/>
    <w:bookmarkEnd w:id="161"/>
    <w:p>
      <w:pPr>
        <w:jc w:val="both"/>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12.3(c)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5.1</w:t>
      </w:r>
      <w:r>
        <w:rPr>
          <w:rFonts w:ascii="Arial" w:cs="Arial" w:eastAsia="Arial" w:hAnsi="Arial"/>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b w:val="1"/>
          <w:bCs w:val="1"/>
          <w:u w:val="single" w:color="auto"/>
          <w:color w:val="auto"/>
        </w:rPr>
        <w:t>Conditions to All Extensions of Credit</w:t>
      </w:r>
      <w:r>
        <w:rPr>
          <w:rFonts w:ascii="Arial" w:cs="Arial" w:eastAsia="Arial" w:hAnsi="Arial"/>
          <w:sz w:val="20"/>
          <w:szCs w:val="20"/>
          <w:color w:val="auto"/>
        </w:rPr>
        <w:t>. The obligations of the Lenders to make any Extensions of Credit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initial Extension of Credit), and/or any Issuing Lender to issue or extend any Letter of Credit are subject to the satisfaction of the following conditions precedent on the relevant borrowing, issuance or extension date:</w:t>
      </w:r>
    </w:p>
    <w:p>
      <w:pPr>
        <w:spacing w:after="0" w:line="183" w:lineRule="exact"/>
        <w:rPr>
          <w:sz w:val="20"/>
          <w:szCs w:val="20"/>
          <w:color w:val="auto"/>
        </w:rPr>
      </w:pPr>
    </w:p>
    <w:p>
      <w:pPr>
        <w:jc w:val="both"/>
        <w:ind w:left="660" w:firstLine="644"/>
        <w:spacing w:after="0" w:line="272" w:lineRule="auto"/>
        <w:tabs>
          <w:tab w:leader="none" w:pos="179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(i) with respect to representations and warranties that contain a materiality qualification, be true and correct on and as of the date of such Extension of Credit and (ii) with respect to representations and warranties that do not contain a materiality qualification, be true and correct in all material respects on and as of such borrowing, issuance or extension date with the same effect as if made on and as of such date, except for any representation and warranty made as of an earlier date, shall (x) with respect to representations and warranties that contain a materiality qualification, be true and correct as of such earlier date and (y) with respect to representations and warranties that do not contain a materiality qualification, be true and correct in all material respects as of such earlier date, and except that for purposes of this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 6.1(o)</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77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 Existing Default</w:t>
      </w:r>
      <w:r>
        <w:rPr>
          <w:rFonts w:ascii="Arial" w:cs="Arial" w:eastAsia="Arial" w:hAnsi="Arial"/>
          <w:sz w:val="18"/>
          <w:szCs w:val="18"/>
          <w:color w:val="auto"/>
        </w:rPr>
        <w:t>.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spacing w:after="0" w:line="151" w:lineRule="exact"/>
        <w:rPr>
          <w:rFonts w:ascii="Arial" w:cs="Arial" w:eastAsia="Arial" w:hAnsi="Arial"/>
          <w:sz w:val="18"/>
          <w:szCs w:val="18"/>
          <w:color w:val="auto"/>
        </w:rPr>
      </w:pPr>
    </w:p>
    <w:p>
      <w:pPr>
        <w:ind w:left="660" w:right="20" w:firstLine="644"/>
        <w:spacing w:after="0" w:line="260" w:lineRule="auto"/>
        <w:tabs>
          <w:tab w:leader="none" w:pos="1725"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The Administrative Agent, and, if applicable, the applicable Issuing Lender or the Swingline Lender shall have received a Loan Notice in accordance with the requirements hereof.</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871"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Subsidiary Borrower</w:t>
      </w:r>
      <w:r>
        <w:rPr>
          <w:rFonts w:ascii="Arial" w:cs="Arial" w:eastAsia="Arial" w:hAnsi="Arial"/>
          <w:sz w:val="20"/>
          <w:szCs w:val="20"/>
          <w:color w:val="auto"/>
        </w:rPr>
        <w:t xml:space="preserve">. If the applicable Borrower is a Subsidiary Borrower, the conditions of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to the designation of such Borrower as a Subsidiary Borrower shall have been satisfied.</w:t>
      </w:r>
    </w:p>
    <w:p>
      <w:pPr>
        <w:spacing w:after="0" w:line="176" w:lineRule="exact"/>
        <w:rPr>
          <w:rFonts w:ascii="Arial" w:cs="Arial" w:eastAsia="Arial" w:hAnsi="Arial"/>
          <w:sz w:val="20"/>
          <w:szCs w:val="20"/>
          <w:color w:val="auto"/>
        </w:rPr>
      </w:pPr>
    </w:p>
    <w:p>
      <w:pPr>
        <w:ind w:left="660" w:firstLine="644"/>
        <w:spacing w:after="0" w:line="260" w:lineRule="auto"/>
        <w:tabs>
          <w:tab w:leader="none" w:pos="1833"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Foreign Currency</w:t>
      </w:r>
      <w:r>
        <w:rPr>
          <w:rFonts w:ascii="Arial" w:cs="Arial" w:eastAsia="Arial" w:hAnsi="Arial"/>
          <w:sz w:val="20"/>
          <w:szCs w:val="20"/>
          <w:color w:val="auto"/>
        </w:rPr>
        <w:t>. In the case of an Extension of Credit to be denominated in a Foreign Currency, such currency remains an Agreed Currency.</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758"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Legal Impediment</w:t>
      </w:r>
      <w:r>
        <w:rPr>
          <w:rFonts w:ascii="Arial" w:cs="Arial" w:eastAsia="Arial" w:hAnsi="Arial"/>
          <w:sz w:val="20"/>
          <w:szCs w:val="20"/>
          <w:color w:val="auto"/>
        </w:rPr>
        <w:t>. In the case of an Extension of Credit to a Subsidiary Borrower that is a Foreign Subsidiary, there shall be no impediment, restriction, limitation or prohibition imposed under Applicable Law or by any Governmental Authority, as to the proposed financing under this Agreement or the repayment thereof or as to rights created under any Loan Document or as to application of the proceeds of the realization of any such rights.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Each Loan Notice (other than a Loan Notice requesting only a conversion of Loans to the other Type or a continuation of Eurocurrency Rate Loans) submitted by a Borrower shall be deemed to be a representation and warranty by such Borrower that the conditions specified in </w:t>
      </w:r>
      <w:r>
        <w:rPr>
          <w:rFonts w:ascii="Arial" w:cs="Arial" w:eastAsia="Arial" w:hAnsi="Arial"/>
          <w:sz w:val="19"/>
          <w:szCs w:val="19"/>
          <w:u w:val="single" w:color="auto"/>
          <w:color w:val="auto"/>
        </w:rPr>
        <w:t>Sections 5.2(a)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Extension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b w:val="1"/>
          <w:bCs w:val="1"/>
          <w:color w:val="auto"/>
        </w:rPr>
        <w:t>Article VI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BORROWER</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To induce the Administrative Agent and Lenders to enter into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to induce the Lenders to make Extensions of Credit, the Borrowers hereby represent and warrant to the Administrative Agent and Lenders both before and after giving effect to the transactions contemplated hereunder that:</w:t>
      </w:r>
    </w:p>
    <w:p>
      <w:pPr>
        <w:spacing w:after="0" w:line="196" w:lineRule="exact"/>
        <w:rPr>
          <w:sz w:val="20"/>
          <w:szCs w:val="20"/>
          <w:color w:val="auto"/>
        </w:rPr>
      </w:pPr>
    </w:p>
    <w:p>
      <w:pPr>
        <w:jc w:val="both"/>
        <w:ind w:left="660" w:firstLine="644"/>
        <w:spacing w:after="0" w:line="243" w:lineRule="auto"/>
        <w:tabs>
          <w:tab w:leader="none" w:pos="1779"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Organization; Power; Qualification</w:t>
      </w:r>
      <w:r>
        <w:rPr>
          <w:rFonts w:ascii="Arial" w:cs="Arial" w:eastAsia="Arial" w:hAnsi="Arial"/>
          <w:sz w:val="20"/>
          <w:szCs w:val="20"/>
          <w:color w:val="auto"/>
        </w:rPr>
        <w:t xml:space="preserve">. Each of the Company and its Material Subsidiaries (i) is duly organized, validly existing and in good standing under the laws of the jurisdiction of its incorporation or formation, (ii) has the power and authority to own its properties and to carry on its business as now being and hereafter proposed to be conducted and is duly qualified and (iii) is authorized to do business in each jurisdiction in which the character of its properties or the nature of its business requires such qualification and authorization except where the failure to be so qualified would not reasonably be expected to result in a Material Adverse Effect. The jurisdictions in which the Company and its Restricted Subsidiaries are organized as of the Closing Date are described on </w:t>
      </w:r>
      <w:r>
        <w:rPr>
          <w:rFonts w:ascii="Arial" w:cs="Arial" w:eastAsia="Arial" w:hAnsi="Arial"/>
          <w:sz w:val="20"/>
          <w:szCs w:val="20"/>
          <w:u w:val="single" w:color="auto"/>
          <w:color w:val="auto"/>
        </w:rPr>
        <w:t>Schedule 6.1(a)</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660" w:firstLine="644"/>
        <w:spacing w:after="0" w:line="309" w:lineRule="auto"/>
        <w:tabs>
          <w:tab w:leader="none" w:pos="175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Each Subsidiary of the Company as of the Closing Date is listed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and each Unrestricted Subsidiary is identified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As of the Closing Date, the capitalization of the Company and its Subsidiaries consists of the number of shares or other ownership interests, authorized, issued and outstanding, of such classes and series, with or without par value,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All outstanding shares or other ownership interests have been duly authorized and validly issued and are fully paid and nonassessable (to the extent such concept is applicable), with no personal liability attaching to the ownership thereof, and not subject to any preemptive or similar rights. The shareholders (or members, partners or other owners, as applicable) of the Subsidiaries of the Company and the number of shares or other ownership interests owned by each as of the Closing Date are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 xml:space="preserve">. As of the Closing Date, there are no outstanding stock purchase warrants, subscriptions, options, securities, instruments or other rights of any type or nature whatsoever, which are convertible into, exchangeable for or otherwise provide for or permit the issuance of Capital Stock of the Company or its Subsidiaries, except as described on </w:t>
      </w:r>
      <w:r>
        <w:rPr>
          <w:rFonts w:ascii="Arial" w:cs="Arial" w:eastAsia="Arial" w:hAnsi="Arial"/>
          <w:sz w:val="16"/>
          <w:szCs w:val="16"/>
          <w:u w:val="single" w:color="auto"/>
          <w:color w:val="auto"/>
        </w:rPr>
        <w:t>Schedule 6.1(b)</w:t>
      </w:r>
      <w:r>
        <w:rPr>
          <w:rFonts w:ascii="Arial" w:cs="Arial" w:eastAsia="Arial" w:hAnsi="Arial"/>
          <w:sz w:val="16"/>
          <w:szCs w:val="16"/>
          <w:color w:val="auto"/>
        </w:rPr>
        <w:t>.</w:t>
      </w:r>
    </w:p>
    <w:p>
      <w:pPr>
        <w:spacing w:after="0" w:line="379" w:lineRule="exact"/>
        <w:rPr>
          <w:rFonts w:ascii="Arial" w:cs="Arial" w:eastAsia="Arial" w:hAnsi="Arial"/>
          <w:sz w:val="16"/>
          <w:szCs w:val="16"/>
          <w:color w:val="auto"/>
        </w:rPr>
      </w:pPr>
    </w:p>
    <w:p>
      <w:pPr>
        <w:jc w:val="both"/>
        <w:ind w:left="660" w:firstLine="644"/>
        <w:spacing w:after="0" w:line="257" w:lineRule="auto"/>
        <w:tabs>
          <w:tab w:leader="none" w:pos="1820"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Authorization of Agreement, Loan Documents and Borrowing</w:t>
      </w:r>
      <w:r>
        <w:rPr>
          <w:rFonts w:ascii="Arial" w:cs="Arial" w:eastAsia="Arial" w:hAnsi="Arial"/>
          <w:sz w:val="19"/>
          <w:szCs w:val="19"/>
          <w:color w:val="auto"/>
        </w:rPr>
        <w:t>. Each of the Credit Parties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has been duly executed and delivered by the duly authorized officers of each Credit Party party thereto, and each such document constitutes the legal, valid and binding obligation of each Credit Party party thereto,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80" w:lineRule="exact"/>
        <w:rPr>
          <w:rFonts w:ascii="Arial" w:cs="Arial" w:eastAsia="Arial" w:hAnsi="Arial"/>
          <w:sz w:val="19"/>
          <w:szCs w:val="19"/>
          <w:color w:val="auto"/>
        </w:rPr>
      </w:pPr>
    </w:p>
    <w:p>
      <w:pPr>
        <w:jc w:val="both"/>
        <w:ind w:left="660" w:firstLine="644"/>
        <w:spacing w:after="0" w:line="244" w:lineRule="auto"/>
        <w:tabs>
          <w:tab w:leader="none" w:pos="175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Compliance of Agreement, Loan Documents and Borrowing with Laws, Etc</w:t>
      </w:r>
      <w:r>
        <w:rPr>
          <w:rFonts w:ascii="Arial" w:cs="Arial" w:eastAsia="Arial" w:hAnsi="Arial"/>
          <w:sz w:val="20"/>
          <w:szCs w:val="20"/>
          <w:color w:val="auto"/>
        </w:rPr>
        <w:t>. The execution, delivery and performance by each Credit Party of the Loan Documents to which each such Person is a party, in accordance with their respective terms, the Extensions of Credit hereunder and the transactions contemplated hereby do not and will not, by the passage of time, the giving of notice or otherwise, (i) require any material Governmental Approval except any approvals previously or concurrently received or violate any material Applicable Law, in each case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63" w:name="page164"/>
    <w:bookmarkEnd w:id="163"/>
    <w:p>
      <w:pPr>
        <w:jc w:val="both"/>
        <w:ind w:left="660" w:firstLine="6"/>
        <w:spacing w:after="0" w:line="255" w:lineRule="auto"/>
        <w:rPr>
          <w:sz w:val="20"/>
          <w:szCs w:val="20"/>
          <w:color w:val="auto"/>
        </w:rPr>
      </w:pPr>
      <w:r>
        <w:rPr>
          <w:rFonts w:ascii="Arial" w:cs="Arial" w:eastAsia="Arial" w:hAnsi="Arial"/>
          <w:sz w:val="19"/>
          <w:szCs w:val="19"/>
          <w:color w:val="auto"/>
        </w:rPr>
        <w:t>to the Company or any of its Restricted Subsidiaries, (ii) conflict with, result in a breach of or constitute a default under the articles of incorporation, bylaws or other organizational documents of such Credit Party, (iii) conflict with, result in a breach of or constitute a default under any indenture, agreement or other instrument in an aggregate principal amount of at least $40,000,000 or under which amounts payable or receivable are at least $40,000,000 to which the Company or any of its Restricted Subsidiaries is a party or by which any of its properties may be bound, (iv) result in or require the creation or imposition of any Lien upon or with respect to any property now owned or hereafter acquired by such Person other than Liens arising under the Loan Documents or (v) require any consent or authorization of, filing with, or other act in respect of, an arbitrator or Governmental Authority and no consent of any other Person is required in connection with the execution, delivery, performance, validity or enforceability of this Agreement, other than (A) consents, authorizations, filings or other acts or consents obtained or for which the failure to obtain or make could not individually or in the aggregate, reasonably be expected to have a Material Adverse Effect and (B) consents or filings, if any, under the UCC.</w:t>
      </w:r>
    </w:p>
    <w:p>
      <w:pPr>
        <w:spacing w:after="0" w:line="187" w:lineRule="exact"/>
        <w:rPr>
          <w:sz w:val="20"/>
          <w:szCs w:val="20"/>
          <w:color w:val="auto"/>
        </w:rPr>
      </w:pPr>
    </w:p>
    <w:p>
      <w:pPr>
        <w:jc w:val="both"/>
        <w:ind w:left="660" w:firstLine="644"/>
        <w:spacing w:after="0" w:line="273" w:lineRule="auto"/>
        <w:tabs>
          <w:tab w:leader="none" w:pos="177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Except where the failure to do so, individually or in the aggregate, would not reasonably be expected to have a Material Adverse Effect, each of the Company and its Restricted Subsidiaries (i) has all Governmental Approvals required by any Applicable Law for it to conduct its business, each of which is in full force and effect, is final and not subject to review on appeal and is not the subject of any pending or, to the knowledge of the Company, threatened attack by direct or collateral proceeding, (ii) is in compliance with each Governmental Approval applicable to it and in compliance with all other Applicable Laws relating to it or any of its respective properties and (iii) has timely filed all material reports, documents and other materials required to be filed by it under all Applicable Laws with any Governmental Authority and has retained all material records and documents required to be retained by it under Applicable Law.</w:t>
      </w:r>
    </w:p>
    <w:p>
      <w:pPr>
        <w:spacing w:after="0" w:line="168" w:lineRule="exact"/>
        <w:rPr>
          <w:rFonts w:ascii="Arial" w:cs="Arial" w:eastAsia="Arial" w:hAnsi="Arial"/>
          <w:sz w:val="18"/>
          <w:szCs w:val="18"/>
          <w:color w:val="auto"/>
        </w:rPr>
      </w:pPr>
    </w:p>
    <w:p>
      <w:pPr>
        <w:jc w:val="both"/>
        <w:ind w:left="660" w:firstLine="644"/>
        <w:spacing w:after="0" w:line="272" w:lineRule="auto"/>
        <w:tabs>
          <w:tab w:leader="none" w:pos="178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Tax Returns and Payments</w:t>
      </w:r>
      <w:r>
        <w:rPr>
          <w:rFonts w:ascii="Arial" w:cs="Arial" w:eastAsia="Arial" w:hAnsi="Arial"/>
          <w:sz w:val="18"/>
          <w:szCs w:val="18"/>
          <w:color w:val="auto"/>
        </w:rPr>
        <w:t>. The Company and its Restricted Subsidiaries have timely filed or caused to be filed or received an extension of the time to file all federal and other material tax returns and reports required to have been filed, and has paid, or caused to be paid, all federal and other material Taxes, assessments and governmental charges or levies upon it and its property, income, profits and assets which are due and payable except any amount the validity of which is currently being contested in good faith by appropriate proceedings and with respect to which reserves in conformity with GAAP have been provided for on the books of such Person. No Governmental Authority has asserted any Lien or other claim against the Company or any Restricted Subsidiary thereof with respect to unpaid taxes which has not been discharged or resolved other than (i) any amount the validity of which is currently being contested in good faith by appropriate proceedings and with respect to which reserves in conformity with GAAP have been provided for on the books of such Person or (ii) Permitted Liens.</w:t>
      </w:r>
    </w:p>
    <w:p>
      <w:pPr>
        <w:spacing w:after="0" w:line="170" w:lineRule="exact"/>
        <w:rPr>
          <w:rFonts w:ascii="Arial" w:cs="Arial" w:eastAsia="Arial" w:hAnsi="Arial"/>
          <w:sz w:val="18"/>
          <w:szCs w:val="18"/>
          <w:color w:val="auto"/>
        </w:rPr>
      </w:pPr>
    </w:p>
    <w:p>
      <w:pPr>
        <w:jc w:val="both"/>
        <w:ind w:left="660" w:firstLine="644"/>
        <w:spacing w:after="0" w:line="274" w:lineRule="auto"/>
        <w:tabs>
          <w:tab w:leader="none" w:pos="179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Intellectual Property Matters</w:t>
      </w:r>
      <w:r>
        <w:rPr>
          <w:rFonts w:ascii="Arial" w:cs="Arial" w:eastAsia="Arial" w:hAnsi="Arial"/>
          <w:sz w:val="18"/>
          <w:szCs w:val="18"/>
          <w:color w:val="auto"/>
        </w:rPr>
        <w:t>. Each of the Company and its Material Subsidiaries owns or possesses rights to use all material and franchises, licenses, copyrights, copyright applications, patents, patent rights or licenses, patent applications, trademarks, trademark rights, service mark, service mark rights, trade names, trade name rights, copyrights and rights with respect to the foregoing which are required to conduct its business. To the Borrowers’ knowledge, no event has occurred which permits, or after notice or lapse of time or both would permit, the revocation or termination of any such rights, and to the Borrowers’ knowledge, no Borrower nor any Restricted Subsidiary thereof is liable to any Person for infringement under Applicable Law with respect to any such rights as a result of its business operations, except as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4" w:name="page165"/>
    <w:bookmarkEnd w:id="164"/>
    <w:p>
      <w:pPr>
        <w:ind w:left="1740" w:hanging="436"/>
        <w:spacing w:after="0"/>
        <w:tabs>
          <w:tab w:leader="none" w:pos="174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Environmental Matters</w:t>
      </w:r>
      <w:r>
        <w:rPr>
          <w:rFonts w:ascii="Arial" w:cs="Arial" w:eastAsia="Arial" w:hAnsi="Arial"/>
          <w:sz w:val="20"/>
          <w:szCs w:val="20"/>
          <w:color w:val="auto"/>
        </w:rPr>
        <w:t>. Except as would not reasonably be expected to have a Material Adverse Effect: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411"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properties owned, leased or operated by the Company and its Restricted Subsidiaries do not contain any Hazardous Materials in amounts or concentrations which (A) constitute or constituted a violation of applicable Environmental Laws or (B) could give rise to liability under applicable Environmental Laws;</w:t>
      </w:r>
    </w:p>
    <w:p>
      <w:pPr>
        <w:spacing w:after="0" w:line="185" w:lineRule="exact"/>
        <w:rPr>
          <w:rFonts w:ascii="Arial" w:cs="Arial" w:eastAsia="Arial" w:hAnsi="Arial"/>
          <w:sz w:val="20"/>
          <w:szCs w:val="20"/>
          <w:color w:val="auto"/>
        </w:rPr>
      </w:pPr>
    </w:p>
    <w:p>
      <w:pPr>
        <w:jc w:val="both"/>
        <w:ind w:left="1300" w:firstLine="652"/>
        <w:spacing w:after="0" w:line="260" w:lineRule="auto"/>
        <w:tabs>
          <w:tab w:leader="none" w:pos="2464"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Company, each Restricted Subsidiary and properties owned, leased or operated by the Company and its Restricted Subsidiaries and all operations conducted by the Company or its Restricted Subsidiaries in connection therewith are in compliance, and have been for the past five years in compliance, with all applicable Environmental Laws, and there is no contamination at, under or about such properties or such operations which could interfere with the continued operation of such properties or impair the fair saleable value thereof;</w:t>
      </w:r>
    </w:p>
    <w:p>
      <w:pPr>
        <w:spacing w:after="0" w:line="180" w:lineRule="exact"/>
        <w:rPr>
          <w:rFonts w:ascii="Arial" w:cs="Arial" w:eastAsia="Arial" w:hAnsi="Arial"/>
          <w:sz w:val="19"/>
          <w:szCs w:val="19"/>
          <w:color w:val="auto"/>
        </w:rPr>
      </w:pPr>
    </w:p>
    <w:p>
      <w:pPr>
        <w:jc w:val="both"/>
        <w:ind w:left="1300" w:firstLine="652"/>
        <w:spacing w:after="0" w:line="246" w:lineRule="auto"/>
        <w:tabs>
          <w:tab w:leader="none" w:pos="2506" w:val="left"/>
        </w:tabs>
        <w:numPr>
          <w:ilvl w:val="1"/>
          <w:numId w:val="163"/>
        </w:numPr>
        <w:rPr>
          <w:rFonts w:ascii="Arial" w:cs="Arial" w:eastAsia="Arial" w:hAnsi="Arial"/>
          <w:sz w:val="20"/>
          <w:szCs w:val="20"/>
          <w:color w:val="auto"/>
        </w:rPr>
      </w:pPr>
      <w:r>
        <w:rPr>
          <w:rFonts w:ascii="Arial" w:cs="Arial" w:eastAsia="Arial" w:hAnsi="Arial"/>
          <w:sz w:val="20"/>
          <w:szCs w:val="20"/>
          <w:color w:val="auto"/>
        </w:rPr>
        <w:t>neither the Company nor any Restricted Subsidiary thereof has received any unresolved notice of violation, alleged violation, non-compliance, liability or potential liability regarding Environmental Claims, Hazardous Materials, or compliance with Environmental Laws, nor does the Company or any Restricted Subsidiary thereof have knowledge that any such notice will be received or is being threatened;</w:t>
      </w:r>
    </w:p>
    <w:p>
      <w:pPr>
        <w:spacing w:after="0" w:line="191" w:lineRule="exact"/>
        <w:rPr>
          <w:rFonts w:ascii="Arial" w:cs="Arial" w:eastAsia="Arial" w:hAnsi="Arial"/>
          <w:sz w:val="20"/>
          <w:szCs w:val="20"/>
          <w:color w:val="auto"/>
        </w:rPr>
      </w:pPr>
    </w:p>
    <w:p>
      <w:pPr>
        <w:jc w:val="both"/>
        <w:ind w:left="1300" w:firstLine="652"/>
        <w:spacing w:after="0" w:line="246" w:lineRule="auto"/>
        <w:tabs>
          <w:tab w:leader="none" w:pos="2474" w:val="left"/>
        </w:tabs>
        <w:numPr>
          <w:ilvl w:val="1"/>
          <w:numId w:val="163"/>
        </w:numPr>
        <w:rPr>
          <w:rFonts w:ascii="Arial" w:cs="Arial" w:eastAsia="Arial" w:hAnsi="Arial"/>
          <w:sz w:val="20"/>
          <w:szCs w:val="20"/>
          <w:color w:val="auto"/>
        </w:rPr>
      </w:pPr>
      <w:r>
        <w:rPr>
          <w:rFonts w:ascii="Arial" w:cs="Arial" w:eastAsia="Arial" w:hAnsi="Arial"/>
          <w:sz w:val="20"/>
          <w:szCs w:val="20"/>
          <w:color w:val="auto"/>
        </w:rPr>
        <w:t>neither the Company nor any Restricted Subsidiary thereof has received notice that any Hazardous Materials have been transported or disposed of to or from the properties owned, leased or operated by the Company and its Restricted Subsidiaries in violation of, or in a manner or to a location which would reasonably be expected to give rise to a liability under, Environmental Laws;</w:t>
      </w:r>
    </w:p>
    <w:p>
      <w:pPr>
        <w:spacing w:after="0" w:line="191" w:lineRule="exact"/>
        <w:rPr>
          <w:rFonts w:ascii="Arial" w:cs="Arial" w:eastAsia="Arial" w:hAnsi="Arial"/>
          <w:sz w:val="20"/>
          <w:szCs w:val="20"/>
          <w:color w:val="auto"/>
        </w:rPr>
      </w:pPr>
    </w:p>
    <w:p>
      <w:pPr>
        <w:jc w:val="both"/>
        <w:ind w:left="1300" w:firstLine="652"/>
        <w:spacing w:after="0" w:line="260" w:lineRule="auto"/>
        <w:tabs>
          <w:tab w:leader="none" w:pos="251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no judicial proceedings or governmental or administrative action is pending, or, to the knowledge of the Company, threatened, against the Company or any of its Restricted Subsidiaries under any Environmental Law with respect to such properties or operations conducted in connection therewith, nor are there any administrative or judicial consent decrees, other decrees, consent orders or other orders outstanding under any Environmental Law with respect to the Company, any Restricted Subsidiary or such properties or such operations; and</w:t>
      </w:r>
    </w:p>
    <w:p>
      <w:pPr>
        <w:spacing w:after="0" w:line="180" w:lineRule="exact"/>
        <w:rPr>
          <w:rFonts w:ascii="Arial" w:cs="Arial" w:eastAsia="Arial" w:hAnsi="Arial"/>
          <w:sz w:val="19"/>
          <w:szCs w:val="19"/>
          <w:color w:val="auto"/>
        </w:rPr>
      </w:pPr>
    </w:p>
    <w:p>
      <w:pPr>
        <w:jc w:val="both"/>
        <w:ind w:left="1300" w:firstLine="652"/>
        <w:spacing w:after="0" w:line="246" w:lineRule="auto"/>
        <w:tabs>
          <w:tab w:leader="none" w:pos="243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there has been no release, or to the Company’s knowledge, threat of release, of Hazardous Materials at or from properties owned, leased or operated by the Company or any Restricted Subsidiary, now or, to the Company’s knowledge, in the past, in violation of or in amounts or in a manner that would reasonably be expected to give rise to a material liability under Environmental Laws.</w:t>
      </w:r>
    </w:p>
    <w:p>
      <w:pPr>
        <w:spacing w:after="0" w:line="191" w:lineRule="exact"/>
        <w:rPr>
          <w:rFonts w:ascii="Arial" w:cs="Arial" w:eastAsia="Arial" w:hAnsi="Arial"/>
          <w:sz w:val="20"/>
          <w:szCs w:val="20"/>
          <w:color w:val="auto"/>
        </w:rPr>
      </w:pPr>
    </w:p>
    <w:p>
      <w:pPr>
        <w:ind w:left="1680" w:hanging="376"/>
        <w:spacing w:after="0"/>
        <w:tabs>
          <w:tab w:leader="none" w:pos="168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0" w:right="20" w:firstLine="652"/>
        <w:spacing w:after="0" w:line="260" w:lineRule="auto"/>
        <w:tabs>
          <w:tab w:leader="none" w:pos="232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Company represents and warrants as of the Closing Date that the Company does not and will not hold “plan assets” (within the meaning of Section 3(42) of ERISA or otherwise) of one or more Benefit Plans;</w:t>
      </w:r>
    </w:p>
    <w:p>
      <w:pPr>
        <w:spacing w:after="0" w:line="176" w:lineRule="exact"/>
        <w:rPr>
          <w:rFonts w:ascii="Arial" w:cs="Arial" w:eastAsia="Arial" w:hAnsi="Arial"/>
          <w:sz w:val="20"/>
          <w:szCs w:val="20"/>
          <w:color w:val="auto"/>
        </w:rPr>
      </w:pPr>
    </w:p>
    <w:p>
      <w:pPr>
        <w:jc w:val="both"/>
        <w:ind w:left="1300" w:firstLine="652"/>
        <w:spacing w:after="0" w:line="250" w:lineRule="auto"/>
        <w:tabs>
          <w:tab w:leader="none" w:pos="239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Company and each ERISA Affiliate is in material compliance with all applicable provisions of ERISA and the Code and the regulations and published interpretations thereunder with respect to all Employee Benefit Plans and the terms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5" w:name="page166"/>
    <w:bookmarkEnd w:id="165"/>
    <w:p>
      <w:pPr>
        <w:jc w:val="both"/>
        <w:ind w:left="1300" w:firstLine="6"/>
        <w:spacing w:after="0" w:line="313" w:lineRule="auto"/>
        <w:rPr>
          <w:sz w:val="20"/>
          <w:szCs w:val="20"/>
          <w:color w:val="auto"/>
        </w:rPr>
      </w:pPr>
      <w:r>
        <w:rPr>
          <w:rFonts w:ascii="Arial" w:cs="Arial" w:eastAsia="Arial" w:hAnsi="Arial"/>
          <w:sz w:val="16"/>
          <w:szCs w:val="16"/>
          <w:color w:val="auto"/>
        </w:rPr>
        <w:t>except for any required amendments for which the remedial amendment period as defined in Section 401(b) of the Code has not yet expired and except where a failure to so comply would not reasonably be expected to have a Material Adverse Effect. Each Employee Benefit Plan that is intended to be qualified under Section 401(a) of the Code either has obtained a favorable determination letter as to its qualified status under the Code or is in a prototype or volume submitter plan document that has been pre-approved by the IRS as is evidenced by a letter from the IRS. No liability has been incurred by the Company or any ERISA Affiliate which remains unsatisfied for any taxes or penalties with respect to any Employee Benefit Plan or any Multiemployer Plan except for a liability that would not reasonably be expected to have a Material Adverse Effect;</w:t>
      </w:r>
    </w:p>
    <w:p>
      <w:pPr>
        <w:spacing w:after="0" w:line="143" w:lineRule="exact"/>
        <w:rPr>
          <w:sz w:val="20"/>
          <w:szCs w:val="20"/>
          <w:color w:val="auto"/>
        </w:rPr>
      </w:pPr>
    </w:p>
    <w:p>
      <w:pPr>
        <w:jc w:val="both"/>
        <w:ind w:left="1300" w:firstLine="652"/>
        <w:spacing w:after="0" w:line="257" w:lineRule="auto"/>
        <w:tabs>
          <w:tab w:leader="none" w:pos="248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As of the Closing Date, no Pension Plan has been terminated, nor has any Pension Plan failed to satisfy the minimum funding standard within the meaning of such sections of the Code or ERISA, and no Pension Plan has applied for or received a waiver of the minimum funding standard or an extension of any amortization period within the meaning of Section 412 of the Code or Section 302, 303 or 304 of ERISA, nor has the Company or any ERISA Affiliate failed to make any contributions or to pay any amounts due and owing as required by Section 412 of the Code, Section 302 of ERISA or the terms of any Pension Plan or Multiemployer Plan prior to the due dates of such contributions under Section 412 of the Code or Section 302 of ERISA, nor has there been any event requiring any disclosure under Section 4041(c)(3)(C) or 4063(a) of ERISA with respect to any Pension Plan;</w:t>
      </w:r>
    </w:p>
    <w:p>
      <w:pPr>
        <w:spacing w:after="0" w:line="180" w:lineRule="exact"/>
        <w:rPr>
          <w:rFonts w:ascii="Arial" w:cs="Arial" w:eastAsia="Arial" w:hAnsi="Arial"/>
          <w:sz w:val="19"/>
          <w:szCs w:val="19"/>
          <w:color w:val="auto"/>
        </w:rPr>
      </w:pPr>
    </w:p>
    <w:p>
      <w:pPr>
        <w:jc w:val="both"/>
        <w:ind w:left="1300" w:firstLine="652"/>
        <w:spacing w:after="0" w:line="276" w:lineRule="auto"/>
        <w:tabs>
          <w:tab w:leader="none" w:pos="243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reasonably be expected to have a Material Adverse Effect, neither the Company nor any ERISA Affiliate has: (A) engaged in a nonexempt prohibited transaction described in Section 406 of the ERISA or Section 4975 of the Code, (B) incurred any liability to the PBGC which remains outstanding other than the payment of premiums and there are no premium payments which are due and unpaid, (C) failed to make a required contribution or payment to a Multiemployer Plan, or (D) failed to make a required installment or other required payment under Section 412 of the Code;</w:t>
      </w:r>
    </w:p>
    <w:p>
      <w:pPr>
        <w:spacing w:after="0" w:line="164" w:lineRule="exact"/>
        <w:rPr>
          <w:rFonts w:ascii="Arial" w:cs="Arial" w:eastAsia="Arial" w:hAnsi="Arial"/>
          <w:sz w:val="18"/>
          <w:szCs w:val="18"/>
          <w:color w:val="auto"/>
        </w:rPr>
      </w:pPr>
    </w:p>
    <w:p>
      <w:pPr>
        <w:ind w:left="2380" w:hanging="428"/>
        <w:spacing w:after="0"/>
        <w:tabs>
          <w:tab w:leader="none" w:pos="238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No Termination Event has occurred; and</w:t>
      </w:r>
    </w:p>
    <w:p>
      <w:pPr>
        <w:spacing w:after="0" w:line="215" w:lineRule="exact"/>
        <w:rPr>
          <w:rFonts w:ascii="Arial" w:cs="Arial" w:eastAsia="Arial" w:hAnsi="Arial"/>
          <w:sz w:val="20"/>
          <w:szCs w:val="20"/>
          <w:color w:val="auto"/>
        </w:rPr>
      </w:pPr>
    </w:p>
    <w:p>
      <w:pPr>
        <w:jc w:val="both"/>
        <w:ind w:left="1300" w:firstLine="652"/>
        <w:spacing w:after="0" w:line="278" w:lineRule="auto"/>
        <w:tabs>
          <w:tab w:leader="none" w:pos="243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Except where the failure of any of the following representations to be correct in all material respects would not reasonably be expected to have a Material Adverse Effect, no proceeding, claim (other than a benefits claim in the ordinary course of business), lawsuit and/or investigation is existing or, to the knowledge of the Company, threatened concerning or involving any (A) employee welfare benefit plan (as defined in Section 3(1) of ERISA) currently maintained or contributed to by the Company or any ERISA Affiliate, (B) Pension Plan or (C) Multiemployer Plan.</w:t>
      </w:r>
    </w:p>
    <w:p>
      <w:pPr>
        <w:spacing w:after="0" w:line="164" w:lineRule="exact"/>
        <w:rPr>
          <w:rFonts w:ascii="Arial" w:cs="Arial" w:eastAsia="Arial" w:hAnsi="Arial"/>
          <w:sz w:val="18"/>
          <w:szCs w:val="18"/>
          <w:color w:val="auto"/>
        </w:rPr>
      </w:pPr>
    </w:p>
    <w:p>
      <w:pPr>
        <w:jc w:val="both"/>
        <w:ind w:left="660" w:firstLine="644"/>
        <w:spacing w:after="0" w:line="243" w:lineRule="auto"/>
        <w:tabs>
          <w:tab w:leader="none" w:pos="181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Margin Stock</w:t>
      </w:r>
      <w:r>
        <w:rPr>
          <w:rFonts w:ascii="Arial" w:cs="Arial" w:eastAsia="Arial" w:hAnsi="Arial"/>
          <w:sz w:val="20"/>
          <w:szCs w:val="20"/>
          <w:color w:val="auto"/>
        </w:rPr>
        <w:t>. Neither the Company nor any Restricted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in contravention of Regulation T, U or X of such Board of Governors, or for any purpose which violates, or which would be inconsistent with, the provisions of Regulation T, U or X of such Board of Governors.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6" w:name="page167"/>
    <w:bookmarkEnd w:id="166"/>
    <w:p>
      <w:pPr>
        <w:jc w:val="both"/>
        <w:ind w:left="660" w:firstLine="644"/>
        <w:spacing w:after="0" w:line="250" w:lineRule="auto"/>
        <w:tabs>
          <w:tab w:leader="none" w:pos="1763"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Neither the Company nor any Restricted Subsidiary thereof is an “investment company” or a company “controlled” by an “investment company” (as each such term is defined or used in the Investment Company Act of 1940, as amended).</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693"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Each Subsidiary of the Company that is a Material Domestic Subsidiary as of the Closing Date is listed on </w:t>
      </w:r>
      <w:r>
        <w:rPr>
          <w:rFonts w:ascii="Arial" w:cs="Arial" w:eastAsia="Arial" w:hAnsi="Arial"/>
          <w:sz w:val="20"/>
          <w:szCs w:val="20"/>
          <w:u w:val="single" w:color="auto"/>
          <w:color w:val="auto"/>
        </w:rPr>
        <w:t>Schedule 6.1(l)</w:t>
      </w:r>
      <w:r>
        <w:rPr>
          <w:rFonts w:ascii="Arial" w:cs="Arial" w:eastAsia="Arial" w:hAnsi="Arial"/>
          <w:sz w:val="20"/>
          <w:szCs w:val="20"/>
          <w:color w:val="auto"/>
        </w:rPr>
        <w:t xml:space="preserve"> hereto.</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845"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Employee Relations</w:t>
      </w:r>
      <w:r>
        <w:rPr>
          <w:rFonts w:ascii="Arial" w:cs="Arial" w:eastAsia="Arial" w:hAnsi="Arial"/>
          <w:sz w:val="20"/>
          <w:szCs w:val="20"/>
          <w:color w:val="auto"/>
        </w:rPr>
        <w:t xml:space="preserve">. Neither the Company nor any Restricted Subsidiary thereof is, as of the Closing Date, party to any collective bargaining agreement or has any labor union been recognized as the representative of the employees of the Company or any Restricted Subsidiary thereof except as set forth on </w:t>
      </w:r>
      <w:r>
        <w:rPr>
          <w:rFonts w:ascii="Arial" w:cs="Arial" w:eastAsia="Arial" w:hAnsi="Arial"/>
          <w:sz w:val="20"/>
          <w:szCs w:val="20"/>
          <w:u w:val="single" w:color="auto"/>
          <w:color w:val="auto"/>
        </w:rPr>
        <w:t>Schedule 6.1(m</w:t>
      </w:r>
      <w:r>
        <w:rPr>
          <w:rFonts w:ascii="Arial" w:cs="Arial" w:eastAsia="Arial" w:hAnsi="Arial"/>
          <w:sz w:val="20"/>
          <w:szCs w:val="20"/>
          <w:color w:val="auto"/>
        </w:rPr>
        <w:t>). The Company knows of no pending, threatened or contemplated strikes, work stoppage or other collective labor disputes involving its employees or those of its Restricted Subsidiaries that would reasonably be expected to have a Material Adverse Effect.</w:t>
      </w:r>
    </w:p>
    <w:p>
      <w:pPr>
        <w:spacing w:after="0" w:line="194" w:lineRule="exact"/>
        <w:rPr>
          <w:rFonts w:ascii="Arial" w:cs="Arial" w:eastAsia="Arial" w:hAnsi="Arial"/>
          <w:sz w:val="20"/>
          <w:szCs w:val="20"/>
          <w:color w:val="auto"/>
        </w:rPr>
      </w:pPr>
    </w:p>
    <w:p>
      <w:pPr>
        <w:jc w:val="both"/>
        <w:ind w:left="660" w:firstLine="644"/>
        <w:spacing w:after="0" w:line="273" w:lineRule="auto"/>
        <w:tabs>
          <w:tab w:leader="none" w:pos="181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audited Consolidated balance sheet of the Company and its Restricted Subsidiaries as of December 31, 2019 and the related audited statements of income and retained earnings and cash flows for the Fiscal Year then ended, copies of which have been furnished to the Administrative Agent and each Lender, are complete and correct and fairly present in all material respects on a Consolidated basis the assets, liabilities and financial position of the Company and its Restricted Subsidiaries as at such dates, and the results of the operations and changes of financial position for the periods then ended (other than customary year-end adjustments for unaudited financial statements). All such financial statements, including the related schedules and notes thereto, have been prepared in accordance with GAAP (but, in the case of any such financial statements, schedules and notes which are unaudited, only to the extent GAAP is applicable to interim unaudited reports).</w:t>
      </w:r>
    </w:p>
    <w:p>
      <w:pPr>
        <w:spacing w:after="0" w:line="168" w:lineRule="exact"/>
        <w:rPr>
          <w:rFonts w:ascii="Arial" w:cs="Arial" w:eastAsia="Arial" w:hAnsi="Arial"/>
          <w:sz w:val="18"/>
          <w:szCs w:val="18"/>
          <w:color w:val="auto"/>
        </w:rPr>
      </w:pPr>
    </w:p>
    <w:p>
      <w:pPr>
        <w:ind w:left="660" w:right="20" w:firstLine="644"/>
        <w:spacing w:after="0" w:line="260" w:lineRule="auto"/>
        <w:tabs>
          <w:tab w:leader="none" w:pos="1817"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2019, no event has occurred or condition arisen that has had or would reasonably be expected to have a Material Adverse Effect.</w:t>
      </w:r>
    </w:p>
    <w:p>
      <w:pPr>
        <w:spacing w:after="0" w:line="176" w:lineRule="exact"/>
        <w:rPr>
          <w:rFonts w:ascii="Arial" w:cs="Arial" w:eastAsia="Arial" w:hAnsi="Arial"/>
          <w:sz w:val="20"/>
          <w:szCs w:val="20"/>
          <w:color w:val="auto"/>
        </w:rPr>
      </w:pPr>
    </w:p>
    <w:p>
      <w:pPr>
        <w:ind w:left="660" w:firstLine="644"/>
        <w:spacing w:after="0" w:line="260" w:lineRule="auto"/>
        <w:tabs>
          <w:tab w:leader="none" w:pos="173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Solvency</w:t>
      </w:r>
      <w:r>
        <w:rPr>
          <w:rFonts w:ascii="Arial" w:cs="Arial" w:eastAsia="Arial" w:hAnsi="Arial"/>
          <w:sz w:val="20"/>
          <w:szCs w:val="20"/>
          <w:color w:val="auto"/>
        </w:rPr>
        <w:t>. As of the Closing Date and after giving effect to each Extension of Credit made hereunder, the Company and each of its Restricted Subsidiaries, taken as a whole, will be Solvent.</w:t>
      </w:r>
    </w:p>
    <w:p>
      <w:pPr>
        <w:spacing w:after="0" w:line="176" w:lineRule="exact"/>
        <w:rPr>
          <w:rFonts w:ascii="Arial" w:cs="Arial" w:eastAsia="Arial" w:hAnsi="Arial"/>
          <w:sz w:val="20"/>
          <w:szCs w:val="20"/>
          <w:color w:val="auto"/>
        </w:rPr>
      </w:pPr>
    </w:p>
    <w:p>
      <w:pPr>
        <w:ind w:left="660" w:firstLine="644"/>
        <w:spacing w:after="0" w:line="260" w:lineRule="auto"/>
        <w:tabs>
          <w:tab w:leader="none" w:pos="180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Titles to Properties</w:t>
      </w:r>
      <w:r>
        <w:rPr>
          <w:rFonts w:ascii="Arial" w:cs="Arial" w:eastAsia="Arial" w:hAnsi="Arial"/>
          <w:sz w:val="20"/>
          <w:szCs w:val="20"/>
          <w:color w:val="auto"/>
        </w:rPr>
        <w:t>. Each of the Company and its Material Subsidiaries has such title to the real property owned or leased by it as is necessary to the conduct of its business.</w:t>
      </w:r>
    </w:p>
    <w:p>
      <w:pPr>
        <w:spacing w:after="0" w:line="176" w:lineRule="exact"/>
        <w:rPr>
          <w:rFonts w:ascii="Arial" w:cs="Arial" w:eastAsia="Arial" w:hAnsi="Arial"/>
          <w:sz w:val="20"/>
          <w:szCs w:val="20"/>
          <w:color w:val="auto"/>
        </w:rPr>
      </w:pPr>
    </w:p>
    <w:p>
      <w:pPr>
        <w:ind w:left="660" w:firstLine="644"/>
        <w:spacing w:after="0" w:line="260" w:lineRule="auto"/>
        <w:tabs>
          <w:tab w:leader="none" w:pos="1758"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Liens</w:t>
      </w:r>
      <w:r>
        <w:rPr>
          <w:rFonts w:ascii="Arial" w:cs="Arial" w:eastAsia="Arial" w:hAnsi="Arial"/>
          <w:sz w:val="20"/>
          <w:szCs w:val="20"/>
          <w:color w:val="auto"/>
        </w:rPr>
        <w:t>. None of the properties and assets of the Company or any Restricted Subsidiary thereof is subject to any Lien, except Permitted Liens.</w:t>
      </w:r>
    </w:p>
    <w:p>
      <w:pPr>
        <w:spacing w:after="0" w:line="176" w:lineRule="exact"/>
        <w:rPr>
          <w:rFonts w:ascii="Arial" w:cs="Arial" w:eastAsia="Arial" w:hAnsi="Arial"/>
          <w:sz w:val="20"/>
          <w:szCs w:val="20"/>
          <w:color w:val="auto"/>
        </w:rPr>
      </w:pPr>
    </w:p>
    <w:p>
      <w:pPr>
        <w:jc w:val="both"/>
        <w:ind w:left="660" w:firstLine="644"/>
        <w:spacing w:after="0" w:line="263" w:lineRule="auto"/>
        <w:tabs>
          <w:tab w:leader="none" w:pos="1836"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Litigation</w:t>
      </w:r>
      <w:r>
        <w:rPr>
          <w:rFonts w:ascii="Arial" w:cs="Arial" w:eastAsia="Arial" w:hAnsi="Arial"/>
          <w:sz w:val="19"/>
          <w:szCs w:val="19"/>
          <w:color w:val="auto"/>
        </w:rPr>
        <w:t>. Except for matters that would not reasonably be expected, individually or in the aggregate, to have a Material Adverse Effect, there are no actions, suits or proceedings pending nor, to the knowledge of the Company, threatened in writing against or in any other way relating adversely to or affecting the Company or any Restricted Subsidiary thereof or any of their respective properties in any court or before any arbitrator of any kind or before or by any Governmental Authority.</w:t>
      </w:r>
    </w:p>
    <w:p>
      <w:pPr>
        <w:spacing w:after="0" w:line="176" w:lineRule="exact"/>
        <w:rPr>
          <w:rFonts w:ascii="Arial" w:cs="Arial" w:eastAsia="Arial" w:hAnsi="Arial"/>
          <w:sz w:val="19"/>
          <w:szCs w:val="19"/>
          <w:color w:val="auto"/>
        </w:rPr>
      </w:pPr>
    </w:p>
    <w:p>
      <w:pPr>
        <w:ind w:left="1680" w:hanging="376"/>
        <w:spacing w:after="0"/>
        <w:tabs>
          <w:tab w:leader="none" w:pos="168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Absence of Defaults</w:t>
      </w:r>
      <w:r>
        <w:rPr>
          <w:rFonts w:ascii="Arial" w:cs="Arial" w:eastAsia="Arial" w:hAnsi="Arial"/>
          <w:sz w:val="19"/>
          <w:szCs w:val="19"/>
          <w:color w:val="auto"/>
        </w:rPr>
        <w:t>. No event has occurred or is continuing which constitutes a Default or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7" w:name="page168"/>
    <w:bookmarkEnd w:id="167"/>
    <w:p>
      <w:pPr>
        <w:jc w:val="both"/>
        <w:ind w:left="660" w:firstLine="644"/>
        <w:spacing w:after="0" w:line="263" w:lineRule="auto"/>
        <w:tabs>
          <w:tab w:leader="none" w:pos="1804" w:val="left"/>
        </w:tabs>
        <w:numPr>
          <w:ilvl w:val="1"/>
          <w:numId w:val="167"/>
        </w:numPr>
        <w:rPr>
          <w:rFonts w:ascii="Arial" w:cs="Arial" w:eastAsia="Arial" w:hAnsi="Arial"/>
          <w:sz w:val="19"/>
          <w:szCs w:val="19"/>
          <w:color w:val="auto"/>
        </w:rPr>
      </w:pPr>
      <w:r>
        <w:rPr>
          <w:rFonts w:ascii="Arial" w:cs="Arial" w:eastAsia="Arial" w:hAnsi="Arial"/>
          <w:sz w:val="19"/>
          <w:szCs w:val="19"/>
          <w:u w:val="single" w:color="auto"/>
          <w:color w:val="auto"/>
        </w:rPr>
        <w:t>Senior Indebtedness Status</w:t>
      </w:r>
      <w:r>
        <w:rPr>
          <w:rFonts w:ascii="Arial" w:cs="Arial" w:eastAsia="Arial" w:hAnsi="Arial"/>
          <w:sz w:val="19"/>
          <w:szCs w:val="19"/>
          <w:color w:val="auto"/>
        </w:rPr>
        <w:t>. The Obligations of the Company and each other Credit Party under this Agreement and each of the other Loan Documents rank and shall continue to rank at least senior in priority of payment to all Subordinated Indebtedness of each such Person and is designated as “Senior Indebtedness” or otherwise treated as senior debt under all instruments and documents, now or in the future, relating to all Subordinated Indebtedness of such Person.</w:t>
      </w:r>
    </w:p>
    <w:p>
      <w:pPr>
        <w:spacing w:after="0" w:line="176" w:lineRule="exact"/>
        <w:rPr>
          <w:rFonts w:ascii="Arial" w:cs="Arial" w:eastAsia="Arial" w:hAnsi="Arial"/>
          <w:sz w:val="19"/>
          <w:szCs w:val="19"/>
          <w:color w:val="auto"/>
        </w:rPr>
      </w:pPr>
    </w:p>
    <w:p>
      <w:pPr>
        <w:jc w:val="both"/>
        <w:ind w:left="660" w:firstLine="644"/>
        <w:spacing w:after="0" w:line="269" w:lineRule="auto"/>
        <w:tabs>
          <w:tab w:leader="none" w:pos="1885"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Credit Party, nor any Subsidiary, nor, to the knowledge of the Credit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Her Majesty’s Treasury’s Consolidated List of Financial Sanctions Targets and the Investment Ban List, or any similar list enforced by any other relevant sanctions authority to which the Company or its Subsidiaries are subject or</w:t>
      </w:r>
    </w:p>
    <w:p>
      <w:pPr>
        <w:spacing w:after="0" w:line="3" w:lineRule="exact"/>
        <w:rPr>
          <w:rFonts w:ascii="Arial" w:cs="Arial" w:eastAsia="Arial" w:hAnsi="Arial"/>
          <w:sz w:val="18"/>
          <w:szCs w:val="18"/>
          <w:color w:val="auto"/>
        </w:rPr>
      </w:pPr>
    </w:p>
    <w:p>
      <w:pPr>
        <w:ind w:left="1000" w:hanging="344"/>
        <w:spacing w:after="0"/>
        <w:tabs>
          <w:tab w:leader="none" w:pos="10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located, organized or resident in a Designated Jurisdiction.</w:t>
      </w:r>
    </w:p>
    <w:p>
      <w:pPr>
        <w:spacing w:after="0" w:line="199" w:lineRule="exact"/>
        <w:rPr>
          <w:rFonts w:ascii="Arial" w:cs="Arial" w:eastAsia="Arial" w:hAnsi="Arial"/>
          <w:sz w:val="20"/>
          <w:szCs w:val="20"/>
          <w:color w:val="auto"/>
        </w:rPr>
      </w:pPr>
    </w:p>
    <w:p>
      <w:pPr>
        <w:jc w:val="both"/>
        <w:ind w:left="660" w:firstLine="644"/>
        <w:spacing w:after="0" w:line="282" w:lineRule="auto"/>
        <w:tabs>
          <w:tab w:leader="none" w:pos="1794"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Anti-Corruption Laws</w:t>
      </w:r>
      <w:r>
        <w:rPr>
          <w:rFonts w:ascii="Arial" w:cs="Arial" w:eastAsia="Arial" w:hAnsi="Arial"/>
          <w:sz w:val="18"/>
          <w:szCs w:val="18"/>
          <w:color w:val="auto"/>
        </w:rPr>
        <w:t>. The Credit Parties and their Subsidiaries have conducted their business in compliance with the United States Foreign Corrupt Practices Act of 1977, the UK Bribery Act 2010 and other similar anti-corruption legislation in other jurisdictions applicable to the Company and its Subsidiaries, and have instituted and maintained policies and procedures that, in the Company’s reasonable business judgment, are designed to promote and achieve compliance with such laws.</w:t>
      </w:r>
    </w:p>
    <w:p>
      <w:pPr>
        <w:spacing w:after="0" w:line="161" w:lineRule="exact"/>
        <w:rPr>
          <w:rFonts w:ascii="Arial" w:cs="Arial" w:eastAsia="Arial" w:hAnsi="Arial"/>
          <w:sz w:val="18"/>
          <w:szCs w:val="18"/>
          <w:color w:val="auto"/>
        </w:rPr>
      </w:pPr>
    </w:p>
    <w:p>
      <w:pPr>
        <w:ind w:left="1740" w:hanging="436"/>
        <w:spacing w:after="0"/>
        <w:tabs>
          <w:tab w:leader="none" w:pos="1740"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No Affected Financial Institutions</w:t>
      </w:r>
      <w:r>
        <w:rPr>
          <w:rFonts w:ascii="Arial" w:cs="Arial" w:eastAsia="Arial" w:hAnsi="Arial"/>
          <w:sz w:val="20"/>
          <w:szCs w:val="20"/>
          <w:color w:val="auto"/>
        </w:rPr>
        <w:t>. No Credit Party is an Affected Financial Institution.</w:t>
      </w:r>
    </w:p>
    <w:p>
      <w:pPr>
        <w:spacing w:after="0" w:line="215" w:lineRule="exact"/>
        <w:rPr>
          <w:rFonts w:ascii="Arial" w:cs="Arial" w:eastAsia="Arial" w:hAnsi="Arial"/>
          <w:sz w:val="20"/>
          <w:szCs w:val="20"/>
          <w:color w:val="auto"/>
        </w:rPr>
      </w:pPr>
    </w:p>
    <w:p>
      <w:pPr>
        <w:jc w:val="both"/>
        <w:ind w:left="660" w:firstLine="644"/>
        <w:spacing w:after="0" w:line="270" w:lineRule="auto"/>
        <w:tabs>
          <w:tab w:leader="none" w:pos="1858"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No financial statement, material report, material certificate or other material information furnished in writing (taken as a whole) by or on behalf of any of the Credit Parties to the Administrative Agent or any Lender in connection with the transactions contemplated hereby and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pro forma financial information, estimated financial information and other projected or estimated information, the Company represents only that such information was prepared in good faith based upon assumptions believed to be reasonable at the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forecasted statements are being made as to future events and are not to be viewed as facts, are subject to significant uncertainties and contingencies, many of which are beyond the control of any Credit Party, that no assurance can be given that any particular item contained in such forecasted statements will be realized and that the actual results during the period or periods covered by any such business plan and operating and capital budget may differ significantly from the projected results or other forward looking information, and such differences may be material. The information included in each Beneficial Ownership Certification, if applicable, is true and correct in all respects.</w:t>
      </w:r>
    </w:p>
    <w:p>
      <w:pPr>
        <w:spacing w:after="0" w:line="172" w:lineRule="exact"/>
        <w:rPr>
          <w:rFonts w:ascii="Arial" w:cs="Arial" w:eastAsia="Arial" w:hAnsi="Arial"/>
          <w:sz w:val="18"/>
          <w:szCs w:val="18"/>
          <w:color w:val="auto"/>
        </w:rPr>
      </w:pPr>
    </w:p>
    <w:p>
      <w:pPr>
        <w:jc w:val="both"/>
        <w:ind w:left="660" w:firstLine="644"/>
        <w:spacing w:after="0" w:line="243" w:lineRule="auto"/>
        <w:tabs>
          <w:tab w:leader="none" w:pos="1833"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Security Documents</w:t>
      </w:r>
      <w:r>
        <w:rPr>
          <w:rFonts w:ascii="Arial" w:cs="Arial" w:eastAsia="Arial" w:hAnsi="Arial"/>
          <w:sz w:val="20"/>
          <w:szCs w:val="20"/>
          <w:color w:val="auto"/>
        </w:rPr>
        <w:t>. The Security Documents create valid and enforceable security interests in, and Liens on, the Collateral purported to be covered thereby. Except as set forth in the Security Documents, such security interests and Liens are currently (or will be, upon (i) the filing of appropriate financing statements with the Secretary of State of the state of incorporation or organization for each Credit Party in favor of the Administrative Agent, on behalf of the Lenders, and (ii) the Administrative Agent obtaining control or possession over those items of Collateral in which a security interest is perfected through control or possession)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8" w:name="page169"/>
    <w:bookmarkEnd w:id="168"/>
    <w:p>
      <w:pPr>
        <w:ind w:left="660" w:right="20" w:firstLine="6"/>
        <w:spacing w:after="0" w:line="260" w:lineRule="auto"/>
        <w:rPr>
          <w:sz w:val="20"/>
          <w:szCs w:val="20"/>
          <w:color w:val="auto"/>
        </w:rPr>
      </w:pPr>
      <w:r>
        <w:rPr>
          <w:rFonts w:ascii="Arial" w:cs="Arial" w:eastAsia="Arial" w:hAnsi="Arial"/>
          <w:sz w:val="20"/>
          <w:szCs w:val="20"/>
          <w:color w:val="auto"/>
        </w:rPr>
        <w:t>security interests and Liens in favor of the Administrative Agent, for the benefit of the Lenders, prior to all other Liens other than Permitted Liens.</w:t>
      </w:r>
    </w:p>
    <w:p>
      <w:pPr>
        <w:spacing w:after="0" w:line="177" w:lineRule="exact"/>
        <w:rPr>
          <w:sz w:val="20"/>
          <w:szCs w:val="20"/>
          <w:color w:val="auto"/>
        </w:rPr>
      </w:pPr>
    </w:p>
    <w:p>
      <w:pPr>
        <w:ind w:left="1800" w:hanging="496"/>
        <w:spacing w:after="0"/>
        <w:tabs>
          <w:tab w:leader="none" w:pos="180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Representations as to Foreign Subsidiaries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7" w:lineRule="auto"/>
        <w:tabs>
          <w:tab w:leader="none" w:pos="2368" w:val="left"/>
        </w:tabs>
        <w:numPr>
          <w:ilvl w:val="1"/>
          <w:numId w:val="169"/>
        </w:numPr>
        <w:rPr>
          <w:rFonts w:ascii="Arial" w:cs="Arial" w:eastAsia="Arial" w:hAnsi="Arial"/>
          <w:sz w:val="19"/>
          <w:szCs w:val="19"/>
          <w:color w:val="auto"/>
        </w:rPr>
      </w:pPr>
      <w:r>
        <w:rPr>
          <w:rFonts w:ascii="Arial" w:cs="Arial" w:eastAsia="Arial" w:hAnsi="Arial"/>
          <w:sz w:val="19"/>
          <w:szCs w:val="19"/>
          <w:color w:val="auto"/>
        </w:rPr>
        <w:t>Such Foreign Obligor is subject to civil and commercial Applicable Laws with respect to its obligations under this Agreement and the other Loan Documents to which it is a party (collectively as to such Foreign Obligor, the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Foreign Obligor Documents</w:t>
      </w:r>
      <w:r>
        <w:rPr>
          <w:rFonts w:ascii="Arial" w:cs="Arial" w:eastAsia="Arial" w:hAnsi="Arial"/>
          <w:sz w:val="19"/>
          <w:szCs w:val="19"/>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0" w:lineRule="exact"/>
        <w:rPr>
          <w:rFonts w:ascii="Arial" w:cs="Arial" w:eastAsia="Arial" w:hAnsi="Arial"/>
          <w:sz w:val="19"/>
          <w:szCs w:val="19"/>
          <w:color w:val="auto"/>
        </w:rPr>
      </w:pPr>
    </w:p>
    <w:p>
      <w:pPr>
        <w:jc w:val="both"/>
        <w:ind w:left="1300" w:firstLine="652"/>
        <w:spacing w:after="0" w:line="268" w:lineRule="auto"/>
        <w:tabs>
          <w:tab w:leader="none" w:pos="253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Applicable Laws of the jurisdiction in which such Foreign Obligor is organized and existing for the enforcement thereof against such Foreign Obligor under the Applicable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w:t>
      </w:r>
    </w:p>
    <w:p>
      <w:pPr>
        <w:spacing w:after="0" w:line="2" w:lineRule="exact"/>
        <w:rPr>
          <w:rFonts w:ascii="Arial" w:cs="Arial" w:eastAsia="Arial" w:hAnsi="Arial"/>
          <w:sz w:val="18"/>
          <w:szCs w:val="18"/>
          <w:color w:val="auto"/>
        </w:rPr>
      </w:pPr>
    </w:p>
    <w:p>
      <w:pPr>
        <w:jc w:val="both"/>
        <w:ind w:left="1300" w:firstLine="4"/>
        <w:spacing w:after="0" w:line="241" w:lineRule="auto"/>
        <w:tabs>
          <w:tab w:leader="none" w:pos="154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5" w:lineRule="exact"/>
        <w:rPr>
          <w:rFonts w:ascii="Arial" w:cs="Arial" w:eastAsia="Arial" w:hAnsi="Arial"/>
          <w:sz w:val="20"/>
          <w:szCs w:val="20"/>
          <w:color w:val="auto"/>
        </w:rPr>
      </w:pPr>
    </w:p>
    <w:p>
      <w:pPr>
        <w:jc w:val="both"/>
        <w:ind w:left="1300" w:firstLine="652"/>
        <w:spacing w:after="0" w:line="244" w:lineRule="auto"/>
        <w:tabs>
          <w:tab w:leader="none" w:pos="2593" w:val="left"/>
        </w:tabs>
        <w:numPr>
          <w:ilvl w:val="1"/>
          <w:numId w:val="170"/>
        </w:numPr>
        <w:rPr>
          <w:rFonts w:ascii="Arial" w:cs="Arial" w:eastAsia="Arial" w:hAnsi="Arial"/>
          <w:sz w:val="20"/>
          <w:szCs w:val="20"/>
          <w:color w:val="auto"/>
        </w:rPr>
      </w:pPr>
      <w:r>
        <w:rPr>
          <w:rFonts w:ascii="Arial" w:cs="Arial" w:eastAsia="Arial" w:hAnsi="Arial"/>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94" w:lineRule="exact"/>
        <w:rPr>
          <w:rFonts w:ascii="Arial" w:cs="Arial" w:eastAsia="Arial" w:hAnsi="Arial"/>
          <w:sz w:val="20"/>
          <w:szCs w:val="20"/>
          <w:color w:val="auto"/>
        </w:rPr>
      </w:pPr>
    </w:p>
    <w:p>
      <w:pPr>
        <w:jc w:val="both"/>
        <w:ind w:left="1300" w:firstLine="652"/>
        <w:spacing w:after="0" w:line="272" w:lineRule="auto"/>
        <w:tabs>
          <w:tab w:leader="none" w:pos="253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(x) such as have been made or obtained or</w:t>
      </w:r>
    </w:p>
    <w:p>
      <w:pPr>
        <w:ind w:left="1600" w:hanging="296"/>
        <w:spacing w:after="0"/>
        <w:tabs>
          <w:tab w:leader="none" w:pos="1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as cannot be made or obtained until a later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notification or authorization described in clause</w:t>
      </w:r>
    </w:p>
    <w:p>
      <w:pPr>
        <w:spacing w:after="0" w:line="22" w:lineRule="exact"/>
        <w:rPr>
          <w:rFonts w:ascii="Arial" w:cs="Arial" w:eastAsia="Arial" w:hAnsi="Arial"/>
          <w:sz w:val="18"/>
          <w:szCs w:val="18"/>
          <w:color w:val="auto"/>
        </w:rPr>
      </w:pPr>
    </w:p>
    <w:p>
      <w:pPr>
        <w:ind w:left="1580" w:hanging="276"/>
        <w:spacing w:after="0"/>
        <w:tabs>
          <w:tab w:leader="none" w:pos="158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shall be made or obtained as soon as is reasonably practicable).</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6.2 </w:t>
      </w:r>
      <w:r>
        <w:rPr>
          <w:rFonts w:ascii="Arial" w:cs="Arial" w:eastAsia="Arial" w:hAnsi="Arial"/>
          <w:sz w:val="20"/>
          <w:szCs w:val="20"/>
          <w:b w:val="1"/>
          <w:bCs w:val="1"/>
          <w:u w:val="single" w:color="auto"/>
          <w:color w:val="auto"/>
        </w:rPr>
        <w:t>Survival of Representations and Warranties, Etc</w:t>
      </w:r>
      <w:r>
        <w:rPr>
          <w:rFonts w:ascii="Arial" w:cs="Arial" w:eastAsia="Arial" w:hAnsi="Arial"/>
          <w:sz w:val="20"/>
          <w:szCs w:val="20"/>
          <w:color w:val="auto"/>
        </w:rPr>
        <w:t>. All representations and warranties made hereunder and in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 or other document delivered pursuant hereto or thereto or in connection herewith or therewith shall survive the execution and delivery hereof and thereof. Such representations and warranties have been or will be relied upon by the Administrative Agent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69" w:name="page170"/>
    <w:bookmarkEnd w:id="169"/>
    <w:p>
      <w:pPr>
        <w:jc w:val="both"/>
        <w:ind w:firstLine="6"/>
        <w:spacing w:after="0" w:line="246" w:lineRule="auto"/>
        <w:rPr>
          <w:sz w:val="20"/>
          <w:szCs w:val="20"/>
          <w:color w:val="auto"/>
        </w:rPr>
      </w:pPr>
      <w:r>
        <w:rPr>
          <w:rFonts w:ascii="Arial" w:cs="Arial" w:eastAsia="Arial" w:hAnsi="Arial"/>
          <w:sz w:val="20"/>
          <w:szCs w:val="20"/>
          <w:color w:val="auto"/>
        </w:rPr>
        <w:t>Lender, regardless of any investigation made by the Administrative Agent or any Lender or on their behalf and notwithstanding that the Administrative Agent or any Lender may have had notice or knowledge of any Default at the time of any Extension of Credit, and shall continue in full force and effect as long as any Loan or any other Obligation hereunder shall remain unpaid or unsatisfied or any Letter of Credit shall remain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 AND NOTICES</w:t>
      </w:r>
    </w:p>
    <w:p>
      <w:pPr>
        <w:spacing w:after="0" w:line="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Until all of the Obligations (other than contingent indemnification obligations not yet due and Bank Product Debt) have been paid in full (or, in the case of Letters of Credit, cash collateralized) and the Commitments terminated, unless consent has been obtained in the manner set forth in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the Company will furnish or cause to be furnished to the Administrative Agent at the Administrative Agent’s Office at the address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to the Lenders at their respective addresses as set forth on the Register, or such other office as may be designated by the Administrative Agent and Lenders from time to time:</w:t>
      </w:r>
    </w:p>
    <w:p>
      <w:pPr>
        <w:spacing w:after="0" w:line="17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6"/>
          <w:szCs w:val="16"/>
          <w:b w:val="1"/>
          <w:bCs w:val="1"/>
          <w:u w:val="single" w:color="auto"/>
          <w:color w:val="auto"/>
        </w:rPr>
        <w:t>Financial Statements and Projections.</w:t>
      </w:r>
    </w:p>
    <w:p>
      <w:pPr>
        <w:spacing w:after="0" w:line="222" w:lineRule="exact"/>
        <w:rPr>
          <w:sz w:val="20"/>
          <w:szCs w:val="20"/>
          <w:color w:val="auto"/>
        </w:rPr>
      </w:pPr>
    </w:p>
    <w:p>
      <w:pPr>
        <w:jc w:val="both"/>
        <w:ind w:left="660" w:firstLine="644"/>
        <w:spacing w:after="0" w:line="254" w:lineRule="auto"/>
        <w:tabs>
          <w:tab w:leader="none" w:pos="1725"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xml:space="preserve">. As soon as practicable and in any event within forty-five (45) days (or, if earlier, on the date of any required public filing thereof) after the end of each of the first three fiscal quarters of each Fiscal Year, an unaudited Consolidated balance sheet of the Company and its Subsidiaries as of the close of such fiscal quarter and unaudited Consolidated statements of income, retained earnings and cash flows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Company in accordance with GAAP (to the extent GAAP is applicable to interim unaudited reports) and, if applicable, containing disclosure of the effect on the financial position or results of operations of any change in the application of accounting principles and practices during the period, and certified by a Responsible Officer of the Company to present fairly in all material respects the financial condition of the Company and its Subsidiaries on a Consolidated basis as of their respective dates and the results of operations of the Company and its Subsidiaries for the respective periods then ended, subject to normal year-end adjustments. Delivery by the Company to the Administrative Agent and the Lenders of the Company’s quarterly report to the SEC on Form 10-Q with respect to any fiscal quarter, or the availability of such report on EDGAR Online, within the period specified above shall be deemed to be compliance by the Company with this </w:t>
      </w:r>
      <w:r>
        <w:rPr>
          <w:rFonts w:ascii="Arial" w:cs="Arial" w:eastAsia="Arial" w:hAnsi="Arial"/>
          <w:sz w:val="19"/>
          <w:szCs w:val="19"/>
          <w:u w:val="single" w:color="auto"/>
          <w:color w:val="auto"/>
        </w:rPr>
        <w:t>Section 7.1(a)</w:t>
      </w:r>
      <w:r>
        <w:rPr>
          <w:rFonts w:ascii="Arial" w:cs="Arial" w:eastAsia="Arial" w:hAnsi="Arial"/>
          <w:sz w:val="19"/>
          <w:szCs w:val="19"/>
          <w:color w:val="auto"/>
        </w:rPr>
        <w:t>.</w:t>
      </w:r>
    </w:p>
    <w:p>
      <w:pPr>
        <w:spacing w:after="0" w:line="191" w:lineRule="exact"/>
        <w:rPr>
          <w:rFonts w:ascii="Arial" w:cs="Arial" w:eastAsia="Arial" w:hAnsi="Arial"/>
          <w:sz w:val="19"/>
          <w:szCs w:val="19"/>
          <w:color w:val="auto"/>
        </w:rPr>
      </w:pPr>
    </w:p>
    <w:p>
      <w:pPr>
        <w:jc w:val="both"/>
        <w:ind w:left="660" w:firstLine="644"/>
        <w:spacing w:after="0" w:line="310" w:lineRule="auto"/>
        <w:tabs>
          <w:tab w:leader="none" w:pos="175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As soon as practicable and in any event within ninety (90) days (or, if earlier, on the date of any required public filing thereof) after the end of each Fiscal Year, an audited Consolidated balance sheet of the Company and its Subsidiaries as of the close of such Fiscal Year and audited Consolidated statements of income, retained earnings and cash flows for the Fiscal Year then ended,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national standing or otherwise acceptable to the Administrative Agent (it being agreed that PRICEWATERHOUSECOOPERS LLP is acceptable), and accompanied by a report thereon by such certified public accountants that is not qualified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0" w:name="page171"/>
    <w:bookmarkEnd w:id="170"/>
    <w:p>
      <w:pPr>
        <w:jc w:val="both"/>
        <w:ind w:left="660" w:firstLine="6"/>
        <w:spacing w:after="0" w:line="282" w:lineRule="auto"/>
        <w:rPr>
          <w:sz w:val="20"/>
          <w:szCs w:val="20"/>
          <w:color w:val="auto"/>
        </w:rPr>
      </w:pPr>
      <w:r>
        <w:rPr>
          <w:rFonts w:ascii="Arial" w:cs="Arial" w:eastAsia="Arial" w:hAnsi="Arial"/>
          <w:sz w:val="18"/>
          <w:szCs w:val="18"/>
          <w:color w:val="auto"/>
        </w:rPr>
        <w:t xml:space="preserve">respect to scope limitations imposed by the Company or any of its Subsidiaries or with respect to accounting principles followed by the Company or any of its Subsidiaries not in accordance with GAAP. Delivery by the Company to the Administrative Agent and the Lenders of the Company’s annual report to the SEC on Form 10-K with respect to any Fiscal Year, or the availability of such report on EDGAR Online, within the period specified above shall be deemed to be compliance by the Company with this </w:t>
      </w:r>
      <w:r>
        <w:rPr>
          <w:rFonts w:ascii="Arial" w:cs="Arial" w:eastAsia="Arial" w:hAnsi="Arial"/>
          <w:sz w:val="18"/>
          <w:szCs w:val="18"/>
          <w:u w:val="single" w:color="auto"/>
          <w:color w:val="auto"/>
        </w:rPr>
        <w:t>Section 7.1(b)</w:t>
      </w:r>
      <w:r>
        <w:rPr>
          <w:rFonts w:ascii="Arial" w:cs="Arial" w:eastAsia="Arial" w:hAnsi="Arial"/>
          <w:sz w:val="18"/>
          <w:szCs w:val="18"/>
          <w:color w:val="auto"/>
        </w:rPr>
        <w:t>.</w:t>
      </w:r>
    </w:p>
    <w:p>
      <w:pPr>
        <w:spacing w:after="0" w:line="161" w:lineRule="exact"/>
        <w:rPr>
          <w:sz w:val="20"/>
          <w:szCs w:val="20"/>
          <w:color w:val="auto"/>
        </w:rPr>
      </w:pPr>
    </w:p>
    <w:p>
      <w:pPr>
        <w:jc w:val="both"/>
        <w:ind w:left="660" w:firstLine="644"/>
        <w:spacing w:after="0" w:line="269" w:lineRule="auto"/>
        <w:tabs>
          <w:tab w:leader="none" w:pos="182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Annual Budget</w:t>
      </w:r>
      <w:r>
        <w:rPr>
          <w:rFonts w:ascii="Arial" w:cs="Arial" w:eastAsia="Arial" w:hAnsi="Arial"/>
          <w:sz w:val="19"/>
          <w:szCs w:val="19"/>
          <w:color w:val="auto"/>
        </w:rPr>
        <w:t>. As soon as practicable and in any event within ninety (90) days after the end of each Fiscal Year commencing with Fiscal Year 2020, an annual operating and capital budget of the Company and its Restricted Subsidiaries, in a form and with calculations to be made in a manner reasonably satisfactory to the Administrative Agent.</w:t>
      </w:r>
    </w:p>
    <w:p>
      <w:pPr>
        <w:spacing w:after="0" w:line="169" w:lineRule="exact"/>
        <w:rPr>
          <w:rFonts w:ascii="Arial" w:cs="Arial" w:eastAsia="Arial" w:hAnsi="Arial"/>
          <w:sz w:val="19"/>
          <w:szCs w:val="19"/>
          <w:color w:val="auto"/>
        </w:rPr>
      </w:pPr>
    </w:p>
    <w:p>
      <w:pPr>
        <w:jc w:val="both"/>
        <w:ind w:left="660" w:firstLine="644"/>
        <w:spacing w:after="0" w:line="243" w:lineRule="auto"/>
        <w:tabs>
          <w:tab w:leader="none" w:pos="179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Unrestricted Subsidiaries</w:t>
      </w:r>
      <w:r>
        <w:rPr>
          <w:rFonts w:ascii="Arial" w:cs="Arial" w:eastAsia="Arial" w:hAnsi="Arial"/>
          <w:sz w:val="20"/>
          <w:szCs w:val="20"/>
          <w:color w:val="auto"/>
        </w:rPr>
        <w:t xml:space="preserve">. For any period in which there exist any Unrestricted Subsidiaries, unaudited consolidating financial statements reflecting adjustments necessary to eliminate the assets, accounts and operations of such Unrestricted Subsidiaries from such financial statements delivered pursuant to </w:t>
      </w:r>
      <w:r>
        <w:rPr>
          <w:rFonts w:ascii="Arial" w:cs="Arial" w:eastAsia="Arial" w:hAnsi="Arial"/>
          <w:sz w:val="20"/>
          <w:szCs w:val="20"/>
          <w:u w:val="single" w:color="auto"/>
          <w:color w:val="auto"/>
        </w:rPr>
        <w:t>Sections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all in reasonable detail and certified by the chief financial officer or treasurer of the Company as fairly presenting in all material respects the financial condition and results of operations of the Company and its Restricted Subsidiaries in accordance with GAAP, subject only to normal year-end audit adjustments and the absence of footnotes.</w:t>
      </w:r>
    </w:p>
    <w:p>
      <w:pPr>
        <w:spacing w:after="0" w:line="19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SECTION 7.2 </w:t>
      </w:r>
      <w:r>
        <w:rPr>
          <w:rFonts w:ascii="Arial" w:cs="Arial" w:eastAsia="Arial" w:hAnsi="Arial"/>
          <w:sz w:val="20"/>
          <w:szCs w:val="20"/>
          <w:b w:val="1"/>
          <w:bCs w:val="1"/>
          <w:u w:val="single" w:color="auto"/>
          <w:color w:val="auto"/>
        </w:rPr>
        <w:t>Officer’s Compliance Certificate</w:t>
      </w:r>
      <w:r>
        <w:rPr>
          <w:rFonts w:ascii="Arial" w:cs="Arial" w:eastAsia="Arial" w:hAnsi="Arial"/>
          <w:sz w:val="20"/>
          <w:szCs w:val="20"/>
          <w:color w:val="auto"/>
        </w:rPr>
        <w:t>. At each time financial statements are delivered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7.1(a)</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an Officer’s Compliance Certificate.</w:t>
      </w:r>
    </w:p>
    <w:p>
      <w:pPr>
        <w:spacing w:after="0" w:line="1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Borrower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acknowledges that (A) the Administrative Agent and/or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may, but shall not be obligated to, make available to the Lenders and the Issuing Lenders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upon the request of the Administrative Agent, it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Borrowers shall be deemed to have authorized the Administrative Agent, any Affiliate thereof, the Arranger, the Issuing Lenders and the Lenders to treat such Borrower Materials as not containing any material non-public information (although it may be sensitive and proprietary) with respect to the Borrowers or their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13.10</w:t>
      </w:r>
      <w:r>
        <w:rPr>
          <w:rFonts w:ascii="Arial" w:cs="Arial" w:eastAsia="Arial" w:hAnsi="Arial"/>
          <w:sz w:val="18"/>
          <w:szCs w:val="18"/>
          <w:color w:val="auto"/>
        </w:rPr>
        <w:t>); (3) all Borrower Materials marked “PUBLIC” are permitted to be made available through a portion of the Platform designated “Public Side Information;” and (4)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7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7.4</w:t>
      </w:r>
      <w:r>
        <w:rPr>
          <w:sz w:val="20"/>
          <w:szCs w:val="20"/>
          <w:color w:val="auto"/>
        </w:rPr>
        <w:tab/>
      </w:r>
      <w:r>
        <w:rPr>
          <w:rFonts w:ascii="Arial" w:cs="Arial" w:eastAsia="Arial" w:hAnsi="Arial"/>
          <w:sz w:val="18"/>
          <w:szCs w:val="18"/>
          <w:b w:val="1"/>
          <w:bCs w:val="1"/>
          <w:u w:val="single" w:color="auto"/>
          <w:color w:val="auto"/>
        </w:rPr>
        <w:t>Other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1" w:name="page172"/>
    <w:bookmarkEnd w:id="171"/>
    <w:p>
      <w:pPr>
        <w:jc w:val="both"/>
        <w:ind w:left="660" w:firstLine="644"/>
        <w:spacing w:after="0" w:line="250" w:lineRule="auto"/>
        <w:tabs>
          <w:tab w:leader="none" w:pos="173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Promptly upon receipt thereof, copies of material reports, if any, submitted to the Company or its Board of Directors by its independent public accountants in connection with the condition of the Company’s financial controls, including, without limitation, any management report and any management responses thereto;</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801"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81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to the extent any Credit Party qualifies as a “legal entity customer” under the Beneficial Ownership Regulation, an updated Beneficial Ownership Certification promptly following any change in the information provided in the Beneficial Ownership Certification delivered to any Lender in relation to such Credit Party that would result in a change to the list of beneficial owners identified in such certification; and</w:t>
      </w:r>
    </w:p>
    <w:p>
      <w:pPr>
        <w:spacing w:after="0" w:line="191" w:lineRule="exact"/>
        <w:rPr>
          <w:rFonts w:ascii="Arial" w:cs="Arial" w:eastAsia="Arial" w:hAnsi="Arial"/>
          <w:sz w:val="20"/>
          <w:szCs w:val="20"/>
          <w:color w:val="auto"/>
        </w:rPr>
      </w:pPr>
    </w:p>
    <w:p>
      <w:pPr>
        <w:ind w:left="660" w:right="20" w:firstLine="644"/>
        <w:spacing w:after="0" w:line="260" w:lineRule="auto"/>
        <w:tabs>
          <w:tab w:leader="none" w:pos="177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such other information regarding the operations, business affairs and financial condition of the Company or any of its Restricted Subsidiaries as the Administrative Agent or any Lender may reasonably request.</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SECTION 7.5 </w:t>
      </w:r>
      <w:r>
        <w:rPr>
          <w:rFonts w:ascii="Arial" w:cs="Arial" w:eastAsia="Arial" w:hAnsi="Arial"/>
          <w:sz w:val="20"/>
          <w:szCs w:val="20"/>
          <w:b w:val="1"/>
          <w:bCs w:val="1"/>
          <w:u w:val="single" w:color="auto"/>
          <w:color w:val="auto"/>
        </w:rPr>
        <w:t>Notice of Litigation and Other Matters</w:t>
      </w:r>
      <w:r>
        <w:rPr>
          <w:rFonts w:ascii="Arial" w:cs="Arial" w:eastAsia="Arial" w:hAnsi="Arial"/>
          <w:sz w:val="20"/>
          <w:szCs w:val="20"/>
          <w:color w:val="auto"/>
        </w:rPr>
        <w:t>. Promptly (but in no event later than ten (10) days after a Senior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obtains knowledge thereof) telephonic and written notice of:</w:t>
      </w:r>
    </w:p>
    <w:p>
      <w:pPr>
        <w:spacing w:after="0" w:line="169" w:lineRule="exact"/>
        <w:rPr>
          <w:sz w:val="20"/>
          <w:szCs w:val="20"/>
          <w:color w:val="auto"/>
        </w:rPr>
      </w:pPr>
    </w:p>
    <w:p>
      <w:pPr>
        <w:ind w:left="1720" w:hanging="416"/>
        <w:spacing w:after="0"/>
        <w:tabs>
          <w:tab w:leader="none" w:pos="17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event that could reasonably be expected to have a Material Adverse Effect;</w:t>
      </w:r>
    </w:p>
    <w:p>
      <w:pPr>
        <w:spacing w:after="0" w:line="215" w:lineRule="exact"/>
        <w:rPr>
          <w:rFonts w:ascii="Arial" w:cs="Arial" w:eastAsia="Arial" w:hAnsi="Arial"/>
          <w:sz w:val="20"/>
          <w:szCs w:val="20"/>
          <w:color w:val="auto"/>
        </w:rPr>
      </w:pPr>
    </w:p>
    <w:p>
      <w:pPr>
        <w:ind w:left="660" w:firstLine="644"/>
        <w:spacing w:after="0" w:line="260" w:lineRule="auto"/>
        <w:tabs>
          <w:tab w:leader="none" w:pos="1923"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notice of any material violation received by the Company or any Restricted Subsidiary thereof from any Governmental Authority including, without limitation, any notice of material violation of Environmental Laws;</w:t>
      </w:r>
    </w:p>
    <w:p>
      <w:pPr>
        <w:spacing w:after="0" w:line="176" w:lineRule="exact"/>
        <w:rPr>
          <w:rFonts w:ascii="Arial" w:cs="Arial" w:eastAsia="Arial" w:hAnsi="Arial"/>
          <w:sz w:val="20"/>
          <w:szCs w:val="20"/>
          <w:color w:val="auto"/>
        </w:rPr>
      </w:pPr>
    </w:p>
    <w:p>
      <w:pPr>
        <w:ind w:left="660" w:firstLine="644"/>
        <w:spacing w:after="0" w:line="260" w:lineRule="auto"/>
        <w:tabs>
          <w:tab w:leader="none" w:pos="173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attachment, judgment, lien, levy or order exceeding $15,000,000 that may be assessed against or threatened against the Company or any Restricted Subsidiary thereof; and</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Default or Event of Default.</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7.6 </w:t>
      </w:r>
      <w:r>
        <w:rPr>
          <w:rFonts w:ascii="Arial" w:cs="Arial" w:eastAsia="Arial" w:hAnsi="Arial"/>
          <w:sz w:val="20"/>
          <w:szCs w:val="20"/>
          <w:b w:val="1"/>
          <w:bCs w:val="1"/>
          <w:u w:val="single" w:color="auto"/>
          <w:color w:val="auto"/>
        </w:rPr>
        <w:t>Accuracy of Information</w:t>
      </w:r>
      <w:r>
        <w:rPr>
          <w:rFonts w:ascii="Arial" w:cs="Arial" w:eastAsia="Arial" w:hAnsi="Arial"/>
          <w:sz w:val="20"/>
          <w:szCs w:val="20"/>
          <w:color w:val="auto"/>
        </w:rPr>
        <w:t>. All written information, reports, statements and other papers and data furnished by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on behalf of the Company to the Administrative Agent or any Lender whether pursuant to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or any other provision of this Agreement or any of the Loan Documents, shall, at the time the same is so furnished, comply with the representations and warranties set forth in </w:t>
      </w:r>
      <w:r>
        <w:rPr>
          <w:rFonts w:ascii="Arial" w:cs="Arial" w:eastAsia="Arial" w:hAnsi="Arial"/>
          <w:sz w:val="20"/>
          <w:szCs w:val="20"/>
          <w:u w:val="single" w:color="auto"/>
          <w:color w:val="auto"/>
        </w:rPr>
        <w:t>Sections 6.1(y)</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Until all of the Obligations (other than contingent indemnification obligations not yet due and Bank Product Debt) have been paid in full (or, in the case of Letters of Credit, cash collateralized) and the Commitments terminated, unless consent has been obtained in the manner provided for in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the Borrowers will, and will cause each of their Restricted Subsidiaries (and each of their Subsidiaries in the case of </w:t>
      </w:r>
      <w:r>
        <w:rPr>
          <w:rFonts w:ascii="Arial" w:cs="Arial" w:eastAsia="Arial" w:hAnsi="Arial"/>
          <w:sz w:val="20"/>
          <w:szCs w:val="20"/>
          <w:u w:val="single" w:color="auto"/>
          <w:color w:val="auto"/>
        </w:rPr>
        <w:t>Section 8.15</w:t>
      </w:r>
      <w:r>
        <w:rPr>
          <w:rFonts w:ascii="Arial" w:cs="Arial" w:eastAsia="Arial" w:hAnsi="Arial"/>
          <w:sz w:val="20"/>
          <w:szCs w:val="20"/>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2" w:name="page173"/>
    <w:bookmarkEnd w:id="172"/>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Preservation of Existence and Related Matters</w:t>
      </w:r>
      <w:r>
        <w:rPr>
          <w:rFonts w:ascii="Arial" w:cs="Arial" w:eastAsia="Arial" w:hAnsi="Arial"/>
          <w:sz w:val="18"/>
          <w:szCs w:val="18"/>
          <w:color w:val="auto"/>
        </w:rPr>
        <w:t>. Except as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w:t>
      </w:r>
      <w:r>
        <w:rPr>
          <w:rFonts w:ascii="Arial" w:cs="Arial" w:eastAsia="Arial" w:hAnsi="Arial"/>
          <w:sz w:val="18"/>
          <w:szCs w:val="18"/>
          <w:color w:val="auto"/>
        </w:rPr>
        <w:t>, (a) preserve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its separate corporate, limited liability company, partnership or other entity existence and all rights, franchises, licenses and privileges necessary to the conduct of its business, and (b) except where the failure to qualify or remain qualified as a foreign corporation would not reasonably be expected to have a Material Adverse Effect, qualify and remain qualified as a foreign corporation and authorized to do business in each jurisdiction where the nature and scope of its activities require it to so qualify under Applicable Law.</w:t>
      </w:r>
    </w:p>
    <w:p>
      <w:pPr>
        <w:spacing w:after="0" w:line="15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Maintenance of Property</w:t>
      </w:r>
      <w:r>
        <w:rPr>
          <w:rFonts w:ascii="Arial" w:cs="Arial" w:eastAsia="Arial" w:hAnsi="Arial"/>
          <w:sz w:val="18"/>
          <w:szCs w:val="18"/>
          <w:color w:val="auto"/>
        </w:rPr>
        <w:t>. Protect and preserve all material properties necessary to its business; maintain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order and condition, ordinary wear and tear excepted, all material properties (real and personal) necessary to its business; and from time to time make or cause to be made all repairs, renewals and replacements thereof and additions to such material property necessary for the conduct of its business, so that the business carried on in connection therewith may be conducted in a commercially reasonable manner, except, in each case, where the failure to do so could not reasonably be expected to have a Material Adverse Effect.</w:t>
      </w:r>
    </w:p>
    <w:p>
      <w:pPr>
        <w:spacing w:after="0" w:line="15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 xml:space="preserve">SECTION 8.3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Maintain insurance with financially sound and reputable insurance companies against at least such risks</w:t>
      </w:r>
      <w:r>
        <w:rPr>
          <w:rFonts w:ascii="Arial" w:cs="Arial" w:eastAsia="Arial" w:hAnsi="Arial"/>
          <w:sz w:val="19"/>
          <w:szCs w:val="19"/>
          <w:b w:val="1"/>
          <w:bCs w:val="1"/>
          <w:color w:val="auto"/>
        </w:rPr>
        <w:t xml:space="preserve"> </w:t>
      </w:r>
      <w:r>
        <w:rPr>
          <w:rFonts w:ascii="Arial" w:cs="Arial" w:eastAsia="Arial" w:hAnsi="Arial"/>
          <w:sz w:val="19"/>
          <w:szCs w:val="19"/>
          <w:color w:val="auto"/>
        </w:rPr>
        <w:t>and in at least such amounts as are customarily maintained by similar businesses and as may be required by Applicable Law.</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8.4 </w:t>
      </w:r>
      <w:r>
        <w:rPr>
          <w:rFonts w:ascii="Arial" w:cs="Arial" w:eastAsia="Arial" w:hAnsi="Arial"/>
          <w:sz w:val="20"/>
          <w:szCs w:val="20"/>
          <w:b w:val="1"/>
          <w:bCs w:val="1"/>
          <w:u w:val="single" w:color="auto"/>
          <w:color w:val="auto"/>
        </w:rPr>
        <w:t>Accounting Methods and Financial Records</w:t>
      </w:r>
      <w:r>
        <w:rPr>
          <w:rFonts w:ascii="Arial" w:cs="Arial" w:eastAsia="Arial" w:hAnsi="Arial"/>
          <w:sz w:val="20"/>
          <w:szCs w:val="20"/>
          <w:color w:val="auto"/>
        </w:rPr>
        <w:t>. Maintain a system of accounting, and keep such books, records and</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SECTION 8.5 </w:t>
      </w:r>
      <w:r>
        <w:rPr>
          <w:rFonts w:ascii="Arial" w:cs="Arial" w:eastAsia="Arial" w:hAnsi="Arial"/>
          <w:sz w:val="19"/>
          <w:szCs w:val="19"/>
          <w:b w:val="1"/>
          <w:bCs w:val="1"/>
          <w:u w:val="single" w:color="auto"/>
          <w:color w:val="auto"/>
        </w:rPr>
        <w:t>Payment and Performance of Obligations</w:t>
      </w:r>
      <w:r>
        <w:rPr>
          <w:rFonts w:ascii="Arial" w:cs="Arial" w:eastAsia="Arial" w:hAnsi="Arial"/>
          <w:sz w:val="19"/>
          <w:szCs w:val="19"/>
          <w:color w:val="auto"/>
        </w:rPr>
        <w:t>. Pay and perform all Obligations under this Agreement and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Loan Documents, and pay or perform (a) all material Taxes, assessments and other governmental charges that may be levied or assessed upon it or any of its property, and (b) all other material obligations and liabilities in accordance with customary trade practices;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or such Restricted Subsidiary may contest any item described in clauses (a) or (b) of this Section in good faith so long as adequate reserves are maintained with respect thereto in accordance with GAAP.</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8.6 </w:t>
      </w:r>
      <w:r>
        <w:rPr>
          <w:rFonts w:ascii="Arial" w:cs="Arial" w:eastAsia="Arial" w:hAnsi="Arial"/>
          <w:sz w:val="20"/>
          <w:szCs w:val="20"/>
          <w:b w:val="1"/>
          <w:bCs w:val="1"/>
          <w:u w:val="single" w:color="auto"/>
          <w:color w:val="auto"/>
        </w:rPr>
        <w:t>Compliance With Laws and Approvals</w:t>
      </w:r>
      <w:r>
        <w:rPr>
          <w:rFonts w:ascii="Arial" w:cs="Arial" w:eastAsia="Arial" w:hAnsi="Arial"/>
          <w:sz w:val="20"/>
          <w:szCs w:val="20"/>
          <w:color w:val="auto"/>
        </w:rPr>
        <w:t>. Observe and remain in compliance with all Applicable Laws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in full force and effect all Governmental Approvals, in each case applicable to the conduct of its business except where the failure to do so would not reasonably be expected to have a Material Adverse Effect.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SECTION 8.7 </w:t>
      </w:r>
      <w:r>
        <w:rPr>
          <w:rFonts w:ascii="Arial" w:cs="Arial" w:eastAsia="Arial" w:hAnsi="Arial"/>
          <w:sz w:val="19"/>
          <w:szCs w:val="19"/>
          <w:b w:val="1"/>
          <w:bCs w:val="1"/>
          <w:u w:val="single" w:color="auto"/>
          <w:color w:val="auto"/>
        </w:rPr>
        <w:t>Environmental Laws</w:t>
      </w:r>
      <w:r>
        <w:rPr>
          <w:rFonts w:ascii="Arial" w:cs="Arial" w:eastAsia="Arial" w:hAnsi="Arial"/>
          <w:sz w:val="19"/>
          <w:szCs w:val="19"/>
          <w:color w:val="auto"/>
        </w:rPr>
        <w:t>. In addition to and without limiting the generality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8.6</w:t>
      </w:r>
      <w:r>
        <w:rPr>
          <w:rFonts w:ascii="Arial" w:cs="Arial" w:eastAsia="Arial" w:hAnsi="Arial"/>
          <w:sz w:val="19"/>
          <w:szCs w:val="19"/>
          <w:color w:val="auto"/>
        </w:rPr>
        <w:t>, except, in the case of</w:t>
      </w:r>
      <w:r>
        <w:rPr>
          <w:rFonts w:ascii="Arial" w:cs="Arial" w:eastAsia="Arial" w:hAnsi="Arial"/>
          <w:sz w:val="19"/>
          <w:szCs w:val="19"/>
          <w:b w:val="1"/>
          <w:bCs w:val="1"/>
          <w:color w:val="auto"/>
        </w:rPr>
        <w:t xml:space="preserve"> </w:t>
      </w:r>
      <w:r>
        <w:rPr>
          <w:rFonts w:ascii="Arial" w:cs="Arial" w:eastAsia="Arial" w:hAnsi="Arial"/>
          <w:sz w:val="19"/>
          <w:szCs w:val="19"/>
          <w:color w:val="auto"/>
        </w:rPr>
        <w:t>clauses (a) and (b) below, as would not reasonably be expected to have a Material Adverse Effect, (a) comply with, and ensure such compliance by all tenants and subtenants with all applicable Environmental Laws and obtain and comply with and maintain, and ensure that all tenants and subtenants, if any, obtain and comply with and maintain, any and all licenses, approvals, notifications, registrations or permits required by applicable Environmental Laws,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73" w:name="page174"/>
    <w:bookmarkEnd w:id="173"/>
    <w:p>
      <w:pPr>
        <w:jc w:val="both"/>
        <w:ind w:firstLine="6"/>
        <w:spacing w:after="0" w:line="278" w:lineRule="auto"/>
        <w:rPr>
          <w:sz w:val="20"/>
          <w:szCs w:val="20"/>
          <w:color w:val="auto"/>
        </w:rPr>
      </w:pPr>
      <w:r>
        <w:rPr>
          <w:rFonts w:ascii="Arial" w:cs="Arial" w:eastAsia="Arial" w:hAnsi="Arial"/>
          <w:sz w:val="18"/>
          <w:szCs w:val="18"/>
          <w:color w:val="auto"/>
        </w:rPr>
        <w:t>violation of, noncompliance with or liability under any Environmental Laws applicable to the operations of the Company or any such Restricted Subsidiary, or any orders, requirements or demands of Governmental Authorities related thereto, including, without limitation, reasonable attorney’s and consultant’s fees, investigation and laboratory fees, response costs, court costs and litigation expenses, except to the extent that any of the foregoing are determined by a court of competent jurisdiction by a final and nonappealable judgment to have resulted from the bad faith, gross negligence or willful misconduct of the party seeking indemnification therefor.</w:t>
      </w:r>
    </w:p>
    <w:p>
      <w:pPr>
        <w:spacing w:after="0" w:line="1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SECTION 8.8 </w:t>
      </w:r>
      <w:r>
        <w:rPr>
          <w:rFonts w:ascii="Arial" w:cs="Arial" w:eastAsia="Arial" w:hAnsi="Arial"/>
          <w:sz w:val="18"/>
          <w:szCs w:val="18"/>
          <w:b w:val="1"/>
          <w:bCs w:val="1"/>
          <w:u w:val="single" w:color="auto"/>
          <w:color w:val="auto"/>
        </w:rPr>
        <w:t>Compliance with ERISA</w:t>
      </w:r>
      <w:r>
        <w:rPr>
          <w:rFonts w:ascii="Arial" w:cs="Arial" w:eastAsia="Arial" w:hAnsi="Arial"/>
          <w:sz w:val="18"/>
          <w:szCs w:val="18"/>
          <w:color w:val="auto"/>
        </w:rPr>
        <w:t>. In addition to and without limiting the generality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the</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to so comply could not, individually or in the aggregate, reasonably be expected to have a Material Adverse Effect, (a) comply with all material applicable provisions of ERISA and the Code and the regulations and published interpretations thereunder with respect to all Employee Benefit Plans and all Multiemployer Plans, (b) not take any action or fail to take action the result of which could be a liability to the IRS or to the PBGC or to a Multiemployer Plan, (c) not participate in any non-exempt prohibited transaction (within the meaning of Section 4975 of the Code or Section 406 of ERISA) that could result in any penalty or Tax under ERISA or the Code and (d) operate each Employee Benefit Plan in such a manner that will not incur any tax liability under Section 4980B of the Code.</w:t>
      </w:r>
    </w:p>
    <w:p>
      <w:pPr>
        <w:spacing w:after="0" w:line="16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0"/>
          <w:szCs w:val="20"/>
          <w:b w:val="1"/>
          <w:bCs w:val="1"/>
          <w:color w:val="auto"/>
        </w:rPr>
        <w:t>SECTION 8.9</w:t>
      </w:r>
      <w:r>
        <w:rPr>
          <w:sz w:val="20"/>
          <w:szCs w:val="20"/>
          <w:color w:val="auto"/>
        </w:rPr>
        <w:tab/>
      </w:r>
      <w:r>
        <w:rPr>
          <w:rFonts w:ascii="Arial" w:cs="Arial" w:eastAsia="Arial" w:hAnsi="Arial"/>
          <w:sz w:val="18"/>
          <w:szCs w:val="18"/>
          <w:b w:val="1"/>
          <w:bCs w:val="1"/>
          <w:u w:val="single" w:color="auto"/>
          <w:color w:val="auto"/>
        </w:rPr>
        <w:t>[Intentionally Omitted].</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8.10 </w:t>
      </w:r>
      <w:r>
        <w:rPr>
          <w:rFonts w:ascii="Arial" w:cs="Arial" w:eastAsia="Arial" w:hAnsi="Arial"/>
          <w:sz w:val="20"/>
          <w:szCs w:val="20"/>
          <w:b w:val="1"/>
          <w:bCs w:val="1"/>
          <w:u w:val="single" w:color="auto"/>
          <w:color w:val="auto"/>
        </w:rPr>
        <w:t>Visits and Inspections</w:t>
      </w:r>
      <w:r>
        <w:rPr>
          <w:rFonts w:ascii="Arial" w:cs="Arial" w:eastAsia="Arial" w:hAnsi="Arial"/>
          <w:sz w:val="20"/>
          <w:szCs w:val="20"/>
          <w:color w:val="auto"/>
        </w:rPr>
        <w:t>. Permit representatives of the Administrative Agent or any Lender, from time to time (no</w:t>
      </w:r>
      <w:r>
        <w:rPr>
          <w:rFonts w:ascii="Arial" w:cs="Arial" w:eastAsia="Arial" w:hAnsi="Arial"/>
          <w:sz w:val="20"/>
          <w:szCs w:val="20"/>
          <w:b w:val="1"/>
          <w:bCs w:val="1"/>
          <w:color w:val="auto"/>
        </w:rPr>
        <w:t xml:space="preserve"> </w:t>
      </w:r>
      <w:r>
        <w:rPr>
          <w:rFonts w:ascii="Arial" w:cs="Arial" w:eastAsia="Arial" w:hAnsi="Arial"/>
          <w:sz w:val="20"/>
          <w:szCs w:val="20"/>
          <w:color w:val="auto"/>
        </w:rPr>
        <w:t>more frequently than once for the Administrative Agent and the Lenders during any calendar year unless an Event of Default shall have occurred and be continuing), upon reasonable notice and during normal business hours,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w:t>
      </w:r>
    </w:p>
    <w:p>
      <w:pPr>
        <w:spacing w:after="0" w:line="184"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8.11</w:t>
      </w:r>
      <w:r>
        <w:rPr>
          <w:sz w:val="20"/>
          <w:szCs w:val="20"/>
          <w:color w:val="auto"/>
        </w:rPr>
        <w:tab/>
      </w:r>
      <w:r>
        <w:rPr>
          <w:rFonts w:ascii="Arial" w:cs="Arial" w:eastAsia="Arial" w:hAnsi="Arial"/>
          <w:sz w:val="16"/>
          <w:szCs w:val="16"/>
          <w:b w:val="1"/>
          <w:bCs w:val="1"/>
          <w:u w:val="single" w:color="auto"/>
          <w:color w:val="auto"/>
        </w:rPr>
        <w:t>Additional Subsidiaries.</w:t>
      </w:r>
    </w:p>
    <w:p>
      <w:pPr>
        <w:spacing w:after="0" w:line="222" w:lineRule="exact"/>
        <w:rPr>
          <w:sz w:val="20"/>
          <w:szCs w:val="20"/>
          <w:color w:val="auto"/>
        </w:rPr>
      </w:pPr>
    </w:p>
    <w:p>
      <w:pPr>
        <w:jc w:val="both"/>
        <w:ind w:left="660" w:firstLine="644"/>
        <w:spacing w:after="0" w:line="269" w:lineRule="auto"/>
        <w:tabs>
          <w:tab w:leader="none" w:pos="18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Additional Domestic Subsidiaries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8.11(d)</w:t>
      </w:r>
      <w:r>
        <w:rPr>
          <w:rFonts w:ascii="Arial" w:cs="Arial" w:eastAsia="Arial" w:hAnsi="Arial"/>
          <w:sz w:val="18"/>
          <w:szCs w:val="18"/>
          <w:color w:val="auto"/>
        </w:rPr>
        <w:t xml:space="preserve">, notify the Administrative Agent of the creation or acquisition of any Material Domestic Subsidiary, the designation of any Subsidiary as a Material Domestic Subsidiary or any Material Domestic Subsidiary ceasing to be an Unrestricted Subsidiary and promptly thereafter (and in any event within thirty (30) days or such later date as may be approved by the Administrative Agent in its sole discretion), cause such Material Domestic Subsidiary to (i) become a Guarantor by delivering to the Administrative Agent, if such Person is the initial Material Domestic Subsidiary, a duly executed Guaranty Agreement and thereafter, for any other Material Domestic Subsidiary, a supplement to such Guaranty Agreement, (ii) pledge a security interest in all Collateral, subject to </w:t>
      </w:r>
      <w:r>
        <w:rPr>
          <w:rFonts w:ascii="Arial" w:cs="Arial" w:eastAsia="Arial" w:hAnsi="Arial"/>
          <w:sz w:val="18"/>
          <w:szCs w:val="18"/>
          <w:u w:val="single" w:color="auto"/>
          <w:color w:val="auto"/>
        </w:rPr>
        <w:t>Section 8.11(c)</w:t>
      </w:r>
      <w:r>
        <w:rPr>
          <w:rFonts w:ascii="Arial" w:cs="Arial" w:eastAsia="Arial" w:hAnsi="Arial"/>
          <w:sz w:val="18"/>
          <w:szCs w:val="18"/>
          <w:color w:val="auto"/>
        </w:rPr>
        <w:t xml:space="preserve">, owned by such Material Domestic Subsidiary by delivering to the Administrative Agent a duly executed supplement to each Security Document or such other document as the Administrative Agent shall deem appropriate for such purpose and comply with the terms of each Security Document, (iii) deliver to the Administrative Agent such documents and certificates referred to in </w:t>
      </w:r>
      <w:r>
        <w:rPr>
          <w:rFonts w:ascii="Arial" w:cs="Arial" w:eastAsia="Arial" w:hAnsi="Arial"/>
          <w:sz w:val="18"/>
          <w:szCs w:val="18"/>
          <w:u w:val="single" w:color="auto"/>
          <w:color w:val="auto"/>
        </w:rPr>
        <w:t>Sections 5.1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w:t>
      </w:r>
      <w:r>
        <w:rPr>
          <w:rFonts w:ascii="Arial" w:cs="Arial" w:eastAsia="Arial" w:hAnsi="Arial"/>
          <w:sz w:val="18"/>
          <w:szCs w:val="18"/>
          <w:color w:val="auto"/>
        </w:rPr>
        <w:t xml:space="preserve"> as may be reasonably requested by the Administrative Agent (including, without limitation, charter documents and opinions of counsel), (iv) deliver to the Administrative Agent such original Capital Stock or other certificates and stock or other transfer powers evidencing the Capital Stock of such Material Domestic Subsidiary to the extent constituting Collateral, (v) deliver to the Administrative Agent such updated Schedules to the Loan Documents as requested by the Administrative Agent with respect to such Material Domestic Subsidiary, and (vi) deliver to the Administrative Agent such other documents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4" w:name="page175"/>
    <w:bookmarkEnd w:id="174"/>
    <w:p>
      <w:pPr>
        <w:ind w:left="660" w:firstLine="6"/>
        <w:spacing w:after="0" w:line="260" w:lineRule="auto"/>
        <w:rPr>
          <w:sz w:val="20"/>
          <w:szCs w:val="20"/>
          <w:color w:val="auto"/>
        </w:rPr>
      </w:pPr>
      <w:r>
        <w:rPr>
          <w:rFonts w:ascii="Arial" w:cs="Arial" w:eastAsia="Arial" w:hAnsi="Arial"/>
          <w:sz w:val="20"/>
          <w:szCs w:val="20"/>
          <w:color w:val="auto"/>
        </w:rPr>
        <w:t>reasonably requested by the Administrative Agent, all in form, content and scope reasonably satisfactory to the Administrative Agent.</w:t>
      </w:r>
    </w:p>
    <w:p>
      <w:pPr>
        <w:spacing w:after="0" w:line="177" w:lineRule="exact"/>
        <w:rPr>
          <w:sz w:val="20"/>
          <w:szCs w:val="20"/>
          <w:color w:val="auto"/>
        </w:rPr>
      </w:pPr>
    </w:p>
    <w:p>
      <w:pPr>
        <w:jc w:val="both"/>
        <w:ind w:left="660" w:firstLine="644"/>
        <w:spacing w:after="0" w:line="267" w:lineRule="auto"/>
        <w:tabs>
          <w:tab w:leader="none" w:pos="1844"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Additional Foreign Subsidiaries</w:t>
      </w:r>
      <w:r>
        <w:rPr>
          <w:rFonts w:ascii="Arial" w:cs="Arial" w:eastAsia="Arial" w:hAnsi="Arial"/>
          <w:sz w:val="18"/>
          <w:szCs w:val="18"/>
          <w:color w:val="auto"/>
        </w:rPr>
        <w:t xml:space="preserve">. Notify the Administrative Agent at the time that any Person becomes a first tier Material Foreign Subsidiary of the Company or of any Material Domestic Subsidiary, and, promptly thereafter (and in any event within forty-five (45) days after such request (or such later date as may be approved by the Administrative Agent in its sole discretion)), cause (i) the applicable Domestic Credit Party to deliver to the Administrative Agent Security Documents governed by New York law (or, if requested by the Administrative Agent, the local laws of the jurisdiction of organization of such Material Foreign Subsidiary) pledging sixty-five percent (65%) of the total outstanding voting Capital Stock, and 100% of the total outstanding non voting Capital Stock, of such Material Foreign Subsidiary and a consent thereto executed by such new Material Foreign Subsidiary (including, without limitation, if applicable, original stock certificates (or the equivalent thereof pursuant to the Applicable Laws and practices of any relevant foreign jurisdiction) evidencing the Capital Stock of such Material Foreign Subsidiary, together with an appropriate undated stock power for each certificate duly executed in blank by the registered owner thereof), (ii) the applicable Domestic Credit Party to deliver to the Administrative Agent such documents and certificates referred to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w:t>
      </w:r>
      <w:r>
        <w:rPr>
          <w:rFonts w:ascii="Arial" w:cs="Arial" w:eastAsia="Arial" w:hAnsi="Arial"/>
          <w:sz w:val="18"/>
          <w:szCs w:val="18"/>
          <w:color w:val="auto"/>
        </w:rPr>
        <w:t xml:space="preserve"> as may be reasonably requested by the Administrative Agent (including, without limitation, charter documents and opinions of counsel with respect to local laws, each in form and substance reasonably acceptable to the Administrative Agent),</w:t>
      </w:r>
    </w:p>
    <w:p>
      <w:pPr>
        <w:spacing w:after="0" w:line="5" w:lineRule="exact"/>
        <w:rPr>
          <w:rFonts w:ascii="Arial" w:cs="Arial" w:eastAsia="Arial" w:hAnsi="Arial"/>
          <w:sz w:val="18"/>
          <w:szCs w:val="18"/>
          <w:color w:val="auto"/>
        </w:rPr>
      </w:pPr>
    </w:p>
    <w:p>
      <w:pPr>
        <w:jc w:val="both"/>
        <w:ind w:left="660" w:hanging="4"/>
        <w:spacing w:after="0" w:line="241" w:lineRule="auto"/>
        <w:tabs>
          <w:tab w:leader="none" w:pos="1016"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applicable Domestic Credit Party to deliver to the Administrative Agent such updated Schedules to the Loan Documents as requested by the Administrative Agent with respect to such Person and (iv) the applicable Domestic Credit Party to deliver to the Administrative Agent such other documents as may be reasonably requested by the Administrative Agent, all in form, content and scope reasonably satisfactory to the Administrative Agent.</w:t>
      </w:r>
    </w:p>
    <w:p>
      <w:pPr>
        <w:spacing w:after="0" w:line="194" w:lineRule="exact"/>
        <w:rPr>
          <w:rFonts w:ascii="Arial" w:cs="Arial" w:eastAsia="Arial" w:hAnsi="Arial"/>
          <w:sz w:val="20"/>
          <w:szCs w:val="20"/>
          <w:color w:val="auto"/>
        </w:rPr>
      </w:pPr>
    </w:p>
    <w:p>
      <w:pPr>
        <w:jc w:val="both"/>
        <w:ind w:left="660" w:firstLine="644"/>
        <w:spacing w:after="0" w:line="259" w:lineRule="auto"/>
        <w:tabs>
          <w:tab w:leader="none" w:pos="1833"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Pledged Stock</w:t>
      </w:r>
      <w:r>
        <w:rPr>
          <w:rFonts w:ascii="Arial" w:cs="Arial" w:eastAsia="Arial" w:hAnsi="Arial"/>
          <w:sz w:val="19"/>
          <w:szCs w:val="19"/>
          <w:color w:val="auto"/>
        </w:rPr>
        <w:t>. Cause each Domestic Credit Party to cause (i) 100% of the Capital Stock in each of its Domestic Subsidiaries that are Restricted Subsidiaries and (ii) 100% of the total outstanding non-voting Capital Stock and 65% of the total outstanding voting Capital Stock of each of its first tier Foreign Subsidiaries that are Restricted Subsidiaries (without regard to whether such Foreign Subsidiary is a Material Foreign Subsidiary), to the extent owned by such Domestic Credit Party, to be subject at all times to a first priority and perfected Lien in favor of the Administrative Agent pursuant to the terms of the Pledge Agreement (other than Permitted Liens arising by operation of law).</w:t>
      </w:r>
    </w:p>
    <w:p>
      <w:pPr>
        <w:spacing w:after="0" w:line="178" w:lineRule="exact"/>
        <w:rPr>
          <w:rFonts w:ascii="Arial" w:cs="Arial" w:eastAsia="Arial" w:hAnsi="Arial"/>
          <w:sz w:val="19"/>
          <w:szCs w:val="19"/>
          <w:color w:val="auto"/>
        </w:rPr>
      </w:pPr>
    </w:p>
    <w:p>
      <w:pPr>
        <w:jc w:val="both"/>
        <w:ind w:left="660" w:firstLine="644"/>
        <w:spacing w:after="0" w:line="274" w:lineRule="auto"/>
        <w:tabs>
          <w:tab w:leader="none" w:pos="1750"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Merger Subsidiaries</w:t>
      </w:r>
      <w:r>
        <w:rPr>
          <w:rFonts w:ascii="Arial" w:cs="Arial" w:eastAsia="Arial" w:hAnsi="Arial"/>
          <w:sz w:val="18"/>
          <w:szCs w:val="18"/>
          <w:color w:val="auto"/>
        </w:rPr>
        <w:t xml:space="preserve">. Notwithstanding the foregoing, to the extent any new Subsidiary is created solely for the purpose of consummating an acquisition or merger transaction pursuant to a Permitted Acquisition, and such new Subsidiary at no time holds any material assets or liabilities other than any merger consideration contributed to it contemporaneously with the closing of such merger transaction or liability under any related merger or acquisition, such new Subsidiary shall not be required to take the actions set forth in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as applicable, until after the consummation of such Permitted Acquisition (at which time, the surviving entity of the respective merger transaction shall be required to so comply with </w:t>
      </w:r>
      <w:r>
        <w:rPr>
          <w:rFonts w:ascii="Arial" w:cs="Arial" w:eastAsia="Arial" w:hAnsi="Arial"/>
          <w:sz w:val="18"/>
          <w:szCs w:val="18"/>
          <w:u w:val="single" w:color="auto"/>
          <w:color w:val="auto"/>
        </w:rPr>
        <w:t>Section 8.11(a)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as applicable, within ten (10) Business Days of the consummation of such Permitted Acquisition).</w:t>
      </w:r>
    </w:p>
    <w:p>
      <w:pPr>
        <w:spacing w:after="0" w:line="168" w:lineRule="exact"/>
        <w:rPr>
          <w:rFonts w:ascii="Arial" w:cs="Arial" w:eastAsia="Arial" w:hAnsi="Arial"/>
          <w:sz w:val="18"/>
          <w:szCs w:val="18"/>
          <w:color w:val="auto"/>
        </w:rPr>
      </w:pPr>
    </w:p>
    <w:p>
      <w:pPr>
        <w:ind w:left="660" w:firstLine="644"/>
        <w:spacing w:after="0" w:line="260" w:lineRule="auto"/>
        <w:tabs>
          <w:tab w:leader="none" w:pos="1793" w:val="left"/>
        </w:tabs>
        <w:numPr>
          <w:ilvl w:val="1"/>
          <w:numId w:val="179"/>
        </w:numPr>
        <w:rPr>
          <w:rFonts w:ascii="Arial" w:cs="Arial" w:eastAsia="Arial" w:hAnsi="Arial"/>
          <w:sz w:val="20"/>
          <w:szCs w:val="20"/>
          <w:color w:val="auto"/>
        </w:rPr>
      </w:pPr>
      <w:r>
        <w:rPr>
          <w:rFonts w:ascii="Arial" w:cs="Arial" w:eastAsia="Arial" w:hAnsi="Arial"/>
          <w:sz w:val="20"/>
          <w:szCs w:val="20"/>
          <w:u w:val="single" w:color="auto"/>
          <w:color w:val="auto"/>
        </w:rPr>
        <w:t>Foreign Subsidiaries</w:t>
      </w:r>
      <w:r>
        <w:rPr>
          <w:rFonts w:ascii="Arial" w:cs="Arial" w:eastAsia="Arial" w:hAnsi="Arial"/>
          <w:sz w:val="20"/>
          <w:szCs w:val="20"/>
          <w:color w:val="auto"/>
        </w:rPr>
        <w:t>. Notwithstanding anything contained herein or in any other Loan Document to the contrary, no Foreign Subsidiary shall be required to grant a Lien on its assets or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5" w:name="page176"/>
    <w:bookmarkEnd w:id="175"/>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SECTION 8.12 </w:t>
      </w:r>
      <w:r>
        <w:rPr>
          <w:rFonts w:ascii="Arial" w:cs="Arial" w:eastAsia="Arial" w:hAnsi="Arial"/>
          <w:sz w:val="19"/>
          <w:szCs w:val="19"/>
          <w:b w:val="1"/>
          <w:bCs w:val="1"/>
          <w:u w:val="single" w:color="auto"/>
          <w:color w:val="auto"/>
        </w:rPr>
        <w:t>Use of Proceeds</w:t>
      </w:r>
      <w:r>
        <w:rPr>
          <w:rFonts w:ascii="Arial" w:cs="Arial" w:eastAsia="Arial" w:hAnsi="Arial"/>
          <w:sz w:val="19"/>
          <w:szCs w:val="19"/>
          <w:color w:val="auto"/>
        </w:rPr>
        <w:t>. The Borrowers shall use the proceeds of the Extensions of Credit (a) to finance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Acquisitions, (b) to pay Transaction Costs, (c) to refinance existing Indebtedness of the Company and its Subsidiaries, including the Existing Credit Agreement, (d) to finance capital expenditures and (e) for working capital and general corporate uses of the Company and its Restricted Subsidiaries, including the payment of dividends upon any of its Capital Stock and the making of distributions to the holders of shares of its Capital Stock, the payment of certain fees, commissions and expenses incurred in connection with the transactions contemplated hereby (to the extent not otherwise paid in cash by the Company).</w:t>
      </w:r>
    </w:p>
    <w:p>
      <w:pPr>
        <w:spacing w:after="0" w:line="17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8.13</w:t>
      </w:r>
      <w:r>
        <w:rPr>
          <w:sz w:val="20"/>
          <w:szCs w:val="20"/>
          <w:color w:val="auto"/>
        </w:rPr>
        <w:tab/>
      </w:r>
      <w:r>
        <w:rPr>
          <w:rFonts w:ascii="Arial" w:cs="Arial" w:eastAsia="Arial" w:hAnsi="Arial"/>
          <w:sz w:val="16"/>
          <w:szCs w:val="16"/>
          <w:b w:val="1"/>
          <w:bCs w:val="1"/>
          <w:u w:val="single" w:color="auto"/>
          <w:color w:val="auto"/>
        </w:rPr>
        <w:t>Further Assurances.</w:t>
      </w:r>
    </w:p>
    <w:p>
      <w:pPr>
        <w:spacing w:after="0" w:line="222" w:lineRule="exact"/>
        <w:rPr>
          <w:sz w:val="20"/>
          <w:szCs w:val="20"/>
          <w:color w:val="auto"/>
        </w:rPr>
      </w:pPr>
    </w:p>
    <w:p>
      <w:pPr>
        <w:jc w:val="both"/>
        <w:ind w:left="660" w:firstLine="644"/>
        <w:spacing w:after="0" w:line="282" w:lineRule="auto"/>
        <w:tabs>
          <w:tab w:leader="none" w:pos="18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execute and deliver all such additional and further acts, things, deeds and instruments as the Administrative Agent, the Issuing Lenders or the Required Lenders (through the Administrative Agent) may reasonably require to document and consummate the transactions contemplated hereby and to vest completely in and insure the Administrative Agent, the Issuing Lenders and the Lenders their respective rights under this Agreement, the Letters of Credit and the other Loan Documents.</w:t>
      </w:r>
    </w:p>
    <w:p>
      <w:pPr>
        <w:spacing w:after="0" w:line="161" w:lineRule="exact"/>
        <w:rPr>
          <w:rFonts w:ascii="Arial" w:cs="Arial" w:eastAsia="Arial" w:hAnsi="Arial"/>
          <w:sz w:val="18"/>
          <w:szCs w:val="18"/>
          <w:color w:val="auto"/>
        </w:rPr>
      </w:pPr>
    </w:p>
    <w:p>
      <w:pPr>
        <w:jc w:val="both"/>
        <w:ind w:left="660" w:firstLine="644"/>
        <w:spacing w:after="0" w:line="244" w:lineRule="auto"/>
        <w:tabs>
          <w:tab w:leader="none" w:pos="181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Deliver to the Administrative Agent within 10 days after the date hereof (as such deadline may be extended by the Administrative Agent in its sole discretion) (i) all certificated Capital Stock subject to the Security Documents and required to be delivered pursuant to the terms thereof and (ii) executed acknowledgments to the Pledge Agreement by each Restricted Subsidiary of the Company whose Capital Stock is subject to the Pledge Agreement, each in form and substance reasonably acceptable to the Administrative Agent.</w:t>
      </w:r>
    </w:p>
    <w:p>
      <w:pPr>
        <w:spacing w:after="0" w:line="194" w:lineRule="exact"/>
        <w:rPr>
          <w:rFonts w:ascii="Arial" w:cs="Arial" w:eastAsia="Arial" w:hAnsi="Arial"/>
          <w:sz w:val="20"/>
          <w:szCs w:val="20"/>
          <w:color w:val="auto"/>
        </w:rPr>
      </w:pPr>
    </w:p>
    <w:p>
      <w:pPr>
        <w:jc w:val="both"/>
        <w:ind w:left="660" w:firstLine="644"/>
        <w:spacing w:after="0" w:line="250" w:lineRule="auto"/>
        <w:tabs>
          <w:tab w:leader="none" w:pos="186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To the extent requested by the Administrative Agent, cause each Responsible Officer to provide an incumbency certificate and to the extent requested by the Administrative Agent, appropriate authorization documentation, in form and substance reasonably satisfactory to the Administrative Agent.</w:t>
      </w:r>
    </w:p>
    <w:p>
      <w:pPr>
        <w:spacing w:after="0" w:line="18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8.14</w:t>
      </w:r>
      <w:r>
        <w:rPr>
          <w:sz w:val="20"/>
          <w:szCs w:val="20"/>
          <w:color w:val="auto"/>
        </w:rPr>
        <w:tab/>
      </w:r>
      <w:r>
        <w:rPr>
          <w:rFonts w:ascii="Arial" w:cs="Arial" w:eastAsia="Arial" w:hAnsi="Arial"/>
          <w:sz w:val="16"/>
          <w:szCs w:val="16"/>
          <w:b w:val="1"/>
          <w:bCs w:val="1"/>
          <w:color w:val="auto"/>
        </w:rPr>
        <w:t>Designation of Subsidiaries</w:t>
      </w:r>
      <w:r>
        <w:rPr>
          <w:rFonts w:ascii="Arial" w:cs="Arial" w:eastAsia="Arial" w:hAnsi="Arial"/>
          <w:sz w:val="16"/>
          <w:szCs w:val="16"/>
          <w:color w:val="auto"/>
        </w:rPr>
        <w:t>.</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may at any time after the Closing Date designate any Restricted Subsidiary of the Company as an Unrestricted Subsidiary or any Unrestricted Subsidiary as a Restricted Subsidiary by written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before and after such designation, no Default shall have occurred and be continuing, (ii) the Credit Parties would be in compliance on a pro forma basis with the financial covenants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recomputed as of the end of the period of the four fiscal quarters most recently ended for which the Company has delivered financial statements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after giving effect to such redesignation, (iii) in the case of the designation of any Restricted Subsidiary as an Unrestricted Subsidiary, such designation shall constitute an Investment in such Unrestricted Subsidiary (calculated as an amount equal to the sum of (x) the net worth of the Subsidiary designated immediately prior to such designation (such net worth to be calculated without regard to any Obligations of such Subsidiary under the Loan Documents) and (y) to the extent not reflected in such net worth, the aggregate principal amount of any Indebtedness owed by the Subsidiary to the Company or any of its Restricted Subsidiaries immediately prior to such designation, all calculated, except as set forth in the parenthetical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above, on a Consolidated basis in accordance with GAAP), and such Investment shall be permitted under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(iv) no Subsidiary may be designated as an Unrestricted Subsidiary if it is a “Restricted Subsidiary” for the purpose of (or is otherwise subject to the covenants under, or otherwise obligated for) any material Indebtedness for borrowed money of the Company or any Restricted Subsidiary, (v) immediately after giving effect to the designation of an Unrestricted Subsidiary as a Restricted Subsidiary, the Company shall comply with the provisions of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with respect to such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76" w:name="page177"/>
    <w:bookmarkEnd w:id="176"/>
    <w:p>
      <w:pPr>
        <w:jc w:val="both"/>
        <w:spacing w:after="0" w:line="270" w:lineRule="auto"/>
        <w:rPr>
          <w:sz w:val="20"/>
          <w:szCs w:val="20"/>
          <w:color w:val="auto"/>
        </w:rPr>
      </w:pPr>
      <w:r>
        <w:rPr>
          <w:rFonts w:ascii="Arial" w:cs="Arial" w:eastAsia="Arial" w:hAnsi="Arial"/>
          <w:sz w:val="18"/>
          <w:szCs w:val="18"/>
          <w:color w:val="auto"/>
        </w:rPr>
        <w:t xml:space="preserve">designated Restricted Subsidiary, to the extent applicable, (vi) no Restricted Subsidiary may be a Subsidiary of an Unrestricted Subsidiary, and no Unrestricted Subsidiary shall have a Lien on the assets of the Company or a Restricted Subsidiary except as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(vii) once an Unrestricted Subsidiary is designated as a Restricted Subsidiary pursuant to this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such Restricted Subsidiary may not be redesignated as an Unrestricted Subsidiary thereafter, and once a Restricted Subsidiary is designated as an Unrestricted Subsidiary pursuant to this </w:t>
      </w:r>
      <w:r>
        <w:rPr>
          <w:rFonts w:ascii="Arial" w:cs="Arial" w:eastAsia="Arial" w:hAnsi="Arial"/>
          <w:sz w:val="18"/>
          <w:szCs w:val="18"/>
          <w:u w:val="single" w:color="auto"/>
          <w:color w:val="auto"/>
        </w:rPr>
        <w:t>Section 8.14</w:t>
      </w:r>
      <w:r>
        <w:rPr>
          <w:rFonts w:ascii="Arial" w:cs="Arial" w:eastAsia="Arial" w:hAnsi="Arial"/>
          <w:sz w:val="18"/>
          <w:szCs w:val="18"/>
          <w:color w:val="auto"/>
        </w:rPr>
        <w:t>, such Unrestricted Subsidiary may only be redesignated as a Restricted Subsidiary one time thereafter and (viii) the Company shall have delivered to the Administrative Agent and each Lender a certificate executed by its chief financial officer or treasurer, certifying to the best of such officer’s knowledge, compliance with the requirements of the preceding clauses (i) through (vi), inclusive, and containing the calculations (in reasonable detail) required by the preceding clause (ii). The designation of any Unrestricted Subsidiary as a Restricted Subsidiary shall constitute (i) the incurrence at the time of designation of any Investment, Indebtedness or Liens of such Subsidiary existing at such time and (ii) a return on any Investment by the Company in Unrestricted Subsidiaries pursuant to the preceding sentence in an amount equal to the fair market value at the date of such designation of the Company’s Investment in such Subsidiary (that have not otherwise been transferred to or invested in other Unrestricted Subsidiaries).</w:t>
      </w:r>
    </w:p>
    <w:p>
      <w:pPr>
        <w:spacing w:after="0" w:line="19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8.15</w:t>
      </w:r>
      <w:r>
        <w:rPr>
          <w:sz w:val="20"/>
          <w:szCs w:val="20"/>
          <w:color w:val="auto"/>
        </w:rPr>
        <w:tab/>
      </w:r>
      <w:r>
        <w:rPr>
          <w:rFonts w:ascii="Arial" w:cs="Arial" w:eastAsia="Arial" w:hAnsi="Arial"/>
          <w:sz w:val="18"/>
          <w:szCs w:val="18"/>
          <w:b w:val="1"/>
          <w:bCs w:val="1"/>
          <w:color w:val="auto"/>
        </w:rPr>
        <w:t>Anti-Corruption Laws</w:t>
      </w:r>
      <w:r>
        <w:rPr>
          <w:rFonts w:ascii="Arial" w:cs="Arial" w:eastAsia="Arial" w:hAnsi="Arial"/>
          <w:sz w:val="18"/>
          <w:szCs w:val="18"/>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Conduct its business in compliance in all material respects with the United States Foreign Corrupt Practices Act of 1977, the UK Bribery Act 2010 and other similar anti-corruption legislation in other jurisdictions applicable to the Company and its Subsidiaries and maintain policies and procedures that, in the Company’s reasonable business judgment, are designed to promote and achieve compliance with such laws.</w:t>
      </w:r>
    </w:p>
    <w:p>
      <w:pPr>
        <w:spacing w:after="0" w:line="212"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8.16</w:t>
      </w:r>
      <w:r>
        <w:rPr>
          <w:sz w:val="20"/>
          <w:szCs w:val="20"/>
          <w:color w:val="auto"/>
        </w:rPr>
        <w:tab/>
      </w:r>
      <w:r>
        <w:rPr>
          <w:rFonts w:ascii="Arial" w:cs="Arial" w:eastAsia="Arial" w:hAnsi="Arial"/>
          <w:sz w:val="18"/>
          <w:szCs w:val="18"/>
          <w:b w:val="1"/>
          <w:bCs w:val="1"/>
          <w:color w:val="auto"/>
        </w:rPr>
        <w:t>Approvals and Authorizations</w:t>
      </w:r>
      <w:r>
        <w:rPr>
          <w:rFonts w:ascii="Arial" w:cs="Arial" w:eastAsia="Arial" w:hAnsi="Arial"/>
          <w:sz w:val="18"/>
          <w:szCs w:val="18"/>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8.17</w:t>
      </w:r>
      <w:r>
        <w:rPr>
          <w:sz w:val="20"/>
          <w:szCs w:val="20"/>
          <w:color w:val="auto"/>
        </w:rPr>
        <w:tab/>
      </w:r>
      <w:r>
        <w:rPr>
          <w:rFonts w:ascii="Arial" w:cs="Arial" w:eastAsia="Arial" w:hAnsi="Arial"/>
          <w:sz w:val="16"/>
          <w:szCs w:val="16"/>
          <w:b w:val="1"/>
          <w:bCs w:val="1"/>
          <w:color w:val="auto"/>
        </w:rPr>
        <w:t>Post-Closing Covenants</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46" w:lineRule="auto"/>
        <w:tabs>
          <w:tab w:leader="none" w:pos="173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Within sixty (60) days following the Closing Date (or such later date as the Administrative Agent shall agree in its sole discretion), the Company shall deliver to the Administrative Agent each certificate representing the Capital Stock of JG US, Inc., a Delaware corporation, that is required to be pledged pursuant to the Pledge Agreement, together with an undated stock power for each such certificate executed in blank by the Company.</w:t>
      </w:r>
    </w:p>
    <w:p>
      <w:pPr>
        <w:spacing w:after="0" w:line="191" w:lineRule="exact"/>
        <w:rPr>
          <w:rFonts w:ascii="Arial" w:cs="Arial" w:eastAsia="Arial" w:hAnsi="Arial"/>
          <w:sz w:val="20"/>
          <w:szCs w:val="20"/>
          <w:color w:val="auto"/>
        </w:rPr>
      </w:pPr>
    </w:p>
    <w:p>
      <w:pPr>
        <w:jc w:val="both"/>
        <w:ind w:left="660" w:firstLine="644"/>
        <w:spacing w:after="0" w:line="263" w:lineRule="auto"/>
        <w:tabs>
          <w:tab w:leader="none" w:pos="174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Within sixty (60) days following the Closing Date (or such later date as the Administrative Agent shall agree in its sole discretion), the Company shall deliver to the Administrative Agent each certificate representing the Capital Stock of Blackbaud Latin America S.R.L., a company organized under the laws of Costa Rica, that is required to be pledged pursuant to the Pledge Agreement, together with an undated stock power for each such certificate executed in blank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7" w:name="page178"/>
    <w:bookmarkEnd w:id="177"/>
    <w:p>
      <w:pPr>
        <w:jc w:val="both"/>
        <w:ind w:firstLine="648"/>
        <w:spacing w:after="0" w:line="250" w:lineRule="auto"/>
        <w:rPr>
          <w:sz w:val="20"/>
          <w:szCs w:val="20"/>
          <w:color w:val="auto"/>
        </w:rPr>
      </w:pPr>
      <w:r>
        <w:rPr>
          <w:rFonts w:ascii="Arial" w:cs="Arial" w:eastAsia="Arial" w:hAnsi="Arial"/>
          <w:sz w:val="20"/>
          <w:szCs w:val="20"/>
          <w:color w:val="auto"/>
        </w:rPr>
        <w:t xml:space="preserve">Until all of the Obligations (other than contingent indemnification obligations not yet due) have been paid in full (or, in the case of Letters of Credit, cash collateralized) and the Commitments terminated, unless consent has been obtained in the manner set forth in </w:t>
      </w:r>
      <w:r>
        <w:rPr>
          <w:rFonts w:ascii="Arial" w:cs="Arial" w:eastAsia="Arial" w:hAnsi="Arial"/>
          <w:sz w:val="20"/>
          <w:szCs w:val="20"/>
          <w:u w:val="single" w:color="auto"/>
          <w:color w:val="auto"/>
        </w:rPr>
        <w:t>Section 13.2</w:t>
      </w:r>
      <w:r>
        <w:rPr>
          <w:rFonts w:ascii="Arial" w:cs="Arial" w:eastAsia="Arial" w:hAnsi="Arial"/>
          <w:sz w:val="20"/>
          <w:szCs w:val="20"/>
          <w:color w:val="auto"/>
        </w:rPr>
        <w:t>, the Company and its Restricted Subsidiaries on a Consolidated basis will not: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Net Leverage Ratio</w:t>
      </w:r>
      <w:r>
        <w:rPr>
          <w:rFonts w:ascii="Arial" w:cs="Arial" w:eastAsia="Arial" w:hAnsi="Arial"/>
          <w:sz w:val="18"/>
          <w:szCs w:val="18"/>
          <w:color w:val="auto"/>
        </w:rPr>
        <w:t>. As of any fiscal quarter end, permit the ratio (the “</w:t>
      </w:r>
      <w:r>
        <w:rPr>
          <w:rFonts w:ascii="Arial" w:cs="Arial" w:eastAsia="Arial" w:hAnsi="Arial"/>
          <w:sz w:val="18"/>
          <w:szCs w:val="18"/>
          <w:u w:val="single" w:color="auto"/>
          <w:color w:val="auto"/>
        </w:rPr>
        <w:t>Net Leverage Ratio</w:t>
      </w:r>
      <w:r>
        <w:rPr>
          <w:rFonts w:ascii="Arial" w:cs="Arial" w:eastAsia="Arial" w:hAnsi="Arial"/>
          <w:sz w:val="18"/>
          <w:szCs w:val="18"/>
          <w:color w:val="auto"/>
        </w:rPr>
        <w:t>”) of (a) Total Funded</w:t>
      </w:r>
      <w:r>
        <w:rPr>
          <w:rFonts w:ascii="Arial" w:cs="Arial" w:eastAsia="Arial" w:hAnsi="Arial"/>
          <w:sz w:val="18"/>
          <w:szCs w:val="18"/>
          <w:b w:val="1"/>
          <w:bCs w:val="1"/>
          <w:color w:val="auto"/>
        </w:rPr>
        <w:t xml:space="preserve"> </w:t>
      </w:r>
      <w:r>
        <w:rPr>
          <w:rFonts w:ascii="Arial" w:cs="Arial" w:eastAsia="Arial" w:hAnsi="Arial"/>
          <w:sz w:val="18"/>
          <w:szCs w:val="18"/>
          <w:color w:val="auto"/>
        </w:rPr>
        <w:t>Net Indebtedness on such date to (b) EBITDA for the period of four (4) consecutive fiscal quarters ending on or immediately prior to such date to be greater than: (a) commencing with the fiscal quarter ending December 31, 2020 and through September 30, 2022, 4.00 to 1.00 and</w:t>
      </w:r>
    </w:p>
    <w:p>
      <w:pPr>
        <w:spacing w:after="0" w:line="2" w:lineRule="exact"/>
        <w:rPr>
          <w:sz w:val="20"/>
          <w:szCs w:val="20"/>
          <w:color w:val="auto"/>
        </w:rPr>
      </w:pPr>
    </w:p>
    <w:p>
      <w:pPr>
        <w:jc w:val="both"/>
        <w:ind w:firstLine="8"/>
        <w:spacing w:after="0" w:line="241" w:lineRule="auto"/>
        <w:tabs>
          <w:tab w:leader="none" w:pos="299"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commencing with the fiscal quarter ending December 31, 2022 and thereafter, 3.75 to 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Net Leverage Ratio for any fiscal quarter may be increased by the Company by 0.50 if such increase satisfies the Leverage Ratio Increase Requirements; </w:t>
      </w:r>
      <w:r>
        <w:rPr>
          <w:rFonts w:ascii="Arial" w:cs="Arial" w:eastAsia="Arial" w:hAnsi="Arial"/>
          <w:sz w:val="20"/>
          <w:szCs w:val="20"/>
          <w:u w:val="single" w:color="auto"/>
          <w:color w:val="auto"/>
        </w:rPr>
        <w:t>provided</w:t>
      </w:r>
      <w:r>
        <w:rPr>
          <w:rFonts w:ascii="Arial" w:cs="Arial" w:eastAsia="Arial" w:hAnsi="Arial"/>
          <w:sz w:val="20"/>
          <w:szCs w:val="20"/>
          <w:color w:val="auto"/>
        </w:rPr>
        <w:t>, that the maximum Net Leverage Ratio permitted after giving effect to such increase shall not exceed 4.25 to 1.00. No increase shall be given effect unless all of the Leverage Ratio Increase Requirements are satisfied.</w:t>
      </w:r>
    </w:p>
    <w:p>
      <w:pPr>
        <w:spacing w:after="0" w:line="18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Interest Coverage Ratio</w:t>
      </w:r>
      <w:r>
        <w:rPr>
          <w:rFonts w:ascii="Arial" w:cs="Arial" w:eastAsia="Arial" w:hAnsi="Arial"/>
          <w:sz w:val="18"/>
          <w:szCs w:val="18"/>
          <w:color w:val="auto"/>
        </w:rPr>
        <w:t>. As of any fiscal quarter end, commencing with the fiscal quarter ending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permit the ratio of (a) EBITDA for the period of four (4) consecutive fiscal quarters ending on or immediately prior to such date to (b) Interest Expense for the period of four (4) consecutive fiscal quarters ending on or immediately prior to such date to be less than 2.50 to 1.0.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Until all of the Obligations (other than contingent indemnification obligations not yet due and Bank Product Debt) have been paid in full (or, in the case of Letters of Credit, cash collateralized) and the Commitments terminated, unless consent has been obtained in the manner set forth in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the Borrowers have not, will not and will not permit any of their Restricted Subsidiaries (and each of their Subsidiaries in the case of </w:t>
      </w:r>
      <w:r>
        <w:rPr>
          <w:rFonts w:ascii="Arial" w:cs="Arial" w:eastAsia="Arial" w:hAnsi="Arial"/>
          <w:sz w:val="20"/>
          <w:szCs w:val="20"/>
          <w:u w:val="single" w:color="auto"/>
          <w:color w:val="auto"/>
        </w:rPr>
        <w:t>Sections 10.7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10.13</w:t>
      </w:r>
      <w:r>
        <w:rPr>
          <w:rFonts w:ascii="Arial" w:cs="Arial" w:eastAsia="Arial" w:hAnsi="Arial"/>
          <w:sz w:val="20"/>
          <w:szCs w:val="20"/>
          <w:color w:val="auto"/>
        </w:rPr>
        <w:t>) to:</w:t>
      </w:r>
    </w:p>
    <w:p>
      <w:pPr>
        <w:spacing w:after="0" w:line="18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6"/>
          <w:szCs w:val="16"/>
          <w:b w:val="1"/>
          <w:bCs w:val="1"/>
          <w:u w:val="single" w:color="auto"/>
          <w:color w:val="auto"/>
        </w:rPr>
        <w:t>Limitations on Indebtedness</w:t>
      </w:r>
      <w:r>
        <w:rPr>
          <w:rFonts w:ascii="Arial" w:cs="Arial" w:eastAsia="Arial" w:hAnsi="Arial"/>
          <w:sz w:val="16"/>
          <w:szCs w:val="16"/>
          <w:color w:val="auto"/>
        </w:rPr>
        <w:t>. Create, incur, assume or suffer to exist any Indebtedness except:</w:t>
      </w:r>
    </w:p>
    <w:p>
      <w:pPr>
        <w:spacing w:after="0" w:line="222" w:lineRule="exact"/>
        <w:rPr>
          <w:sz w:val="20"/>
          <w:szCs w:val="20"/>
          <w:color w:val="auto"/>
        </w:rPr>
      </w:pPr>
    </w:p>
    <w:p>
      <w:pPr>
        <w:ind w:left="1720" w:hanging="416"/>
        <w:spacing w:after="0"/>
        <w:tabs>
          <w:tab w:leader="none" w:pos="172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the Obligations (excluding Bank Product Debt permitted pursuant to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3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Indebtedness incurred in connection with Bank Products and other Hedging Agreements with a counterparty (other than a Lender or an Affiliate of a Lender) and upon terms and conditions (including interest rate) reasonably satisfactory to the Administrative Agent;</w:t>
      </w:r>
    </w:p>
    <w:p>
      <w:pPr>
        <w:spacing w:after="0" w:line="185" w:lineRule="exact"/>
        <w:rPr>
          <w:rFonts w:ascii="Arial" w:cs="Arial" w:eastAsia="Arial" w:hAnsi="Arial"/>
          <w:sz w:val="20"/>
          <w:szCs w:val="20"/>
          <w:color w:val="auto"/>
        </w:rPr>
      </w:pPr>
    </w:p>
    <w:p>
      <w:pPr>
        <w:ind w:left="660" w:firstLine="644"/>
        <w:spacing w:after="0" w:line="260" w:lineRule="auto"/>
        <w:tabs>
          <w:tab w:leader="none" w:pos="176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Indebtedness of the Company and its Restricted Subsidiaries incurred in connection with Capital Leases and purchase money Indebtedness in an aggregate amount not to exceed $70,000,000 on any date of determination;</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Guaranty Obligations with respect to Indebtedness permitted under this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78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Indebtedness owed by (i) any Domestic Credit Party to any other Domestic Credit Party or any Domestic Subsidiary that is a Restricted Subsidiary so long as such Domestic Subsidiary becomes a Domestic Credit Party within the time period specified by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8" w:name="page179"/>
    <w:bookmarkEnd w:id="178"/>
    <w:p>
      <w:pPr>
        <w:jc w:val="both"/>
        <w:ind w:left="660" w:firstLine="2"/>
        <w:spacing w:after="0" w:line="243" w:lineRule="auto"/>
        <w:tabs>
          <w:tab w:leader="none" w:pos="95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 xml:space="preserve">any Foreign Obligor to any other Foreign Obligor, (iii) any Restricted Subsidiary that is not a Credit Party to any other Restricted Subsidiary that is not a Credit Party, (iv) any Restricted Subsidiary that is not a Guarantor to any Credit Party in an aggregate amount not to exceed $40,000,000 at any time outstanding, (v) any Domestic Credit Party to any Restricted Subsidiary that is not a Guarantor or an Unrestricted Subsidiary in an aggregate amount not to exceed $40,000,000 at any time outstanding or (vi) any Restricted Subsidiary to the Company or any other Restricted Subsidiary, pursuant to an Investment permitted by </w:t>
      </w:r>
      <w:r>
        <w:rPr>
          <w:rFonts w:ascii="Arial" w:cs="Arial" w:eastAsia="Arial" w:hAnsi="Arial"/>
          <w:sz w:val="20"/>
          <w:szCs w:val="20"/>
          <w:u w:val="single" w:color="auto"/>
          <w:color w:val="auto"/>
        </w:rPr>
        <w:t>Section 10.3(h)(iii)</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Intercompany Debt</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660" w:firstLine="644"/>
        <w:spacing w:after="0" w:line="267" w:lineRule="auto"/>
        <w:tabs>
          <w:tab w:leader="none" w:pos="1741" w:val="left"/>
        </w:tabs>
        <w:numPr>
          <w:ilvl w:val="2"/>
          <w:numId w:val="184"/>
        </w:numPr>
        <w:rPr>
          <w:rFonts w:ascii="Arial" w:cs="Arial" w:eastAsia="Arial" w:hAnsi="Arial"/>
          <w:sz w:val="18"/>
          <w:szCs w:val="18"/>
          <w:color w:val="auto"/>
        </w:rPr>
      </w:pPr>
      <w:r>
        <w:rPr>
          <w:rFonts w:ascii="Arial" w:cs="Arial" w:eastAsia="Arial" w:hAnsi="Arial"/>
          <w:sz w:val="18"/>
          <w:szCs w:val="18"/>
          <w:color w:val="auto"/>
        </w:rPr>
        <w:t xml:space="preserve">unsecured Indebtedness and Subordinated Indebtedness and the refinancing, refunding, renewal and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each issuance of such Indebtedness at the time of issuance, (i) no Default or Event of Default shall have occurred and be continuing or would be caused by the issuance of such Indebtedness, (ii) the Administrative Agent shall have received reasonably satisfactory written evidence that the Company would be in compliance with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on a pro forma basis after giving effect to the issuance of any such Indebtedness, and (iii) (x) the maturity date of such Indebtedness shall be no earlier than the date which is six months following the Maturity Date and such Indebtedness shall not be subject to amortization or prepayment prior to such date (other than any such amortization or prepayments permitted to be paid under the applicable intercreditor or subordination agreement with respect to such Indebtedness as to which the Administrative Agent is a party) and (y) the financial covenants and events of default to which such Indebtedness is subject are not more restrictive, when taken as a whole, than the financial covenants and the Events of Default under this Agreement, as determined in good faith by the Company and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fails to object to such determination of the Company within three</w:t>
      </w:r>
    </w:p>
    <w:p>
      <w:pPr>
        <w:spacing w:after="0" w:line="7" w:lineRule="exact"/>
        <w:rPr>
          <w:rFonts w:ascii="Arial" w:cs="Arial" w:eastAsia="Arial" w:hAnsi="Arial"/>
          <w:sz w:val="18"/>
          <w:szCs w:val="18"/>
          <w:color w:val="auto"/>
        </w:rPr>
      </w:pPr>
    </w:p>
    <w:p>
      <w:pPr>
        <w:jc w:val="both"/>
        <w:ind w:left="660" w:hanging="4"/>
        <w:spacing w:after="0" w:line="241" w:lineRule="auto"/>
        <w:tabs>
          <w:tab w:leader="none" w:pos="965" w:val="left"/>
        </w:tabs>
        <w:numPr>
          <w:ilvl w:val="0"/>
          <w:numId w:val="185"/>
        </w:numPr>
        <w:rPr>
          <w:rFonts w:ascii="Arial" w:cs="Arial" w:eastAsia="Arial" w:hAnsi="Arial"/>
          <w:sz w:val="20"/>
          <w:szCs w:val="20"/>
          <w:color w:val="auto"/>
        </w:rPr>
      </w:pPr>
      <w:r>
        <w:rPr>
          <w:rFonts w:ascii="Arial" w:cs="Arial" w:eastAsia="Arial" w:hAnsi="Arial"/>
          <w:sz w:val="20"/>
          <w:szCs w:val="20"/>
          <w:color w:val="auto"/>
        </w:rPr>
        <w:t>Business Days after receipt of written notification thereof, the Administrative Agent will be deemed to have agreed with the Company’s determination), unless the Company agrees to amend this Agreement such that the conditions in this clause (iii) would be satisfied upon the execution of such amendment;</w:t>
      </w:r>
    </w:p>
    <w:p>
      <w:pPr>
        <w:spacing w:after="0" w:line="195" w:lineRule="exact"/>
        <w:rPr>
          <w:rFonts w:ascii="Arial" w:cs="Arial" w:eastAsia="Arial" w:hAnsi="Arial"/>
          <w:sz w:val="20"/>
          <w:szCs w:val="20"/>
          <w:color w:val="auto"/>
        </w:rPr>
      </w:pPr>
    </w:p>
    <w:p>
      <w:pPr>
        <w:jc w:val="both"/>
        <w:ind w:left="660" w:firstLine="644"/>
        <w:spacing w:after="0" w:line="250" w:lineRule="auto"/>
        <w:tabs>
          <w:tab w:leader="none" w:pos="1830" w:val="left"/>
        </w:tabs>
        <w:numPr>
          <w:ilvl w:val="2"/>
          <w:numId w:val="185"/>
        </w:numPr>
        <w:rPr>
          <w:rFonts w:ascii="Arial" w:cs="Arial" w:eastAsia="Arial" w:hAnsi="Arial"/>
          <w:sz w:val="20"/>
          <w:szCs w:val="20"/>
          <w:color w:val="auto"/>
        </w:rPr>
      </w:pPr>
      <w:r>
        <w:rPr>
          <w:rFonts w:ascii="Arial" w:cs="Arial" w:eastAsia="Arial" w:hAnsi="Arial"/>
          <w:sz w:val="20"/>
          <w:szCs w:val="20"/>
          <w:color w:val="auto"/>
        </w:rPr>
        <w:t xml:space="preserve">Indebtedness incurred by the Company or any Restricted Subsidiary thereof arising from agreements providing for indemnification, adjustment of purchase price or similar obligations incurred or assumed in connection with any Permitted Acquisition to the extent permitted pursuant to </w:t>
      </w:r>
      <w:r>
        <w:rPr>
          <w:rFonts w:ascii="Arial" w:cs="Arial" w:eastAsia="Arial" w:hAnsi="Arial"/>
          <w:sz w:val="20"/>
          <w:szCs w:val="20"/>
          <w:u w:val="single" w:color="auto"/>
          <w:color w:val="auto"/>
        </w:rPr>
        <w:t>Section 10.3(g)</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56" w:val="left"/>
        </w:tabs>
        <w:numPr>
          <w:ilvl w:val="2"/>
          <w:numId w:val="185"/>
        </w:numPr>
        <w:rPr>
          <w:rFonts w:ascii="Arial" w:cs="Arial" w:eastAsia="Arial" w:hAnsi="Arial"/>
          <w:sz w:val="20"/>
          <w:szCs w:val="20"/>
          <w:color w:val="auto"/>
        </w:rPr>
      </w:pPr>
      <w:r>
        <w:rPr>
          <w:rFonts w:ascii="Arial" w:cs="Arial" w:eastAsia="Arial" w:hAnsi="Arial"/>
          <w:sz w:val="20"/>
          <w:szCs w:val="20"/>
          <w:color w:val="auto"/>
        </w:rPr>
        <w:t xml:space="preserve">Indebtedness of Foreign Subsidiaries of the Company that are Restricted Subsidiaries in an aggregate principal amount not to exceed $50,000,000 at any time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shall at all times be and remain non-recourse to any Credit Party and, at the time of such issuance, no Default or Event of Default exists;</w:t>
      </w:r>
    </w:p>
    <w:p>
      <w:pPr>
        <w:spacing w:after="0" w:line="185" w:lineRule="exact"/>
        <w:rPr>
          <w:rFonts w:ascii="Arial" w:cs="Arial" w:eastAsia="Arial" w:hAnsi="Arial"/>
          <w:sz w:val="20"/>
          <w:szCs w:val="20"/>
          <w:color w:val="auto"/>
        </w:rPr>
      </w:pPr>
    </w:p>
    <w:p>
      <w:pPr>
        <w:ind w:left="1680" w:hanging="376"/>
        <w:spacing w:after="0"/>
        <w:tabs>
          <w:tab w:leader="none" w:pos="1680" w:val="left"/>
        </w:tabs>
        <w:numPr>
          <w:ilvl w:val="2"/>
          <w:numId w:val="18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2"/>
          <w:numId w:val="185"/>
        </w:numPr>
        <w:rPr>
          <w:rFonts w:ascii="Arial" w:cs="Arial" w:eastAsia="Arial" w:hAnsi="Arial"/>
          <w:sz w:val="19"/>
          <w:szCs w:val="19"/>
          <w:color w:val="auto"/>
        </w:rPr>
      </w:pPr>
      <w:r>
        <w:rPr>
          <w:rFonts w:ascii="Arial" w:cs="Arial" w:eastAsia="Arial" w:hAnsi="Arial"/>
          <w:sz w:val="19"/>
          <w:szCs w:val="19"/>
          <w:color w:val="auto"/>
        </w:rPr>
        <w:t>other Indebtedness, in an aggregate amount not to exceed $25,000,000 at any time outstanding for this clause (j);</w:t>
      </w:r>
    </w:p>
    <w:p>
      <w:pPr>
        <w:spacing w:after="0" w:line="227" w:lineRule="exact"/>
        <w:rPr>
          <w:rFonts w:ascii="Arial" w:cs="Arial" w:eastAsia="Arial" w:hAnsi="Arial"/>
          <w:sz w:val="19"/>
          <w:szCs w:val="19"/>
          <w:color w:val="auto"/>
        </w:rPr>
      </w:pPr>
    </w:p>
    <w:p>
      <w:pPr>
        <w:ind w:left="660" w:firstLine="644"/>
        <w:spacing w:after="0" w:line="260" w:lineRule="auto"/>
        <w:tabs>
          <w:tab w:leader="none" w:pos="1824" w:val="left"/>
        </w:tabs>
        <w:numPr>
          <w:ilvl w:val="2"/>
          <w:numId w:val="185"/>
        </w:numPr>
        <w:rPr>
          <w:rFonts w:ascii="Arial" w:cs="Arial" w:eastAsia="Arial" w:hAnsi="Arial"/>
          <w:sz w:val="20"/>
          <w:szCs w:val="20"/>
          <w:color w:val="auto"/>
        </w:rPr>
      </w:pPr>
      <w:r>
        <w:rPr>
          <w:rFonts w:ascii="Arial" w:cs="Arial" w:eastAsia="Arial" w:hAnsi="Arial"/>
          <w:sz w:val="20"/>
          <w:szCs w:val="20"/>
          <w:color w:val="auto"/>
        </w:rPr>
        <w:t xml:space="preserve">Indebtedness existing on the Closing Date and listed on </w:t>
      </w:r>
      <w:r>
        <w:rPr>
          <w:rFonts w:ascii="Arial" w:cs="Arial" w:eastAsia="Arial" w:hAnsi="Arial"/>
          <w:sz w:val="20"/>
          <w:szCs w:val="20"/>
          <w:u w:val="single" w:color="auto"/>
          <w:color w:val="auto"/>
        </w:rPr>
        <w:t>Schedule 10.1</w:t>
      </w:r>
      <w:r>
        <w:rPr>
          <w:rFonts w:ascii="Arial" w:cs="Arial" w:eastAsia="Arial" w:hAnsi="Arial"/>
          <w:sz w:val="20"/>
          <w:szCs w:val="20"/>
          <w:color w:val="auto"/>
        </w:rPr>
        <w:t xml:space="preserve"> and the renewal, refinancing, extension and replacement (but not the increase in the aggregate principal amount) thereof;</w:t>
      </w:r>
    </w:p>
    <w:p>
      <w:pPr>
        <w:spacing w:after="0" w:line="176" w:lineRule="exact"/>
        <w:rPr>
          <w:rFonts w:ascii="Arial" w:cs="Arial" w:eastAsia="Arial" w:hAnsi="Arial"/>
          <w:sz w:val="20"/>
          <w:szCs w:val="20"/>
          <w:color w:val="auto"/>
        </w:rPr>
      </w:pPr>
    </w:p>
    <w:p>
      <w:pPr>
        <w:ind w:left="660" w:firstLine="644"/>
        <w:spacing w:after="0" w:line="260" w:lineRule="auto"/>
        <w:tabs>
          <w:tab w:leader="none" w:pos="1775" w:val="left"/>
        </w:tabs>
        <w:numPr>
          <w:ilvl w:val="2"/>
          <w:numId w:val="185"/>
        </w:numPr>
        <w:rPr>
          <w:rFonts w:ascii="Arial" w:cs="Arial" w:eastAsia="Arial" w:hAnsi="Arial"/>
          <w:sz w:val="20"/>
          <w:szCs w:val="20"/>
          <w:color w:val="auto"/>
        </w:rPr>
      </w:pPr>
      <w:r>
        <w:rPr>
          <w:rFonts w:ascii="Arial" w:cs="Arial" w:eastAsia="Arial" w:hAnsi="Arial"/>
          <w:sz w:val="20"/>
          <w:szCs w:val="20"/>
          <w:color w:val="auto"/>
        </w:rPr>
        <w:t>other Indebtedness in an aggregate principal amount not to exceed $5,000,000 at any time outstanding for letters of credit not issued by the Issuing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79" w:name="page180"/>
    <w:bookmarkEnd w:id="179"/>
    <w:p>
      <w:pPr>
        <w:jc w:val="both"/>
        <w:ind w:left="660" w:firstLine="644"/>
        <w:spacing w:after="0" w:line="250" w:lineRule="auto"/>
        <w:tabs>
          <w:tab w:leader="none" w:pos="183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Indebtedness in respect of performance bonds, bid bonds, appeal bonds, bankers acceptances, letters of credit, surety bonds or other similar obligations arising in the ordinary course of business, and any refinancing thereof to the extent not provided to secure the repayment of other Indebtedness;</w:t>
      </w:r>
    </w:p>
    <w:p>
      <w:pPr>
        <w:spacing w:after="0" w:line="185" w:lineRule="exact"/>
        <w:rPr>
          <w:rFonts w:ascii="Arial" w:cs="Arial" w:eastAsia="Arial" w:hAnsi="Arial"/>
          <w:sz w:val="20"/>
          <w:szCs w:val="20"/>
          <w:color w:val="auto"/>
        </w:rPr>
      </w:pPr>
    </w:p>
    <w:p>
      <w:pPr>
        <w:ind w:left="660" w:firstLine="644"/>
        <w:spacing w:after="0" w:line="316" w:lineRule="auto"/>
        <w:tabs>
          <w:tab w:leader="none" w:pos="17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Indebtedness related to customer financings;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such Indebtedness and all Investments made pursuant to </w:t>
      </w:r>
      <w:r>
        <w:rPr>
          <w:rFonts w:ascii="Arial" w:cs="Arial" w:eastAsia="Arial" w:hAnsi="Arial"/>
          <w:sz w:val="18"/>
          <w:szCs w:val="18"/>
          <w:u w:val="single" w:color="auto"/>
          <w:color w:val="auto"/>
        </w:rPr>
        <w:t>Section 10.3(j)</w:t>
      </w:r>
      <w:r>
        <w:rPr>
          <w:rFonts w:ascii="Arial" w:cs="Arial" w:eastAsia="Arial" w:hAnsi="Arial"/>
          <w:sz w:val="18"/>
          <w:szCs w:val="18"/>
          <w:color w:val="auto"/>
        </w:rPr>
        <w:t xml:space="preserve"> shall not exceed $25,000,000 at any time outstanding; and</w:t>
      </w:r>
    </w:p>
    <w:p>
      <w:pPr>
        <w:spacing w:after="0" w:line="129" w:lineRule="exact"/>
        <w:rPr>
          <w:rFonts w:ascii="Arial" w:cs="Arial" w:eastAsia="Arial" w:hAnsi="Arial"/>
          <w:sz w:val="18"/>
          <w:szCs w:val="18"/>
          <w:color w:val="auto"/>
        </w:rPr>
      </w:pPr>
    </w:p>
    <w:p>
      <w:pPr>
        <w:jc w:val="both"/>
        <w:ind w:left="660" w:firstLine="644"/>
        <w:spacing w:after="0" w:line="243" w:lineRule="auto"/>
        <w:tabs>
          <w:tab w:leader="none" w:pos="1751"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Indebtedness (i) of a Person that becomes a Restricted Subsidiary of the Company after the Closing Date in connection with any Permitted Acquisition or (ii) assumed in connection with any assets acquired in connection with any Permitted Acquisition, and the refinancing, refunding, renewal and extension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(x) exists at the time such Person becomes a Restricted Subsidiary or such assets are acquired and is not created in contemplation of, or in connection with, such Person becoming a Restricted Subsidiary or such assets being acquired and (y) shall not exceed $25,000,000 in the aggregate on any date of determination.</w:t>
      </w:r>
    </w:p>
    <w:p>
      <w:pPr>
        <w:spacing w:after="0" w:line="190"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Limitations on Liens</w:t>
      </w:r>
      <w:r>
        <w:rPr>
          <w:rFonts w:ascii="Arial" w:cs="Arial" w:eastAsia="Arial" w:hAnsi="Arial"/>
          <w:sz w:val="18"/>
          <w:szCs w:val="18"/>
          <w:color w:val="auto"/>
        </w:rPr>
        <w:t>. Create, incur, assume or suffer to exist, any Lien on or with respect to any of its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(including, without limitation, shares of Capital Stock), real or personal, whether now owned or hereafter acquired, except:</w:t>
      </w:r>
    </w:p>
    <w:p>
      <w:pPr>
        <w:spacing w:after="0" w:line="124" w:lineRule="exact"/>
        <w:rPr>
          <w:sz w:val="20"/>
          <w:szCs w:val="20"/>
          <w:color w:val="auto"/>
        </w:rPr>
      </w:pPr>
    </w:p>
    <w:p>
      <w:pPr>
        <w:jc w:val="both"/>
        <w:ind w:left="660" w:firstLine="644"/>
        <w:spacing w:after="0" w:line="291" w:lineRule="auto"/>
        <w:tabs>
          <w:tab w:leader="none" w:pos="17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for Taxes (excluding any Lien imposed pursuant to any of the provisions of ERISA or Environmental Laws) not yet due or as to which the period of grace (not to exceed thirty (30) days), if any, related thereto has not expired or which are being contested in good faith and by appropriate proceedings if adequate reserves are maintained to the extent required by GAAP;</w:t>
      </w:r>
    </w:p>
    <w:p>
      <w:pPr>
        <w:spacing w:after="0" w:line="151" w:lineRule="exact"/>
        <w:rPr>
          <w:rFonts w:ascii="Arial" w:cs="Arial" w:eastAsia="Arial" w:hAnsi="Arial"/>
          <w:sz w:val="18"/>
          <w:szCs w:val="18"/>
          <w:color w:val="auto"/>
        </w:rPr>
      </w:pPr>
    </w:p>
    <w:p>
      <w:pPr>
        <w:jc w:val="both"/>
        <w:ind w:left="660" w:firstLine="644"/>
        <w:spacing w:after="0" w:line="250" w:lineRule="auto"/>
        <w:tabs>
          <w:tab w:leader="none" w:pos="175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claims of materialmen, mechanics, carriers, warehousemen, processors or landlords for labor, materials, supplies or rentals incurred in the ordinary course of business, (i) which are not overdue for a period of more than sixty (60) days or (ii) which are being contested in good faith and by appropriate proceedings;</w:t>
      </w:r>
    </w:p>
    <w:p>
      <w:pPr>
        <w:spacing w:after="0" w:line="185" w:lineRule="exact"/>
        <w:rPr>
          <w:rFonts w:ascii="Arial" w:cs="Arial" w:eastAsia="Arial" w:hAnsi="Arial"/>
          <w:sz w:val="20"/>
          <w:szCs w:val="20"/>
          <w:color w:val="auto"/>
        </w:rPr>
      </w:pPr>
    </w:p>
    <w:p>
      <w:pPr>
        <w:ind w:left="660" w:firstLine="644"/>
        <w:spacing w:after="0" w:line="260" w:lineRule="auto"/>
        <w:tabs>
          <w:tab w:leader="none" w:pos="185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consisting of deposits or pledges made in the ordinary course of business in connection with, or to secure payment of, obligations under workers’ compensation, unemployment insurance or similar legislation;</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7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constituting encumbrances in the nature of zoning restrictions, easements and rights or restrictions of record on the use of real property, which in the aggregate do not result in a Material Adverse Effect and which do not, in any case, detract from the value of such property or impair the use thereof in the ordinary conduct of business;</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Liens securing the Obligations;</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Liens not otherwise permitted by this Section and in existence on the Closing Date and described on </w:t>
      </w:r>
      <w:r>
        <w:rPr>
          <w:rFonts w:ascii="Arial" w:cs="Arial" w:eastAsia="Arial" w:hAnsi="Arial"/>
          <w:sz w:val="18"/>
          <w:szCs w:val="18"/>
          <w:u w:val="single" w:color="auto"/>
          <w:color w:val="auto"/>
        </w:rPr>
        <w:t>Schedule 10.2</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660" w:firstLine="644"/>
        <w:spacing w:after="0" w:line="291" w:lineRule="auto"/>
        <w:tabs>
          <w:tab w:leader="none" w:pos="174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shall be created substantially simultaneously with or within 180 days of the acquisition or lease of the related asset, (ii) such Liens do not at any time encumber any property other than the property financed by such Indebtedness, (iii) the amount of Indebtedness secured thereby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0" w:name="page181"/>
    <w:bookmarkEnd w:id="180"/>
    <w:p>
      <w:pPr>
        <w:ind w:left="660" w:firstLine="6"/>
        <w:spacing w:after="0" w:line="260" w:lineRule="auto"/>
        <w:rPr>
          <w:sz w:val="20"/>
          <w:szCs w:val="20"/>
          <w:color w:val="auto"/>
        </w:rPr>
      </w:pPr>
      <w:r>
        <w:rPr>
          <w:rFonts w:ascii="Arial" w:cs="Arial" w:eastAsia="Arial" w:hAnsi="Arial"/>
          <w:sz w:val="20"/>
          <w:szCs w:val="20"/>
          <w:color w:val="auto"/>
        </w:rPr>
        <w:t>increased and (iv) the principal amount of Indebtedness secured by any such Lien shall at no time exceed one hundred percent (100%) of the original purchase price or lease payment amount of such property at the time it was acquired;</w:t>
      </w:r>
    </w:p>
    <w:p>
      <w:pPr>
        <w:spacing w:after="0" w:line="177" w:lineRule="exact"/>
        <w:rPr>
          <w:sz w:val="20"/>
          <w:szCs w:val="20"/>
          <w:color w:val="auto"/>
        </w:rPr>
      </w:pPr>
    </w:p>
    <w:p>
      <w:pPr>
        <w:jc w:val="both"/>
        <w:ind w:left="660" w:firstLine="644"/>
        <w:spacing w:after="0" w:line="291" w:lineRule="auto"/>
        <w:tabs>
          <w:tab w:leader="none" w:pos="17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deposits to secure the performance of bids, tenders, trade contracts, liability to insurance carriers and leases (other than Indebtedness), statutory obligations, surety bonds (other than bonds related to judgments or litigation), performance bonds, contractual or warranty obligations and other obligations of a like nature incurred in the ordinary course of business;</w:t>
      </w:r>
    </w:p>
    <w:p>
      <w:pPr>
        <w:spacing w:after="0" w:line="151" w:lineRule="exact"/>
        <w:rPr>
          <w:rFonts w:ascii="Arial" w:cs="Arial" w:eastAsia="Arial" w:hAnsi="Arial"/>
          <w:sz w:val="18"/>
          <w:szCs w:val="18"/>
          <w:color w:val="auto"/>
        </w:rPr>
      </w:pPr>
    </w:p>
    <w:p>
      <w:pPr>
        <w:ind w:left="660" w:firstLine="644"/>
        <w:spacing w:after="0" w:line="260" w:lineRule="auto"/>
        <w:tabs>
          <w:tab w:leader="none" w:pos="179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Section 11.1(n)</w:t>
      </w:r>
      <w:r>
        <w:rPr>
          <w:rFonts w:ascii="Arial" w:cs="Arial" w:eastAsia="Arial" w:hAnsi="Arial"/>
          <w:sz w:val="20"/>
          <w:szCs w:val="20"/>
          <w:color w:val="auto"/>
        </w:rPr>
        <w:t xml:space="preserve"> or securing appeal or other surety bonds related to such judgments;</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69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solely on the assets of Foreign Subsidiaries of the Company that are Restricted Subsidiaries securing Indebtedness of such Foreign Subsidiaries that is permitted pursuant to </w:t>
      </w:r>
      <w:r>
        <w:rPr>
          <w:rFonts w:ascii="Arial" w:cs="Arial" w:eastAsia="Arial" w:hAnsi="Arial"/>
          <w:sz w:val="20"/>
          <w:szCs w:val="20"/>
          <w:u w:val="single" w:color="auto"/>
          <w:color w:val="auto"/>
        </w:rPr>
        <w:t>Section 10.1(h)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shall not extend to any assets of any Credit Party or any of its Domestic Subsidiaries and (ii) the aggregate principal amount of obligations secured by such Liens shall not exceed $35,000,000 at any time outstanding;</w:t>
      </w:r>
    </w:p>
    <w:p>
      <w:pPr>
        <w:spacing w:after="0" w:line="191" w:lineRule="exact"/>
        <w:rPr>
          <w:rFonts w:ascii="Arial" w:cs="Arial" w:eastAsia="Arial" w:hAnsi="Arial"/>
          <w:sz w:val="20"/>
          <w:szCs w:val="20"/>
          <w:color w:val="auto"/>
        </w:rPr>
      </w:pPr>
    </w:p>
    <w:p>
      <w:pPr>
        <w:ind w:left="1740" w:hanging="436"/>
        <w:spacing w:after="0"/>
        <w:tabs>
          <w:tab w:leader="none" w:pos="17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10.1(m)</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1941"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on assets of any Restricted Subsidiary acquired pursuant to a Permitted Acquisition, or on assets of any Restricted Subsidiary which are in existence at the time that such Restricted Subsidiary is acquired pursuant to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(i) are not incurred in connection with, or in anticipation of, such Permitted Acquisition, (ii) are applicable only to specific assets, (iii) are not “blanket” or all asset Liens and (iv) do not attach to any other property or assets of any Credit Party);</w:t>
      </w:r>
    </w:p>
    <w:p>
      <w:pPr>
        <w:spacing w:after="0" w:line="194" w:lineRule="exact"/>
        <w:rPr>
          <w:rFonts w:ascii="Arial" w:cs="Arial" w:eastAsia="Arial" w:hAnsi="Arial"/>
          <w:sz w:val="20"/>
          <w:szCs w:val="20"/>
          <w:color w:val="auto"/>
        </w:rPr>
      </w:pPr>
    </w:p>
    <w:p>
      <w:pPr>
        <w:jc w:val="both"/>
        <w:ind w:left="660" w:firstLine="644"/>
        <w:spacing w:after="0" w:line="246" w:lineRule="auto"/>
        <w:tabs>
          <w:tab w:leader="none" w:pos="1921"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 Liens of a collecting bank arising in the ordinary course of business under Section 4-208 of the Uniform Commercial Code in effect in the relevant jurisdiction and (ii) Liens of any depositary bank in connection with statutory, common law and contractual rights of set-off and recoupment with respect to any deposit account of the Company or any of its Restricted Subsidiaries;</w:t>
      </w:r>
    </w:p>
    <w:p>
      <w:pPr>
        <w:spacing w:after="0" w:line="191" w:lineRule="exact"/>
        <w:rPr>
          <w:rFonts w:ascii="Arial" w:cs="Arial" w:eastAsia="Arial" w:hAnsi="Arial"/>
          <w:sz w:val="20"/>
          <w:szCs w:val="20"/>
          <w:color w:val="auto"/>
        </w:rPr>
      </w:pPr>
    </w:p>
    <w:p>
      <w:pPr>
        <w:jc w:val="both"/>
        <w:ind w:left="660" w:firstLine="644"/>
        <w:spacing w:after="0" w:line="243" w:lineRule="auto"/>
        <w:tabs>
          <w:tab w:leader="none" w:pos="181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any extension, renewal or replacement of any Lien permitted by clauses (a) through (n);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Liens permitted under this clause (o) shall not (A) secure any Indebtedness other than the Indebtedness that was secured by the Lien being extended, renewed or replaced and (B) be extended to cover any property that was not encumbered by the Lien being extended, renewed or replaced; (ii) the principal amount of Indebtedness secured by the Lien permitted by this clause (o) shall not be increased over the principal amount of such Indebtedness immediately prior to such extension, renewal or replacement and (iii) both before and after giving effect to such extension, renewal or replacement, no Default or Event of Default shall occur and be continuing or would result therefrom;</w:t>
      </w:r>
    </w:p>
    <w:p>
      <w:pPr>
        <w:spacing w:after="0" w:line="192" w:lineRule="exact"/>
        <w:rPr>
          <w:rFonts w:ascii="Arial" w:cs="Arial" w:eastAsia="Arial" w:hAnsi="Arial"/>
          <w:sz w:val="20"/>
          <w:szCs w:val="20"/>
          <w:color w:val="auto"/>
        </w:rPr>
      </w:pPr>
    </w:p>
    <w:p>
      <w:pPr>
        <w:ind w:left="1740" w:hanging="436"/>
        <w:spacing w:after="0"/>
        <w:tabs>
          <w:tab w:leader="none" w:pos="17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arising from precautionary UCC filings regarding “true” operating leases; and</w:t>
      </w:r>
    </w:p>
    <w:p>
      <w:pPr>
        <w:spacing w:after="0" w:line="215" w:lineRule="exact"/>
        <w:rPr>
          <w:rFonts w:ascii="Arial" w:cs="Arial" w:eastAsia="Arial" w:hAnsi="Arial"/>
          <w:sz w:val="20"/>
          <w:szCs w:val="20"/>
          <w:color w:val="auto"/>
        </w:rPr>
      </w:pPr>
    </w:p>
    <w:p>
      <w:pPr>
        <w:ind w:left="660" w:firstLine="644"/>
        <w:spacing w:after="0" w:line="260" w:lineRule="auto"/>
        <w:tabs>
          <w:tab w:leader="none" w:pos="187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not otherwise permitted hereunder on assets other than the Collateral securing obligations not at any time exceeding in the aggregate $40,000,000.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1" w:name="page182"/>
    <w:bookmarkEnd w:id="181"/>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Limitations on Loans, Advances, Investments and Acquisitions</w:t>
      </w:r>
      <w:r>
        <w:rPr>
          <w:rFonts w:ascii="Arial" w:cs="Arial" w:eastAsia="Arial" w:hAnsi="Arial"/>
          <w:sz w:val="18"/>
          <w:szCs w:val="18"/>
          <w:color w:val="auto"/>
        </w:rPr>
        <w:t>. Purchase, own, invest in or otherwise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any Capital Stock, interests in any partnership or joint venture (including, without limitation, the creation or capitalization of any Restricted Subsidiary), evidence of Indebtedness or other obligation or security, substantially all or a portion of the business or assets of any other Person or any other investment or interest whatsoever in any other Person, or make or permit to exist, any loans, advances or extensions of credit to, or any investment in cash or by delivery of property in, any Person (each,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162" w:lineRule="exact"/>
        <w:rPr>
          <w:sz w:val="20"/>
          <w:szCs w:val="20"/>
          <w:color w:val="auto"/>
        </w:rPr>
      </w:pPr>
    </w:p>
    <w:p>
      <w:pPr>
        <w:ind w:left="1720" w:hanging="416"/>
        <w:spacing w:after="0"/>
        <w:tabs>
          <w:tab w:leader="none" w:pos="172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Investments in any of the following (collectively “</w:t>
      </w:r>
      <w:r>
        <w:rPr>
          <w:rFonts w:ascii="Arial" w:cs="Arial" w:eastAsia="Arial" w:hAnsi="Arial"/>
          <w:sz w:val="20"/>
          <w:szCs w:val="20"/>
          <w:u w:val="single" w:color="auto"/>
          <w:color w:val="auto"/>
        </w:rPr>
        <w:t>Cash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50" w:lineRule="auto"/>
        <w:tabs>
          <w:tab w:leader="none" w:pos="235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with commercial banks or savings banks or savings and loan associations each having membership either in the FDIC or the deposits of which are insured by the FDIC and in amounts not exceeding the maximum amounts of insurance thereunder;</w:t>
      </w:r>
    </w:p>
    <w:p>
      <w:pPr>
        <w:spacing w:after="0" w:line="185" w:lineRule="exact"/>
        <w:rPr>
          <w:rFonts w:ascii="Arial" w:cs="Arial" w:eastAsia="Arial" w:hAnsi="Arial"/>
          <w:sz w:val="20"/>
          <w:szCs w:val="20"/>
          <w:color w:val="auto"/>
        </w:rPr>
      </w:pPr>
    </w:p>
    <w:p>
      <w:pPr>
        <w:jc w:val="both"/>
        <w:ind w:left="660" w:firstLine="1292"/>
        <w:spacing w:after="0" w:line="250" w:lineRule="auto"/>
        <w:tabs>
          <w:tab w:leader="none" w:pos="2497" w:val="left"/>
        </w:tabs>
        <w:numPr>
          <w:ilvl w:val="1"/>
          <w:numId w:val="189"/>
        </w:numPr>
        <w:rPr>
          <w:rFonts w:ascii="Arial" w:cs="Arial" w:eastAsia="Arial" w:hAnsi="Arial"/>
          <w:sz w:val="20"/>
          <w:szCs w:val="20"/>
          <w:color w:val="auto"/>
        </w:rPr>
      </w:pPr>
      <w:r>
        <w:rPr>
          <w:rFonts w:ascii="Arial" w:cs="Arial" w:eastAsia="Arial" w:hAnsi="Arial"/>
          <w:sz w:val="20"/>
          <w:szCs w:val="20"/>
          <w:color w:val="auto"/>
        </w:rPr>
        <w:t>any variable or fixed rate notes (other than notes of the type described in clause (ix) below) issued by, or guaranteed by, any domestic corporation rated A-1 (or the equivalent thereof) or better by S&amp;P or P-1 (or the equivalent thereof) or better by Moody’s and maturing within twelve (12) months of the date of acquisition;</w:t>
      </w:r>
    </w:p>
    <w:p>
      <w:pPr>
        <w:spacing w:after="0" w:line="185" w:lineRule="exact"/>
        <w:rPr>
          <w:rFonts w:ascii="Arial" w:cs="Arial" w:eastAsia="Arial" w:hAnsi="Arial"/>
          <w:sz w:val="20"/>
          <w:szCs w:val="20"/>
          <w:color w:val="auto"/>
        </w:rPr>
      </w:pPr>
    </w:p>
    <w:p>
      <w:pPr>
        <w:ind w:left="660" w:firstLine="1292"/>
        <w:spacing w:after="0" w:line="260" w:lineRule="auto"/>
        <w:tabs>
          <w:tab w:leader="none" w:pos="2467" w:val="left"/>
        </w:tabs>
        <w:numPr>
          <w:ilvl w:val="1"/>
          <w:numId w:val="189"/>
        </w:numPr>
        <w:rPr>
          <w:rFonts w:ascii="Arial" w:cs="Arial" w:eastAsia="Arial" w:hAnsi="Arial"/>
          <w:sz w:val="20"/>
          <w:szCs w:val="20"/>
          <w:color w:val="auto"/>
        </w:rPr>
      </w:pPr>
      <w:r>
        <w:rPr>
          <w:rFonts w:ascii="Arial" w:cs="Arial" w:eastAsia="Arial" w:hAnsi="Arial"/>
          <w:sz w:val="20"/>
          <w:szCs w:val="20"/>
          <w:color w:val="auto"/>
        </w:rPr>
        <w:t>auction preferred stocks having the highest short-term credit rating by S&amp;P or Moody’s; Investments as of the Closing Date in Restricted Subsidiaries existing on the Closing Date;</w:t>
      </w:r>
    </w:p>
    <w:p>
      <w:pPr>
        <w:spacing w:after="0" w:line="176" w:lineRule="exact"/>
        <w:rPr>
          <w:rFonts w:ascii="Arial" w:cs="Arial" w:eastAsia="Arial" w:hAnsi="Arial"/>
          <w:sz w:val="20"/>
          <w:szCs w:val="20"/>
          <w:color w:val="auto"/>
        </w:rPr>
      </w:pPr>
    </w:p>
    <w:p>
      <w:pPr>
        <w:ind w:left="660" w:firstLine="1292"/>
        <w:spacing w:after="0" w:line="260" w:lineRule="auto"/>
        <w:tabs>
          <w:tab w:leader="none" w:pos="2464" w:val="left"/>
        </w:tabs>
        <w:numPr>
          <w:ilvl w:val="1"/>
          <w:numId w:val="189"/>
        </w:numPr>
        <w:rPr>
          <w:rFonts w:ascii="Arial" w:cs="Arial" w:eastAsia="Arial" w:hAnsi="Arial"/>
          <w:sz w:val="20"/>
          <w:szCs w:val="20"/>
          <w:color w:val="auto"/>
        </w:rPr>
      </w:pPr>
      <w:r>
        <w:rPr>
          <w:rFonts w:ascii="Arial" w:cs="Arial" w:eastAsia="Arial" w:hAnsi="Arial"/>
          <w:sz w:val="20"/>
          <w:szCs w:val="20"/>
          <w:color w:val="auto"/>
        </w:rPr>
        <w:t>marketable direct obligations issued or unconditionally guaranteed by the United States or any agency thereof maturing within one (1) year from the date of acquisition thereof;</w:t>
      </w:r>
    </w:p>
    <w:p>
      <w:pPr>
        <w:spacing w:after="0" w:line="176" w:lineRule="exact"/>
        <w:rPr>
          <w:rFonts w:ascii="Arial" w:cs="Arial" w:eastAsia="Arial" w:hAnsi="Arial"/>
          <w:sz w:val="20"/>
          <w:szCs w:val="20"/>
          <w:color w:val="auto"/>
        </w:rPr>
      </w:pPr>
    </w:p>
    <w:p>
      <w:pPr>
        <w:jc w:val="both"/>
        <w:ind w:left="660" w:firstLine="1292"/>
        <w:spacing w:after="0" w:line="250" w:lineRule="auto"/>
        <w:tabs>
          <w:tab w:leader="none" w:pos="2396" w:val="left"/>
        </w:tabs>
        <w:numPr>
          <w:ilvl w:val="1"/>
          <w:numId w:val="189"/>
        </w:numPr>
        <w:rPr>
          <w:rFonts w:ascii="Arial" w:cs="Arial" w:eastAsia="Arial" w:hAnsi="Arial"/>
          <w:sz w:val="20"/>
          <w:szCs w:val="20"/>
          <w:color w:val="auto"/>
        </w:rPr>
      </w:pPr>
      <w:r>
        <w:rPr>
          <w:rFonts w:ascii="Arial" w:cs="Arial" w:eastAsia="Arial" w:hAnsi="Arial"/>
          <w:sz w:val="20"/>
          <w:szCs w:val="20"/>
          <w:color w:val="auto"/>
        </w:rPr>
        <w:t>commercial paper or banker’s acceptances maturing no more than three hundred sixty-four (364) days from the date of creation thereof and currently having a rating of either A-2 (or the equivalent thereof) or better by S&amp;P or P-2 (or the equivalent thereof) or better by Moody’s;</w:t>
      </w:r>
    </w:p>
    <w:p>
      <w:pPr>
        <w:spacing w:after="0" w:line="185" w:lineRule="exact"/>
        <w:rPr>
          <w:rFonts w:ascii="Arial" w:cs="Arial" w:eastAsia="Arial" w:hAnsi="Arial"/>
          <w:sz w:val="20"/>
          <w:szCs w:val="20"/>
          <w:color w:val="auto"/>
        </w:rPr>
      </w:pPr>
    </w:p>
    <w:p>
      <w:pPr>
        <w:jc w:val="both"/>
        <w:ind w:left="660" w:firstLine="1292"/>
        <w:spacing w:after="0" w:line="278" w:lineRule="auto"/>
        <w:tabs>
          <w:tab w:leader="none" w:pos="251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certificates of deposit maturing no more than three hundred sixty-four (364) days from the date of creation thereof issued by commercial banks incorporated under the laws of the United States, each having combined capital, surplus and undivided profits of not less than $250,000,000 and having a rating of “A” or better by a nationally recognized rating agency;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otherwise approved by the Administrative Agent, the aggregate amount invested in such certificates of deposit shall not at any time exceed $5,000,000 for any one such certificate of deposit and $10,000,000 for any one such bank;</w:t>
      </w:r>
    </w:p>
    <w:p>
      <w:pPr>
        <w:spacing w:after="0" w:line="164" w:lineRule="exact"/>
        <w:rPr>
          <w:rFonts w:ascii="Arial" w:cs="Arial" w:eastAsia="Arial" w:hAnsi="Arial"/>
          <w:sz w:val="18"/>
          <w:szCs w:val="18"/>
          <w:color w:val="auto"/>
        </w:rPr>
      </w:pPr>
    </w:p>
    <w:p>
      <w:pPr>
        <w:ind w:left="2500" w:hanging="548"/>
        <w:spacing w:after="0"/>
        <w:tabs>
          <w:tab w:leader="none" w:pos="25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time deposits maturing no more than three hundred sixty-four (364) days from the date of creation thereof</w:t>
      </w:r>
    </w:p>
    <w:p>
      <w:pPr>
        <w:spacing w:after="0" w:line="238" w:lineRule="exact"/>
        <w:rPr>
          <w:rFonts w:ascii="Arial" w:cs="Arial" w:eastAsia="Arial" w:hAnsi="Arial"/>
          <w:sz w:val="18"/>
          <w:szCs w:val="18"/>
          <w:color w:val="auto"/>
        </w:rPr>
      </w:pPr>
    </w:p>
    <w:p>
      <w:pPr>
        <w:jc w:val="both"/>
        <w:ind w:left="660" w:firstLine="1292"/>
        <w:spacing w:after="0" w:line="250" w:lineRule="auto"/>
        <w:tabs>
          <w:tab w:leader="none" w:pos="2638" w:val="left"/>
        </w:tabs>
        <w:numPr>
          <w:ilvl w:val="1"/>
          <w:numId w:val="189"/>
        </w:numPr>
        <w:rPr>
          <w:rFonts w:ascii="Arial" w:cs="Arial" w:eastAsia="Arial" w:hAnsi="Arial"/>
          <w:sz w:val="20"/>
          <w:szCs w:val="20"/>
          <w:color w:val="auto"/>
        </w:rPr>
      </w:pPr>
      <w:r>
        <w:rPr>
          <w:rFonts w:ascii="Arial" w:cs="Arial" w:eastAsia="Arial" w:hAnsi="Arial"/>
          <w:sz w:val="20"/>
          <w:szCs w:val="20"/>
          <w:color w:val="auto"/>
        </w:rPr>
        <w:t>repurchase agreements with a term of not more than thirty (30) days with a bank or other trust company (including a Lender) or a recognized securities dealer having capital and surplus in excess of $500,000,000 for direct obligations issued by or fully and unconditionally guaranteed or insured by the United States;</w:t>
      </w:r>
    </w:p>
    <w:p>
      <w:pPr>
        <w:spacing w:after="0" w:line="185" w:lineRule="exact"/>
        <w:rPr>
          <w:rFonts w:ascii="Arial" w:cs="Arial" w:eastAsia="Arial" w:hAnsi="Arial"/>
          <w:sz w:val="20"/>
          <w:szCs w:val="20"/>
          <w:color w:val="auto"/>
        </w:rPr>
      </w:pPr>
    </w:p>
    <w:p>
      <w:pPr>
        <w:ind w:left="660" w:firstLine="1292"/>
        <w:spacing w:after="0" w:line="260" w:lineRule="auto"/>
        <w:tabs>
          <w:tab w:leader="none" w:pos="2578" w:val="left"/>
        </w:tabs>
        <w:numPr>
          <w:ilvl w:val="1"/>
          <w:numId w:val="189"/>
        </w:numPr>
        <w:rPr>
          <w:rFonts w:ascii="Arial" w:cs="Arial" w:eastAsia="Arial" w:hAnsi="Arial"/>
          <w:sz w:val="20"/>
          <w:szCs w:val="20"/>
          <w:color w:val="auto"/>
        </w:rPr>
      </w:pPr>
      <w:r>
        <w:rPr>
          <w:rFonts w:ascii="Arial" w:cs="Arial" w:eastAsia="Arial" w:hAnsi="Arial"/>
          <w:sz w:val="20"/>
          <w:szCs w:val="20"/>
          <w:color w:val="auto"/>
        </w:rPr>
        <w:t>obligations of states, municipalities, counties, political subdivisions, agencies of the foregoing and other similar entities and paying interest which is exempt from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182" w:name="page183"/>
    <w:bookmarkEnd w:id="182"/>
    <w:p>
      <w:pPr>
        <w:ind w:left="660" w:firstLine="6"/>
        <w:spacing w:after="0" w:line="260" w:lineRule="auto"/>
        <w:rPr>
          <w:sz w:val="20"/>
          <w:szCs w:val="20"/>
          <w:color w:val="auto"/>
        </w:rPr>
      </w:pPr>
      <w:r>
        <w:rPr>
          <w:rFonts w:ascii="Arial" w:cs="Arial" w:eastAsia="Arial" w:hAnsi="Arial"/>
          <w:sz w:val="20"/>
          <w:szCs w:val="20"/>
          <w:color w:val="auto"/>
        </w:rPr>
        <w:t xml:space="preserve">tax,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maturity of such debt is three hundred sixty-four (364) days or less and such debt is rated at least A1 or MIG-1 by Moody’s or at least A by S&amp;P;</w:t>
      </w:r>
    </w:p>
    <w:p>
      <w:pPr>
        <w:spacing w:after="0" w:line="177" w:lineRule="exact"/>
        <w:rPr>
          <w:sz w:val="20"/>
          <w:szCs w:val="20"/>
          <w:color w:val="auto"/>
        </w:rPr>
      </w:pPr>
    </w:p>
    <w:p>
      <w:pPr>
        <w:jc w:val="both"/>
        <w:ind w:left="660" w:firstLine="1292"/>
        <w:spacing w:after="0" w:line="250" w:lineRule="auto"/>
        <w:tabs>
          <w:tab w:leader="none" w:pos="2387" w:val="left"/>
        </w:tabs>
        <w:numPr>
          <w:ilvl w:val="1"/>
          <w:numId w:val="190"/>
        </w:numPr>
        <w:rPr>
          <w:rFonts w:ascii="Arial" w:cs="Arial" w:eastAsia="Arial" w:hAnsi="Arial"/>
          <w:sz w:val="20"/>
          <w:szCs w:val="20"/>
          <w:color w:val="auto"/>
        </w:rPr>
      </w:pPr>
      <w:r>
        <w:rPr>
          <w:rFonts w:ascii="Arial" w:cs="Arial" w:eastAsia="Arial" w:hAnsi="Arial"/>
          <w:sz w:val="20"/>
          <w:szCs w:val="20"/>
          <w:color w:val="auto"/>
        </w:rPr>
        <w:t>variable rate demand notes (low floaters) to the extent such notes may be sold at no less than par upon not more than (7) days’ notice and so long as such obligations have been provided credit support by the issuance of a letter of credit from a commercial bank meeting the description in clause (iv) above;</w:t>
      </w:r>
    </w:p>
    <w:p>
      <w:pPr>
        <w:spacing w:after="0" w:line="185" w:lineRule="exact"/>
        <w:rPr>
          <w:rFonts w:ascii="Arial" w:cs="Arial" w:eastAsia="Arial" w:hAnsi="Arial"/>
          <w:sz w:val="20"/>
          <w:szCs w:val="20"/>
          <w:color w:val="auto"/>
        </w:rPr>
      </w:pPr>
    </w:p>
    <w:p>
      <w:pPr>
        <w:jc w:val="both"/>
        <w:ind w:left="660" w:firstLine="1292"/>
        <w:spacing w:after="0" w:line="282" w:lineRule="auto"/>
        <w:tabs>
          <w:tab w:leader="none" w:pos="261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Company and its Restricted Subsidiaries, in marketable short term money market mutual funds registered under the Investment Company Act of 1940, as amended, which are administered by institutions that have the highest rating obtainable from either Moody’s, S&amp;P or Morningstar and which invest substantially all of their assets in Investments of the types described in clauses (i) through (x) above; and</w:t>
      </w:r>
    </w:p>
    <w:p>
      <w:pPr>
        <w:spacing w:after="0" w:line="161" w:lineRule="exact"/>
        <w:rPr>
          <w:rFonts w:ascii="Arial" w:cs="Arial" w:eastAsia="Arial" w:hAnsi="Arial"/>
          <w:sz w:val="18"/>
          <w:szCs w:val="18"/>
          <w:color w:val="auto"/>
        </w:rPr>
      </w:pPr>
    </w:p>
    <w:p>
      <w:pPr>
        <w:jc w:val="both"/>
        <w:ind w:left="660" w:firstLine="1292"/>
        <w:spacing w:after="0" w:line="250" w:lineRule="auto"/>
        <w:tabs>
          <w:tab w:leader="none" w:pos="2498" w:val="left"/>
        </w:tabs>
        <w:numPr>
          <w:ilvl w:val="1"/>
          <w:numId w:val="190"/>
        </w:numPr>
        <w:rPr>
          <w:rFonts w:ascii="Arial" w:cs="Arial" w:eastAsia="Arial" w:hAnsi="Arial"/>
          <w:sz w:val="20"/>
          <w:szCs w:val="20"/>
          <w:color w:val="auto"/>
        </w:rPr>
      </w:pPr>
      <w:r>
        <w:rPr>
          <w:rFonts w:ascii="Arial" w:cs="Arial" w:eastAsia="Arial" w:hAnsi="Arial"/>
          <w:sz w:val="20"/>
          <w:szCs w:val="20"/>
          <w:color w:val="auto"/>
        </w:rPr>
        <w:t>other similar Investments approved by the Administrative Agent, including without limitation, Investments by Foreign Subsidiaries that are substantially similar to those described in the foregoing clauses (i) through (xi) in any country outside the United States in which such Person is organized;</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8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(i) Investments in Subsidiaries as of the Closing Date; (ii) additional Investments in Domestic Subsidiaries that are Restricted Subsidiaries; (iii) Investments in Restricted Subsidiaries formed or acquired after the Closing Date made in accordance with the terms and conditions of this Agreement; and (iv) the other loans, advances and Investments existing on the Closing Date which are described on </w:t>
      </w:r>
      <w:r>
        <w:rPr>
          <w:rFonts w:ascii="Arial" w:cs="Arial" w:eastAsia="Arial" w:hAnsi="Arial"/>
          <w:sz w:val="20"/>
          <w:szCs w:val="20"/>
          <w:u w:val="single" w:color="auto"/>
          <w:color w:val="auto"/>
        </w:rPr>
        <w:t>Schedule 10.3</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720" w:hanging="416"/>
        <w:spacing w:after="0"/>
        <w:tabs>
          <w:tab w:leader="none" w:pos="17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Bank Products and Hedging Agreements permitted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purchases of assets in the ordinary course of business;</w:t>
      </w:r>
    </w:p>
    <w:p>
      <w:pPr>
        <w:spacing w:after="0" w:line="215" w:lineRule="exact"/>
        <w:rPr>
          <w:rFonts w:ascii="Arial" w:cs="Arial" w:eastAsia="Arial" w:hAnsi="Arial"/>
          <w:sz w:val="20"/>
          <w:szCs w:val="20"/>
          <w:color w:val="auto"/>
        </w:rPr>
      </w:pPr>
    </w:p>
    <w:p>
      <w:pPr>
        <w:ind w:left="660" w:firstLine="644"/>
        <w:spacing w:after="0" w:line="260" w:lineRule="auto"/>
        <w:tabs>
          <w:tab w:leader="none" w:pos="176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Investments in the form of loans and advances to directors, officers and employees in the ordinary course of business, which, in the aggregate, do not exceed at any time $500,000;</w:t>
      </w:r>
    </w:p>
    <w:p>
      <w:pPr>
        <w:spacing w:after="0" w:line="176" w:lineRule="exact"/>
        <w:rPr>
          <w:rFonts w:ascii="Arial" w:cs="Arial" w:eastAsia="Arial" w:hAnsi="Arial"/>
          <w:sz w:val="20"/>
          <w:szCs w:val="20"/>
          <w:color w:val="auto"/>
        </w:rPr>
      </w:pPr>
    </w:p>
    <w:p>
      <w:pPr>
        <w:ind w:left="1700" w:hanging="396"/>
        <w:spacing w:after="0"/>
        <w:tabs>
          <w:tab w:leader="none" w:pos="170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Intercompany Debt permitted pursuant to </w:t>
      </w:r>
      <w:r>
        <w:rPr>
          <w:rFonts w:ascii="Arial" w:cs="Arial" w:eastAsia="Arial" w:hAnsi="Arial"/>
          <w:sz w:val="20"/>
          <w:szCs w:val="20"/>
          <w:u w:val="single" w:color="auto"/>
          <w:color w:val="auto"/>
        </w:rPr>
        <w:t>Section 10.1(e)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91" w:lineRule="auto"/>
        <w:tabs>
          <w:tab w:leader="none" w:pos="17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Investments by the Company or any Restricted Subsidiary thereof in the form of acquisitions of all or substantially all of the business or a line of business (whether by the acquisition of Capital Stock, assets or any combination thereof) of any other Person if each such acquisition meets all of the following requirements (any such Investment, a “</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2340" w:hanging="388"/>
        <w:spacing w:after="0"/>
        <w:tabs>
          <w:tab w:leader="none" w:pos="23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Person to be acquired shall be in a substantially similar or complementary line of business as the Company;</w:t>
      </w:r>
    </w:p>
    <w:p>
      <w:pPr>
        <w:spacing w:after="0" w:line="238" w:lineRule="exact"/>
        <w:rPr>
          <w:rFonts w:ascii="Arial" w:cs="Arial" w:eastAsia="Arial" w:hAnsi="Arial"/>
          <w:sz w:val="18"/>
          <w:szCs w:val="18"/>
          <w:color w:val="auto"/>
        </w:rPr>
      </w:pPr>
    </w:p>
    <w:p>
      <w:pPr>
        <w:jc w:val="both"/>
        <w:ind w:left="1300" w:firstLine="652"/>
        <w:spacing w:after="0" w:line="263" w:lineRule="auto"/>
        <w:tabs>
          <w:tab w:leader="none" w:pos="2421"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evidence of approval of the acquisition by the acquiree’s board of directors or equivalent governing body or a copy of the opinion of counsel delivered by legal counsel to the acquiree in connection with the acquisition which evidences such approval or opines that such approval is not required shall be delivered to the Administrative Agent at the time the documents referred to in clause (vii) of this </w:t>
      </w:r>
      <w:r>
        <w:rPr>
          <w:rFonts w:ascii="Arial" w:cs="Arial" w:eastAsia="Arial" w:hAnsi="Arial"/>
          <w:sz w:val="19"/>
          <w:szCs w:val="19"/>
          <w:u w:val="single" w:color="auto"/>
          <w:color w:val="auto"/>
        </w:rPr>
        <w:t>Section 10.3(g)</w:t>
      </w:r>
      <w:r>
        <w:rPr>
          <w:rFonts w:ascii="Arial" w:cs="Arial" w:eastAsia="Arial" w:hAnsi="Arial"/>
          <w:sz w:val="19"/>
          <w:szCs w:val="19"/>
          <w:color w:val="auto"/>
        </w:rPr>
        <w:t xml:space="preserve"> are required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3" w:name="page184"/>
    <w:bookmarkEnd w:id="183"/>
    <w:p>
      <w:pPr>
        <w:ind w:left="1300" w:firstLine="652"/>
        <w:spacing w:after="0" w:line="260" w:lineRule="auto"/>
        <w:tabs>
          <w:tab w:leader="none" w:pos="2551" w:val="left"/>
        </w:tabs>
        <w:numPr>
          <w:ilvl w:val="1"/>
          <w:numId w:val="192"/>
        </w:numPr>
        <w:rPr>
          <w:rFonts w:ascii="Arial" w:cs="Arial" w:eastAsia="Arial" w:hAnsi="Arial"/>
          <w:sz w:val="20"/>
          <w:szCs w:val="20"/>
          <w:color w:val="auto"/>
        </w:rPr>
      </w:pPr>
      <w:r>
        <w:rPr>
          <w:rFonts w:ascii="Arial" w:cs="Arial" w:eastAsia="Arial" w:hAnsi="Arial"/>
          <w:sz w:val="20"/>
          <w:szCs w:val="20"/>
          <w:color w:val="auto"/>
        </w:rPr>
        <w:t>if the Company is a party to such transaction, the Company shall be survivor of such transaction and no Change in Control shall have been effected thereby;</w:t>
      </w:r>
    </w:p>
    <w:p>
      <w:pPr>
        <w:spacing w:after="0" w:line="176" w:lineRule="exact"/>
        <w:rPr>
          <w:rFonts w:ascii="Arial" w:cs="Arial" w:eastAsia="Arial" w:hAnsi="Arial"/>
          <w:sz w:val="20"/>
          <w:szCs w:val="20"/>
          <w:color w:val="auto"/>
        </w:rPr>
      </w:pPr>
    </w:p>
    <w:p>
      <w:pPr>
        <w:jc w:val="both"/>
        <w:ind w:left="1300" w:firstLine="652"/>
        <w:spacing w:after="0" w:line="278" w:lineRule="auto"/>
        <w:tabs>
          <w:tab w:leader="none" w:pos="24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 the Person to be acquired will not become, or be merged into, a Domestic Credit Party in connection with such acquisition or (B) the acquisition of all of the business or a line of business of a Person will be made by a Restricted Subsidiary that is not a Domestic Credit Party, the aggregate amount of cash consideration and any assumed debt, earn-outs (valued at any amount reasonably determined in good faith by the Company to be payable in connection with such earn-outs) and deferred payments for any such acquisition shall not exceed $200,000,000;</w:t>
      </w:r>
    </w:p>
    <w:p>
      <w:pPr>
        <w:spacing w:after="0" w:line="164" w:lineRule="exact"/>
        <w:rPr>
          <w:rFonts w:ascii="Arial" w:cs="Arial" w:eastAsia="Arial" w:hAnsi="Arial"/>
          <w:sz w:val="18"/>
          <w:szCs w:val="18"/>
          <w:color w:val="auto"/>
        </w:rPr>
      </w:pPr>
    </w:p>
    <w:p>
      <w:pPr>
        <w:jc w:val="both"/>
        <w:ind w:left="1300" w:firstLine="652"/>
        <w:spacing w:after="0" w:line="263" w:lineRule="auto"/>
        <w:tabs>
          <w:tab w:leader="none" w:pos="2406"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(A) the Company shall be (as of the date of the proposed acquisition and after giving effect thereto and to any extensions of credit (including any Extension of Credit) made or to be made in connection therewith) in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compliance with the covenants contained in and in the manner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(B) no Default or Event of Default shall have occurred and be continuing both before and after giving effect to the acquisition;</w:t>
      </w:r>
    </w:p>
    <w:p>
      <w:pPr>
        <w:spacing w:after="0" w:line="176" w:lineRule="exact"/>
        <w:rPr>
          <w:rFonts w:ascii="Arial" w:cs="Arial" w:eastAsia="Arial" w:hAnsi="Arial"/>
          <w:sz w:val="19"/>
          <w:szCs w:val="19"/>
          <w:color w:val="auto"/>
        </w:rPr>
      </w:pPr>
    </w:p>
    <w:p>
      <w:pPr>
        <w:jc w:val="both"/>
        <w:ind w:left="1300" w:firstLine="652"/>
        <w:spacing w:after="0" w:line="257" w:lineRule="auto"/>
        <w:tabs>
          <w:tab w:leader="none" w:pos="2611"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if the aggregate amount of cash consideration and any assumed debt, earn-outs (valued at an amount reasonably determined in good faith by the Company to be payable in connection with such earn-outs) and deferred payments for any such acquisition exceeds $75,000,000, the Company shall have demonstrated to the Administrative Agent (as of the date of the proposed acquisition and after giving effect thereto and to any extensions of credit (including any Extension of Credit) made or to be made in connection therewith)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compliance with the covenants contained in and in the manner set forth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(B) no Default or Event of Default shall have occurred and be continuing both before and after giving effect to the acquisition;</w:t>
      </w:r>
    </w:p>
    <w:p>
      <w:pPr>
        <w:spacing w:after="0" w:line="184" w:lineRule="exact"/>
        <w:rPr>
          <w:rFonts w:ascii="Arial" w:cs="Arial" w:eastAsia="Arial" w:hAnsi="Arial"/>
          <w:sz w:val="19"/>
          <w:szCs w:val="19"/>
          <w:color w:val="auto"/>
        </w:rPr>
      </w:pPr>
    </w:p>
    <w:p>
      <w:pPr>
        <w:jc w:val="both"/>
        <w:ind w:left="1300" w:firstLine="652"/>
        <w:spacing w:after="0" w:line="250" w:lineRule="auto"/>
        <w:tabs>
          <w:tab w:leader="none" w:pos="2535"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the Company shall have delivered to the Administrative Agent such documents reasonably requested by the Administrative Agent or the Required Lenders (through the Administrative Agent) pursuant to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to be delivered at the time required pursuant to </w:t>
      </w:r>
      <w:r>
        <w:rPr>
          <w:rFonts w:ascii="Arial" w:cs="Arial" w:eastAsia="Arial" w:hAnsi="Arial"/>
          <w:sz w:val="20"/>
          <w:szCs w:val="20"/>
          <w:u w:val="single" w:color="auto"/>
          <w:color w:val="auto"/>
        </w:rPr>
        <w:t>Section 8.11</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84"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the Company shall provide such other documents and other information as may be reasonably requested by the Administrative Agent or the Required Lenders (through the Administrative Agent) in connection with the proposed acquisition;</w:t>
      </w:r>
    </w:p>
    <w:p>
      <w:pPr>
        <w:spacing w:after="0" w:line="185" w:lineRule="exact"/>
        <w:rPr>
          <w:rFonts w:ascii="Arial" w:cs="Arial" w:eastAsia="Arial" w:hAnsi="Arial"/>
          <w:sz w:val="20"/>
          <w:szCs w:val="20"/>
          <w:color w:val="auto"/>
        </w:rPr>
      </w:pPr>
    </w:p>
    <w:p>
      <w:pPr>
        <w:jc w:val="both"/>
        <w:ind w:left="660" w:firstLine="644"/>
        <w:spacing w:after="0" w:line="321" w:lineRule="auto"/>
        <w:tabs>
          <w:tab w:leader="none" w:pos="178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 Investments made by any Restricted Subsidiary that is not a Credit Party in any other Restricted Subsidiary that is not a Credit Party, (ii) Investments by the Company or any Restricted Subsidiary thereof in Foreign Subsidiaries or Unrestricted Subsidiaries not in the form of acquisitions covered by </w:t>
      </w:r>
      <w:r>
        <w:rPr>
          <w:rFonts w:ascii="Arial" w:cs="Arial" w:eastAsia="Arial" w:hAnsi="Arial"/>
          <w:sz w:val="16"/>
          <w:szCs w:val="16"/>
          <w:u w:val="single" w:color="auto"/>
          <w:color w:val="auto"/>
        </w:rPr>
        <w:t>Section 10.3(g)</w:t>
      </w:r>
      <w:r>
        <w:rPr>
          <w:rFonts w:ascii="Arial" w:cs="Arial" w:eastAsia="Arial" w:hAnsi="Arial"/>
          <w:sz w:val="16"/>
          <w:szCs w:val="16"/>
          <w:color w:val="auto"/>
        </w:rPr>
        <w:t xml:space="preserve"> in an aggregate amount not to exceed $50,000,000 at any time outstanding and (iii) Investments by the Company or any Restricted Subsidiary in any Restricted Subsidiary, the proceeds of which are used to consummate a Permitted Acquisition, in an aggregate amount not to exceed $140,000,000 at any time outstanding;</w:t>
      </w:r>
    </w:p>
    <w:p>
      <w:pPr>
        <w:spacing w:after="0" w:line="133" w:lineRule="exact"/>
        <w:rPr>
          <w:rFonts w:ascii="Arial" w:cs="Arial" w:eastAsia="Arial" w:hAnsi="Arial"/>
          <w:sz w:val="16"/>
          <w:szCs w:val="16"/>
          <w:color w:val="auto"/>
        </w:rPr>
      </w:pPr>
    </w:p>
    <w:p>
      <w:pPr>
        <w:jc w:val="both"/>
        <w:ind w:left="660" w:firstLine="644"/>
        <w:spacing w:after="0" w:line="282" w:lineRule="auto"/>
        <w:tabs>
          <w:tab w:leader="none" w:pos="173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and Investments received in connection with the bankruptcy or reorganization of, or settlement of delinquent accounts and disputes with customers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4" w:name="page185"/>
    <w:bookmarkEnd w:id="184"/>
    <w:p>
      <w:pPr>
        <w:ind w:left="660" w:firstLine="644"/>
        <w:spacing w:after="0" w:line="287" w:lineRule="auto"/>
        <w:tabs>
          <w:tab w:leader="none" w:pos="169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Investments related to customer financings;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principal amount of all such Investments and all Indebtedness made pursuant to </w:t>
      </w:r>
      <w:r>
        <w:rPr>
          <w:rFonts w:ascii="Arial" w:cs="Arial" w:eastAsia="Arial" w:hAnsi="Arial"/>
          <w:sz w:val="19"/>
          <w:szCs w:val="19"/>
          <w:u w:val="single" w:color="auto"/>
          <w:color w:val="auto"/>
        </w:rPr>
        <w:t>Section 10.1(n)</w:t>
      </w:r>
      <w:r>
        <w:rPr>
          <w:rFonts w:ascii="Arial" w:cs="Arial" w:eastAsia="Arial" w:hAnsi="Arial"/>
          <w:sz w:val="19"/>
          <w:szCs w:val="19"/>
          <w:color w:val="auto"/>
        </w:rPr>
        <w:t xml:space="preserve"> shall not exceed $25,000,000 at any time outstanding; and</w:t>
      </w:r>
    </w:p>
    <w:p>
      <w:pPr>
        <w:spacing w:after="0" w:line="152" w:lineRule="exact"/>
        <w:rPr>
          <w:rFonts w:ascii="Arial" w:cs="Arial" w:eastAsia="Arial" w:hAnsi="Arial"/>
          <w:sz w:val="19"/>
          <w:szCs w:val="19"/>
          <w:color w:val="auto"/>
        </w:rPr>
      </w:pPr>
    </w:p>
    <w:p>
      <w:pPr>
        <w:jc w:val="both"/>
        <w:ind w:left="660" w:firstLine="644"/>
        <w:spacing w:after="0" w:line="282" w:lineRule="auto"/>
        <w:tabs>
          <w:tab w:leader="none" w:pos="173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 addition to the Investments permitted above, an unlimited amount of Investments (other than Permitted Acquisitions) so long as, (i) no Default or Event of Default shall have occurred and be continuing or would be caused by the making of such Investment and (ii) in the case of any Investment in an aggregate amount in excess of $5,000,000, the Company shall be in compliance with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on a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basis after giving effect to the making of such Investment.</w:t>
      </w:r>
    </w:p>
    <w:p>
      <w:pPr>
        <w:spacing w:after="0" w:line="155"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20"/>
          <w:szCs w:val="20"/>
          <w:b w:val="1"/>
          <w:bCs w:val="1"/>
          <w:u w:val="single" w:color="auto"/>
          <w:color w:val="auto"/>
        </w:rPr>
        <w:t>Limitations on Mergers and Liquidation</w:t>
      </w:r>
      <w:r>
        <w:rPr>
          <w:rFonts w:ascii="Arial" w:cs="Arial" w:eastAsia="Arial" w:hAnsi="Arial"/>
          <w:sz w:val="20"/>
          <w:szCs w:val="20"/>
          <w:color w:val="auto"/>
        </w:rPr>
        <w:t>. Merge, consolidate or enter into any similar combination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Person or liquidate, wind-up or dissolve itself (or suffer any liquidation or dissolution) except:</w:t>
      </w:r>
    </w:p>
    <w:p>
      <w:pPr>
        <w:spacing w:after="0" w:line="169" w:lineRule="exact"/>
        <w:rPr>
          <w:sz w:val="20"/>
          <w:szCs w:val="20"/>
          <w:color w:val="auto"/>
        </w:rPr>
      </w:pPr>
    </w:p>
    <w:p>
      <w:pPr>
        <w:jc w:val="both"/>
        <w:ind w:left="660" w:firstLine="644"/>
        <w:spacing w:after="0" w:line="260" w:lineRule="auto"/>
        <w:tabs>
          <w:tab w:leader="none" w:pos="185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Subsidiary of the Company may be merged or consolidated with or into (i)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the continuing or surviving Person) or (ii) a Restricted Subsidiary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a Subsidiary Borrower is a part of such transaction, such Subsidiary Borrower shall be the continuing or surviving Person, (y) if a Guarantor is a part of such transaction, a Guarantor shall be the continuing or surviving Person and (z) if a Wholly-Owned Subsidiary is a part of such transaction, a Wholly-Owned Subsidiary shall be the continuing or surviving Person);</w:t>
      </w:r>
    </w:p>
    <w:p>
      <w:pPr>
        <w:spacing w:after="0" w:line="180" w:lineRule="exact"/>
        <w:rPr>
          <w:rFonts w:ascii="Arial" w:cs="Arial" w:eastAsia="Arial" w:hAnsi="Arial"/>
          <w:sz w:val="19"/>
          <w:szCs w:val="19"/>
          <w:color w:val="auto"/>
        </w:rPr>
      </w:pPr>
    </w:p>
    <w:p>
      <w:pPr>
        <w:jc w:val="both"/>
        <w:ind w:left="660" w:firstLine="644"/>
        <w:spacing w:after="0" w:line="276" w:lineRule="auto"/>
        <w:tabs>
          <w:tab w:leader="none" w:pos="18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any Restricted Subsidiary may sell, lease, transfer or otherwise dispose of any or all of its assets (upon voluntary liquidation or otherwise) to the Company or any other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transferor in such a transaction is a Guarantor and the transferee is not a Credit Party, the fair market value of the assets subject to such transaction together with Investments permitted under </w:t>
      </w:r>
      <w:r>
        <w:rPr>
          <w:rFonts w:ascii="Arial" w:cs="Arial" w:eastAsia="Arial" w:hAnsi="Arial"/>
          <w:sz w:val="18"/>
          <w:szCs w:val="18"/>
          <w:u w:val="single" w:color="auto"/>
          <w:color w:val="auto"/>
        </w:rPr>
        <w:t>Section 10.3(h)(ii)</w:t>
      </w:r>
      <w:r>
        <w:rPr>
          <w:rFonts w:ascii="Arial" w:cs="Arial" w:eastAsia="Arial" w:hAnsi="Arial"/>
          <w:sz w:val="18"/>
          <w:szCs w:val="18"/>
          <w:color w:val="auto"/>
        </w:rPr>
        <w:t xml:space="preserve"> shall not exceed $50,000,000, and (ii) if the transferor in such a transaction is not a Credit Party and the transferee in such a transaction is the Company or a Guarantor, then the sale, lease, transfer or other disposition shall not be for an amount greater than the fair market value of the assets subject to such transaction;</w:t>
      </w:r>
    </w:p>
    <w:p>
      <w:pPr>
        <w:spacing w:after="0" w:line="164" w:lineRule="exact"/>
        <w:rPr>
          <w:rFonts w:ascii="Arial" w:cs="Arial" w:eastAsia="Arial" w:hAnsi="Arial"/>
          <w:sz w:val="18"/>
          <w:szCs w:val="18"/>
          <w:color w:val="auto"/>
        </w:rPr>
      </w:pPr>
    </w:p>
    <w:p>
      <w:pPr>
        <w:ind w:left="660" w:right="20" w:firstLine="644"/>
        <w:spacing w:after="0" w:line="260" w:lineRule="auto"/>
        <w:tabs>
          <w:tab w:leader="none" w:pos="18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Wholly-Owned Subsidiary of the Company may merge into the Person such Wholly-Owned Subsidiary was formed to acquire in connection with a Permitted Acquisition; and</w:t>
      </w:r>
    </w:p>
    <w:p>
      <w:pPr>
        <w:spacing w:after="0" w:line="176" w:lineRule="exact"/>
        <w:rPr>
          <w:rFonts w:ascii="Arial" w:cs="Arial" w:eastAsia="Arial" w:hAnsi="Arial"/>
          <w:sz w:val="20"/>
          <w:szCs w:val="20"/>
          <w:color w:val="auto"/>
        </w:rPr>
      </w:pPr>
    </w:p>
    <w:p>
      <w:pPr>
        <w:ind w:left="660" w:right="20" w:firstLine="644"/>
        <w:spacing w:after="0" w:line="287" w:lineRule="auto"/>
        <w:tabs>
          <w:tab w:leader="none" w:pos="175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 any Restricted Subsidiary of the Company may wind-up into the Company or any Guarantor and (ii) any Restricted Subsidiary that is not a Credit Party may wind-up into any other Restricted Subsidiary that is not a Credit Party.</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b w:val="1"/>
          <w:bCs w:val="1"/>
          <w:u w:val="single" w:color="auto"/>
          <w:color w:val="auto"/>
        </w:rPr>
        <w:t>Limitations on Sale of Assets</w:t>
      </w:r>
      <w:r>
        <w:rPr>
          <w:rFonts w:ascii="Arial" w:cs="Arial" w:eastAsia="Arial" w:hAnsi="Arial"/>
          <w:sz w:val="20"/>
          <w:szCs w:val="20"/>
          <w:color w:val="auto"/>
        </w:rPr>
        <w:t>. Convey, sell, lease, assign, transfer or otherwise dispose of any of its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or assets (including, without limitation, the sale of any receivables and leasehold interests and any sale-leaseback or similar transaction), whether now owned or hereafter acquired except:</w:t>
      </w:r>
    </w:p>
    <w:p>
      <w:pPr>
        <w:spacing w:after="0" w:line="183" w:lineRule="exact"/>
        <w:rPr>
          <w:sz w:val="20"/>
          <w:szCs w:val="20"/>
          <w:color w:val="auto"/>
        </w:rPr>
      </w:pPr>
    </w:p>
    <w:p>
      <w:pPr>
        <w:ind w:left="1720" w:hanging="416"/>
        <w:spacing w:after="0"/>
        <w:tabs>
          <w:tab w:leader="none" w:pos="172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sale of inventory in the ordinary course of business;</w:t>
      </w:r>
    </w:p>
    <w:p>
      <w:pPr>
        <w:spacing w:after="0" w:line="215" w:lineRule="exact"/>
        <w:rPr>
          <w:rFonts w:ascii="Arial" w:cs="Arial" w:eastAsia="Arial" w:hAnsi="Arial"/>
          <w:sz w:val="20"/>
          <w:szCs w:val="20"/>
          <w:color w:val="auto"/>
        </w:rPr>
      </w:pPr>
    </w:p>
    <w:p>
      <w:pPr>
        <w:ind w:left="660" w:firstLine="644"/>
        <w:spacing w:after="0" w:line="260" w:lineRule="auto"/>
        <w:tabs>
          <w:tab w:leader="none" w:pos="1764"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disposition of worn, damaged, surplus or obsolete assets or other assets no longer used or usable in the business of the Company or any of its Restricted Subsidiaries;</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the transfer of assets to any Borrower or any Guarantor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5" w:name="page186"/>
    <w:bookmarkEnd w:id="185"/>
    <w:p>
      <w:pPr>
        <w:ind w:left="660" w:firstLine="644"/>
        <w:spacing w:after="0" w:line="260" w:lineRule="auto"/>
        <w:tabs>
          <w:tab w:leader="none" w:pos="180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sale or discount without recourse of accounts receivable arising in the ordinary course of business in connection with the compromise or collection thereof;</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disposition of any Hedging Agreement;</w:t>
      </w:r>
    </w:p>
    <w:p>
      <w:pPr>
        <w:spacing w:after="0" w:line="215" w:lineRule="exact"/>
        <w:rPr>
          <w:rFonts w:ascii="Arial" w:cs="Arial" w:eastAsia="Arial" w:hAnsi="Arial"/>
          <w:sz w:val="20"/>
          <w:szCs w:val="20"/>
          <w:color w:val="auto"/>
        </w:rPr>
      </w:pPr>
    </w:p>
    <w:p>
      <w:pPr>
        <w:ind w:left="1700" w:hanging="396"/>
        <w:spacing w:after="0"/>
        <w:tabs>
          <w:tab w:leader="none" w:pos="17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disposition of Investments in cash and Cash Equivalents;</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non-exclusive licenses of intellectual property in the ordinary course of business;</w:t>
      </w:r>
    </w:p>
    <w:p>
      <w:pPr>
        <w:spacing w:after="0" w:line="215" w:lineRule="exact"/>
        <w:rPr>
          <w:rFonts w:ascii="Arial" w:cs="Arial" w:eastAsia="Arial" w:hAnsi="Arial"/>
          <w:sz w:val="20"/>
          <w:szCs w:val="20"/>
          <w:color w:val="auto"/>
        </w:rPr>
      </w:pPr>
    </w:p>
    <w:p>
      <w:pPr>
        <w:jc w:val="both"/>
        <w:ind w:left="660" w:firstLine="644"/>
        <w:spacing w:after="0" w:line="276" w:lineRule="auto"/>
        <w:tabs>
          <w:tab w:leader="none" w:pos="174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 the transfer by any Credit Party of its assets to any other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transferor is the Company or a Domestic Subsidiary, the transferee shall be the Company or a Credit Party that is a Domestic Subsidiary, (ii) the transfer by any Restricted Subsidiary of the Company that is not a Credit Party of its assets to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new transfer, such Credit Party shall not pay more than an amount equal to the fair market value of such assets as determined in good faith at the time of such transfer) and (iii) the transfer by any Restricted Subsidiary of the Company that is not a Credit Party of its assets to any other Restricted Subsidiary of the Company that is not a Credit Party; and</w:t>
      </w:r>
    </w:p>
    <w:p>
      <w:pPr>
        <w:spacing w:after="0" w:line="164" w:lineRule="exact"/>
        <w:rPr>
          <w:rFonts w:ascii="Arial" w:cs="Arial" w:eastAsia="Arial" w:hAnsi="Arial"/>
          <w:sz w:val="18"/>
          <w:szCs w:val="18"/>
          <w:color w:val="auto"/>
        </w:rPr>
      </w:pPr>
    </w:p>
    <w:p>
      <w:pPr>
        <w:ind w:left="660" w:firstLine="644"/>
        <w:spacing w:after="0" w:line="260" w:lineRule="auto"/>
        <w:tabs>
          <w:tab w:leader="none" w:pos="172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additional dispositions of assets not otherwise permitted pursuant to this Section in an aggregate amount not to exceed $50,000,000 during any Fiscal Year.</w:t>
      </w:r>
    </w:p>
    <w:p>
      <w:pPr>
        <w:spacing w:after="0" w:line="17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10.6 </w:t>
      </w:r>
      <w:r>
        <w:rPr>
          <w:rFonts w:ascii="Arial" w:cs="Arial" w:eastAsia="Arial" w:hAnsi="Arial"/>
          <w:sz w:val="19"/>
          <w:szCs w:val="19"/>
          <w:b w:val="1"/>
          <w:bCs w:val="1"/>
          <w:u w:val="single" w:color="auto"/>
          <w:color w:val="auto"/>
        </w:rPr>
        <w:t>Limitations on Dividends and Distributions</w:t>
      </w:r>
      <w:r>
        <w:rPr>
          <w:rFonts w:ascii="Arial" w:cs="Arial" w:eastAsia="Arial" w:hAnsi="Arial"/>
          <w:sz w:val="19"/>
          <w:szCs w:val="19"/>
          <w:color w:val="auto"/>
        </w:rPr>
        <w:t>. Declare or pay any dividends upon any of its Capital Stock;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purchase, redeem, retire or otherwise acquire, directly or indirectly, any shares of its Capital Stock, or make any distribution of cash, property or assets among the holders of shares of its Capital Stock, or make any change in its capital structure which such change in its capital structure would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5" w:lineRule="exact"/>
        <w:rPr>
          <w:sz w:val="20"/>
          <w:szCs w:val="20"/>
          <w:color w:val="auto"/>
        </w:rPr>
      </w:pPr>
    </w:p>
    <w:p>
      <w:pPr>
        <w:ind w:left="1720" w:hanging="416"/>
        <w:spacing w:after="0"/>
        <w:tabs>
          <w:tab w:leader="none" w:pos="172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Company or any Restricted Subsidiary may pay dividends in shares of its own Capital Stock;</w:t>
      </w:r>
    </w:p>
    <w:p>
      <w:pPr>
        <w:spacing w:after="0" w:line="215" w:lineRule="exact"/>
        <w:rPr>
          <w:rFonts w:ascii="Arial" w:cs="Arial" w:eastAsia="Arial" w:hAnsi="Arial"/>
          <w:sz w:val="20"/>
          <w:szCs w:val="20"/>
          <w:color w:val="auto"/>
        </w:rPr>
      </w:pPr>
    </w:p>
    <w:p>
      <w:pPr>
        <w:ind w:left="660" w:firstLine="644"/>
        <w:spacing w:after="0" w:line="260" w:lineRule="auto"/>
        <w:tabs>
          <w:tab w:leader="none" w:pos="1814"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Restricted Subsidiary may pay cash dividends or make cash distributions to a Credit Party and may repurchase shares of its Capital Stock from a Credit Party;</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82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Company may purchase, redeem or otherwise acquire Capital Stock of the Company or warrants or options to acquire any such Capital Stock with the proceeds received from the substantially concurrent issue of new shares of Capital Stock of the Company; and</w:t>
      </w:r>
    </w:p>
    <w:p>
      <w:pPr>
        <w:spacing w:after="0" w:line="185" w:lineRule="exact"/>
        <w:rPr>
          <w:rFonts w:ascii="Arial" w:cs="Arial" w:eastAsia="Arial" w:hAnsi="Arial"/>
          <w:sz w:val="20"/>
          <w:szCs w:val="20"/>
          <w:color w:val="auto"/>
        </w:rPr>
      </w:pPr>
    </w:p>
    <w:p>
      <w:pPr>
        <w:jc w:val="both"/>
        <w:ind w:left="660" w:firstLine="644"/>
        <w:spacing w:after="0" w:line="273" w:lineRule="auto"/>
        <w:tabs>
          <w:tab w:leader="none" w:pos="175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Company may pay dividends to holders of its Capital Stock and/or repurchase shares of its Capital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the date such dividend is paid and/or shares of Capital Stock are repurchased and after giving effect thereto and to any extension of credit (including any Extension of Credit) made in connection therewith: (i) no Default or Event of Default shall have occurred and be continuing; and (ii) the pro forma Net Leverage Ratio at such time is 0.25 less than the Net Leverage Ratio currently required to be maintained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foregoing shall not operate to prevent the making of dividends or repurchases previously declared by the Company so long as (i) at the declaration date, such dividend or repurchase was permitted by the foregoing and (ii) such dividend or repurchase is consummated within the earlier of 60 days and any date under Applicable Law on which such dividend or repurchase must be consummated.</w:t>
      </w:r>
    </w:p>
    <w:p>
      <w:pPr>
        <w:spacing w:after="0" w:line="162"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SECTION 10.7 </w:t>
      </w:r>
      <w:r>
        <w:rPr>
          <w:rFonts w:ascii="Arial" w:cs="Arial" w:eastAsia="Arial" w:hAnsi="Arial"/>
          <w:sz w:val="20"/>
          <w:szCs w:val="20"/>
          <w:b w:val="1"/>
          <w:bCs w:val="1"/>
          <w:u w:val="single" w:color="auto"/>
          <w:color w:val="auto"/>
        </w:rPr>
        <w:t>Sanctions</w:t>
      </w:r>
      <w:r>
        <w:rPr>
          <w:rFonts w:ascii="Arial" w:cs="Arial" w:eastAsia="Arial" w:hAnsi="Arial"/>
          <w:sz w:val="20"/>
          <w:szCs w:val="20"/>
          <w:color w:val="auto"/>
        </w:rPr>
        <w:t>. Directly or indirectly, use any Extension of Credit or the proceeds of any Extension of Credit, or lend,</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contribute or otherwise make available such Extension of Credit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6" w:name="page187"/>
    <w:bookmarkEnd w:id="186"/>
    <w:p>
      <w:pPr>
        <w:jc w:val="both"/>
        <w:ind w:firstLine="6"/>
        <w:spacing w:after="0" w:line="246" w:lineRule="auto"/>
        <w:rPr>
          <w:sz w:val="20"/>
          <w:szCs w:val="20"/>
          <w:color w:val="auto"/>
        </w:rPr>
      </w:pPr>
      <w:r>
        <w:rPr>
          <w:rFonts w:ascii="Arial" w:cs="Arial" w:eastAsia="Arial" w:hAnsi="Arial"/>
          <w:sz w:val="20"/>
          <w:szCs w:val="20"/>
          <w:color w:val="auto"/>
        </w:rPr>
        <w:t>proceeds of any Extension of Credit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Issuing Lender, Swingline Lender, or otherwise) of Sanctions.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Except for (a) transactions permitted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10.1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 (b) those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transactions existing on the Closing Date and identified on </w:t>
      </w:r>
      <w:r>
        <w:rPr>
          <w:rFonts w:ascii="Arial" w:cs="Arial" w:eastAsia="Arial" w:hAnsi="Arial"/>
          <w:sz w:val="18"/>
          <w:szCs w:val="18"/>
          <w:u w:val="single" w:color="auto"/>
          <w:color w:val="auto"/>
        </w:rPr>
        <w:t>Schedule 10.8</w:t>
      </w:r>
      <w:r>
        <w:rPr>
          <w:rFonts w:ascii="Arial" w:cs="Arial" w:eastAsia="Arial" w:hAnsi="Arial"/>
          <w:sz w:val="18"/>
          <w:szCs w:val="18"/>
          <w:color w:val="auto"/>
        </w:rPr>
        <w:t>, (c) transactions among Credit Parties, (d) normal compensation, indemnity and reimbursement of reasonable expenses of officers, directors and employees, (e) the issuance of Capital Stock in the Company to any officer, director, employee or consultant of the Company and its Restricted Subsidiary, or (f) any issuance of Capital Stock of the Company or other payments, awards or grants in cash, securities or otherwise pursuant to, or the funding of, employment agreements, stock options and stock ownership plans of the Company or any of its Restricted Subsidiaries, directly or indirectly (i) make any loan or advance to, or purchase or assume any note or other obligation to or from, any of its officers, directors or Affiliates, or to or from any member of the immediate family of any of its officers, directors or Affiliates, or (ii) enter into, or be a party to, any other transaction not described in clause (i) above with any of its Affiliates, except upon fair and reasonable terms, taken as a whole, and are no less favorable, taken as a whole, to it than it would obtain in a comparable arm’s length transaction with a Person not its Affiliate.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SECTION 10.9 </w:t>
      </w:r>
      <w:r>
        <w:rPr>
          <w:rFonts w:ascii="Arial" w:cs="Arial" w:eastAsia="Arial" w:hAnsi="Arial"/>
          <w:sz w:val="18"/>
          <w:szCs w:val="18"/>
          <w:b w:val="1"/>
          <w:bCs w:val="1"/>
          <w:u w:val="single" w:color="auto"/>
          <w:color w:val="auto"/>
        </w:rPr>
        <w:t>Certain Accounting Changes; Organizational Documents</w:t>
      </w:r>
      <w:r>
        <w:rPr>
          <w:rFonts w:ascii="Arial" w:cs="Arial" w:eastAsia="Arial" w:hAnsi="Arial"/>
          <w:sz w:val="18"/>
          <w:szCs w:val="18"/>
          <w:color w:val="auto"/>
        </w:rPr>
        <w:t>. (a) Change its Fiscal Year end (other than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 of a newly acquired Subsidiary’s Fiscal Year end to December 31), or make any change in its accounting treatment and reporting practices except, 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as permitted by or in accordance with, GAAP or (b) amend, modify or change its articles of incorporation (or corporate charter or other similar organizational documents) or amend, modify or change its bylaws (or other similar documents), in each case of this clause (b) in any manner adverse in any material respect to the rights or interests of the Lenders (it being agreed that changing such Person’s name or jurisdiction of organization is not adverse to the Lenders if the Company provides written notice of such change at least ten (10) Business Days (or such shorter time as agreed to by the Administrative Agent) prior to such change).</w:t>
      </w:r>
    </w:p>
    <w:p>
      <w:pPr>
        <w:spacing w:after="0" w:line="162"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b w:val="1"/>
          <w:bCs w:val="1"/>
          <w:color w:val="auto"/>
        </w:rPr>
        <w:t>SECTION 10.10</w:t>
      </w:r>
      <w:r>
        <w:rPr>
          <w:sz w:val="20"/>
          <w:szCs w:val="20"/>
          <w:color w:val="auto"/>
        </w:rPr>
        <w:tab/>
      </w:r>
      <w:r>
        <w:rPr>
          <w:rFonts w:ascii="Arial" w:cs="Arial" w:eastAsia="Arial" w:hAnsi="Arial"/>
          <w:sz w:val="16"/>
          <w:szCs w:val="16"/>
          <w:b w:val="1"/>
          <w:bCs w:val="1"/>
          <w:u w:val="single" w:color="auto"/>
          <w:color w:val="auto"/>
        </w:rPr>
        <w:t>Amendments; Payments and Prepayments of Subordinated Indebtedness.</w:t>
      </w:r>
    </w:p>
    <w:p>
      <w:pPr>
        <w:spacing w:after="0" w:line="222" w:lineRule="exact"/>
        <w:rPr>
          <w:sz w:val="20"/>
          <w:szCs w:val="20"/>
          <w:color w:val="auto"/>
        </w:rPr>
      </w:pPr>
    </w:p>
    <w:p>
      <w:pPr>
        <w:jc w:val="both"/>
        <w:ind w:left="660" w:firstLine="644"/>
        <w:spacing w:after="0" w:line="244" w:lineRule="auto"/>
        <w:tabs>
          <w:tab w:leader="none" w:pos="1781"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Amend or modify (or permit the modification or amendment of) any of the terms or provisions of any Subordinated Indebtedness in any respect which, when taken as a whole, would materially adversely affect the rights or interests of the Administrative Agent and Lenders hereunder, it being agreed that amendments or modifications expressly permitted under the terms of any applicable subordination agreement or provision shall not materially adversely affect the rights or interests of the Administrative Agent and the Lenders.</w:t>
      </w:r>
    </w:p>
    <w:p>
      <w:pPr>
        <w:spacing w:after="0" w:line="194" w:lineRule="exact"/>
        <w:rPr>
          <w:rFonts w:ascii="Arial" w:cs="Arial" w:eastAsia="Arial" w:hAnsi="Arial"/>
          <w:sz w:val="20"/>
          <w:szCs w:val="20"/>
          <w:color w:val="auto"/>
        </w:rPr>
      </w:pPr>
    </w:p>
    <w:p>
      <w:pPr>
        <w:jc w:val="both"/>
        <w:ind w:left="660" w:firstLine="644"/>
        <w:spacing w:after="0" w:line="244" w:lineRule="auto"/>
        <w:tabs>
          <w:tab w:leader="none" w:pos="183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Make any payment or prepayment on, or redeem or acquire for value (including, without limitation, (i) by way of depositing with any trustee with respect thereto money or securities before due for the purpose of paying when due and (ii) at the maturity thereof) any Subordinated Indebtedness, except (x) to the extent not prohibited by the terms of the applicable subordination agreement and (y) refinancings, refundings, renewals, extensions or exchange of any Subordinated Indebtedness permitted by </w:t>
      </w:r>
      <w:r>
        <w:rPr>
          <w:rFonts w:ascii="Arial" w:cs="Arial" w:eastAsia="Arial" w:hAnsi="Arial"/>
          <w:sz w:val="20"/>
          <w:szCs w:val="20"/>
          <w:u w:val="single" w:color="auto"/>
          <w:color w:val="auto"/>
        </w:rPr>
        <w:t>Section 10.1(f)</w:t>
      </w:r>
      <w:r>
        <w:rPr>
          <w:rFonts w:ascii="Arial" w:cs="Arial" w:eastAsia="Arial" w:hAnsi="Arial"/>
          <w:sz w:val="20"/>
          <w:szCs w:val="20"/>
          <w:color w:val="auto"/>
        </w:rPr>
        <w: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10.11 </w:t>
      </w:r>
      <w:r>
        <w:rPr>
          <w:rFonts w:ascii="Arial" w:cs="Arial" w:eastAsia="Arial" w:hAnsi="Arial"/>
          <w:sz w:val="20"/>
          <w:szCs w:val="20"/>
          <w:b w:val="1"/>
          <w:bCs w:val="1"/>
          <w:u w:val="single" w:color="auto"/>
          <w:color w:val="auto"/>
        </w:rPr>
        <w:t>Restrictive Agreements</w:t>
      </w:r>
      <w:r>
        <w:rPr>
          <w:rFonts w:ascii="Arial" w:cs="Arial" w:eastAsia="Arial" w:hAnsi="Arial"/>
          <w:sz w:val="20"/>
          <w:szCs w:val="20"/>
          <w:color w:val="auto"/>
        </w:rPr>
        <w:t>. The Company will not, and will not permit any of its Restricted Subsidiaries to,</w:t>
      </w:r>
      <w:r>
        <w:rPr>
          <w:rFonts w:ascii="Arial" w:cs="Arial" w:eastAsia="Arial" w:hAnsi="Arial"/>
          <w:sz w:val="20"/>
          <w:szCs w:val="20"/>
          <w:b w:val="1"/>
          <w:bCs w:val="1"/>
          <w:color w:val="auto"/>
        </w:rPr>
        <w:t xml:space="preserve"> </w:t>
      </w:r>
      <w:r>
        <w:rPr>
          <w:rFonts w:ascii="Arial" w:cs="Arial" w:eastAsia="Arial" w:hAnsi="Arial"/>
          <w:sz w:val="20"/>
          <w:szCs w:val="20"/>
          <w:color w:val="auto"/>
        </w:rPr>
        <w:t>directly or indirectly, enter into, incur or permit to exist any agreement or other arrangement that prohibits, restricts or imposes any condition upon (a) the ability of the Company or any Restricted Subsidiary to create, incur or permit to exist any Lien upon any of its property or assets,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7" w:name="page188"/>
    <w:bookmarkEnd w:id="187"/>
    <w:p>
      <w:pPr>
        <w:jc w:val="both"/>
        <w:ind w:firstLine="6"/>
        <w:spacing w:after="0" w:line="309" w:lineRule="auto"/>
        <w:rPr>
          <w:sz w:val="20"/>
          <w:szCs w:val="20"/>
          <w:color w:val="auto"/>
        </w:rPr>
      </w:pPr>
      <w:r>
        <w:rPr>
          <w:rFonts w:ascii="Arial" w:cs="Arial" w:eastAsia="Arial" w:hAnsi="Arial"/>
          <w:sz w:val="16"/>
          <w:szCs w:val="16"/>
          <w:color w:val="auto"/>
        </w:rPr>
        <w:t xml:space="preserve">the ability of any Restricted Subsidiary to pay dividends or other distributions with respect to holders of its Capital Stock or to make or repay loans or advances to the Company or any other Restricted Subsidiary or to guarantee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law or by any Loan Document, (ii)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(iii) the foregoing shall not apply to restrictions imposed by any agreement relating to Indebtedness permitted by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to the extent (A) such restrictions are not more restrictive, taken as a whole, than the restrictions contained in this Agreement as determined in good faith by the Company and (B) such encumbrances will not, in the good faith judgment of the Company at the time such Indebtedness is incurred, affect the ability of the Credit Parties to service the Loans or other Obligations, (iv) the foregoing shall not apply to restrictions or Liens imposed by any agreement relating to secured Indebtedness permitted by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if such restrictions or Liens apply only to the property or assets securing such Indebtedness,</w:t>
      </w:r>
    </w:p>
    <w:p>
      <w:pPr>
        <w:spacing w:after="0" w:line="179" w:lineRule="exact"/>
        <w:rPr>
          <w:sz w:val="20"/>
          <w:szCs w:val="20"/>
          <w:color w:val="auto"/>
        </w:rPr>
      </w:pPr>
    </w:p>
    <w:p>
      <w:pPr>
        <w:jc w:val="both"/>
        <w:ind w:firstLine="8"/>
        <w:spacing w:after="0" w:line="269" w:lineRule="auto"/>
        <w:tabs>
          <w:tab w:leader="none" w:pos="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the foregoing shall not apply in the case of any Restricted Subsidiary that is not a Wholly-Owned Subsidiary, to restrictions and conditions imposed by its organizational documents or any related joint venture or similar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only apply to such Restricted Subsidiary and to the Capital Stock of such Restricted Subsidiary, (vi) the foregoing shall not apply to restrictions affecting any Foreign Subsidiary (other than a Subsidiary Borrower) of the Company under any agreement or instrument governing any Indebtedness of such Foreign Subsidiary permitted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customary restrictions contained in “comfort” letters and guarantees of any such Indebtedness, (vii) the foregoing shall not apply to restrictions arising by reason of customary provisions restricting assignments, subletting or other transfers contained in contracts, leases, licenses and similar agreements entered into in the ordinary course of business (viii) the foregoing shall not apply to customary restrictions and conditions contained in any agreement relating to the sale or purchase of any asset permitted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pending the consummation of such sale or purchase and (ix) the foregoing shall not apply to any agreement to which a Restricted Subsidiary is a party that is in effect at the time such Subsidiary becomes a Restricted Subsidiary, so long as such agreement was not entered into in contemplation of such Person becoming a Restricted Subsidiary.</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b w:val="1"/>
          <w:bCs w:val="1"/>
          <w:u w:val="single" w:color="auto"/>
          <w:color w:val="auto"/>
        </w:rPr>
        <w:t>Nature of Business</w:t>
      </w:r>
      <w:r>
        <w:rPr>
          <w:rFonts w:ascii="Arial" w:cs="Arial" w:eastAsia="Arial" w:hAnsi="Arial"/>
          <w:sz w:val="20"/>
          <w:szCs w:val="20"/>
          <w:color w:val="auto"/>
        </w:rPr>
        <w:t>. Substantively alter in any material respect the character or conduct of the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conducted by the Company and its Restricted Subsidiaries, taken as a whole, as of the Closing Date.</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10.13 </w:t>
      </w:r>
      <w:r>
        <w:rPr>
          <w:rFonts w:ascii="Arial" w:cs="Arial" w:eastAsia="Arial" w:hAnsi="Arial"/>
          <w:sz w:val="19"/>
          <w:szCs w:val="19"/>
          <w:b w:val="1"/>
          <w:bCs w:val="1"/>
          <w:u w:val="single" w:color="auto"/>
          <w:color w:val="auto"/>
        </w:rPr>
        <w:t>Anti-Corruption Laws</w:t>
      </w:r>
      <w:r>
        <w:rPr>
          <w:rFonts w:ascii="Arial" w:cs="Arial" w:eastAsia="Arial" w:hAnsi="Arial"/>
          <w:sz w:val="19"/>
          <w:szCs w:val="19"/>
          <w:color w:val="auto"/>
        </w:rPr>
        <w:t>. Directly or indirectly, use any Extension of Credit or the proceeds of any Extension of</w:t>
      </w:r>
      <w:r>
        <w:rPr>
          <w:rFonts w:ascii="Arial" w:cs="Arial" w:eastAsia="Arial" w:hAnsi="Arial"/>
          <w:sz w:val="19"/>
          <w:szCs w:val="19"/>
          <w:b w:val="1"/>
          <w:bCs w:val="1"/>
          <w:color w:val="auto"/>
        </w:rPr>
        <w:t xml:space="preserve"> </w:t>
      </w:r>
      <w:r>
        <w:rPr>
          <w:rFonts w:ascii="Arial" w:cs="Arial" w:eastAsia="Arial" w:hAnsi="Arial"/>
          <w:sz w:val="19"/>
          <w:szCs w:val="19"/>
          <w:color w:val="auto"/>
        </w:rPr>
        <w:t>Credit for any purpose which would breach the United States Foreign Corrupt Practices Act of 1977, the UK Bribery Act 2010 and other similar anti-corruption legislation in other jurisdictions applicable to the Company and its Subsidiaries.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DEFAULT AND REMEDIES</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 xml:space="preserve">SECTION 11.1 </w:t>
      </w:r>
      <w:r>
        <w:rPr>
          <w:rFonts w:ascii="Arial" w:cs="Arial" w:eastAsia="Arial" w:hAnsi="Arial"/>
          <w:sz w:val="20"/>
          <w:szCs w:val="20"/>
          <w:b w:val="1"/>
          <w:bCs w:val="1"/>
          <w:u w:val="single" w:color="auto"/>
          <w:color w:val="auto"/>
        </w:rPr>
        <w:t>Events of Default</w:t>
      </w:r>
      <w:r>
        <w:rPr>
          <w:rFonts w:ascii="Arial" w:cs="Arial" w:eastAsia="Arial" w:hAnsi="Arial"/>
          <w:sz w:val="20"/>
          <w:szCs w:val="20"/>
          <w:color w:val="auto"/>
        </w:rPr>
        <w:t>. Each of the following shall constitute an Event of Default, whatever the reason for such event</w:t>
      </w:r>
      <w:r>
        <w:rPr>
          <w:rFonts w:ascii="Arial" w:cs="Arial" w:eastAsia="Arial" w:hAnsi="Arial"/>
          <w:sz w:val="20"/>
          <w:szCs w:val="20"/>
          <w:b w:val="1"/>
          <w:bCs w:val="1"/>
          <w:color w:val="auto"/>
        </w:rPr>
        <w:t xml:space="preserve"> </w:t>
      </w:r>
      <w:r>
        <w:rPr>
          <w:rFonts w:ascii="Arial" w:cs="Arial" w:eastAsia="Arial" w:hAnsi="Arial"/>
          <w:sz w:val="20"/>
          <w:szCs w:val="20"/>
          <w:color w:val="auto"/>
        </w:rPr>
        <w:t>and whether it shall be voluntary or involuntary or be effected by operation of law or pursuant to any judgment or order of any court or any order, rule or regulation of any Governmental Authority or otherwise:</w:t>
      </w:r>
    </w:p>
    <w:p>
      <w:pPr>
        <w:spacing w:after="0" w:line="183" w:lineRule="exact"/>
        <w:rPr>
          <w:sz w:val="20"/>
          <w:szCs w:val="20"/>
          <w:color w:val="auto"/>
        </w:rPr>
      </w:pPr>
    </w:p>
    <w:p>
      <w:pPr>
        <w:jc w:val="both"/>
        <w:ind w:left="660" w:firstLine="644"/>
        <w:spacing w:after="0" w:line="316" w:lineRule="auto"/>
        <w:tabs>
          <w:tab w:leader="none" w:pos="1739"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Default in Payment of Principal of Loans and Reimbursement Obligations</w:t>
      </w:r>
      <w:r>
        <w:rPr>
          <w:rFonts w:ascii="Arial" w:cs="Arial" w:eastAsia="Arial" w:hAnsi="Arial"/>
          <w:sz w:val="18"/>
          <w:szCs w:val="18"/>
          <w:color w:val="auto"/>
        </w:rPr>
        <w:t>. Any Borrower shall default in any payment of principal of any Loan or Reimbursement Obligation when and as due (whether at maturity,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8" w:name="page189"/>
    <w:bookmarkEnd w:id="188"/>
    <w:p>
      <w:pPr>
        <w:jc w:val="both"/>
        <w:ind w:left="660" w:firstLine="644"/>
        <w:spacing w:after="0" w:line="250" w:lineRule="auto"/>
        <w:tabs>
          <w:tab w:leader="none" w:pos="1736"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Other Payment Default</w:t>
      </w:r>
      <w:r>
        <w:rPr>
          <w:rFonts w:ascii="Arial" w:cs="Arial" w:eastAsia="Arial" w:hAnsi="Arial"/>
          <w:sz w:val="20"/>
          <w:szCs w:val="20"/>
          <w:color w:val="auto"/>
        </w:rPr>
        <w:t>. Any Borrower or any other Credit Party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spacing w:after="0" w:line="185" w:lineRule="exact"/>
        <w:rPr>
          <w:rFonts w:ascii="Arial" w:cs="Arial" w:eastAsia="Arial" w:hAnsi="Arial"/>
          <w:sz w:val="20"/>
          <w:szCs w:val="20"/>
          <w:color w:val="auto"/>
        </w:rPr>
      </w:pPr>
    </w:p>
    <w:p>
      <w:pPr>
        <w:jc w:val="both"/>
        <w:ind w:left="660" w:firstLine="644"/>
        <w:spacing w:after="0" w:line="257" w:lineRule="auto"/>
        <w:tabs>
          <w:tab w:leader="none" w:pos="1752"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Misrepresentation</w:t>
      </w:r>
      <w:r>
        <w:rPr>
          <w:rFonts w:ascii="Arial" w:cs="Arial" w:eastAsia="Arial" w:hAnsi="Arial"/>
          <w:sz w:val="19"/>
          <w:szCs w:val="19"/>
          <w:color w:val="auto"/>
        </w:rPr>
        <w:t>. Any representation, warranty, certification or written statement of fact made or deemed made by or on behalf of the Company or any other Credit Party herein,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the Company or any other Credit Party herein, any other Loan Document, or in any document delivered in connection herewith or therewith that is not subject to materiality or Material Adverse Effect qualifications, shall be incorrect or misleading in any material respect when made or deemed made.</w:t>
      </w:r>
    </w:p>
    <w:p>
      <w:pPr>
        <w:spacing w:after="0" w:line="184" w:lineRule="exact"/>
        <w:rPr>
          <w:rFonts w:ascii="Arial" w:cs="Arial" w:eastAsia="Arial" w:hAnsi="Arial"/>
          <w:sz w:val="19"/>
          <w:szCs w:val="19"/>
          <w:color w:val="auto"/>
        </w:rPr>
      </w:pPr>
    </w:p>
    <w:p>
      <w:pPr>
        <w:ind w:left="660" w:firstLine="644"/>
        <w:spacing w:after="0" w:line="316" w:lineRule="auto"/>
        <w:tabs>
          <w:tab w:leader="none" w:pos="175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Default in Performance of Certain Covenants</w:t>
      </w:r>
      <w:r>
        <w:rPr>
          <w:rFonts w:ascii="Arial" w:cs="Arial" w:eastAsia="Arial" w:hAnsi="Arial"/>
          <w:sz w:val="18"/>
          <w:szCs w:val="18"/>
          <w:color w:val="auto"/>
        </w:rPr>
        <w:t xml:space="preserve">. Any Borrower or any other Credit Party shall default in the performance or observance of any covenant or agreement contained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7.5(d)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Articles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of this Agreement.</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1725"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Default in Performance of Other Covenants and Conditions</w:t>
      </w:r>
      <w:r>
        <w:rPr>
          <w:rFonts w:ascii="Arial" w:cs="Arial" w:eastAsia="Arial" w:hAnsi="Arial"/>
          <w:sz w:val="19"/>
          <w:szCs w:val="19"/>
          <w:color w:val="auto"/>
        </w:rPr>
        <w:t>. Any Borrower or any other Credit Party shall default in the performance or observance of any term, covenant, condition or agreement contained in this Agreement (other than as specifically provided for otherwise in this Section) or any other Loan Document and such default shall continue for a period of thirty (30) days after written notice thereof has been given to the Company by the Administrative Agent.</w:t>
      </w:r>
    </w:p>
    <w:p>
      <w:pPr>
        <w:spacing w:after="0" w:line="176" w:lineRule="exact"/>
        <w:rPr>
          <w:rFonts w:ascii="Arial" w:cs="Arial" w:eastAsia="Arial" w:hAnsi="Arial"/>
          <w:sz w:val="19"/>
          <w:szCs w:val="19"/>
          <w:color w:val="auto"/>
        </w:rPr>
      </w:pPr>
    </w:p>
    <w:p>
      <w:pPr>
        <w:jc w:val="both"/>
        <w:ind w:left="660" w:firstLine="644"/>
        <w:spacing w:after="0" w:line="246" w:lineRule="auto"/>
        <w:tabs>
          <w:tab w:leader="none" w:pos="1771"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Hedging Agreement</w:t>
      </w:r>
      <w:r>
        <w:rPr>
          <w:rFonts w:ascii="Arial" w:cs="Arial" w:eastAsia="Arial" w:hAnsi="Arial"/>
          <w:sz w:val="20"/>
          <w:szCs w:val="20"/>
          <w:color w:val="auto"/>
        </w:rPr>
        <w:t>. Any Borrower or any other Credit Party shall default in the performance or observance of any term, covenant, condition or agreement (after giving effect to any applicable grace or cure period) under any Hedging Agreement and such default causes the termination of such Hedging Agreement and the Termination Value owed by such Credit Party as a result thereof exceeds $40,000,000.</w:t>
      </w:r>
    </w:p>
    <w:p>
      <w:pPr>
        <w:spacing w:after="0" w:line="191" w:lineRule="exact"/>
        <w:rPr>
          <w:rFonts w:ascii="Arial" w:cs="Arial" w:eastAsia="Arial" w:hAnsi="Arial"/>
          <w:sz w:val="20"/>
          <w:szCs w:val="20"/>
          <w:color w:val="auto"/>
        </w:rPr>
      </w:pPr>
    </w:p>
    <w:p>
      <w:pPr>
        <w:jc w:val="both"/>
        <w:ind w:left="660" w:firstLine="644"/>
        <w:spacing w:after="0" w:line="272" w:lineRule="auto"/>
        <w:tabs>
          <w:tab w:leader="none" w:pos="1939"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 Any Borrower or any other Credit Party shall (i) default in the payment of any Indebtedness (other than the Loans or any Reimbursement Obligations) the aggregate outstanding amount of which Indebtedness is in excess of $40,000,000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Obligations) the aggregate outstanding amount of which Indebtedness is in excess of $40,000,000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any such Indebtedness to become due prior to its stated maturity (any applicable grace period having expired).</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80" w:hanging="376"/>
        <w:spacing w:after="0"/>
        <w:tabs>
          <w:tab w:leader="none" w:pos="1680"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 Change in Control shall occur.</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801"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Voluntary Bankruptcy Proceeding</w:t>
      </w:r>
      <w:r>
        <w:rPr>
          <w:rFonts w:ascii="Arial" w:cs="Arial" w:eastAsia="Arial" w:hAnsi="Arial"/>
          <w:sz w:val="20"/>
          <w:szCs w:val="20"/>
          <w:color w:val="auto"/>
        </w:rPr>
        <w:t>. Any Credit Party or any Voluntary Proceeding Subsidiary shall (i) commence a voluntary case under the federal bankruptcy laws (as now or hereafter in effect), (ii) file a petition seeking to take advantage of any other laws, domestic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89" w:name="page190"/>
    <w:bookmarkEnd w:id="189"/>
    <w:p>
      <w:pPr>
        <w:jc w:val="both"/>
        <w:ind w:left="660" w:firstLine="6"/>
        <w:spacing w:after="0" w:line="269" w:lineRule="auto"/>
        <w:rPr>
          <w:sz w:val="20"/>
          <w:szCs w:val="20"/>
          <w:color w:val="auto"/>
        </w:rPr>
      </w:pPr>
      <w:r>
        <w:rPr>
          <w:rFonts w:ascii="Arial" w:cs="Arial" w:eastAsia="Arial" w:hAnsi="Arial"/>
          <w:sz w:val="18"/>
          <w:szCs w:val="18"/>
          <w:color w:val="auto"/>
        </w:rPr>
        <w:t>foreign, relating to bankruptcy, insolvency, reorganization, winding up or composition for adjustment of debts, (iii) consent to or fail to contest in a timely and appropriate manner any petition filed against it in an involuntary case under such bankruptcy laws or other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or other organizational action for the purpose of authorizing any of the foregoing. For purposes of this clause (j), “</w:t>
      </w:r>
      <w:r>
        <w:rPr>
          <w:rFonts w:ascii="Arial" w:cs="Arial" w:eastAsia="Arial" w:hAnsi="Arial"/>
          <w:sz w:val="18"/>
          <w:szCs w:val="18"/>
          <w:u w:val="single" w:color="auto"/>
          <w:color w:val="auto"/>
        </w:rPr>
        <w:t>Voluntary Proceeding Subsidiary</w:t>
      </w:r>
      <w:r>
        <w:rPr>
          <w:rFonts w:ascii="Arial" w:cs="Arial" w:eastAsia="Arial" w:hAnsi="Arial"/>
          <w:sz w:val="18"/>
          <w:szCs w:val="18"/>
          <w:color w:val="auto"/>
        </w:rPr>
        <w:t xml:space="preserve">” means any Restricted Subsidiary of the Company that individually (i) owns assets with a fair market value in excess of five percent (5%) of the Consolidated assets of the Company and its Restricted Subsidiaries as of the most recent Fiscal Year end or (ii) accounted for more than five percent (5%) of EBITDA of the Company and its Restricted Subsidiaries for the most recently ended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Restricted Subsidiaries (x) that are not Credit Parties or Voluntary Proceeding Subsidiaries and (y) in the aggregate own assets with a fair market value in excess of ten percent (10%) of the Consolidated assets of the Company and its Restricted Subsidiaries as of the most recent Fiscal Year end or account for more than ten percent (10%) of EBITDA of the Company and its Restricted Subsidiaries for the most recently ended Fiscal Year, are subject to actions or proceedings under this clause (j), then all Restricted Subsidiaries of the Company shall be subject to this clause (j), irrespective of whether they otherwise qualify as Credit Parties or Voluntary Proceeding Subsidiaries.</w:t>
      </w:r>
    </w:p>
    <w:p>
      <w:pPr>
        <w:spacing w:after="0" w:line="179" w:lineRule="exact"/>
        <w:rPr>
          <w:sz w:val="20"/>
          <w:szCs w:val="20"/>
          <w:color w:val="auto"/>
        </w:rPr>
      </w:pPr>
    </w:p>
    <w:p>
      <w:pPr>
        <w:jc w:val="both"/>
        <w:ind w:left="660" w:firstLine="644"/>
        <w:spacing w:after="0" w:line="259" w:lineRule="auto"/>
        <w:tabs>
          <w:tab w:leader="none" w:pos="1831"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Involuntary Bankruptcy Proceeding</w:t>
      </w:r>
      <w:r>
        <w:rPr>
          <w:rFonts w:ascii="Arial" w:cs="Arial" w:eastAsia="Arial" w:hAnsi="Arial"/>
          <w:sz w:val="19"/>
          <w:szCs w:val="19"/>
          <w:color w:val="auto"/>
        </w:rPr>
        <w:t>. A case or other proceeding shall be commenced against any Borrower or any Credit Party in any court of competent jurisdiction seeking (i) relief under any Debtor Relief Laws, or (ii) the appointment of a trustee, receiver, custodian, liquidator or the like for any Borrower or any Credit Party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spacing w:after="0" w:line="178" w:lineRule="exact"/>
        <w:rPr>
          <w:rFonts w:ascii="Arial" w:cs="Arial" w:eastAsia="Arial" w:hAnsi="Arial"/>
          <w:sz w:val="19"/>
          <w:szCs w:val="19"/>
          <w:color w:val="auto"/>
        </w:rPr>
      </w:pPr>
    </w:p>
    <w:p>
      <w:pPr>
        <w:jc w:val="both"/>
        <w:ind w:left="660" w:right="20" w:firstLine="644"/>
        <w:spacing w:after="0" w:line="291" w:lineRule="auto"/>
        <w:tabs>
          <w:tab w:leader="none" w:pos="174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Failure of Agreements</w:t>
      </w:r>
      <w:r>
        <w:rPr>
          <w:rFonts w:ascii="Arial" w:cs="Arial" w:eastAsia="Arial" w:hAnsi="Arial"/>
          <w:sz w:val="18"/>
          <w:szCs w:val="18"/>
          <w:color w:val="auto"/>
        </w:rPr>
        <w:t>. Any provision of this Agreement or any provision of any other Loan Document shall for any reason cease to be valid and binding on any Borrower or any other Credit Party party thereto (except in the event this Agreement or other Loan Document is, by its terms, terminated and no longer in force) or any such Person shall so state in writing.</w:t>
      </w:r>
    </w:p>
    <w:p>
      <w:pPr>
        <w:spacing w:after="0" w:line="151" w:lineRule="exact"/>
        <w:rPr>
          <w:rFonts w:ascii="Arial" w:cs="Arial" w:eastAsia="Arial" w:hAnsi="Arial"/>
          <w:sz w:val="18"/>
          <w:szCs w:val="18"/>
          <w:color w:val="auto"/>
        </w:rPr>
      </w:pPr>
    </w:p>
    <w:p>
      <w:pPr>
        <w:jc w:val="both"/>
        <w:ind w:left="660" w:firstLine="644"/>
        <w:spacing w:after="0" w:line="271" w:lineRule="auto"/>
        <w:tabs>
          <w:tab w:leader="none" w:pos="180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Termination Event</w:t>
      </w:r>
      <w:r>
        <w:rPr>
          <w:rFonts w:ascii="Arial" w:cs="Arial" w:eastAsia="Arial" w:hAnsi="Arial"/>
          <w:sz w:val="18"/>
          <w:szCs w:val="18"/>
          <w:color w:val="auto"/>
        </w:rPr>
        <w:t>. The occurrence of any of the following events, if any such event would reasonably be expected to have a Material Adverse Effect: (i) the Company or any ERISA Affiliate fails to make full payment when due of all amounts which, under the provisions of any Pension Plan, Multiemployer Plan, ERISA or the Code, the Company or any ERISA Affiliate is required to pay as contributions to such Pension Plan or Multiemployer Plan, (ii) the value of the accumulated plan benefits under any Pension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 by $1,000,000 or more, (iii) a Termination Event or (iv) the Company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0" w:name="page191"/>
    <w:bookmarkEnd w:id="190"/>
    <w:p>
      <w:pPr>
        <w:jc w:val="both"/>
        <w:ind w:left="660" w:firstLine="644"/>
        <w:spacing w:after="0" w:line="260" w:lineRule="auto"/>
        <w:tabs>
          <w:tab w:leader="none" w:pos="1750"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Judgment</w:t>
      </w:r>
      <w:r>
        <w:rPr>
          <w:rFonts w:ascii="Arial" w:cs="Arial" w:eastAsia="Arial" w:hAnsi="Arial"/>
          <w:sz w:val="19"/>
          <w:szCs w:val="19"/>
          <w:color w:val="auto"/>
        </w:rPr>
        <w:t>. A judgment or order for the payment of money which causes the aggregate amount of all such judgments to exceed $40,000,000 in any Fiscal Year (to the extent not covered by independent third-party insurance as to which the insurer does not dispute coverage), shall be entered against any Borrower or any Credit Party by any court and such judgment or order shall continue without having been discharged, vacated, stayed or bonded pending appeal for a period of sixty (60) days after the entry thereof (or such longer period as permitted by the court to file such appeal).</w:t>
      </w:r>
    </w:p>
    <w:p>
      <w:pPr>
        <w:spacing w:after="0" w:line="17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0"/>
          <w:szCs w:val="20"/>
          <w:b w:val="1"/>
          <w:bCs w:val="1"/>
          <w:color w:val="auto"/>
        </w:rPr>
        <w:t>SECTION 11.2</w:t>
      </w:r>
      <w:r>
        <w:rPr>
          <w:sz w:val="20"/>
          <w:szCs w:val="20"/>
          <w:color w:val="auto"/>
        </w:rPr>
        <w:tab/>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Upon the occurrence of an Event of Default, with the consent of the Required Lenders,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may, or upon the request of the Required Lenders, the Administrative Agent shall, by notice to the Company:</w:t>
      </w:r>
    </w:p>
    <w:p>
      <w:pPr>
        <w:spacing w:after="0" w:line="211" w:lineRule="exact"/>
        <w:rPr>
          <w:sz w:val="20"/>
          <w:szCs w:val="20"/>
          <w:color w:val="auto"/>
        </w:rPr>
      </w:pPr>
    </w:p>
    <w:p>
      <w:pPr>
        <w:jc w:val="both"/>
        <w:ind w:left="660" w:firstLine="644"/>
        <w:spacing w:after="0" w:line="270" w:lineRule="auto"/>
        <w:tabs>
          <w:tab w:leader="none" w:pos="1793"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 xml:space="preserve">. Terminate the Commitments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(other than Hedging Obligations and Bank Product Debt), to be forthwith due and payable, whereupon the 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Borrowers to request borrowings or Letters of Credit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the occurrence of a Bankruptcy Event of Default, the Credit Facility shall be automatically terminated and all Obligations (other than Hedging Obligations and Bank Product Debt) shall automatically become due and payable without presentment, demand, protest or other notice of any kind, all of which are expressly waived by each Credit Party, anything in this Agreement or in any other Loan Document to the contrary notwithstanding.</w:t>
      </w:r>
    </w:p>
    <w:p>
      <w:pPr>
        <w:spacing w:after="0" w:line="175" w:lineRule="exact"/>
        <w:rPr>
          <w:rFonts w:ascii="Arial" w:cs="Arial" w:eastAsia="Arial" w:hAnsi="Arial"/>
          <w:sz w:val="18"/>
          <w:szCs w:val="18"/>
          <w:color w:val="auto"/>
        </w:rPr>
      </w:pPr>
    </w:p>
    <w:p>
      <w:pPr>
        <w:jc w:val="both"/>
        <w:ind w:left="660" w:firstLine="644"/>
        <w:spacing w:after="0" w:line="256" w:lineRule="auto"/>
        <w:tabs>
          <w:tab w:leader="none" w:pos="1831"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Letters of Credit</w:t>
      </w:r>
      <w:r>
        <w:rPr>
          <w:rFonts w:ascii="Arial" w:cs="Arial" w:eastAsia="Arial" w:hAnsi="Arial"/>
          <w:sz w:val="19"/>
          <w:szCs w:val="19"/>
          <w:color w:val="auto"/>
        </w:rPr>
        <w:t>. With respect to all Letters of Credit with respect to which presentment for honor shall not have occurred at the time of an acceleration pursuant to the preceding paragraph, the Company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Obligations on a pro rata basis. After all such Letters of Credit shall have expired or been fully drawn upon, the Reimbursement Obligations shall have been satisfied and all other Obligations (other than contingent indemnification obligations not yet due and Bank Product Debt) shall have been paid in full, the balance, if any, in such cash collateral account shall be returned to the Company.</w:t>
      </w:r>
    </w:p>
    <w:p>
      <w:pPr>
        <w:spacing w:after="0" w:line="184" w:lineRule="exact"/>
        <w:rPr>
          <w:rFonts w:ascii="Arial" w:cs="Arial" w:eastAsia="Arial" w:hAnsi="Arial"/>
          <w:sz w:val="19"/>
          <w:szCs w:val="19"/>
          <w:color w:val="auto"/>
        </w:rPr>
      </w:pPr>
    </w:p>
    <w:p>
      <w:pPr>
        <w:ind w:left="660" w:firstLine="644"/>
        <w:spacing w:after="0" w:line="260" w:lineRule="auto"/>
        <w:tabs>
          <w:tab w:leader="none" w:pos="1766"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Rights of Collection</w:t>
      </w:r>
      <w:r>
        <w:rPr>
          <w:rFonts w:ascii="Arial" w:cs="Arial" w:eastAsia="Arial" w:hAnsi="Arial"/>
          <w:sz w:val="20"/>
          <w:szCs w:val="20"/>
          <w:color w:val="auto"/>
        </w:rPr>
        <w:t>. Exercise on behalf of the Lenders all of its other rights and remedies under this Agreement, the other Loan Documents and Applicable Law, in order to satisfy all of the Borrowers’ Obligations.</w:t>
      </w:r>
    </w:p>
    <w:p>
      <w:pPr>
        <w:spacing w:after="0" w:line="17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 xml:space="preserve">SECTION 11.4 </w:t>
      </w:r>
      <w:r>
        <w:rPr>
          <w:rFonts w:ascii="Arial" w:cs="Arial" w:eastAsia="Arial" w:hAnsi="Arial"/>
          <w:sz w:val="20"/>
          <w:szCs w:val="20"/>
          <w:b w:val="1"/>
          <w:bCs w:val="1"/>
          <w:u w:val="single" w:color="auto"/>
          <w:color w:val="auto"/>
        </w:rPr>
        <w:t>Crediting of Payments and Proceeds</w:t>
      </w:r>
      <w:r>
        <w:rPr>
          <w:rFonts w:ascii="Arial" w:cs="Arial" w:eastAsia="Arial" w:hAnsi="Arial"/>
          <w:sz w:val="20"/>
          <w:szCs w:val="20"/>
          <w:color w:val="auto"/>
        </w:rPr>
        <w:t>. In the event that any Borrower shall fail to pay any of the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when due and the Obligations have been accelerated pursuant to </w:t>
      </w:r>
      <w:r>
        <w:rPr>
          <w:rFonts w:ascii="Arial" w:cs="Arial" w:eastAsia="Arial" w:hAnsi="Arial"/>
          <w:sz w:val="20"/>
          <w:szCs w:val="20"/>
          <w:u w:val="single" w:color="auto"/>
          <w:color w:val="auto"/>
        </w:rPr>
        <w:t>Section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1" w:name="page192"/>
    <w:bookmarkEnd w:id="191"/>
    <w:p>
      <w:pPr>
        <w:ind w:left="20"/>
        <w:spacing w:after="0"/>
        <w:rPr>
          <w:sz w:val="20"/>
          <w:szCs w:val="20"/>
          <w:color w:val="auto"/>
        </w:rPr>
      </w:pPr>
      <w:r>
        <w:rPr>
          <w:rFonts w:ascii="Arial" w:cs="Arial" w:eastAsia="Arial" w:hAnsi="Arial"/>
          <w:sz w:val="18"/>
          <w:szCs w:val="18"/>
          <w:color w:val="auto"/>
        </w:rPr>
        <w:t>all payments received by the Lenders upon the Obligations and all net proceeds from the enforcement of the Obligations shall be applied:</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attorney fees, payable to the Administrative Agent in its capacity as such and each Issuing Lender in its capacity as such (ratably among the Administrative Agent and the Issuing Lenders in proportion to the respective amounts described in this clause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payable to them);</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and Reimbursement Obligations and any Bank Product Debt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Reimbursement Obligations and any Bank Product Debt (including any termination payments thereon) (ratably among the Lenders and Bank Product Providers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each Issuing Lender, to cash collateralize any L/C Obligations then outstanding;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xml:space="preserve"> the balance, if any, after all of the Obligations (other than contingent indemnification obligations not yet due) have been indefeasibly paid in full, to the Borrowers or as otherwise required by Applicable Law.</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Excluded Hedging Obligations with respect to any Credit Party shall not be paid with amounts received from such Credit Party or its assets, but appropriate adjustments shall be made with respect to payments from other Credit Parties to preserve the allocation to Obligations otherwise set forth above in this Section.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THE ADMINISTRATIVE AGENT</w:t>
      </w:r>
    </w:p>
    <w:p>
      <w:pPr>
        <w:spacing w:after="0" w:line="2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12.1</w:t>
      </w:r>
      <w:r>
        <w:rPr>
          <w:sz w:val="20"/>
          <w:szCs w:val="20"/>
          <w:color w:val="auto"/>
        </w:rPr>
        <w:tab/>
      </w:r>
      <w:r>
        <w:rPr>
          <w:rFonts w:ascii="Arial" w:cs="Arial" w:eastAsia="Arial" w:hAnsi="Arial"/>
          <w:sz w:val="18"/>
          <w:szCs w:val="18"/>
          <w:b w:val="1"/>
          <w:bCs w:val="1"/>
          <w:u w:val="single" w:color="auto"/>
          <w:color w:val="auto"/>
        </w:rPr>
        <w:t>Appointment and Authority.</w:t>
      </w:r>
    </w:p>
    <w:p>
      <w:pPr>
        <w:spacing w:after="0" w:line="200" w:lineRule="exact"/>
        <w:rPr>
          <w:sz w:val="20"/>
          <w:szCs w:val="20"/>
          <w:color w:val="auto"/>
        </w:rPr>
      </w:pPr>
    </w:p>
    <w:p>
      <w:pPr>
        <w:jc w:val="both"/>
        <w:ind w:left="660" w:firstLine="644"/>
        <w:spacing w:after="0" w:line="256" w:lineRule="auto"/>
        <w:tabs>
          <w:tab w:leader="none" w:pos="1725"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Appointment</w:t>
      </w:r>
      <w:r>
        <w:rPr>
          <w:rFonts w:ascii="Arial" w:cs="Arial" w:eastAsia="Arial" w:hAnsi="Arial"/>
          <w:sz w:val="19"/>
          <w:szCs w:val="19"/>
          <w:color w:val="auto"/>
        </w:rPr>
        <w:t>. Each of the Lenders and the Issuing Lenders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Company nor any other Credit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2" w:name="page193"/>
    <w:bookmarkEnd w:id="192"/>
    <w:p>
      <w:pPr>
        <w:jc w:val="both"/>
        <w:ind w:left="660" w:firstLine="6"/>
        <w:spacing w:after="0" w:line="328" w:lineRule="auto"/>
        <w:rPr>
          <w:sz w:val="20"/>
          <w:szCs w:val="20"/>
          <w:color w:val="auto"/>
        </w:rPr>
      </w:pPr>
      <w:r>
        <w:rPr>
          <w:rFonts w:ascii="Arial" w:cs="Arial" w:eastAsia="Arial" w:hAnsi="Arial"/>
          <w:sz w:val="16"/>
          <w:szCs w:val="16"/>
          <w:color w:val="auto"/>
        </w:rPr>
        <w:t>used as a matter of market custom, and is intended to create or reflect only an administrative relationship between contracting parties. In addition, to the extent required under the laws of any jurisdiction other than the United States of America, each of the Lenders and the holders of the Obligations hereby grants to the Administrative Agent any required powers of attorney to execute any Security Document or other Loan Document governed by the laws of such jurisdiction on such Lender’s or holder of the Obligation’s behalf.</w:t>
      </w:r>
    </w:p>
    <w:p>
      <w:pPr>
        <w:spacing w:after="0" w:line="128" w:lineRule="exact"/>
        <w:rPr>
          <w:sz w:val="20"/>
          <w:szCs w:val="20"/>
          <w:color w:val="auto"/>
        </w:rPr>
      </w:pPr>
    </w:p>
    <w:p>
      <w:pPr>
        <w:jc w:val="both"/>
        <w:ind w:left="660" w:firstLine="644"/>
        <w:spacing w:after="0" w:line="271" w:lineRule="auto"/>
        <w:tabs>
          <w:tab w:leader="none" w:pos="173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The Administrative Agent shall also act as the “collateral agent” under the Loan Documents, and each of the Lenders (including in its capacities as a potential Bank Product Provider)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13.4(c)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SECTION 12.2 </w:t>
      </w:r>
      <w:r>
        <w:rPr>
          <w:rFonts w:ascii="Arial" w:cs="Arial" w:eastAsia="Arial" w:hAnsi="Arial"/>
          <w:sz w:val="20"/>
          <w:szCs w:val="20"/>
          <w:b w:val="1"/>
          <w:bCs w:val="1"/>
          <w:u w:val="single" w:color="auto"/>
          <w:color w:val="auto"/>
        </w:rPr>
        <w:t>Rights as a Lender</w:t>
      </w:r>
      <w:r>
        <w:rPr>
          <w:rFonts w:ascii="Arial" w:cs="Arial" w:eastAsia="Arial" w:hAnsi="Arial"/>
          <w:sz w:val="20"/>
          <w:szCs w:val="20"/>
          <w:color w:val="auto"/>
        </w:rPr>
        <w:t>. The Person serving as the Administrative Agent hereunder shall have the same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Credit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12.3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50" w:lineRule="auto"/>
        <w:tabs>
          <w:tab w:leader="none" w:pos="1791"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Administrative Agent or BAS, as applicable, shall not have any duties or obligations except those expressly set forth herein and in the other Loan Documents, and its duties hereunder shall be administrative in nature. Without limiting the generality of the foregoing, the Administrative Agent or BAS, as applicable, and its Related Parties:</w:t>
      </w:r>
    </w:p>
    <w:p>
      <w:pPr>
        <w:spacing w:after="0" w:line="185" w:lineRule="exact"/>
        <w:rPr>
          <w:rFonts w:ascii="Arial" w:cs="Arial" w:eastAsia="Arial" w:hAnsi="Arial"/>
          <w:sz w:val="20"/>
          <w:szCs w:val="20"/>
          <w:color w:val="auto"/>
        </w:rPr>
      </w:pPr>
    </w:p>
    <w:p>
      <w:pPr>
        <w:ind w:left="2340" w:hanging="388"/>
        <w:spacing w:after="0"/>
        <w:tabs>
          <w:tab w:leader="none" w:pos="23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199" w:lineRule="exact"/>
        <w:rPr>
          <w:rFonts w:ascii="Arial" w:cs="Arial" w:eastAsia="Arial" w:hAnsi="Arial"/>
          <w:sz w:val="18"/>
          <w:szCs w:val="18"/>
          <w:color w:val="auto"/>
        </w:rPr>
      </w:pPr>
    </w:p>
    <w:p>
      <w:pPr>
        <w:jc w:val="both"/>
        <w:ind w:left="1300" w:firstLine="652"/>
        <w:spacing w:after="0" w:line="276" w:lineRule="auto"/>
        <w:tabs>
          <w:tab w:leader="none" w:pos="25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3" w:name="page194"/>
    <w:bookmarkEnd w:id="193"/>
    <w:p>
      <w:pPr>
        <w:ind w:left="1300" w:firstLine="6"/>
        <w:spacing w:after="0" w:line="287" w:lineRule="auto"/>
        <w:rPr>
          <w:sz w:val="20"/>
          <w:szCs w:val="20"/>
          <w:color w:val="auto"/>
        </w:rPr>
      </w:pPr>
      <w:r>
        <w:rPr>
          <w:rFonts w:ascii="Arial" w:cs="Arial" w:eastAsia="Arial" w:hAnsi="Arial"/>
          <w:sz w:val="19"/>
          <w:szCs w:val="19"/>
          <w:color w:val="auto"/>
        </w:rPr>
        <w:t>doubt any action that may be in violation of the automatic stay under any Debtor Relief Law or that may effect a forfeiture, modification or termination of property of a Defaulting Lender in violation of any Debtor Relief Law; and</w:t>
      </w:r>
    </w:p>
    <w:p>
      <w:pPr>
        <w:spacing w:after="0" w:line="152" w:lineRule="exact"/>
        <w:rPr>
          <w:sz w:val="20"/>
          <w:szCs w:val="20"/>
          <w:color w:val="auto"/>
        </w:rPr>
      </w:pPr>
    </w:p>
    <w:p>
      <w:pPr>
        <w:jc w:val="both"/>
        <w:ind w:left="1300" w:firstLine="652"/>
        <w:spacing w:after="0" w:line="278" w:lineRule="auto"/>
        <w:tabs>
          <w:tab w:leader="none" w:pos="248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shall not have any duty or responsibility to disclose, and shall not be liable for the failure to disclose, to any Lender or any Issuing Lender any credit or other information concerning the business, prospects, operations, property, financial and other condition or creditworthiness of any of the Credit Parties or any of their Affiliates that is communicated to, or in the possession of, the Administrative Agent, BAS or any of their Related Parties in any capacity, except for notices, reports and other documents expressly required to be furnished to the Lenders by the Administrative Agent herein.</w:t>
      </w:r>
    </w:p>
    <w:p>
      <w:pPr>
        <w:spacing w:after="0" w:line="164" w:lineRule="exact"/>
        <w:rPr>
          <w:rFonts w:ascii="Arial" w:cs="Arial" w:eastAsia="Arial" w:hAnsi="Arial"/>
          <w:sz w:val="18"/>
          <w:szCs w:val="18"/>
          <w:color w:val="auto"/>
        </w:rPr>
      </w:pPr>
    </w:p>
    <w:p>
      <w:pPr>
        <w:jc w:val="both"/>
        <w:ind w:left="660" w:firstLine="644"/>
        <w:spacing w:after="0" w:line="257" w:lineRule="auto"/>
        <w:tabs>
          <w:tab w:leader="none" w:pos="176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Issuing Lender.</w:t>
      </w:r>
    </w:p>
    <w:p>
      <w:pPr>
        <w:spacing w:after="0" w:line="180" w:lineRule="exact"/>
        <w:rPr>
          <w:rFonts w:ascii="Arial" w:cs="Arial" w:eastAsia="Arial" w:hAnsi="Arial"/>
          <w:sz w:val="19"/>
          <w:szCs w:val="19"/>
          <w:color w:val="auto"/>
        </w:rPr>
      </w:pPr>
    </w:p>
    <w:p>
      <w:pPr>
        <w:jc w:val="both"/>
        <w:ind w:left="660" w:firstLine="644"/>
        <w:spacing w:after="0" w:line="256" w:lineRule="auto"/>
        <w:tabs>
          <w:tab w:leader="none" w:pos="173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84" w:lineRule="exact"/>
        <w:rPr>
          <w:rFonts w:ascii="Arial" w:cs="Arial" w:eastAsia="Arial" w:hAnsi="Arial"/>
          <w:sz w:val="19"/>
          <w:szCs w:val="19"/>
          <w:color w:val="auto"/>
        </w:rPr>
      </w:pPr>
    </w:p>
    <w:p>
      <w:pPr>
        <w:jc w:val="both"/>
        <w:ind w:left="660" w:firstLine="644"/>
        <w:spacing w:after="0" w:line="243" w:lineRule="auto"/>
        <w:tabs>
          <w:tab w:leader="none" w:pos="178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of Loans, or disclosure of confidential information, to any Disqualified Institution.</w:t>
      </w:r>
    </w:p>
    <w:p>
      <w:pPr>
        <w:spacing w:after="0" w:line="19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SECTION 12.4 Reliance by Administrative Agent</w:t>
      </w:r>
      <w:r>
        <w:rPr>
          <w:rFonts w:ascii="Arial" w:cs="Arial" w:eastAsia="Arial" w:hAnsi="Arial"/>
          <w:sz w:val="20"/>
          <w:szCs w:val="20"/>
          <w:color w:val="auto"/>
        </w:rPr>
        <w:t>. The Administrative Agent shall be entitled to rely upon, and shall be fully</w:t>
      </w:r>
      <w:r>
        <w:rPr>
          <w:rFonts w:ascii="Arial" w:cs="Arial" w:eastAsia="Arial" w:hAnsi="Arial"/>
          <w:sz w:val="20"/>
          <w:szCs w:val="20"/>
          <w:b w:val="1"/>
          <w:bCs w:val="1"/>
          <w:color w:val="auto"/>
        </w:rPr>
        <w:t xml:space="preserve"> </w:t>
      </w:r>
      <w:r>
        <w:rPr>
          <w:rFonts w:ascii="Arial" w:cs="Arial" w:eastAsia="Arial" w:hAnsi="Arial"/>
          <w:sz w:val="20"/>
          <w:szCs w:val="20"/>
          <w:color w:val="auto"/>
        </w:rPr>
        <w:t>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4" w:name="page195"/>
    <w:bookmarkEnd w:id="194"/>
    <w:p>
      <w:pPr>
        <w:jc w:val="both"/>
        <w:ind w:firstLine="6"/>
        <w:spacing w:after="0" w:line="271" w:lineRule="auto"/>
        <w:rPr>
          <w:sz w:val="20"/>
          <w:szCs w:val="20"/>
          <w:color w:val="auto"/>
        </w:rPr>
      </w:pPr>
      <w:r>
        <w:rPr>
          <w:rFonts w:ascii="Arial" w:cs="Arial" w:eastAsia="Arial" w:hAnsi="Arial"/>
          <w:sz w:val="18"/>
          <w:szCs w:val="18"/>
          <w:color w:val="auto"/>
        </w:rPr>
        <w:t xml:space="preserve">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Credit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 5.1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SECTION 12.5 Delegation of Duties</w:t>
      </w:r>
      <w:r>
        <w:rPr>
          <w:rFonts w:ascii="Arial" w:cs="Arial" w:eastAsia="Arial" w:hAnsi="Arial"/>
          <w:sz w:val="18"/>
          <w:szCs w:val="18"/>
          <w:color w:val="auto"/>
        </w:rPr>
        <w:t>. The Administrative Agent may perform any and all of its duties and exercise its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sub-agents.</w:t>
      </w:r>
    </w:p>
    <w:p>
      <w:pPr>
        <w:spacing w:after="0" w:line="16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12.6</w:t>
      </w:r>
      <w:r>
        <w:rPr>
          <w:sz w:val="20"/>
          <w:szCs w:val="20"/>
          <w:color w:val="auto"/>
        </w:rPr>
        <w:tab/>
      </w:r>
      <w:r>
        <w:rPr>
          <w:rFonts w:ascii="Arial" w:cs="Arial" w:eastAsia="Arial" w:hAnsi="Arial"/>
          <w:sz w:val="16"/>
          <w:szCs w:val="16"/>
          <w:b w:val="1"/>
          <w:bCs w:val="1"/>
          <w:color w:val="auto"/>
        </w:rPr>
        <w:t>Resignation and Removal of Administrative Agent</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71" w:lineRule="auto"/>
        <w:tabs>
          <w:tab w:leader="none" w:pos="1806"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Notice of Resignation</w:t>
      </w:r>
      <w:r>
        <w:rPr>
          <w:rFonts w:ascii="Arial" w:cs="Arial" w:eastAsia="Arial" w:hAnsi="Arial"/>
          <w:sz w:val="18"/>
          <w:szCs w:val="18"/>
          <w:color w:val="auto"/>
        </w:rPr>
        <w:t>. The Administrative Agent may at any time give notice of its resignation to the Lenders, the Issuing Lenders and the Company. Upon receipt of any such notice of resignation, the Required Lenders shall have the right, with the consent of the Company so long as no Event of Default has occurred and is outstanding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and the Company)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Issuing Lenders,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successor Administrative Agent be a Defaulting Lender or a Disqualified Institution. Whether or not a successor has been appointed, such resignation shall become effective in accordance with such notice on the Resignation Effective Date.</w:t>
      </w:r>
    </w:p>
    <w:p>
      <w:pPr>
        <w:spacing w:after="0" w:line="169" w:lineRule="exact"/>
        <w:rPr>
          <w:rFonts w:ascii="Arial" w:cs="Arial" w:eastAsia="Arial" w:hAnsi="Arial"/>
          <w:sz w:val="18"/>
          <w:szCs w:val="18"/>
          <w:color w:val="auto"/>
        </w:rPr>
      </w:pPr>
    </w:p>
    <w:p>
      <w:pPr>
        <w:jc w:val="both"/>
        <w:ind w:left="660" w:firstLine="644"/>
        <w:spacing w:after="0" w:line="243" w:lineRule="auto"/>
        <w:tabs>
          <w:tab w:leader="none" w:pos="1763"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Notice of Removal</w:t>
      </w:r>
      <w:r>
        <w:rPr>
          <w:rFonts w:ascii="Arial" w:cs="Arial" w:eastAsia="Arial" w:hAnsi="Arial"/>
          <w:sz w:val="20"/>
          <w:szCs w:val="20"/>
          <w:color w:val="auto"/>
        </w:rPr>
        <w:t>. If the Person serving as Administrative Agent is a Defaulting Lender pursuant to clause (d) of the definition thereof, the Company or the Required Lenders may, to the extent permitted by Applicable Law, by notice in writing to the Company (or, if such removal is initiated by the Company, to the Required Lenders) and such Person remove such Person as Administrative Agent and, subject, so long as no Event of Default then exists or is continuing, to the prior written consent of the Company (such consent not to be unreasonably withheld or delayed), appoint a successor. If no such successor shall have been so appointed by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5" w:name="page196"/>
    <w:bookmarkEnd w:id="195"/>
    <w:p>
      <w:pPr>
        <w:jc w:val="both"/>
        <w:ind w:left="660" w:firstLine="6"/>
        <w:spacing w:after="0" w:line="250" w:lineRule="auto"/>
        <w:rPr>
          <w:sz w:val="20"/>
          <w:szCs w:val="20"/>
          <w:color w:val="auto"/>
        </w:rPr>
      </w:pPr>
      <w:r>
        <w:rPr>
          <w:rFonts w:ascii="Arial" w:cs="Arial" w:eastAsia="Arial" w:hAnsi="Arial"/>
          <w:sz w:val="20"/>
          <w:szCs w:val="20"/>
          <w:color w:val="auto"/>
        </w:rPr>
        <w:t>Lenders and shall have accepted such appointment within thirty days (or such earlier day as shall be agreed by the Required Lenders and the Company)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86" w:lineRule="exact"/>
        <w:rPr>
          <w:sz w:val="20"/>
          <w:szCs w:val="20"/>
          <w:color w:val="auto"/>
        </w:rPr>
      </w:pPr>
    </w:p>
    <w:p>
      <w:pPr>
        <w:ind w:left="1780" w:hanging="476"/>
        <w:spacing w:after="0"/>
        <w:tabs>
          <w:tab w:leader="none" w:pos="178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Effect of Resignation and Removal</w:t>
      </w:r>
      <w:r>
        <w:rPr>
          <w:rFonts w:ascii="Arial" w:cs="Arial" w:eastAsia="Arial" w:hAnsi="Arial"/>
          <w:sz w:val="18"/>
          <w:szCs w:val="18"/>
          <w:color w:val="auto"/>
        </w:rPr>
        <w:t>. With effect from the Resignation Effective Date or the Removal Effective Date</w:t>
      </w:r>
    </w:p>
    <w:p>
      <w:pPr>
        <w:spacing w:after="0" w:line="38" w:lineRule="exact"/>
        <w:rPr>
          <w:rFonts w:ascii="Arial" w:cs="Arial" w:eastAsia="Arial" w:hAnsi="Arial"/>
          <w:sz w:val="18"/>
          <w:szCs w:val="18"/>
          <w:color w:val="auto"/>
        </w:rPr>
      </w:pPr>
    </w:p>
    <w:p>
      <w:pPr>
        <w:jc w:val="both"/>
        <w:ind w:left="660" w:hanging="4"/>
        <w:spacing w:after="0" w:line="267" w:lineRule="auto"/>
        <w:tabs>
          <w:tab w:leader="none" w:pos="91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as applicable, hereunder and under the other Loan Documents, the provisions of this Article and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without limitation, (A) acting as collateral agent or otherwise holding any collateral security on behalf of any of the holders of the Obligations and (B) in respect of any actions taken in connection with transferring the agency to any successor Administrative Agent.</w:t>
      </w:r>
    </w:p>
    <w:p>
      <w:pPr>
        <w:spacing w:after="0" w:line="183" w:lineRule="exact"/>
        <w:rPr>
          <w:rFonts w:ascii="Arial" w:cs="Arial" w:eastAsia="Arial" w:hAnsi="Arial"/>
          <w:sz w:val="18"/>
          <w:szCs w:val="18"/>
          <w:color w:val="auto"/>
        </w:rPr>
      </w:pPr>
    </w:p>
    <w:p>
      <w:pPr>
        <w:jc w:val="both"/>
        <w:ind w:left="660" w:firstLine="644"/>
        <w:spacing w:after="0" w:line="270" w:lineRule="auto"/>
        <w:tabs>
          <w:tab w:leader="none" w:pos="1858"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Issuing Lender and Swingline Lender</w:t>
      </w:r>
      <w:r>
        <w:rPr>
          <w:rFonts w:ascii="Arial" w:cs="Arial" w:eastAsia="Arial" w:hAnsi="Arial"/>
          <w:sz w:val="18"/>
          <w:szCs w:val="18"/>
          <w:color w:val="auto"/>
        </w:rPr>
        <w:t xml:space="preserve">. Any resignation or removal by Bank of America as Administrative Agent pursuant to this Section shall also constitute its resignation as Issuing Lender and Swingline Lender. If Bank of America resigns as an Issuing Lender, it shall retain all the rights, powers, privileges and duties of an Issuing Lender hereunder with respect to all Letters of Credit outstanding as of the effective date of its resignation as Issuing Lender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2.4(c)</w:t>
      </w:r>
      <w:r>
        <w:rPr>
          <w:rFonts w:ascii="Arial" w:cs="Arial" w:eastAsia="Arial" w:hAnsi="Arial"/>
          <w:sz w:val="18"/>
          <w:szCs w:val="18"/>
          <w:color w:val="auto"/>
        </w:rPr>
        <w:t>. Upon the appointment by the Company of a successor Issuing Lender or Swingline Lender hereunder (which successor shall in all cases be a Lender other than a Defaulting Lender), (i) such successor shall succeed to and become vested with all of the rights, powers, privileges and duties of the retiring Issuing Lender or Swingline Lender, as applicable, (ii) the retiring Issuing Lender and Swingline Lender shall be discharged from all of their respective duties and obligations hereunder or under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6" w:name="page197"/>
    <w:bookmarkEnd w:id="196"/>
    <w:p>
      <w:pPr>
        <w:jc w:val="both"/>
        <w:ind w:left="660" w:firstLine="6"/>
        <w:spacing w:after="0" w:line="250" w:lineRule="auto"/>
        <w:rPr>
          <w:sz w:val="20"/>
          <w:szCs w:val="20"/>
          <w:color w:val="auto"/>
        </w:rPr>
      </w:pPr>
      <w:r>
        <w:rPr>
          <w:rFonts w:ascii="Arial" w:cs="Arial" w:eastAsia="Arial" w:hAnsi="Arial"/>
          <w:sz w:val="20"/>
          <w:szCs w:val="20"/>
          <w:color w:val="auto"/>
        </w:rPr>
        <w:t>Documents, and (iii) the successor Issuing Lender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SECTION 12.7 Non-Reliance on Administrative Agent and Other Lenders</w:t>
      </w:r>
      <w:r>
        <w:rPr>
          <w:rFonts w:ascii="Arial" w:cs="Arial" w:eastAsia="Arial" w:hAnsi="Arial"/>
          <w:sz w:val="18"/>
          <w:szCs w:val="18"/>
          <w:color w:val="auto"/>
        </w:rPr>
        <w:t>. Each Lender and each Issuing Lender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none of the Administrative Agent nor BAS has made any representation or warranty to it, and that no act by the Administrative Agent or BAS hereafter taken, including any consent to, and acceptance of any assignment or review of the affairs of any Credit Party or any Affiliate thereof, shall be deemed to constitute any representation or warranty by the Administrative Agent or BAS to any Lender or each Issuing Lender as to any matter, including whether the Administrative Agent or BAS have disclosed material information in their (or their Related Parties’) possession. Each Lender and each Issuing Lender represents to the Administrative Agent and BAS that it has, independently and without reliance upon the Administrative Agent, BAS,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 decision to enter into this Agreement and to extend credit to the Borrowers hereunder. Each Lender and each Issuing Lender also acknowledges that it will, independently and without reliance upon the Administrative Agent, BAS,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Credit Parties. Each Lender and each Issuing Lender represents and warrants that (i) the Loan Documents set forth the terms of a commercial lending facility and (ii) it is engaged in making, acquiring or holding commercial loans in the ordinary course and is entering into this Agreement as a Lender or Issuing Lender for the purpose of making, acquiring or holding commercial loans and providing other facilities set forth herein as may be applicable to such Lender or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12.8 </w:t>
      </w:r>
      <w:r>
        <w:rPr>
          <w:rFonts w:ascii="Arial" w:cs="Arial" w:eastAsia="Arial" w:hAnsi="Arial"/>
          <w:sz w:val="20"/>
          <w:szCs w:val="20"/>
          <w:b w:val="1"/>
          <w:bCs w:val="1"/>
          <w:u w:val="single" w:color="auto"/>
          <w:color w:val="auto"/>
        </w:rPr>
        <w:t>No Other Duties, Etc</w:t>
      </w:r>
      <w:r>
        <w:rPr>
          <w:rFonts w:ascii="Arial" w:cs="Arial" w:eastAsia="Arial" w:hAnsi="Arial"/>
          <w:sz w:val="20"/>
          <w:szCs w:val="20"/>
          <w:color w:val="auto"/>
        </w:rPr>
        <w:t>. Anything herein to the contrary notwithstanding, none of the titles listed on the cover page</w:t>
      </w:r>
      <w:r>
        <w:rPr>
          <w:rFonts w:ascii="Arial" w:cs="Arial" w:eastAsia="Arial" w:hAnsi="Arial"/>
          <w:sz w:val="20"/>
          <w:szCs w:val="20"/>
          <w:b w:val="1"/>
          <w:bCs w:val="1"/>
          <w:color w:val="auto"/>
        </w:rPr>
        <w:t xml:space="preserve"> </w:t>
      </w:r>
      <w:r>
        <w:rPr>
          <w:rFonts w:ascii="Arial" w:cs="Arial" w:eastAsia="Arial" w:hAnsi="Arial"/>
          <w:sz w:val="20"/>
          <w:szCs w:val="20"/>
          <w:color w:val="auto"/>
        </w:rPr>
        <w:t>hereof shall have any powers, duties or responsibilities under this Agreement or any of the other Loan Documents, except in its capacity, as applicable, as the Administrative Agent, an Arranger, a Lender or an Issuing Lender hereunder.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12.9 </w:t>
      </w:r>
      <w:r>
        <w:rPr>
          <w:rFonts w:ascii="Arial" w:cs="Arial" w:eastAsia="Arial" w:hAnsi="Arial"/>
          <w:sz w:val="20"/>
          <w:szCs w:val="20"/>
          <w:b w:val="1"/>
          <w:bCs w:val="1"/>
          <w:u w:val="single" w:color="auto"/>
          <w:color w:val="auto"/>
        </w:rPr>
        <w:t>Administrative Agent May File Proofs of Claim; Credit Bidding</w:t>
      </w:r>
      <w:r>
        <w:rPr>
          <w:rFonts w:ascii="Arial" w:cs="Arial" w:eastAsia="Arial" w:hAnsi="Arial"/>
          <w:sz w:val="20"/>
          <w:szCs w:val="20"/>
          <w:color w:val="auto"/>
        </w:rPr>
        <w:t>. In case of the pendency of any proceeding</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7" w:name="page198"/>
    <w:bookmarkEnd w:id="197"/>
    <w:p>
      <w:pPr>
        <w:jc w:val="both"/>
        <w:ind w:left="660" w:firstLine="644"/>
        <w:spacing w:after="0" w:line="276" w:lineRule="auto"/>
        <w:tabs>
          <w:tab w:leader="none" w:pos="176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8"/>
          <w:szCs w:val="18"/>
          <w:u w:val="single" w:color="auto"/>
          <w:color w:val="auto"/>
        </w:rPr>
        <w:t>Sections 2.3(h)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4.2(b)</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 allowed in such judicial proceeding; and</w:t>
      </w:r>
    </w:p>
    <w:p>
      <w:pPr>
        <w:spacing w:after="0" w:line="164" w:lineRule="exact"/>
        <w:rPr>
          <w:rFonts w:ascii="Arial" w:cs="Arial" w:eastAsia="Arial" w:hAnsi="Arial"/>
          <w:sz w:val="18"/>
          <w:szCs w:val="18"/>
          <w:color w:val="auto"/>
        </w:rPr>
      </w:pPr>
    </w:p>
    <w:p>
      <w:pPr>
        <w:ind w:left="1820" w:hanging="516"/>
        <w:spacing w:after="0"/>
        <w:tabs>
          <w:tab w:leader="none" w:pos="1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or in any such proceeding.</w:t>
      </w:r>
    </w:p>
    <w:p>
      <w:pPr>
        <w:spacing w:after="0" w:line="1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9"/>
          <w:szCs w:val="19"/>
          <w:color w:val="auto"/>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Applicable Laws in any other jurisdictions to which a Credit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Capital Stock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Capital Stock thereof shall be governed, directly or indirectly, by the vote of the Required Lenders, irrespective of the termination of this Agreement and without giving effect to the limitations on actions by the Required Lenders contained in clauses (a) through (j) of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8" w:name="page199"/>
    <w:bookmarkEnd w:id="198"/>
    <w:p>
      <w:pPr>
        <w:jc w:val="both"/>
        <w:ind w:firstLine="6"/>
        <w:spacing w:after="0" w:line="250" w:lineRule="auto"/>
        <w:rPr>
          <w:sz w:val="20"/>
          <w:szCs w:val="20"/>
          <w:color w:val="auto"/>
        </w:rPr>
      </w:pPr>
      <w:r>
        <w:rPr>
          <w:rFonts w:ascii="Arial" w:cs="Arial" w:eastAsia="Arial" w:hAnsi="Arial"/>
          <w:sz w:val="20"/>
          <w:szCs w:val="20"/>
          <w:color w:val="auto"/>
        </w:rPr>
        <w:t>shall automatically be reassigned to the Lenders pro rata and the Capital Stock and/or debt instruments issued by any acquisition vehicle on account of the Obligations that had been assigned to the acquisition vehicle shall automatically be cancelled, without the need for any holders of the Obligations or any acquisition vehicle to take any further action.</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12.10 </w:t>
      </w:r>
      <w:r>
        <w:rPr>
          <w:rFonts w:ascii="Arial" w:cs="Arial" w:eastAsia="Arial" w:hAnsi="Arial"/>
          <w:sz w:val="19"/>
          <w:szCs w:val="19"/>
          <w:b w:val="1"/>
          <w:bCs w:val="1"/>
          <w:u w:val="single" w:color="auto"/>
          <w:color w:val="auto"/>
        </w:rPr>
        <w:t>Collateral and Guaranty Matters</w:t>
      </w:r>
      <w:r>
        <w:rPr>
          <w:rFonts w:ascii="Arial" w:cs="Arial" w:eastAsia="Arial" w:hAnsi="Arial"/>
          <w:sz w:val="19"/>
          <w:szCs w:val="19"/>
          <w:color w:val="auto"/>
        </w:rPr>
        <w:t>. Each of the Lenders (including in its capacities as a potential Bank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and each of the Issuing Lenders irrevocably authorize the Administrative Agent, at its option and in its discretion,</w:t>
      </w:r>
    </w:p>
    <w:p>
      <w:pPr>
        <w:spacing w:after="0" w:line="148" w:lineRule="exact"/>
        <w:rPr>
          <w:sz w:val="20"/>
          <w:szCs w:val="20"/>
          <w:color w:val="auto"/>
        </w:rPr>
      </w:pPr>
    </w:p>
    <w:p>
      <w:pPr>
        <w:jc w:val="both"/>
        <w:ind w:left="660" w:firstLine="644"/>
        <w:spacing w:after="0" w:line="260" w:lineRule="auto"/>
        <w:tabs>
          <w:tab w:leader="none" w:pos="174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(iii) to the extent a Subsidiary is no longer required by the Loan Documents to grant a Lien on the Capital Stock owned directly by such Subsidiary or (iv) if approved, authorized or ratified in writing by the Required Lenders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ind w:left="660" w:firstLine="644"/>
        <w:spacing w:after="0" w:line="260" w:lineRule="auto"/>
        <w:tabs>
          <w:tab w:leader="none" w:pos="1772"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 10.1(c)</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806" w:val="left"/>
        </w:tabs>
        <w:numPr>
          <w:ilvl w:val="0"/>
          <w:numId w:val="215"/>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Agreement if such Person ceases to be a Material Domestic Subsidiary as a result of a transaction permitted under the Loan Documents.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In connection with a termination or release pursuant to this Section, the Administrative Agent shall promptly execute and deliver to the applicable Credit Party, at the Company’s expense, all documents that the applicable Credit Party shall reasonably request to evidence such termination or release.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the Administrative Agent will, at the Company’s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Agreement, in each case in accordance with the terms of the Loan Documents and this </w:t>
      </w:r>
      <w:r>
        <w:rPr>
          <w:rFonts w:ascii="Arial" w:cs="Arial" w:eastAsia="Arial" w:hAnsi="Arial"/>
          <w:sz w:val="18"/>
          <w:szCs w:val="18"/>
          <w:u w:val="single" w:color="auto"/>
          <w:color w:val="auto"/>
        </w:rPr>
        <w:t>Section 12.10</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12.11 </w:t>
      </w:r>
      <w:r>
        <w:rPr>
          <w:rFonts w:ascii="Arial" w:cs="Arial" w:eastAsia="Arial" w:hAnsi="Arial"/>
          <w:sz w:val="20"/>
          <w:szCs w:val="20"/>
          <w:b w:val="1"/>
          <w:bCs w:val="1"/>
          <w:u w:val="single" w:color="auto"/>
          <w:color w:val="auto"/>
        </w:rPr>
        <w:t>Bank Products</w:t>
      </w:r>
      <w:r>
        <w:rPr>
          <w:rFonts w:ascii="Arial" w:cs="Arial" w:eastAsia="Arial" w:hAnsi="Arial"/>
          <w:sz w:val="20"/>
          <w:szCs w:val="20"/>
          <w:color w:val="auto"/>
        </w:rPr>
        <w:t>. Except as otherwise expressly set forth herein, no Bank Product Provider that obtains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provisions of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w:t>
      </w:r>
      <w:r>
        <w:rPr>
          <w:rFonts w:ascii="Arial" w:cs="Arial" w:eastAsia="Arial" w:hAnsi="Arial"/>
          <w:sz w:val="20"/>
          <w:szCs w:val="20"/>
          <w:u w:val="single" w:color="auto"/>
          <w:color w:val="auto"/>
        </w:rPr>
        <w:t>11.4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13.3</w:t>
      </w:r>
      <w:r>
        <w:rPr>
          <w:rFonts w:ascii="Arial" w:cs="Arial" w:eastAsia="Arial" w:hAnsi="Arial"/>
          <w:sz w:val="20"/>
          <w:szCs w:val="20"/>
          <w:color w:val="auto"/>
        </w:rPr>
        <w:t>, the Guaranty Agreement or any Collateral by virtue of the provisions hereof or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Agreement or any Security Document) other than in its capacity as a Lender and,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199" w:name="page200"/>
    <w:bookmarkEnd w:id="199"/>
    <w:p>
      <w:pPr>
        <w:jc w:val="both"/>
        <w:ind w:firstLine="6"/>
        <w:spacing w:after="0" w:line="243" w:lineRule="auto"/>
        <w:rPr>
          <w:sz w:val="20"/>
          <w:szCs w:val="20"/>
          <w:color w:val="auto"/>
        </w:rPr>
      </w:pPr>
      <w:r>
        <w:rPr>
          <w:rFonts w:ascii="Arial" w:cs="Arial" w:eastAsia="Arial" w:hAnsi="Arial"/>
          <w:sz w:val="20"/>
          <w:szCs w:val="20"/>
          <w:color w:val="auto"/>
        </w:rPr>
        <w:t xml:space="preserve">case, only to the extent expressly provided in the Loan Documents. Notwithstanding any other provision of this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to the contrary, the Administrative Agent shall not be required to verify the payment of, or that other satisfactory arrangements have been made with respect to, Obligations arising under Bank Product Debt except to the extent expressly provided herein and unless the Administrative Agent has received a Bank Product Provider Notice of such Obligations, together with such supporting documentation as the Administrative Agent may request, from the applicable Bank Product Provider, as the case may be. The Administrative Agent shall not be required to verify the payment of, or that other satisfactory arrangements have been made with respect to, Obligations arising under Bank Product Debt in the case of a Facility Termination Date.</w:t>
      </w:r>
    </w:p>
    <w:p>
      <w:pPr>
        <w:spacing w:after="0" w:line="18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b w:val="1"/>
          <w:bCs w:val="1"/>
          <w:color w:val="auto"/>
        </w:rPr>
        <w:t>SECTION 12.12</w:t>
      </w:r>
      <w:r>
        <w:rPr>
          <w:sz w:val="20"/>
          <w:szCs w:val="20"/>
          <w:color w:val="auto"/>
        </w:rPr>
        <w:tab/>
      </w:r>
      <w:r>
        <w:rPr>
          <w:rFonts w:ascii="Arial" w:cs="Arial" w:eastAsia="Arial" w:hAnsi="Arial"/>
          <w:sz w:val="19"/>
          <w:szCs w:val="19"/>
          <w:b w:val="1"/>
          <w:bCs w:val="1"/>
          <w:u w:val="single" w:color="auto"/>
          <w:color w:val="auto"/>
        </w:rPr>
        <w:t>Certain ERISA Matters</w:t>
      </w:r>
      <w:r>
        <w:rPr>
          <w:rFonts w:ascii="Arial" w:cs="Arial" w:eastAsia="Arial" w:hAnsi="Arial"/>
          <w:sz w:val="19"/>
          <w:szCs w:val="19"/>
          <w:color w:val="auto"/>
        </w:rPr>
        <w:t>.</w:t>
      </w:r>
    </w:p>
    <w:p>
      <w:pPr>
        <w:spacing w:after="0" w:line="222" w:lineRule="exact"/>
        <w:rPr>
          <w:sz w:val="20"/>
          <w:szCs w:val="20"/>
          <w:color w:val="auto"/>
        </w:rPr>
      </w:pPr>
    </w:p>
    <w:p>
      <w:pPr>
        <w:jc w:val="both"/>
        <w:ind w:left="660" w:firstLine="644"/>
        <w:spacing w:after="0" w:line="246" w:lineRule="auto"/>
        <w:tabs>
          <w:tab w:leader="none" w:pos="1871" w:val="left"/>
        </w:tabs>
        <w:numPr>
          <w:ilvl w:val="0"/>
          <w:numId w:val="216"/>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Credit Party, that at least one of the following is and will be true:</w:t>
      </w:r>
    </w:p>
    <w:p>
      <w:pPr>
        <w:spacing w:after="0" w:line="191" w:lineRule="exact"/>
        <w:rPr>
          <w:rFonts w:ascii="Arial" w:cs="Arial" w:eastAsia="Arial" w:hAnsi="Arial"/>
          <w:sz w:val="20"/>
          <w:szCs w:val="20"/>
          <w:color w:val="auto"/>
        </w:rPr>
      </w:pPr>
    </w:p>
    <w:p>
      <w:pPr>
        <w:jc w:val="both"/>
        <w:ind w:left="1300" w:firstLine="652"/>
        <w:spacing w:after="0" w:line="250" w:lineRule="auto"/>
        <w:tabs>
          <w:tab w:leader="none" w:pos="2370" w:val="left"/>
        </w:tabs>
        <w:numPr>
          <w:ilvl w:val="1"/>
          <w:numId w:val="216"/>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rFonts w:ascii="Arial" w:cs="Arial" w:eastAsia="Arial" w:hAnsi="Arial"/>
          <w:sz w:val="20"/>
          <w:szCs w:val="20"/>
          <w:color w:val="auto"/>
        </w:rPr>
      </w:pPr>
    </w:p>
    <w:p>
      <w:pPr>
        <w:jc w:val="both"/>
        <w:ind w:left="1300" w:firstLine="652"/>
        <w:spacing w:after="0" w:line="274" w:lineRule="auto"/>
        <w:tabs>
          <w:tab w:leader="none" w:pos="245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8"/>
          <w:szCs w:val="18"/>
          <w:color w:val="auto"/>
        </w:rPr>
      </w:pPr>
    </w:p>
    <w:p>
      <w:pPr>
        <w:jc w:val="both"/>
        <w:ind w:left="1300" w:firstLine="652"/>
        <w:spacing w:after="0" w:line="269" w:lineRule="auto"/>
        <w:tabs>
          <w:tab w:leader="none" w:pos="2536"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3" w:lineRule="exact"/>
        <w:rPr>
          <w:rFonts w:ascii="Arial" w:cs="Arial" w:eastAsia="Arial" w:hAnsi="Arial"/>
          <w:sz w:val="18"/>
          <w:szCs w:val="18"/>
          <w:color w:val="auto"/>
        </w:rPr>
      </w:pPr>
    </w:p>
    <w:p>
      <w:pPr>
        <w:jc w:val="both"/>
        <w:ind w:left="1300"/>
        <w:spacing w:after="0" w:line="241" w:lineRule="auto"/>
        <w:rPr>
          <w:rFonts w:ascii="Arial" w:cs="Arial" w:eastAsia="Arial" w:hAnsi="Arial"/>
          <w:sz w:val="18"/>
          <w:szCs w:val="18"/>
          <w:color w:val="auto"/>
        </w:rPr>
      </w:pPr>
      <w:r>
        <w:rPr>
          <w:rFonts w:ascii="Arial" w:cs="Arial" w:eastAsia="Arial" w:hAnsi="Arial"/>
          <w:sz w:val="20"/>
          <w:szCs w:val="20"/>
          <w:color w:val="auto"/>
        </w:rPr>
        <w:t>(D)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5" w:lineRule="exact"/>
        <w:rPr>
          <w:rFonts w:ascii="Arial" w:cs="Arial" w:eastAsia="Arial" w:hAnsi="Arial"/>
          <w:sz w:val="18"/>
          <w:szCs w:val="18"/>
          <w:color w:val="auto"/>
        </w:rPr>
      </w:pPr>
    </w:p>
    <w:p>
      <w:pPr>
        <w:ind w:left="1300" w:firstLine="652"/>
        <w:spacing w:after="0" w:line="260" w:lineRule="auto"/>
        <w:tabs>
          <w:tab w:leader="none" w:pos="2528" w:val="left"/>
        </w:tabs>
        <w:numPr>
          <w:ilvl w:val="1"/>
          <w:numId w:val="216"/>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764" w:val="left"/>
        </w:tabs>
        <w:numPr>
          <w:ilvl w:val="0"/>
          <w:numId w:val="216"/>
        </w:numPr>
        <w:rPr>
          <w:rFonts w:ascii="Arial" w:cs="Arial" w:eastAsia="Arial" w:hAnsi="Arial"/>
          <w:sz w:val="20"/>
          <w:szCs w:val="20"/>
          <w:color w:val="auto"/>
        </w:rPr>
      </w:pPr>
      <w:r>
        <w:rPr>
          <w:rFonts w:ascii="Arial" w:cs="Arial" w:eastAsia="Arial" w:hAnsi="Arial"/>
          <w:sz w:val="20"/>
          <w:szCs w:val="20"/>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0" w:name="page201"/>
    <w:bookmarkEnd w:id="200"/>
    <w:p>
      <w:pPr>
        <w:jc w:val="both"/>
        <w:ind w:left="660" w:firstLine="6"/>
        <w:spacing w:after="0" w:line="243" w:lineRule="auto"/>
        <w:rPr>
          <w:sz w:val="20"/>
          <w:szCs w:val="20"/>
          <w:color w:val="auto"/>
        </w:rPr>
      </w:pPr>
      <w:r>
        <w:rPr>
          <w:rFonts w:ascii="Arial" w:cs="Arial" w:eastAsia="Arial" w:hAnsi="Arial"/>
          <w:sz w:val="20"/>
          <w:szCs w:val="20"/>
          <w:color w:val="auto"/>
        </w:rPr>
        <w:t>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16"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13.1</w:t>
      </w:r>
      <w:r>
        <w:rPr>
          <w:sz w:val="20"/>
          <w:szCs w:val="20"/>
          <w:color w:val="auto"/>
        </w:rPr>
        <w:tab/>
      </w:r>
      <w:r>
        <w:rPr>
          <w:rFonts w:ascii="Arial" w:cs="Arial" w:eastAsia="Arial" w:hAnsi="Arial"/>
          <w:sz w:val="16"/>
          <w:szCs w:val="16"/>
          <w:b w:val="1"/>
          <w:bCs w:val="1"/>
          <w:u w:val="single" w:color="auto"/>
          <w:color w:val="auto"/>
        </w:rPr>
        <w:t>Notices; Effectiveness; Electronic Communications.</w:t>
      </w:r>
    </w:p>
    <w:p>
      <w:pPr>
        <w:spacing w:after="0" w:line="222" w:lineRule="exact"/>
        <w:rPr>
          <w:sz w:val="20"/>
          <w:szCs w:val="20"/>
          <w:color w:val="auto"/>
        </w:rPr>
      </w:pPr>
    </w:p>
    <w:p>
      <w:pPr>
        <w:jc w:val="both"/>
        <w:ind w:left="660" w:firstLine="644"/>
        <w:spacing w:after="0" w:line="244" w:lineRule="auto"/>
        <w:tabs>
          <w:tab w:leader="none" w:pos="1874"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94" w:lineRule="exact"/>
        <w:rPr>
          <w:rFonts w:ascii="Arial" w:cs="Arial" w:eastAsia="Arial" w:hAnsi="Arial"/>
          <w:sz w:val="20"/>
          <w:szCs w:val="20"/>
          <w:color w:val="auto"/>
        </w:rPr>
      </w:pPr>
    </w:p>
    <w:p>
      <w:pPr>
        <w:jc w:val="both"/>
        <w:ind w:left="1300" w:firstLine="652"/>
        <w:spacing w:after="0" w:line="250" w:lineRule="auto"/>
        <w:tabs>
          <w:tab w:leader="none" w:pos="2357" w:val="left"/>
        </w:tabs>
        <w:numPr>
          <w:ilvl w:val="1"/>
          <w:numId w:val="217"/>
        </w:numPr>
        <w:rPr>
          <w:rFonts w:ascii="Arial" w:cs="Arial" w:eastAsia="Arial" w:hAnsi="Arial"/>
          <w:sz w:val="20"/>
          <w:szCs w:val="20"/>
          <w:color w:val="auto"/>
        </w:rPr>
      </w:pPr>
      <w:r>
        <w:rPr>
          <w:rFonts w:ascii="Arial" w:cs="Arial" w:eastAsia="Arial" w:hAnsi="Arial"/>
          <w:sz w:val="20"/>
          <w:szCs w:val="20"/>
          <w:color w:val="auto"/>
        </w:rPr>
        <w:t xml:space="preserve">if to the Company or any other Credit Party, the Administrative Agent, Bank of America, as Issuing Lender, or the Swingline Lender, to the address, fax number, e-mail address or telephone number specified for such Person on </w:t>
      </w:r>
      <w:r>
        <w:rPr>
          <w:rFonts w:ascii="Arial" w:cs="Arial" w:eastAsia="Arial" w:hAnsi="Arial"/>
          <w:sz w:val="20"/>
          <w:szCs w:val="20"/>
          <w:u w:val="single" w:color="auto"/>
          <w:color w:val="auto"/>
        </w:rPr>
        <w:t>Schedule 1.1(a)</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496" w:val="left"/>
        </w:tabs>
        <w:numPr>
          <w:ilvl w:val="1"/>
          <w:numId w:val="217"/>
        </w:numPr>
        <w:rPr>
          <w:rFonts w:ascii="Arial" w:cs="Arial" w:eastAsia="Arial" w:hAnsi="Arial"/>
          <w:sz w:val="20"/>
          <w:szCs w:val="20"/>
          <w:color w:val="auto"/>
        </w:rPr>
      </w:pPr>
      <w:r>
        <w:rPr>
          <w:rFonts w:ascii="Arial" w:cs="Arial" w:eastAsia="Arial" w:hAnsi="Arial"/>
          <w:sz w:val="20"/>
          <w:szCs w:val="20"/>
          <w:color w:val="auto"/>
        </w:rPr>
        <w:t>if to any other Lender or Issuing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91" w:lineRule="exact"/>
        <w:rPr>
          <w:sz w:val="20"/>
          <w:szCs w:val="20"/>
          <w:color w:val="auto"/>
        </w:rPr>
      </w:pPr>
    </w:p>
    <w:p>
      <w:pPr>
        <w:jc w:val="both"/>
        <w:ind w:left="660" w:firstLine="648"/>
        <w:spacing w:after="0" w:line="278"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65" w:lineRule="exact"/>
        <w:rPr>
          <w:sz w:val="20"/>
          <w:szCs w:val="20"/>
          <w:color w:val="auto"/>
        </w:rPr>
      </w:pPr>
    </w:p>
    <w:p>
      <w:pPr>
        <w:jc w:val="both"/>
        <w:ind w:left="660" w:firstLine="644"/>
        <w:spacing w:after="0" w:line="257" w:lineRule="auto"/>
        <w:tabs>
          <w:tab w:leader="none" w:pos="192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Administrative Agent, the Lenders, the Swingline Lender and the Issuing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the Swingline Lender or any Issuing Lender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Swingline Lender or such Issuing Lender, as applicable, has notified the Administrative Agent that it is incapable of receiving notices under such Article by electronic communication. The Administrative Agent, the Swingline Lender, the Issuing Lenders or the Company may each, in its discretion, agree to accept notices and other communications to it hereunder by electronic communications pursuant to procedures approved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1" w:name="page202"/>
    <w:bookmarkEnd w:id="201"/>
    <w:p>
      <w:pPr>
        <w:ind w:left="660"/>
        <w:spacing w:after="0"/>
        <w:rPr>
          <w:sz w:val="20"/>
          <w:szCs w:val="20"/>
          <w:color w:val="auto"/>
        </w:rPr>
      </w:pPr>
      <w:r>
        <w:rPr>
          <w:rFonts w:ascii="Arial" w:cs="Arial" w:eastAsia="Arial" w:hAnsi="Arial"/>
          <w:sz w:val="20"/>
          <w:szCs w:val="20"/>
          <w:color w:val="auto"/>
        </w:rPr>
        <w:t xml:space="preserve">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216"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4" w:lineRule="exact"/>
        <w:rPr>
          <w:sz w:val="20"/>
          <w:szCs w:val="20"/>
          <w:color w:val="auto"/>
        </w:rPr>
      </w:pPr>
    </w:p>
    <w:p>
      <w:pPr>
        <w:ind w:left="1820" w:hanging="516"/>
        <w:spacing w:after="0"/>
        <w:tabs>
          <w:tab w:leader="none" w:pos="1820"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7" w:lineRule="exact"/>
        <w:rPr>
          <w:rFonts w:ascii="Arial" w:cs="Arial" w:eastAsia="Arial" w:hAnsi="Arial"/>
          <w:sz w:val="19"/>
          <w:szCs w:val="19"/>
          <w:color w:val="auto"/>
        </w:rPr>
      </w:pPr>
    </w:p>
    <w:p>
      <w:pPr>
        <w:jc w:val="both"/>
        <w:ind w:left="660"/>
        <w:spacing w:after="0" w:line="254"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Company, any Lender, any Issuing Lender or any other Person for losses, claims, damages, liabilities or expenses of any kind (whether in tort, contract or otherwise) arising out of the Company’s, any Credit Party’s or the Administrative Agent’s transmission of Borrower Materials or notices through the Platform, any other electronic platform or electronic messaging service, or through the Internet.</w:t>
      </w:r>
    </w:p>
    <w:p>
      <w:pPr>
        <w:spacing w:after="0" w:line="182" w:lineRule="exact"/>
        <w:rPr>
          <w:rFonts w:ascii="Arial" w:cs="Arial" w:eastAsia="Arial" w:hAnsi="Arial"/>
          <w:sz w:val="19"/>
          <w:szCs w:val="19"/>
          <w:color w:val="auto"/>
        </w:rPr>
      </w:pPr>
    </w:p>
    <w:p>
      <w:pPr>
        <w:jc w:val="both"/>
        <w:ind w:left="660" w:firstLine="644"/>
        <w:spacing w:after="0" w:line="270" w:lineRule="auto"/>
        <w:tabs>
          <w:tab w:leader="none" w:pos="1844"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Company, the Administrative Agent, each Issuing Lender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Company, the Administrative Agent, such Issuing Lender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2" w:name="page203"/>
    <w:bookmarkEnd w:id="202"/>
    <w:p>
      <w:pPr>
        <w:jc w:val="both"/>
        <w:ind w:left="660" w:firstLine="644"/>
        <w:spacing w:after="0" w:line="272" w:lineRule="auto"/>
        <w:tabs>
          <w:tab w:leader="none" w:pos="172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Issuing Lender and Lenders</w:t>
      </w:r>
      <w:r>
        <w:rPr>
          <w:rFonts w:ascii="Arial" w:cs="Arial" w:eastAsia="Arial" w:hAnsi="Arial"/>
          <w:sz w:val="18"/>
          <w:szCs w:val="18"/>
          <w:color w:val="auto"/>
        </w:rPr>
        <w:t>. The Administrative Agent, the Issuing Lenders and the Lenders shall be entitled to rely and act upon any notices (including, without limitation, telephonic or electronic notices, Loan Notices, Letter of Credit Applications, Notice of Prepayment and Swingline Loan Notices) purportedly given by or on behalf of any Credit Party even if (i) such notices were not made in a manner specified herein, were incomplete or were not preceded or followed by any other form of notice specified herein, or (ii) the terms thereof, as understood by the recipient, varied from any confirmation thereof. The Credit Parties shall indemnify the Administrative Agent, each Issuing Lender, each Lender and the Related Parties of each of them from all losses, costs, expenses and liabilities resulting from the reliance by such Person on each notice purportedly given by or on behalf of a Credit Party. All telephonic notices to and other telephonic communications with the Administrative Agent may be recorded by the Administrative Agent, and each of the parties hereto hereby consents to such recording.</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b w:val="1"/>
          <w:bCs w:val="1"/>
          <w:u w:val="single" w:color="auto"/>
          <w:color w:val="auto"/>
        </w:rPr>
        <w:t>Amendments,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below or as specifically provided in any Loan Document (including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4.8(c)</w:t>
      </w:r>
      <w:r>
        <w:rPr>
          <w:rFonts w:ascii="Arial" w:cs="Arial" w:eastAsia="Arial" w:hAnsi="Arial"/>
          <w:sz w:val="18"/>
          <w:szCs w:val="18"/>
          <w:color w:val="auto"/>
        </w:rPr>
        <w:t xml:space="preserve">),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waiver or consent shall:</w:t>
      </w:r>
    </w:p>
    <w:p>
      <w:pPr>
        <w:spacing w:after="0" w:line="162" w:lineRule="exact"/>
        <w:rPr>
          <w:sz w:val="20"/>
          <w:szCs w:val="20"/>
          <w:color w:val="auto"/>
        </w:rPr>
      </w:pPr>
    </w:p>
    <w:p>
      <w:pPr>
        <w:ind w:left="1720" w:hanging="416"/>
        <w:spacing w:after="0"/>
        <w:tabs>
          <w:tab w:leader="none" w:pos="17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ind w:left="660" w:firstLine="644"/>
        <w:spacing w:after="0" w:line="260" w:lineRule="auto"/>
        <w:tabs>
          <w:tab w:leader="none" w:pos="1768"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or the amount of Loans of any Lender without the written consent of such Lender;</w:t>
      </w:r>
    </w:p>
    <w:p>
      <w:pPr>
        <w:spacing w:after="0" w:line="176" w:lineRule="exact"/>
        <w:rPr>
          <w:rFonts w:ascii="Arial" w:cs="Arial" w:eastAsia="Arial" w:hAnsi="Arial"/>
          <w:sz w:val="20"/>
          <w:szCs w:val="20"/>
          <w:color w:val="auto"/>
        </w:rPr>
      </w:pPr>
    </w:p>
    <w:p>
      <w:pPr>
        <w:jc w:val="both"/>
        <w:ind w:left="660" w:firstLine="644"/>
        <w:spacing w:after="0" w:line="269" w:lineRule="auto"/>
        <w:tabs>
          <w:tab w:leader="none" w:pos="175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postpone any date fixed by this Agreement or any other Loan Document for any payment of principal, interest, fees or other amounts due to the Lenders (or any of them) hereunder or under any other Loan Document (other than any payments due under </w:t>
      </w:r>
      <w:r>
        <w:rPr>
          <w:rFonts w:ascii="Arial" w:cs="Arial" w:eastAsia="Arial" w:hAnsi="Arial"/>
          <w:sz w:val="19"/>
          <w:szCs w:val="19"/>
          <w:u w:val="single" w:color="auto"/>
          <w:color w:val="auto"/>
        </w:rPr>
        <w:t>Section 2.5(b)(ii)</w:t>
      </w:r>
      <w:r>
        <w:rPr>
          <w:rFonts w:ascii="Arial" w:cs="Arial" w:eastAsia="Arial" w:hAnsi="Arial"/>
          <w:sz w:val="19"/>
          <w:szCs w:val="19"/>
          <w:color w:val="auto"/>
        </w:rPr>
        <w:t>) without the written consent of each Lender directly affected thereby;</w:t>
      </w:r>
    </w:p>
    <w:p>
      <w:pPr>
        <w:spacing w:after="0" w:line="169" w:lineRule="exact"/>
        <w:rPr>
          <w:rFonts w:ascii="Arial" w:cs="Arial" w:eastAsia="Arial" w:hAnsi="Arial"/>
          <w:sz w:val="19"/>
          <w:szCs w:val="19"/>
          <w:color w:val="auto"/>
        </w:rPr>
      </w:pPr>
    </w:p>
    <w:p>
      <w:pPr>
        <w:jc w:val="both"/>
        <w:ind w:left="660" w:firstLine="644"/>
        <w:spacing w:after="0" w:line="276" w:lineRule="auto"/>
        <w:tabs>
          <w:tab w:leader="none" w:pos="173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Reimbursement Obligation, or (subject to clause (iv) of the second proviso to this Section)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Borrowers to pay interest at the rate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during the continuance of an Event of Default, or (ii) to amend any financial covenant hereunder (or any defined term used therein) if the effect of such amendment would be to reduce the rate of interest on any Loan or L/C Obligations or to reduce any fee payable hereunder;</w:t>
      </w:r>
    </w:p>
    <w:p>
      <w:pPr>
        <w:spacing w:after="0" w:line="164" w:lineRule="exact"/>
        <w:rPr>
          <w:rFonts w:ascii="Arial" w:cs="Arial" w:eastAsia="Arial" w:hAnsi="Arial"/>
          <w:sz w:val="18"/>
          <w:szCs w:val="18"/>
          <w:color w:val="auto"/>
        </w:rPr>
      </w:pPr>
    </w:p>
    <w:p>
      <w:pPr>
        <w:ind w:left="660" w:firstLine="644"/>
        <w:spacing w:after="0" w:line="260" w:lineRule="auto"/>
        <w:tabs>
          <w:tab w:leader="none" w:pos="1812"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in a manner that would alter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sharing of payments required thereby without the written consent of each Lender directly affected thereby;</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75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3" w:name="page204"/>
    <w:bookmarkEnd w:id="203"/>
    <w:p>
      <w:pPr>
        <w:jc w:val="both"/>
        <w:ind w:left="660" w:firstLine="644"/>
        <w:spacing w:after="0" w:line="246" w:lineRule="auto"/>
        <w:tabs>
          <w:tab w:leader="none" w:pos="179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change any provisions of any Loan Document in a manner that by its terms adversely affects the rights in respect of payments due to Lenders holding Loans of any Tranche differently than those of Lenders holding Loans of any other Tranche without the written consent of Lenders holding a majority in interest of the outstanding Loans and unused Commitments of each adversely affected Tranche;</w:t>
      </w:r>
    </w:p>
    <w:p>
      <w:pPr>
        <w:spacing w:after="0" w:line="191" w:lineRule="exact"/>
        <w:rPr>
          <w:rFonts w:ascii="Arial" w:cs="Arial" w:eastAsia="Arial" w:hAnsi="Arial"/>
          <w:sz w:val="20"/>
          <w:szCs w:val="20"/>
          <w:color w:val="auto"/>
        </w:rPr>
      </w:pPr>
    </w:p>
    <w:p>
      <w:pPr>
        <w:ind w:left="660" w:firstLine="644"/>
        <w:spacing w:after="0" w:line="316" w:lineRule="auto"/>
        <w:tabs>
          <w:tab w:leader="none" w:pos="17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release all of the Guarantors or release Guarantors comprising substantially all of the credit support for the Obligations, in either case, from the Guaranty Agreement (other than as authorized in </w:t>
      </w:r>
      <w:r>
        <w:rPr>
          <w:rFonts w:ascii="Arial" w:cs="Arial" w:eastAsia="Arial" w:hAnsi="Arial"/>
          <w:sz w:val="18"/>
          <w:szCs w:val="18"/>
          <w:u w:val="single" w:color="auto"/>
          <w:color w:val="auto"/>
        </w:rPr>
        <w:t>Section 12.10)</w:t>
      </w:r>
      <w:r>
        <w:rPr>
          <w:rFonts w:ascii="Arial" w:cs="Arial" w:eastAsia="Arial" w:hAnsi="Arial"/>
          <w:sz w:val="18"/>
          <w:szCs w:val="18"/>
          <w:color w:val="auto"/>
        </w:rPr>
        <w:t>, without the written consent of each Lender;</w:t>
      </w:r>
    </w:p>
    <w:p>
      <w:pPr>
        <w:spacing w:after="0" w:line="129" w:lineRule="exact"/>
        <w:rPr>
          <w:rFonts w:ascii="Arial" w:cs="Arial" w:eastAsia="Arial" w:hAnsi="Arial"/>
          <w:sz w:val="18"/>
          <w:szCs w:val="18"/>
          <w:color w:val="auto"/>
        </w:rPr>
      </w:pPr>
    </w:p>
    <w:p>
      <w:pPr>
        <w:jc w:val="both"/>
        <w:ind w:left="660" w:firstLine="644"/>
        <w:spacing w:after="0" w:line="250" w:lineRule="auto"/>
        <w:tabs>
          <w:tab w:leader="none" w:pos="187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Collateral or release any Security Document (other than as authorized in </w:t>
      </w:r>
      <w:r>
        <w:rPr>
          <w:rFonts w:ascii="Arial" w:cs="Arial" w:eastAsia="Arial" w:hAnsi="Arial"/>
          <w:sz w:val="20"/>
          <w:szCs w:val="20"/>
          <w:u w:val="single" w:color="auto"/>
          <w:color w:val="auto"/>
        </w:rPr>
        <w:t>Section 12.10</w:t>
      </w:r>
      <w:r>
        <w:rPr>
          <w:rFonts w:ascii="Arial" w:cs="Arial" w:eastAsia="Arial" w:hAnsi="Arial"/>
          <w:sz w:val="20"/>
          <w:szCs w:val="20"/>
          <w:color w:val="auto"/>
        </w:rPr>
        <w:t xml:space="preserve"> or as otherwise specifically permitted or contemplated in this Agreement or the applicable Security Document) without the written consent of each Lender;</w:t>
      </w:r>
    </w:p>
    <w:p>
      <w:pPr>
        <w:spacing w:after="0" w:line="185" w:lineRule="exact"/>
        <w:rPr>
          <w:rFonts w:ascii="Arial" w:cs="Arial" w:eastAsia="Arial" w:hAnsi="Arial"/>
          <w:sz w:val="20"/>
          <w:szCs w:val="20"/>
          <w:color w:val="auto"/>
        </w:rPr>
      </w:pPr>
    </w:p>
    <w:p>
      <w:pPr>
        <w:ind w:left="660" w:firstLine="644"/>
        <w:spacing w:after="0" w:line="260" w:lineRule="auto"/>
        <w:tabs>
          <w:tab w:leader="none" w:pos="185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amend, waive or modify the definition of “Foreign Currencies” without the written consent of each Designated Currency Tranche Revolving Credit Lender;</w:t>
      </w:r>
    </w:p>
    <w:p>
      <w:pPr>
        <w:spacing w:after="0" w:line="176" w:lineRule="exact"/>
        <w:rPr>
          <w:rFonts w:ascii="Arial" w:cs="Arial" w:eastAsia="Arial" w:hAnsi="Arial"/>
          <w:sz w:val="20"/>
          <w:szCs w:val="20"/>
          <w:color w:val="auto"/>
        </w:rPr>
      </w:pPr>
    </w:p>
    <w:p>
      <w:pPr>
        <w:ind w:left="660" w:firstLine="644"/>
        <w:spacing w:after="0" w:line="260" w:lineRule="auto"/>
        <w:tabs>
          <w:tab w:leader="none" w:pos="1838"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amend, waive or modify </w:t>
      </w:r>
      <w:r>
        <w:rPr>
          <w:rFonts w:ascii="Arial" w:cs="Arial" w:eastAsia="Arial" w:hAnsi="Arial"/>
          <w:sz w:val="20"/>
          <w:szCs w:val="20"/>
          <w:u w:val="single" w:color="auto"/>
          <w:color w:val="auto"/>
        </w:rPr>
        <w:t>Section 1.9</w:t>
      </w:r>
      <w:r>
        <w:rPr>
          <w:rFonts w:ascii="Arial" w:cs="Arial" w:eastAsia="Arial" w:hAnsi="Arial"/>
          <w:sz w:val="20"/>
          <w:szCs w:val="20"/>
          <w:color w:val="auto"/>
        </w:rPr>
        <w:t xml:space="preserve"> without the written consent of each Designated Currency Tranche Revolving Credit Lender; or</w:t>
      </w:r>
    </w:p>
    <w:p>
      <w:pPr>
        <w:spacing w:after="0" w:line="176" w:lineRule="exact"/>
        <w:rPr>
          <w:rFonts w:ascii="Arial" w:cs="Arial" w:eastAsia="Arial" w:hAnsi="Arial"/>
          <w:sz w:val="20"/>
          <w:szCs w:val="20"/>
          <w:color w:val="auto"/>
        </w:rPr>
      </w:pPr>
    </w:p>
    <w:p>
      <w:pPr>
        <w:ind w:left="1680" w:hanging="376"/>
        <w:spacing w:after="0"/>
        <w:tabs>
          <w:tab w:leader="none" w:pos="16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amend, waive or modify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without the written consent of each Lender;</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no amendment, waiver or consent shall, unless in writing and signed by each Issuing Lender in addition to the Lenders required above, affect the rights or duties of such Issuing Lender 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applicable Fee Letter may be amended, or rights or privileges thereunder waived, in a writing executed only by the parties thereto; (v) solely for the purposes of </w:t>
      </w:r>
      <w:r>
        <w:rPr>
          <w:rFonts w:ascii="Arial" w:cs="Arial" w:eastAsia="Arial" w:hAnsi="Arial"/>
          <w:sz w:val="19"/>
          <w:szCs w:val="19"/>
          <w:u w:val="single" w:color="auto"/>
          <w:color w:val="auto"/>
        </w:rPr>
        <w:t>Section 5.2(b)</w:t>
      </w:r>
      <w:r>
        <w:rPr>
          <w:rFonts w:ascii="Arial" w:cs="Arial" w:eastAsia="Arial" w:hAnsi="Arial"/>
          <w:sz w:val="19"/>
          <w:szCs w:val="19"/>
          <w:color w:val="auto"/>
        </w:rPr>
        <w:t>, no waiver of a Default or Event of Default shall be effective without the consent of Revolving Credit Lenders holding more than fifty percent (50%) of the Revolving Credit Commitments (or if the Revolving Credit Facility has been terminated, Lenders holding more than fifty percent (50%) of the aggregate Extensions of Credit thereunder); (vi) the Administrative Agent and the Company shall be permitted to amend any provision of the Loan Documents (and such amendment shall become effective without any further action or consent of any other party to any Loan Document) if the Administrative Agent and the Company shall have jointly identified an obvious error or any error or omission of a technical or immaterial nature in any such provision; and (vii) any waiver, amendment or modification of this Agreement that by its terms affects the rights or duties under this Agreement of Lenders under one Tranche but not the other Tranche may be effected by an agreement or agreements in writing entered into by the Borrowers and requisite percentage in interest of the affected Tranche of Lenders.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the Company may, by written notice to the Administrative Agent from time to time (and with the consent of the Administrative Agent, not to be unreasonably withheld), make one or more offers (each, a “</w:t>
      </w:r>
      <w:r>
        <w:rPr>
          <w:rFonts w:ascii="Arial" w:cs="Arial" w:eastAsia="Arial" w:hAnsi="Arial"/>
          <w:sz w:val="19"/>
          <w:szCs w:val="19"/>
          <w:u w:val="single" w:color="auto"/>
          <w:color w:val="auto"/>
        </w:rPr>
        <w:t>Loan Modification Offer</w:t>
      </w:r>
      <w:r>
        <w:rPr>
          <w:rFonts w:ascii="Arial" w:cs="Arial" w:eastAsia="Arial" w:hAnsi="Arial"/>
          <w:sz w:val="19"/>
          <w:szCs w:val="19"/>
          <w:color w:val="auto"/>
        </w:rPr>
        <w:t>”) to all the Lenders under the Revolving Credit Facility or all of the Lenders holding the Term Loan to make one or more amendments or modifications to (i) allow the maturity and scheduled amortization (if any) of the Loans of the accepting Lenders to be extended and/ or (ii)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4" w:name="page205"/>
    <w:bookmarkEnd w:id="204"/>
    <w:p>
      <w:pPr>
        <w:jc w:val="both"/>
        <w:spacing w:after="0" w:line="269" w:lineRule="auto"/>
        <w:rPr>
          <w:sz w:val="20"/>
          <w:szCs w:val="20"/>
          <w:color w:val="auto"/>
        </w:rPr>
      </w:pPr>
      <w:r>
        <w:rPr>
          <w:rFonts w:ascii="Arial" w:cs="Arial" w:eastAsia="Arial" w:hAnsi="Arial"/>
          <w:sz w:val="18"/>
          <w:szCs w:val="18"/>
          <w:color w:val="auto"/>
        </w:rPr>
        <w:t>the Applicable Margin and/or fees payable with respect to the Loans and Commitments (if any) of the accepting Lenders (“</w:t>
      </w:r>
      <w:r>
        <w:rPr>
          <w:rFonts w:ascii="Arial" w:cs="Arial" w:eastAsia="Arial" w:hAnsi="Arial"/>
          <w:sz w:val="18"/>
          <w:szCs w:val="18"/>
          <w:u w:val="single" w:color="auto"/>
          <w:color w:val="auto"/>
        </w:rPr>
        <w:t>Permitted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w:t>
      </w:r>
      <w:r>
        <w:rPr>
          <w:rFonts w:ascii="Arial" w:cs="Arial" w:eastAsia="Arial" w:hAnsi="Arial"/>
          <w:sz w:val="18"/>
          <w:szCs w:val="18"/>
          <w:color w:val="auto"/>
        </w:rPr>
        <w:t>”) pursuant to procedures reasonably specified by the Administrative Agent and reasonably acceptable to the Company. Such notice shall set forth (i) the terms and conditions of the requested Permitted Amendment and (ii) the date on which such Permitted Amendment is requested to become effective. Permitted Amendments shall become effective only with respect to the Loans and/or Commitments of the Lenders that accept the applicable Loan Modification Offer (such 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and/or Commitments as to which such Lender’s acceptance has been made. The Company, each other Credit Party and each Accepting Lender shall execute and deliver to the Administrative Agent such documentation (a “</w:t>
      </w:r>
      <w:r>
        <w:rPr>
          <w:rFonts w:ascii="Arial" w:cs="Arial" w:eastAsia="Arial" w:hAnsi="Arial"/>
          <w:sz w:val="18"/>
          <w:szCs w:val="18"/>
          <w:u w:val="single" w:color="auto"/>
          <w:color w:val="auto"/>
        </w:rPr>
        <w:t>Loan Amendment</w:t>
      </w:r>
      <w:r>
        <w:rPr>
          <w:rFonts w:ascii="Arial" w:cs="Arial" w:eastAsia="Arial" w:hAnsi="Arial"/>
          <w:sz w:val="18"/>
          <w:szCs w:val="18"/>
          <w:color w:val="auto"/>
        </w:rPr>
        <w:t xml:space="preserve">”) as the Administrative Agent shall reasonably specify to evidence the acceptance of the Permitted Amendments and the terms and conditions thereof, and the Credit Parties shall also deliver such corporate resolutions, customary opinions and other customary documents as reasonably requested by the Administrative Agent. The Administrative Agent shall promptly notify each Lender as to the effectiveness of each Loan Amendment. Any such Permitted Amendment shall contain language to appropriately include the Lenders participating in any such tranches in (x) any determination of the Required Lenders and (y) provisions regarding pro rata payments or sharing of payments. Each of the parties hereto hereby agrees that upon the effectiveness of any Loan Amendment, this Agreement shall be deemed amended to the extent (but only to the extent) necessary to reflect the existence and terms of the Permitted Amendment evidenced thereby and only with respect to the Loans and Commitments of the Accepting Lenders as to which such Lenders’ acceptance has been made. For the avoidance of doubt, this paragraph shall supersede any provision of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to the contrary.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Notwithstanding the foregoing, any waiver, amendment or modification of this Agreement that by its terms affects the rights or duties under this Agreement of the Lenders under one or more Tranches but not under any other Tranche may be effected by an agreement or agreements in writing entered into by the Borrowers and the requisite percentage in interest of the affected Tranche or Tranches of Lenders that would be required to consent thereto under this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if such Tranche or Tranches of Lenders were the only Tranche or Tranches of Lenders hereunder at the time.</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For the avoidance of doubt and notwithstanding anything to the contrary contained herein, each Lender hereby authorizes the Administrative Agent on its behalf, and without its further consent, to enter into amendments to this Agreement and the other Loan Documents as the Administrative Agent may reasonably deem appropriate in order to effectuate any increase in the Revolving Credit Commitment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any Incremental Term Loans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including, without limitation, amendments to permit such increases in the Revolving Credit Commitment and any Incremental Term Loans to share ratably in the benefits of this Agreement and the other Loan Documents and to include appropriately any Lenders under such increases in the Revolving Credit Commitment and any Incremental Term Loans in any determination of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adversely affect in any material respect the rights of any Lender, in each case, without the written consent of such Lender.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SECTION 13.3 </w:t>
      </w:r>
      <w:r>
        <w:rPr>
          <w:rFonts w:ascii="Arial" w:cs="Arial" w:eastAsia="Arial" w:hAnsi="Arial"/>
          <w:sz w:val="19"/>
          <w:szCs w:val="19"/>
          <w:b w:val="1"/>
          <w:bCs w:val="1"/>
          <w:u w:val="single" w:color="auto"/>
          <w:color w:val="auto"/>
        </w:rPr>
        <w:t>No Waiver; Cumulative Remedies; Enforcement.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failure by any Lender, any Issuing Lender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5" w:name="page206"/>
    <w:bookmarkEnd w:id="205"/>
    <w:p>
      <w:pPr>
        <w:jc w:val="both"/>
        <w:ind w:firstLine="648"/>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for the benefit of all the Lenders and the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each Issuing Lender or the Swingline Lender from exercising the rights and remedies that inure to its benefit (solely in its capacity as Issuing Lender or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13.4</w:t>
      </w:r>
      <w:r>
        <w:rPr>
          <w:sz w:val="20"/>
          <w:szCs w:val="20"/>
          <w:color w:val="auto"/>
        </w:rPr>
        <w:tab/>
      </w:r>
      <w:r>
        <w:rPr>
          <w:rFonts w:ascii="Arial" w:cs="Arial" w:eastAsia="Arial" w:hAnsi="Arial"/>
          <w:sz w:val="16"/>
          <w:szCs w:val="16"/>
          <w:b w:val="1"/>
          <w:bCs w:val="1"/>
          <w:u w:val="single" w:color="auto"/>
          <w:color w:val="auto"/>
        </w:rPr>
        <w:t xml:space="preserve">Expenses; Indemnity; Damage Waiver. </w:t>
      </w:r>
      <w:r>
        <w:rPr>
          <w:rFonts w:ascii="Arial" w:cs="Arial" w:eastAsia="Arial" w:hAnsi="Arial"/>
          <w:sz w:val="16"/>
          <w:szCs w:val="16"/>
          <w:color w:val="auto"/>
        </w:rPr>
        <w:t>In each case, subject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222" w:lineRule="exact"/>
        <w:rPr>
          <w:sz w:val="20"/>
          <w:szCs w:val="20"/>
          <w:color w:val="auto"/>
        </w:rPr>
      </w:pPr>
    </w:p>
    <w:p>
      <w:pPr>
        <w:jc w:val="both"/>
        <w:ind w:left="660" w:firstLine="644"/>
        <w:spacing w:after="0" w:line="269" w:lineRule="auto"/>
        <w:tabs>
          <w:tab w:leader="none" w:pos="1739"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Credit Parties shall pay (i) all reasonable and documented out-of-pocket expenses incurred by the Administrative Agent and its Affiliates (including the reasonable fees, charges and disbursements of one primary counsel for the Administrative Agent and, if necessary, one firm of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Issuing Lender in connection with the issuance, amendment, renewal or extension of any Letter of Credit or any demand for payment thereunder and (iii) all out-of-pocket expenses incurred by the Administrative Agent, any Lender or any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81" w:lineRule="exact"/>
        <w:rPr>
          <w:rFonts w:ascii="Arial" w:cs="Arial" w:eastAsia="Arial" w:hAnsi="Arial"/>
          <w:sz w:val="18"/>
          <w:szCs w:val="18"/>
          <w:color w:val="auto"/>
        </w:rPr>
      </w:pPr>
    </w:p>
    <w:p>
      <w:pPr>
        <w:jc w:val="both"/>
        <w:ind w:left="660" w:firstLine="644"/>
        <w:spacing w:after="0" w:line="274" w:lineRule="auto"/>
        <w:tabs>
          <w:tab w:leader="none" w:pos="176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The Credit Parties shall indemnify the Administrative Agent (and any sub-agent thereof),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reasonable expenses (including the reasonable fees, charges and disbursements of any counsel for any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legal fees and expenses shall be limited to the reasonable and documented fees, disbursements and other out-of-pocket charges of one primary counsel, one local counsel in each relevant jurisdiction, one specialty counsel for each relevant specialty, and one or more counsel to each group of affected Persons similarly situated if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6" w:name="page207"/>
    <w:bookmarkEnd w:id="206"/>
    <w:p>
      <w:pPr>
        <w:jc w:val="both"/>
        <w:ind w:left="660" w:firstLine="6"/>
        <w:spacing w:after="0" w:line="268" w:lineRule="auto"/>
        <w:rPr>
          <w:sz w:val="20"/>
          <w:szCs w:val="20"/>
          <w:color w:val="auto"/>
        </w:rPr>
      </w:pPr>
      <w:r>
        <w:rPr>
          <w:rFonts w:ascii="Arial" w:cs="Arial" w:eastAsia="Arial" w:hAnsi="Arial"/>
          <w:sz w:val="18"/>
          <w:szCs w:val="18"/>
          <w:color w:val="auto"/>
        </w:rPr>
        <w:t xml:space="preserve">more conflicts of interest, or perceived conflicts of interest, arise), and shall indemnify and hold harmless each Indemnitee from all fees and time charges and disbursements for attorneys who may be employees of any Indemnitee, incurred by any Indemnitee or asserted against any Indemnitee by any Person (including the Company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(ii)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Credit Party or any of its Restricted Subsidiaries, or any Environmental Claims related in any way to a Credit Party or any of its Restricted Subsidiaries, or (iv) any actual or prospective claim, litigation, investigation or proceeding relating to any of the foregoing, whether based on contract, tort or any other theory, whether brought by a third party or by the Company or any other Credit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any Credit Party against an Indemnitee for a material breach in bad faith of such Indemnitee’s obligations hereunder or under any other Loan Document, if such Credit Party has obtained a final and nonappealable judgment in its favor on such claim as determined by a court of competent jurisdiction. Without limiting the provisions of </w:t>
      </w:r>
      <w:r>
        <w:rPr>
          <w:rFonts w:ascii="Arial" w:cs="Arial" w:eastAsia="Arial" w:hAnsi="Arial"/>
          <w:sz w:val="18"/>
          <w:szCs w:val="18"/>
          <w:u w:val="single" w:color="auto"/>
          <w:color w:val="auto"/>
        </w:rPr>
        <w:t>Section 4.11(c)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82" w:lineRule="exact"/>
        <w:rPr>
          <w:sz w:val="20"/>
          <w:szCs w:val="20"/>
          <w:color w:val="auto"/>
        </w:rPr>
      </w:pPr>
    </w:p>
    <w:p>
      <w:pPr>
        <w:jc w:val="both"/>
        <w:ind w:left="660" w:firstLine="644"/>
        <w:spacing w:after="0" w:line="269" w:lineRule="auto"/>
        <w:tabs>
          <w:tab w:leader="none" w:pos="184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Company for any reason fails to indefeasibly pay any amount required under subsection (a) or (b) of this Section to be paid by it to the Administrative Agent (or any sub-agent thereof), any Issuing Lender, the Swingline Lender or any Related Party of any of the foregoing, each Lender severally agrees to pay to the Administrative Agent (or any such sub-agent), such Issuing Lender, the Swingline Lender or such Related Party, as the case may be, such Lender’s pro rata share (determined as of the time that the applicable unreimbursed expense or indemnity payment is sought based on each Lender’s share of the unused Commitments, the aggregate principal amount of outstanding Revolving Credit Loans and such Lender’s participation in L/C Obligations and Swingline Loans and the Outstanding Amount of all Term Loans at such time) of such unpaid amount (including any such unpaid amount in respect of a claim asserted by such Lender), such payment to be made severally among them based on such Lender’s Commitment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each Issuing Lender or the Swingline Lender in its capacity as such, or against any Related Party of any of the foregoing acting for the Administrative Agent (or any such sub-agent), each Issuing Lender or the Swingline Lender in connection with such capacity. The obligations of the Lenders under this subsection (c) are subject to the provisions of </w:t>
      </w:r>
      <w:r>
        <w:rPr>
          <w:rFonts w:ascii="Arial" w:cs="Arial" w:eastAsia="Arial" w:hAnsi="Arial"/>
          <w:sz w:val="18"/>
          <w:szCs w:val="18"/>
          <w:u w:val="single" w:color="auto"/>
          <w:color w:val="auto"/>
        </w:rPr>
        <w:t>Section 4.4(d)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7" w:name="page208"/>
    <w:bookmarkEnd w:id="207"/>
    <w:p>
      <w:pPr>
        <w:jc w:val="both"/>
        <w:ind w:left="660" w:firstLine="644"/>
        <w:spacing w:after="0" w:line="271" w:lineRule="auto"/>
        <w:tabs>
          <w:tab w:leader="none" w:pos="175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no Credit Party shall assert, and each Credit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3" w:lineRule="exact"/>
        <w:rPr>
          <w:rFonts w:ascii="Arial" w:cs="Arial" w:eastAsia="Arial" w:hAnsi="Arial"/>
          <w:sz w:val="18"/>
          <w:szCs w:val="18"/>
          <w:color w:val="auto"/>
        </w:rPr>
      </w:pPr>
    </w:p>
    <w:p>
      <w:pPr>
        <w:ind w:left="1800" w:hanging="496"/>
        <w:spacing w:after="0"/>
        <w:tabs>
          <w:tab w:leader="none" w:pos="180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Business Days after demand</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therefor.</w:t>
      </w:r>
    </w:p>
    <w:p>
      <w:pPr>
        <w:spacing w:after="0" w:line="199" w:lineRule="exact"/>
        <w:rPr>
          <w:rFonts w:ascii="Arial" w:cs="Arial" w:eastAsia="Arial" w:hAnsi="Arial"/>
          <w:sz w:val="18"/>
          <w:szCs w:val="18"/>
          <w:color w:val="auto"/>
        </w:rPr>
      </w:pPr>
    </w:p>
    <w:p>
      <w:pPr>
        <w:jc w:val="both"/>
        <w:ind w:left="660" w:firstLine="644"/>
        <w:spacing w:after="0" w:line="250" w:lineRule="auto"/>
        <w:tabs>
          <w:tab w:leader="none" w:pos="1704" w:val="left"/>
        </w:tabs>
        <w:numPr>
          <w:ilvl w:val="0"/>
          <w:numId w:val="225"/>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shall survive the resignation of the Administrative Agent, any Issuing Lender and the Swingline Lender, the replacement of any Lender, the termination of the Commitments and the repayment, satisfaction or discharge of all the other Obligations.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b w:val="1"/>
          <w:bCs w:val="1"/>
          <w:u w:val="single" w:color="auto"/>
          <w:color w:val="auto"/>
        </w:rPr>
        <w:t>Set-off</w:t>
      </w:r>
      <w:r>
        <w:rPr>
          <w:rFonts w:ascii="Arial" w:cs="Arial" w:eastAsia="Arial" w:hAnsi="Arial"/>
          <w:sz w:val="18"/>
          <w:szCs w:val="18"/>
          <w:color w:val="auto"/>
        </w:rPr>
        <w:t>. If an Event of Default shall have occurred and be continuing, each Lender, each Issuing Lender,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Swingline Lender, and each of their respective Affiliates is hereby authorized at any time and from time to time, to the fullest extent permitted by Applicable Law, subject to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to set off and apply any and all deposits (general or special, time or demand, provisional or final, in whatever currency), other than deposits in Blackbaud Payment Services Accounts, at any time held and other obligations (in whatever currency) at any time owing by such Lender, such Issuing Lender, the Swingline Lender, or any such Affiliate to or for the credit or the account of the Company or any other Credit Party against any and all of the obligations of the Company or such Credit Party now or hereafter existing under this Agreement or any other Loan Document to such Lender, such Issuing Lender, or the Swingline Lender, irrespective of whether or not such Lender, such Issuing Lender, or the Swingline Lender shall have made any demand under this Agreement or any other Loan Document and although such obligations of the Company or such Credit Party may be contingent or unmatured or are owed to a branch or office of such Lender, such Issuing Lender, or the Swingline Lender different from the branch or office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w:t>
      </w:r>
    </w:p>
    <w:p>
      <w:pPr>
        <w:spacing w:after="0" w:line="4" w:lineRule="exact"/>
        <w:rPr>
          <w:sz w:val="20"/>
          <w:szCs w:val="20"/>
          <w:color w:val="auto"/>
        </w:rPr>
      </w:pPr>
    </w:p>
    <w:p>
      <w:pPr>
        <w:jc w:val="both"/>
        <w:ind w:firstLine="8"/>
        <w:spacing w:after="0" w:line="254" w:lineRule="auto"/>
        <w:tabs>
          <w:tab w:leader="none" w:pos="238"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4.14</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the Issuing Lenders, the Swingline Lender, and the other Lenders, and (ii) the Defaulting Lender shall provide promptly to the Administrative Agent a statement describing in reasonable detail the Obligations owing to such Defaulting Lender as to which it exercised such right of setoff.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each Issuing Lender, and the Swingline Lender, agrees to notify the Company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7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13.6</w:t>
      </w:r>
      <w:r>
        <w:rPr>
          <w:sz w:val="20"/>
          <w:szCs w:val="20"/>
          <w:color w:val="auto"/>
        </w:rPr>
        <w:tab/>
      </w:r>
      <w:r>
        <w:rPr>
          <w:rFonts w:ascii="Arial" w:cs="Arial" w:eastAsia="Arial" w:hAnsi="Arial"/>
          <w:sz w:val="18"/>
          <w:szCs w:val="18"/>
          <w:b w:val="1"/>
          <w:bCs w:val="1"/>
          <w:u w:val="single" w:color="auto"/>
          <w:color w:val="auto"/>
        </w:rPr>
        <w:t>Governing Law; Jurisdiction;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8" w:name="page209"/>
    <w:bookmarkEnd w:id="208"/>
    <w:p>
      <w:pPr>
        <w:jc w:val="both"/>
        <w:ind w:left="660" w:firstLine="644"/>
        <w:spacing w:after="0" w:line="243" w:lineRule="auto"/>
        <w:tabs>
          <w:tab w:leader="none" w:pos="1860"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2" w:lineRule="exact"/>
        <w:rPr>
          <w:rFonts w:ascii="Arial" w:cs="Arial" w:eastAsia="Arial" w:hAnsi="Arial"/>
          <w:sz w:val="20"/>
          <w:szCs w:val="20"/>
          <w:color w:val="auto"/>
        </w:rPr>
      </w:pPr>
    </w:p>
    <w:p>
      <w:pPr>
        <w:jc w:val="both"/>
        <w:ind w:left="660" w:firstLine="644"/>
        <w:spacing w:after="0" w:line="254" w:lineRule="auto"/>
        <w:tabs>
          <w:tab w:leader="none" w:pos="1858"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COMPANY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THE COMPANY OR ANY OTHER CREDIT PARTY OR ITS PROPERTIES IN THE COURTS OF ANY JURISDICTION.</w:t>
      </w:r>
    </w:p>
    <w:p>
      <w:pPr>
        <w:spacing w:after="0" w:line="184" w:lineRule="exact"/>
        <w:rPr>
          <w:rFonts w:ascii="Arial" w:cs="Arial" w:eastAsia="Arial" w:hAnsi="Arial"/>
          <w:sz w:val="19"/>
          <w:szCs w:val="19"/>
          <w:color w:val="auto"/>
        </w:rPr>
      </w:pPr>
    </w:p>
    <w:p>
      <w:pPr>
        <w:jc w:val="both"/>
        <w:ind w:left="660" w:firstLine="644"/>
        <w:spacing w:after="0" w:line="243" w:lineRule="auto"/>
        <w:tabs>
          <w:tab w:leader="none" w:pos="1752" w:val="left"/>
        </w:tabs>
        <w:numPr>
          <w:ilvl w:val="0"/>
          <w:numId w:val="227"/>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PARTY HERETO IRREVOCABLY AND UNCONDITIONALLY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20"/>
          <w:szCs w:val="20"/>
          <w:color w:val="auto"/>
        </w:rPr>
      </w:pPr>
    </w:p>
    <w:p>
      <w:pPr>
        <w:jc w:val="both"/>
        <w:ind w:left="660" w:firstLine="644"/>
        <w:spacing w:after="0" w:line="269" w:lineRule="auto"/>
        <w:tabs>
          <w:tab w:leader="none" w:pos="1777"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13.1</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09" w:name="page210"/>
    <w:bookmarkEnd w:id="209"/>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SECTION 13.7 </w:t>
      </w:r>
      <w:r>
        <w:rPr>
          <w:rFonts w:ascii="Arial" w:cs="Arial" w:eastAsia="Arial" w:hAnsi="Arial"/>
          <w:sz w:val="19"/>
          <w:szCs w:val="19"/>
          <w:b w:val="1"/>
          <w:bCs w:val="1"/>
          <w:u w:val="single" w:color="auto"/>
          <w:color w:val="auto"/>
        </w:rPr>
        <w:t>Waiver of Jury Trial.</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HERETO HEREBY IRREVOCABLY WAIVES,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SECTION 13.8 </w:t>
      </w:r>
      <w:r>
        <w:rPr>
          <w:rFonts w:ascii="Arial" w:cs="Arial" w:eastAsia="Arial" w:hAnsi="Arial"/>
          <w:sz w:val="19"/>
          <w:szCs w:val="19"/>
          <w:b w:val="1"/>
          <w:bCs w:val="1"/>
          <w:u w:val="single" w:color="auto"/>
          <w:color w:val="auto"/>
        </w:rPr>
        <w:t>Reversal of Payments</w:t>
      </w:r>
      <w:r>
        <w:rPr>
          <w:rFonts w:ascii="Arial" w:cs="Arial" w:eastAsia="Arial" w:hAnsi="Arial"/>
          <w:sz w:val="19"/>
          <w:szCs w:val="19"/>
          <w:color w:val="auto"/>
        </w:rPr>
        <w:t>. To the extent a Borrower makes a payment or payments to the Administrative Agent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ratable benefit of the Lenders or the Administrative Agent receives any payment or proceeds which payments or proceeds or any part thereof are subsequently invalidated, declared to be fraudulent or preferential, set aside and/or required to be repaid to a trustee, receiver or any other party under any bankruptcy law, state or federal law, common law or equitable cause, then, to the extent of such payment or proceeds repaid, the Obligations or part thereof intended to be satisfied shall be revived and continued in full force and effect as if such payment or proceeds had not been received by the Administrative Agent.</w:t>
      </w:r>
    </w:p>
    <w:p>
      <w:pPr>
        <w:spacing w:after="0" w:line="17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b w:val="1"/>
          <w:bCs w:val="1"/>
          <w:color w:val="auto"/>
        </w:rPr>
        <w:t>SECTION 13.9</w:t>
      </w:r>
      <w:r>
        <w:rPr>
          <w:sz w:val="20"/>
          <w:szCs w:val="20"/>
          <w:color w:val="auto"/>
        </w:rPr>
        <w:tab/>
      </w:r>
      <w:r>
        <w:rPr>
          <w:rFonts w:ascii="Arial" w:cs="Arial" w:eastAsia="Arial" w:hAnsi="Arial"/>
          <w:sz w:val="16"/>
          <w:szCs w:val="16"/>
          <w:b w:val="1"/>
          <w:bCs w:val="1"/>
          <w:u w:val="single" w:color="auto"/>
          <w:color w:val="auto"/>
        </w:rPr>
        <w:t>Successors and Assigns.</w:t>
      </w:r>
    </w:p>
    <w:p>
      <w:pPr>
        <w:spacing w:after="0" w:line="222" w:lineRule="exact"/>
        <w:rPr>
          <w:sz w:val="20"/>
          <w:szCs w:val="20"/>
          <w:color w:val="auto"/>
        </w:rPr>
      </w:pPr>
    </w:p>
    <w:p>
      <w:pPr>
        <w:jc w:val="both"/>
        <w:ind w:left="660" w:firstLine="644"/>
        <w:spacing w:after="0" w:line="271" w:lineRule="auto"/>
        <w:tabs>
          <w:tab w:leader="none" w:pos="1766"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and the other Loan Documents shall be binding upon and inure to the benefit of the parties hereto and thereto and their respective successors and assigns permitted hereby, except neither the Company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Lenders and the Lenders) any legal or equitable right, remedy or claim under or by reason of this Agreement.</w:t>
      </w:r>
    </w:p>
    <w:p>
      <w:pPr>
        <w:spacing w:after="0" w:line="169" w:lineRule="exact"/>
        <w:rPr>
          <w:rFonts w:ascii="Arial" w:cs="Arial" w:eastAsia="Arial" w:hAnsi="Arial"/>
          <w:sz w:val="18"/>
          <w:szCs w:val="18"/>
          <w:color w:val="auto"/>
        </w:rPr>
      </w:pPr>
    </w:p>
    <w:p>
      <w:pPr>
        <w:jc w:val="both"/>
        <w:ind w:left="660" w:firstLine="644"/>
        <w:spacing w:after="0" w:line="282" w:lineRule="auto"/>
        <w:tabs>
          <w:tab w:leader="none" w:pos="175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161" w:lineRule="exact"/>
        <w:rPr>
          <w:rFonts w:ascii="Arial" w:cs="Arial" w:eastAsia="Arial" w:hAnsi="Arial"/>
          <w:sz w:val="18"/>
          <w:szCs w:val="18"/>
          <w:color w:val="auto"/>
        </w:rPr>
      </w:pPr>
    </w:p>
    <w:p>
      <w:pPr>
        <w:ind w:left="2340" w:hanging="388"/>
        <w:spacing w:after="0"/>
        <w:tabs>
          <w:tab w:leader="none" w:pos="2340"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960" w:firstLine="640"/>
        <w:spacing w:after="0" w:line="260" w:lineRule="auto"/>
        <w:tabs>
          <w:tab w:leader="none" w:pos="3143" w:val="left"/>
        </w:tabs>
        <w:numPr>
          <w:ilvl w:val="2"/>
          <w:numId w:val="228"/>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under any Facility and/or the Loans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0" w:right="339" w:bottom="1440" w:gutter="0" w:footer="0" w:header="0"/>
        </w:sectPr>
      </w:pPr>
    </w:p>
    <w:bookmarkStart w:id="210" w:name="page211"/>
    <w:bookmarkEnd w:id="210"/>
    <w:p>
      <w:pPr>
        <w:jc w:val="both"/>
        <w:ind w:left="1960" w:firstLine="6"/>
        <w:spacing w:after="0" w:line="246" w:lineRule="auto"/>
        <w:rPr>
          <w:sz w:val="20"/>
          <w:szCs w:val="20"/>
          <w:color w:val="auto"/>
        </w:rPr>
      </w:pPr>
      <w:r>
        <w:rPr>
          <w:rFonts w:ascii="Arial" w:cs="Arial" w:eastAsia="Arial" w:hAnsi="Arial"/>
          <w:sz w:val="20"/>
          <w:szCs w:val="20"/>
          <w:color w:val="auto"/>
        </w:rPr>
        <w:t>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91" w:lineRule="exact"/>
        <w:rPr>
          <w:sz w:val="20"/>
          <w:szCs w:val="20"/>
          <w:color w:val="auto"/>
        </w:rPr>
      </w:pPr>
    </w:p>
    <w:p>
      <w:pPr>
        <w:jc w:val="both"/>
        <w:ind w:left="1960" w:firstLine="640"/>
        <w:spacing w:after="0" w:line="271" w:lineRule="auto"/>
        <w:tabs>
          <w:tab w:leader="none" w:pos="324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given its consent five (5) Business Days after the date written notice thereof has been delivered by the assigning Lender (through the Administrative Agent) unless such consent is expressly refused by the Company prior to such fifth (5th) Business Day.</w:t>
      </w:r>
    </w:p>
    <w:p>
      <w:pPr>
        <w:spacing w:after="0" w:line="173" w:lineRule="exact"/>
        <w:rPr>
          <w:rFonts w:ascii="Arial" w:cs="Arial" w:eastAsia="Arial" w:hAnsi="Arial"/>
          <w:sz w:val="18"/>
          <w:szCs w:val="18"/>
          <w:color w:val="auto"/>
        </w:rPr>
      </w:pPr>
    </w:p>
    <w:p>
      <w:pPr>
        <w:jc w:val="both"/>
        <w:ind w:left="1300" w:firstLine="652"/>
        <w:spacing w:after="0" w:line="244" w:lineRule="auto"/>
        <w:tabs>
          <w:tab w:leader="none" w:pos="2414"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and the other Loan Documents with respect to the Loans and/or the Commitment assigned, except that this clause (ii) shall not (A) apply to the Swingline Lender’s rights and obligations in respect of Swingline Loans or (B) prohibit any Lender from assigning all or a portion of its rights and obligations among separate Facilities on a non-pro rata basis.</w:t>
      </w:r>
    </w:p>
    <w:p>
      <w:pPr>
        <w:spacing w:after="0" w:line="194" w:lineRule="exact"/>
        <w:rPr>
          <w:rFonts w:ascii="Arial" w:cs="Arial" w:eastAsia="Arial" w:hAnsi="Arial"/>
          <w:sz w:val="20"/>
          <w:szCs w:val="20"/>
          <w:color w:val="auto"/>
        </w:rPr>
      </w:pPr>
    </w:p>
    <w:p>
      <w:pPr>
        <w:ind w:left="1300" w:firstLine="652"/>
        <w:spacing w:after="0" w:line="260" w:lineRule="auto"/>
        <w:tabs>
          <w:tab w:leader="none" w:pos="2604"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6" w:lineRule="exact"/>
        <w:rPr>
          <w:rFonts w:ascii="Arial" w:cs="Arial" w:eastAsia="Arial" w:hAnsi="Arial"/>
          <w:sz w:val="20"/>
          <w:szCs w:val="20"/>
          <w:color w:val="auto"/>
        </w:rPr>
      </w:pPr>
    </w:p>
    <w:p>
      <w:pPr>
        <w:jc w:val="both"/>
        <w:ind w:left="1960" w:firstLine="640"/>
        <w:spacing w:after="0" w:line="260" w:lineRule="auto"/>
        <w:tabs>
          <w:tab w:leader="none" w:pos="3211"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80" w:lineRule="exact"/>
        <w:rPr>
          <w:rFonts w:ascii="Arial" w:cs="Arial" w:eastAsia="Arial" w:hAnsi="Arial"/>
          <w:sz w:val="19"/>
          <w:szCs w:val="19"/>
          <w:color w:val="auto"/>
        </w:rPr>
      </w:pPr>
    </w:p>
    <w:p>
      <w:pPr>
        <w:jc w:val="both"/>
        <w:ind w:left="1960" w:firstLine="640"/>
        <w:spacing w:after="0" w:line="243" w:lineRule="auto"/>
        <w:tabs>
          <w:tab w:leader="none" w:pos="3145" w:val="left"/>
        </w:tabs>
        <w:numPr>
          <w:ilvl w:val="1"/>
          <w:numId w:val="230"/>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(1) any unfunded Term Loan Commitment or Incremental Term Loan Commitment or any Revolving Credit Commitment if such assignment is to a Person that is not a Lender with a Commitment in respect of the applicable Facility, an Affiliate of such Lender or an Approved Fund with respect to such Lender or (2) any Term Loan or Incremental Term Loan to a Person that is not a Lender, an Affiliate of a Lender or an Approved Fund; and</w:t>
      </w:r>
    </w:p>
    <w:p>
      <w:pPr>
        <w:spacing w:after="0" w:line="195" w:lineRule="exact"/>
        <w:rPr>
          <w:rFonts w:ascii="Arial" w:cs="Arial" w:eastAsia="Arial" w:hAnsi="Arial"/>
          <w:sz w:val="20"/>
          <w:szCs w:val="20"/>
          <w:color w:val="auto"/>
        </w:rPr>
      </w:pPr>
    </w:p>
    <w:p>
      <w:pPr>
        <w:ind w:left="1960" w:right="20" w:firstLine="640"/>
        <w:spacing w:after="0" w:line="260" w:lineRule="auto"/>
        <w:tabs>
          <w:tab w:leader="none" w:pos="3118" w:val="left"/>
        </w:tabs>
        <w:numPr>
          <w:ilvl w:val="1"/>
          <w:numId w:val="230"/>
        </w:numPr>
        <w:rPr>
          <w:rFonts w:ascii="Arial" w:cs="Arial" w:eastAsia="Arial" w:hAnsi="Arial"/>
          <w:sz w:val="20"/>
          <w:szCs w:val="20"/>
          <w:color w:val="auto"/>
        </w:rPr>
      </w:pPr>
      <w:r>
        <w:rPr>
          <w:rFonts w:ascii="Arial" w:cs="Arial" w:eastAsia="Arial" w:hAnsi="Arial"/>
          <w:sz w:val="20"/>
          <w:szCs w:val="20"/>
          <w:color w:val="auto"/>
        </w:rPr>
        <w:t>the consent of the Issuing Lenders and the Swingline Lender shall be required for any assignment in respect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1" w:name="page212"/>
    <w:bookmarkEnd w:id="211"/>
    <w:p>
      <w:pPr>
        <w:jc w:val="both"/>
        <w:ind w:left="1300" w:firstLine="652"/>
        <w:spacing w:after="0" w:line="244" w:lineRule="auto"/>
        <w:tabs>
          <w:tab w:leader="none" w:pos="2472"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4" w:lineRule="exact"/>
        <w:rPr>
          <w:rFonts w:ascii="Arial" w:cs="Arial" w:eastAsia="Arial" w:hAnsi="Arial"/>
          <w:sz w:val="20"/>
          <w:szCs w:val="20"/>
          <w:color w:val="auto"/>
        </w:rPr>
      </w:pPr>
    </w:p>
    <w:p>
      <w:pPr>
        <w:jc w:val="both"/>
        <w:ind w:left="1300" w:firstLine="652"/>
        <w:spacing w:after="0" w:line="244" w:lineRule="auto"/>
        <w:tabs>
          <w:tab w:leader="none" w:pos="2484"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(A) to the Company or any of the Company’s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194" w:lineRule="exact"/>
        <w:rPr>
          <w:rFonts w:ascii="Arial" w:cs="Arial" w:eastAsia="Arial" w:hAnsi="Arial"/>
          <w:sz w:val="20"/>
          <w:szCs w:val="20"/>
          <w:color w:val="auto"/>
        </w:rPr>
      </w:pPr>
    </w:p>
    <w:p>
      <w:pPr>
        <w:jc w:val="both"/>
        <w:ind w:left="1300" w:firstLine="652"/>
        <w:spacing w:after="0" w:line="270" w:lineRule="auto"/>
        <w:tabs>
          <w:tab w:leader="none" w:pos="247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Issuing Lender or any Lender hereunder (and interest accrued thereon) and (B) acquire (and fund as appropriate) its full pro rata share of all Loans and participations in Letters of Credit and Swingline Loans in accordance with its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4.9</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(subject to the requirements thereof, including </w:t>
      </w:r>
      <w:r>
        <w:rPr>
          <w:rFonts w:ascii="Arial" w:cs="Arial" w:eastAsia="Arial" w:hAnsi="Arial"/>
          <w:sz w:val="16"/>
          <w:szCs w:val="16"/>
          <w:u w:val="single" w:color="auto"/>
          <w:color w:val="auto"/>
        </w:rPr>
        <w:t>Section 4.11(e)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2" w:name="page213"/>
    <w:bookmarkEnd w:id="212"/>
    <w:p>
      <w:pPr>
        <w:jc w:val="both"/>
        <w:ind w:left="660" w:firstLine="644"/>
        <w:spacing w:after="0" w:line="273" w:lineRule="auto"/>
        <w:tabs>
          <w:tab w:leader="none" w:pos="180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68" w:lineRule="exact"/>
        <w:rPr>
          <w:rFonts w:ascii="Arial" w:cs="Arial" w:eastAsia="Arial" w:hAnsi="Arial"/>
          <w:sz w:val="18"/>
          <w:szCs w:val="18"/>
          <w:color w:val="auto"/>
        </w:rPr>
      </w:pPr>
    </w:p>
    <w:p>
      <w:pPr>
        <w:jc w:val="both"/>
        <w:ind w:left="660" w:firstLine="644"/>
        <w:spacing w:after="0" w:line="271" w:lineRule="auto"/>
        <w:tabs>
          <w:tab w:leader="none" w:pos="177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Company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Issuing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without regard to the existence of any participations.</w:t>
      </w:r>
    </w:p>
    <w:p>
      <w:pPr>
        <w:spacing w:after="0" w:line="174"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that affects such Participant. The Borrowers agree that each Participant shall be entitled to the benefits of </w:t>
      </w:r>
      <w:r>
        <w:rPr>
          <w:rFonts w:ascii="Arial" w:cs="Arial" w:eastAsia="Arial" w:hAnsi="Arial"/>
          <w:sz w:val="18"/>
          <w:szCs w:val="18"/>
          <w:u w:val="single" w:color="auto"/>
          <w:color w:val="auto"/>
        </w:rPr>
        <w:t>Sections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4.11(e)</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4.11(e)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4.12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13.13</w:t>
      </w:r>
      <w:r>
        <w:rPr>
          <w:rFonts w:ascii="Arial" w:cs="Arial" w:eastAsia="Arial" w:hAnsi="Arial"/>
          <w:sz w:val="18"/>
          <w:szCs w:val="18"/>
          <w:color w:val="auto"/>
        </w:rPr>
        <w:t xml:space="preserve"> as if it were an assignee under paragraph (b) of this Section and (B) shall not be entitled to receive any greater payment under </w:t>
      </w:r>
      <w:r>
        <w:rPr>
          <w:rFonts w:ascii="Arial" w:cs="Arial" w:eastAsia="Arial" w:hAnsi="Arial"/>
          <w:sz w:val="18"/>
          <w:szCs w:val="18"/>
          <w:u w:val="single" w:color="auto"/>
          <w:color w:val="auto"/>
        </w:rPr>
        <w:t>Sections 4.10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3" w:name="page214"/>
    <w:bookmarkEnd w:id="213"/>
    <w:p>
      <w:pPr>
        <w:jc w:val="both"/>
        <w:ind w:left="660"/>
        <w:spacing w:after="0" w:line="242" w:lineRule="auto"/>
        <w:rPr>
          <w:sz w:val="20"/>
          <w:szCs w:val="20"/>
          <w:color w:val="auto"/>
        </w:rPr>
      </w:pPr>
      <w:r>
        <w:rPr>
          <w:rFonts w:ascii="Arial" w:cs="Arial" w:eastAsia="Arial" w:hAnsi="Arial"/>
          <w:sz w:val="20"/>
          <w:szCs w:val="20"/>
          <w:color w:val="auto"/>
        </w:rPr>
        <w:t>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jc w:val="both"/>
        <w:ind w:left="660" w:firstLine="644"/>
        <w:spacing w:after="0" w:line="263" w:lineRule="auto"/>
        <w:tabs>
          <w:tab w:leader="none" w:pos="1725"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Arial" w:cs="Arial" w:eastAsia="Arial" w:hAnsi="Arial"/>
          <w:sz w:val="19"/>
          <w:szCs w:val="19"/>
          <w:color w:val="auto"/>
        </w:rPr>
      </w:pPr>
    </w:p>
    <w:p>
      <w:pPr>
        <w:jc w:val="both"/>
        <w:ind w:left="660" w:firstLine="644"/>
        <w:spacing w:after="0" w:line="268" w:lineRule="auto"/>
        <w:tabs>
          <w:tab w:leader="none" w:pos="1866"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Resignation as Issuing Lender or Swingline Lender after Assignment</w:t>
      </w:r>
      <w:r>
        <w:rPr>
          <w:rFonts w:ascii="Arial" w:cs="Arial" w:eastAsia="Arial" w:hAnsi="Arial"/>
          <w:sz w:val="18"/>
          <w:szCs w:val="18"/>
          <w:color w:val="auto"/>
        </w:rPr>
        <w:t xml:space="preserve">. Notwithstanding anything to the contrary contained herein, if at any time Bank of America or any other Revolving Credit Lender assigns all of its Revolving Credit Commitment and Revolving Credit Loans pursuant to subsection (b) above, Bank of America or such other Revolving Credit Lender may, (i) upon thirty (30) days’ notice to the Borrower and the Lenders, resign as Issuing Lender and/or (ii) upon thirty (30) days’ notice to the Borrower, resign as Swingline Lender. In the event of any such resignation as Issuing Lender or Swingline Lender, the Borrower shall be entitled to appoint from among the Lenders a successor Issuing Lender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Borrower to appoint any such successor shall affect the resignation of Bank of America or such other Revolving Credit Lender as Issuing Lender or Swingline Lender, as the case may be. If Bank of America or such other Revolving Credit Lender resigns as Issuing Lender, it shall retain all the rights, powers, privileges and duties of an Issuing Lender hereunder with respect to all applicable Letters of Credit outstanding as of the effective date of its resignation as Issuing Lender and all applicable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Upon the appointment of a successor Issuing Lender and/or Swingline Lender, (A) such successor shall succeed to and become vested with all of the rights, powers, privileges and duties of the retiring Issuing Lender or Swingline Lender, as the case may be, and (B) the successor Issuing Lender shall issue letters of credit in substitution for the applicable Letters of Credit, if any, outstanding at the time of such succession or make other arrangements satisfactory to Bank of America or such other Revolving Credit Lender to effectively assume the obligations of Bank of America or such other Revolving Credit Lender with respect to such Letters of Credit.</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Disqualified Institutions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356" w:val="left"/>
        </w:tabs>
        <w:numPr>
          <w:ilvl w:val="1"/>
          <w:numId w:val="233"/>
        </w:numPr>
        <w:rPr>
          <w:rFonts w:ascii="Arial" w:cs="Arial" w:eastAsia="Arial" w:hAnsi="Arial"/>
          <w:sz w:val="20"/>
          <w:szCs w:val="20"/>
          <w:color w:val="auto"/>
        </w:rPr>
      </w:pPr>
      <w:r>
        <w:rPr>
          <w:rFonts w:ascii="Arial" w:cs="Arial" w:eastAsia="Arial" w:hAnsi="Arial"/>
          <w:sz w:val="20"/>
          <w:szCs w:val="20"/>
          <w:color w:val="auto"/>
        </w:rPr>
        <w:t>No assignment or, to the extent the DQ List has been posted on the Platform for all Lenders, participation shall be made to any Person that was a Disqualified Institution as of the date (the “</w:t>
      </w:r>
      <w:r>
        <w:rPr>
          <w:rFonts w:ascii="Arial" w:cs="Arial" w:eastAsia="Arial" w:hAnsi="Arial"/>
          <w:sz w:val="20"/>
          <w:szCs w:val="20"/>
          <w:u w:val="single" w:color="auto"/>
          <w:color w:val="auto"/>
        </w:rPr>
        <w:t>Trade Date</w:t>
      </w:r>
      <w:r>
        <w:rPr>
          <w:rFonts w:ascii="Arial" w:cs="Arial" w:eastAsia="Arial" w:hAnsi="Arial"/>
          <w:sz w:val="20"/>
          <w:szCs w:val="20"/>
          <w:color w:val="auto"/>
        </w:rPr>
        <w:t>”) on which the applicable Lender entered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4" w:name="page215"/>
    <w:bookmarkEnd w:id="214"/>
    <w:p>
      <w:pPr>
        <w:jc w:val="both"/>
        <w:ind w:left="1300" w:firstLine="6"/>
        <w:spacing w:after="0" w:line="273" w:lineRule="auto"/>
        <w:rPr>
          <w:sz w:val="20"/>
          <w:szCs w:val="20"/>
          <w:color w:val="auto"/>
        </w:rPr>
      </w:pPr>
      <w:r>
        <w:rPr>
          <w:rFonts w:ascii="Arial" w:cs="Arial" w:eastAsia="Arial" w:hAnsi="Arial"/>
          <w:sz w:val="18"/>
          <w:szCs w:val="18"/>
          <w:color w:val="auto"/>
        </w:rPr>
        <w:t xml:space="preserve">binding agreement to sell and assign or participate all or a portion of its rights and obligations under this Agreement to such Person (unless the Company has consented to such assignment as otherwise contemplated by this </w:t>
      </w:r>
      <w:r>
        <w:rPr>
          <w:rFonts w:ascii="Arial" w:cs="Arial" w:eastAsia="Arial" w:hAnsi="Arial"/>
          <w:sz w:val="18"/>
          <w:szCs w:val="18"/>
          <w:u w:val="single" w:color="auto"/>
          <w:color w:val="auto"/>
        </w:rPr>
        <w:t>Section 13.9</w:t>
      </w:r>
      <w:r>
        <w:rPr>
          <w:rFonts w:ascii="Arial" w:cs="Arial" w:eastAsia="Arial" w:hAnsi="Arial"/>
          <w:sz w:val="18"/>
          <w:szCs w:val="18"/>
          <w:color w:val="auto"/>
        </w:rPr>
        <w:t xml:space="preserve"> or a Payment Event of Default or a Bankruptcy Event of Default has occurred and is continuing at the time of such assignment,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clause (g)(i) shall not be void, but the other provisions of this clause (g) shall apply.</w:t>
      </w:r>
    </w:p>
    <w:p>
      <w:pPr>
        <w:spacing w:after="0" w:line="168" w:lineRule="exact"/>
        <w:rPr>
          <w:sz w:val="20"/>
          <w:szCs w:val="20"/>
          <w:color w:val="auto"/>
        </w:rPr>
      </w:pPr>
    </w:p>
    <w:p>
      <w:pPr>
        <w:jc w:val="both"/>
        <w:ind w:left="1300" w:firstLine="652"/>
        <w:spacing w:after="0" w:line="270" w:lineRule="auto"/>
        <w:tabs>
          <w:tab w:leader="none" w:pos="2425"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If any assignment is made to any Disqualified Institution without the Company’s prior consent in violation of clause (i) above, the Company may, at its sole expense and effort, upon notice to the applicable Disqualified Institution and the Administrative Agent, (A) terminate any Revolving Credit Commitment of such Disqualified Institution and repay all obligations of the Borrowers owing to such Disqualified Institution in connection with such Revolving Credit Commitment,</w:t>
      </w:r>
    </w:p>
    <w:p>
      <w:pPr>
        <w:spacing w:after="0" w:line="2" w:lineRule="exact"/>
        <w:rPr>
          <w:rFonts w:ascii="Arial" w:cs="Arial" w:eastAsia="Arial" w:hAnsi="Arial"/>
          <w:sz w:val="18"/>
          <w:szCs w:val="18"/>
          <w:color w:val="auto"/>
        </w:rPr>
      </w:pPr>
    </w:p>
    <w:p>
      <w:pPr>
        <w:ind w:left="1620" w:hanging="316"/>
        <w:spacing w:after="0"/>
        <w:tabs>
          <w:tab w:leader="none" w:pos="1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the case of outstanding Term Loans held by Disqualified Institutions, prepay such Term Loan by paying the lesser of</w:t>
      </w:r>
    </w:p>
    <w:p>
      <w:pPr>
        <w:spacing w:after="0" w:line="22"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9"/>
          <w:szCs w:val="19"/>
          <w:color w:val="auto"/>
        </w:rPr>
        <w:t xml:space="preserve">(x) the principal amount thereof and (y) the amount that such Disqualified Institution paid to acquire such Term Loans, in each case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Arial" w:cs="Arial" w:eastAsia="Arial" w:hAnsi="Arial"/>
          <w:sz w:val="19"/>
          <w:szCs w:val="19"/>
          <w:u w:val="single" w:color="auto"/>
          <w:color w:val="auto"/>
        </w:rPr>
        <w:t>Section 13.9</w:t>
      </w:r>
      <w:r>
        <w:rPr>
          <w:rFonts w:ascii="Arial" w:cs="Arial" w:eastAsia="Arial" w:hAnsi="Arial"/>
          <w:sz w:val="19"/>
          <w:szCs w:val="19"/>
          <w:color w:val="auto"/>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accrued fees and all other amounts (other than principal amounts) payable to it hereunder and other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Company shall have paid to the Administrative Agent the assignment fee (if any) specified in </w:t>
      </w:r>
      <w:r>
        <w:rPr>
          <w:rFonts w:ascii="Arial" w:cs="Arial" w:eastAsia="Arial" w:hAnsi="Arial"/>
          <w:sz w:val="19"/>
          <w:szCs w:val="19"/>
          <w:u w:val="single" w:color="auto"/>
          <w:color w:val="auto"/>
        </w:rPr>
        <w:t>Section 13.9(b)</w:t>
      </w:r>
      <w:r>
        <w:rPr>
          <w:rFonts w:ascii="Arial" w:cs="Arial" w:eastAsia="Arial" w:hAnsi="Arial"/>
          <w:sz w:val="19"/>
          <w:szCs w:val="19"/>
          <w:color w:val="auto"/>
        </w:rPr>
        <w:t>, (ii) such assignment does not conflict with applicable Laws and (iii) in the case of clause (B), the Borrowers shall not use the proceeds from any Loans to prepay Term Loans held by Disqualified Institutions.</w:t>
      </w:r>
    </w:p>
    <w:p>
      <w:pPr>
        <w:spacing w:after="0" w:line="190" w:lineRule="exact"/>
        <w:rPr>
          <w:rFonts w:ascii="Arial" w:cs="Arial" w:eastAsia="Arial" w:hAnsi="Arial"/>
          <w:sz w:val="18"/>
          <w:szCs w:val="18"/>
          <w:color w:val="auto"/>
        </w:rPr>
      </w:pPr>
    </w:p>
    <w:p>
      <w:pPr>
        <w:ind w:left="2500" w:hanging="548"/>
        <w:spacing w:after="0"/>
        <w:tabs>
          <w:tab w:leader="none" w:pos="25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(A) will not</w:t>
      </w:r>
    </w:p>
    <w:p>
      <w:pPr>
        <w:spacing w:after="0" w:line="38" w:lineRule="exact"/>
        <w:rPr>
          <w:rFonts w:ascii="Arial" w:cs="Arial" w:eastAsia="Arial" w:hAnsi="Arial"/>
          <w:sz w:val="18"/>
          <w:szCs w:val="18"/>
          <w:color w:val="auto"/>
        </w:rPr>
      </w:pPr>
    </w:p>
    <w:p>
      <w:pPr>
        <w:jc w:val="both"/>
        <w:ind w:left="1300"/>
        <w:spacing w:after="0" w:line="269" w:lineRule="auto"/>
        <w:rPr>
          <w:rFonts w:ascii="Arial" w:cs="Arial" w:eastAsia="Arial" w:hAnsi="Arial"/>
          <w:sz w:val="18"/>
          <w:szCs w:val="18"/>
          <w:color w:val="auto"/>
        </w:rPr>
      </w:pPr>
      <w:r>
        <w:rPr>
          <w:rFonts w:ascii="Arial" w:cs="Arial" w:eastAsia="Arial" w:hAnsi="Arial"/>
          <w:sz w:val="18"/>
          <w:szCs w:val="18"/>
          <w:color w:val="auto"/>
        </w:rPr>
        <w:t>(x)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Arial" w:cs="Arial" w:eastAsia="Arial" w:hAnsi="Arial"/>
          <w:sz w:val="18"/>
          <w:szCs w:val="18"/>
          <w:u w:val="single" w:color="auto"/>
          <w:color w:val="auto"/>
        </w:rPr>
        <w:t>Plan of Reorganization</w:t>
      </w:r>
      <w:r>
        <w:rPr>
          <w:rFonts w:ascii="Arial" w:cs="Arial" w:eastAsia="Arial" w:hAnsi="Arial"/>
          <w:sz w:val="18"/>
          <w:szCs w:val="18"/>
          <w:color w:val="auto"/>
        </w:rPr>
        <w:t>”), each Disqualified Institution party hereto hereby agrees (1) not to vote on such Plan of Reorganization, (2) if such Disqualified Institution does vote on such Plan of Reorganization notwithstanding the restriction in the foregoing clause (1), such vote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5" w:name="page216"/>
    <w:bookmarkEnd w:id="215"/>
    <w:p>
      <w:pPr>
        <w:jc w:val="both"/>
        <w:ind w:left="1300" w:firstLine="6"/>
        <w:spacing w:after="0" w:line="278" w:lineRule="auto"/>
        <w:rPr>
          <w:sz w:val="20"/>
          <w:szCs w:val="20"/>
          <w:color w:val="auto"/>
        </w:rPr>
      </w:pPr>
      <w:r>
        <w:rPr>
          <w:rFonts w:ascii="Arial" w:cs="Arial" w:eastAsia="Arial" w:hAnsi="Arial"/>
          <w:sz w:val="18"/>
          <w:szCs w:val="18"/>
          <w:color w:val="auto"/>
        </w:rPr>
        <w:t>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65" w:lineRule="exact"/>
        <w:rPr>
          <w:sz w:val="20"/>
          <w:szCs w:val="20"/>
          <w:color w:val="auto"/>
        </w:rPr>
      </w:pPr>
    </w:p>
    <w:p>
      <w:pPr>
        <w:jc w:val="both"/>
        <w:ind w:left="1300" w:firstLine="652"/>
        <w:spacing w:after="0" w:line="250" w:lineRule="auto"/>
        <w:tabs>
          <w:tab w:leader="none" w:pos="2695"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Administrative Agent shall have the right, and the Company hereby expressly authorizes the Administrative Agent, to (A) post the DQ List on the Platform, including that portion of the Platform that is designated for “public side” Lenders or (B) provide the DQ List to each Lender requesting the same.</w:t>
      </w:r>
    </w:p>
    <w:p>
      <w:pPr>
        <w:spacing w:after="0" w:line="180"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b w:val="1"/>
          <w:bCs w:val="1"/>
          <w:color w:val="auto"/>
        </w:rPr>
        <w:t>SECTION 13.10</w:t>
      </w:r>
      <w:r>
        <w:rPr>
          <w:sz w:val="20"/>
          <w:szCs w:val="20"/>
          <w:color w:val="auto"/>
        </w:rPr>
        <w:tab/>
      </w:r>
      <w:r>
        <w:rPr>
          <w:rFonts w:ascii="Arial" w:cs="Arial" w:eastAsia="Arial" w:hAnsi="Arial"/>
          <w:sz w:val="18"/>
          <w:szCs w:val="18"/>
          <w:b w:val="1"/>
          <w:bCs w:val="1"/>
          <w:u w:val="single" w:color="auto"/>
          <w:color w:val="auto"/>
        </w:rPr>
        <w:t>Treatment of Certain Information; Confidentiality.</w:t>
      </w:r>
    </w:p>
    <w:p>
      <w:pPr>
        <w:spacing w:after="0" w:line="222" w:lineRule="exact"/>
        <w:rPr>
          <w:sz w:val="20"/>
          <w:szCs w:val="20"/>
          <w:color w:val="auto"/>
        </w:rPr>
      </w:pPr>
    </w:p>
    <w:p>
      <w:pPr>
        <w:jc w:val="both"/>
        <w:ind w:left="660" w:firstLine="644"/>
        <w:spacing w:after="0" w:line="267" w:lineRule="auto"/>
        <w:tabs>
          <w:tab w:leader="none" w:pos="1793"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xml:space="preserve">. Each of the Administrative Agent, the Lenders and the Issuing Lenders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or (B) any actual or prospective party (or its Related Parties) to any swap, derivative or other transaction under which payments are to be made by reference to a Borrower and its obligations, this Agreement or payments hereunder (it being understood that the DQ List may be disclosed to any assignee or Participant, or prospective assignee or Participant, in reliance on this clause (vi)), (vii) on a confidential basis to (A) any rating agency in connection with rating the Company or its Subsidiaries or the credit facilities provided hereunder or</w:t>
      </w:r>
    </w:p>
    <w:p>
      <w:pPr>
        <w:spacing w:after="0" w:line="4" w:lineRule="exact"/>
        <w:rPr>
          <w:rFonts w:ascii="Arial" w:cs="Arial" w:eastAsia="Arial" w:hAnsi="Arial"/>
          <w:sz w:val="18"/>
          <w:szCs w:val="18"/>
          <w:color w:val="auto"/>
        </w:rPr>
      </w:pPr>
    </w:p>
    <w:p>
      <w:pPr>
        <w:jc w:val="both"/>
        <w:ind w:left="660" w:hanging="4"/>
        <w:spacing w:after="0" w:line="268" w:lineRule="auto"/>
        <w:tabs>
          <w:tab w:leader="none" w:pos="97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provider of any Platform or other electronic delivery service used by the Administrative Agent, any Issuing Lender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Company or to the extent such Information (1) becomes publicly available other than as a result of a breach of this Section, (2) becomes available to the Administrative Agent, any Lender, any Issuing Lender or any of their respective Affiliates on a nonconfidential basis from a source other than the Company or (3) is independently discovered or developed by a party thereto without utilizing any Information received from the Company or violating the terms of this Section.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Company or any Restricted Subsidiary relating to the Company or any Restricted Subsidiary or any of their respective businesses, other than any such information that is available to the Administrative Agent, any Lender or any Issuing Lender on a nonconfidential basis prior to disclosure by the Company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Company or any Restricted Subsidiary after the date hereof, such information is clearly identified at the time of delivery as confidential.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6" w:name="page217"/>
    <w:bookmarkEnd w:id="216"/>
    <w:p>
      <w:pPr>
        <w:jc w:val="both"/>
        <w:ind w:left="660" w:firstLine="6"/>
        <w:spacing w:after="0" w:line="259" w:lineRule="auto"/>
        <w:rPr>
          <w:sz w:val="20"/>
          <w:szCs w:val="20"/>
          <w:color w:val="auto"/>
        </w:rPr>
      </w:pPr>
      <w:r>
        <w:rPr>
          <w:rFonts w:ascii="Arial" w:cs="Arial" w:eastAsia="Arial" w:hAnsi="Arial"/>
          <w:sz w:val="19"/>
          <w:szCs w:val="19"/>
          <w:color w:val="auto"/>
        </w:rPr>
        <w:t>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agents and the Lenders in connection with the administration of this Agreement, the other Loan Documents and the Commitments.</w:t>
      </w:r>
    </w:p>
    <w:p>
      <w:pPr>
        <w:spacing w:after="0" w:line="178" w:lineRule="exact"/>
        <w:rPr>
          <w:sz w:val="20"/>
          <w:szCs w:val="20"/>
          <w:color w:val="auto"/>
        </w:rPr>
      </w:pPr>
    </w:p>
    <w:p>
      <w:pPr>
        <w:ind w:left="1800" w:hanging="496"/>
        <w:spacing w:after="0"/>
        <w:tabs>
          <w:tab w:leader="none" w:pos="180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Each of the Administrative Agent, the Lenders and the Issuing Lenders acknowledges that</w:t>
      </w:r>
    </w:p>
    <w:p>
      <w:pPr>
        <w:spacing w:after="0" w:line="38" w:lineRule="exact"/>
        <w:rPr>
          <w:rFonts w:ascii="Arial" w:cs="Arial" w:eastAsia="Arial" w:hAnsi="Arial"/>
          <w:sz w:val="18"/>
          <w:szCs w:val="18"/>
          <w:color w:val="auto"/>
        </w:rPr>
      </w:pPr>
    </w:p>
    <w:p>
      <w:pPr>
        <w:jc w:val="both"/>
        <w:ind w:left="660" w:hanging="4"/>
        <w:spacing w:after="0" w:line="260" w:lineRule="auto"/>
        <w:tabs>
          <w:tab w:leader="none" w:pos="901"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Information may include material non-public information concerning a Credit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78" w:lineRule="exact"/>
        <w:rPr>
          <w:rFonts w:ascii="Arial" w:cs="Arial" w:eastAsia="Arial" w:hAnsi="Arial"/>
          <w:sz w:val="19"/>
          <w:szCs w:val="19"/>
          <w:color w:val="auto"/>
        </w:rPr>
      </w:pPr>
    </w:p>
    <w:p>
      <w:pPr>
        <w:jc w:val="both"/>
        <w:ind w:left="660" w:firstLine="644"/>
        <w:spacing w:after="0" w:line="250" w:lineRule="auto"/>
        <w:tabs>
          <w:tab w:leader="none" w:pos="1820" w:val="left"/>
        </w:tabs>
        <w:numPr>
          <w:ilvl w:val="1"/>
          <w:numId w:val="240"/>
        </w:numPr>
        <w:rPr>
          <w:rFonts w:ascii="Arial" w:cs="Arial" w:eastAsia="Arial" w:hAnsi="Arial"/>
          <w:sz w:val="20"/>
          <w:szCs w:val="20"/>
          <w:color w:val="auto"/>
        </w:rPr>
      </w:pPr>
      <w:r>
        <w:rPr>
          <w:rFonts w:ascii="Arial" w:cs="Arial" w:eastAsia="Arial" w:hAnsi="Arial"/>
          <w:sz w:val="20"/>
          <w:szCs w:val="20"/>
          <w:u w:val="single" w:color="auto"/>
          <w:color w:val="auto"/>
        </w:rPr>
        <w:t>Customary Advertising Material</w:t>
      </w:r>
      <w:r>
        <w:rPr>
          <w:rFonts w:ascii="Arial" w:cs="Arial" w:eastAsia="Arial" w:hAnsi="Arial"/>
          <w:sz w:val="20"/>
          <w:szCs w:val="20"/>
          <w:color w:val="auto"/>
        </w:rPr>
        <w:t>. The Credit Parties consent to the publication by the Administrative Agent or any Lender of customary advertising material relating to the transactions contemplated hereby using the name, product photographs, logo or trademark of the Credit Parties.</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13.11 </w:t>
      </w:r>
      <w:r>
        <w:rPr>
          <w:rFonts w:ascii="Arial" w:cs="Arial" w:eastAsia="Arial" w:hAnsi="Arial"/>
          <w:sz w:val="20"/>
          <w:szCs w:val="20"/>
          <w:b w:val="1"/>
          <w:bCs w:val="1"/>
          <w:u w:val="single" w:color="auto"/>
          <w:color w:val="auto"/>
        </w:rPr>
        <w:t>Performance of Duties</w:t>
      </w:r>
      <w:r>
        <w:rPr>
          <w:rFonts w:ascii="Arial" w:cs="Arial" w:eastAsia="Arial" w:hAnsi="Arial"/>
          <w:sz w:val="20"/>
          <w:szCs w:val="20"/>
          <w:color w:val="auto"/>
        </w:rPr>
        <w:t>. Each of the Credit Party’s obligations under this Agreement and each of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shall be performed by such Credit Party at its sole cost and expense.</w:t>
      </w:r>
    </w:p>
    <w:p>
      <w:pPr>
        <w:spacing w:after="0" w:line="1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SECTION 13.12 </w:t>
      </w:r>
      <w:r>
        <w:rPr>
          <w:rFonts w:ascii="Arial" w:cs="Arial" w:eastAsia="Arial" w:hAnsi="Arial"/>
          <w:sz w:val="19"/>
          <w:szCs w:val="19"/>
          <w:b w:val="1"/>
          <w:bCs w:val="1"/>
          <w:u w:val="single" w:color="auto"/>
          <w:color w:val="auto"/>
        </w:rPr>
        <w:t>All Powers Coupled with Interest</w:t>
      </w:r>
      <w:r>
        <w:rPr>
          <w:rFonts w:ascii="Arial" w:cs="Arial" w:eastAsia="Arial" w:hAnsi="Arial"/>
          <w:sz w:val="19"/>
          <w:szCs w:val="19"/>
          <w:color w:val="auto"/>
        </w:rPr>
        <w:t>. All powers of attorney and other authorizations granted to the Lenders,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13.13 </w:t>
      </w:r>
      <w:r>
        <w:rPr>
          <w:rFonts w:ascii="Arial" w:cs="Arial" w:eastAsia="Arial" w:hAnsi="Arial"/>
          <w:sz w:val="20"/>
          <w:szCs w:val="20"/>
          <w:b w:val="1"/>
          <w:bCs w:val="1"/>
          <w:u w:val="single" w:color="auto"/>
          <w:color w:val="auto"/>
        </w:rPr>
        <w:t>Survival</w:t>
      </w:r>
      <w:r>
        <w:rPr>
          <w:rFonts w:ascii="Arial" w:cs="Arial" w:eastAsia="Arial" w:hAnsi="Arial"/>
          <w:sz w:val="20"/>
          <w:szCs w:val="20"/>
          <w:color w:val="auto"/>
        </w:rPr>
        <w:t>. Notwithstanding any termination of this Agreement, the indemnities to which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and the Lenders are entitled under the provisions of this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and any other provision of this Agreement and the other Loan Documents shall continue in full force and effect and shall protect the Administrative Agent and the Lenders against events arising after such termination as well as before.</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SECTION 13.14 </w:t>
      </w:r>
      <w:r>
        <w:rPr>
          <w:rFonts w:ascii="Arial" w:cs="Arial" w:eastAsia="Arial" w:hAnsi="Arial"/>
          <w:sz w:val="20"/>
          <w:szCs w:val="20"/>
          <w:b w:val="1"/>
          <w:bCs w:val="1"/>
          <w:u w:val="single" w:color="auto"/>
          <w:color w:val="auto"/>
        </w:rPr>
        <w:t>Titles and Captions</w:t>
      </w:r>
      <w:r>
        <w:rPr>
          <w:rFonts w:ascii="Arial" w:cs="Arial" w:eastAsia="Arial" w:hAnsi="Arial"/>
          <w:sz w:val="20"/>
          <w:szCs w:val="20"/>
          <w:color w:val="auto"/>
        </w:rPr>
        <w:t>. Titles and captions of Articles, Sections and subsections in, and the table of contents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are for convenience only, and neither limits nor amplifies the provisions of this Agreement.</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SECTION 13.15 </w:t>
      </w:r>
      <w:r>
        <w:rPr>
          <w:rFonts w:ascii="Arial" w:cs="Arial" w:eastAsia="Arial" w:hAnsi="Arial"/>
          <w:sz w:val="20"/>
          <w:szCs w:val="20"/>
          <w:b w:val="1"/>
          <w:bCs w:val="1"/>
          <w:u w:val="single" w:color="auto"/>
          <w:color w:val="auto"/>
        </w:rPr>
        <w:t>Severability of Provisions</w:t>
      </w:r>
      <w:r>
        <w:rPr>
          <w:rFonts w:ascii="Arial" w:cs="Arial" w:eastAsia="Arial" w:hAnsi="Arial"/>
          <w:sz w:val="20"/>
          <w:szCs w:val="20"/>
          <w:color w:val="auto"/>
        </w:rPr>
        <w:t>. Any provision of this Agreement or any other Loan Document which is prohibited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SECTION 13.16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any number of counterparts and by different parties hereto in</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counterparts, each of which when so executed shall be deemed to be an original and shall be binding upon all parties, their successors and assigns, and all of which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7" w:name="page218"/>
    <w:bookmarkEnd w:id="217"/>
    <w:p>
      <w:pPr>
        <w:jc w:val="both"/>
        <w:ind w:right="20" w:firstLine="6"/>
        <w:spacing w:after="0" w:line="287" w:lineRule="auto"/>
        <w:rPr>
          <w:sz w:val="20"/>
          <w:szCs w:val="20"/>
          <w:color w:val="auto"/>
        </w:rPr>
      </w:pPr>
      <w:r>
        <w:rPr>
          <w:rFonts w:ascii="Arial" w:cs="Arial" w:eastAsia="Arial" w:hAnsi="Arial"/>
          <w:sz w:val="19"/>
          <w:szCs w:val="19"/>
          <w:color w:val="auto"/>
        </w:rPr>
        <w:t>together shall constitute one and the same agreement. Delivery of an executed counterpart of a signature page of this Agreement by facsimile or in electronic (i.e., “pdf” or “tif”) format shall be effective as delivery of a manually executed counterpart of this Agreement.</w:t>
      </w:r>
    </w:p>
    <w:p>
      <w:pPr>
        <w:spacing w:after="0" w:line="1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13.17 </w:t>
      </w:r>
      <w:r>
        <w:rPr>
          <w:rFonts w:ascii="Arial" w:cs="Arial" w:eastAsia="Arial" w:hAnsi="Arial"/>
          <w:sz w:val="20"/>
          <w:szCs w:val="20"/>
          <w:b w:val="1"/>
          <w:bCs w:val="1"/>
          <w:u w:val="single" w:color="auto"/>
          <w:color w:val="auto"/>
        </w:rPr>
        <w:t>Integration</w:t>
      </w:r>
      <w:r>
        <w:rPr>
          <w:rFonts w:ascii="Arial" w:cs="Arial" w:eastAsia="Arial" w:hAnsi="Arial"/>
          <w:sz w:val="20"/>
          <w:szCs w:val="20"/>
          <w:color w:val="auto"/>
        </w:rPr>
        <w:t>. This Agreement, together with the other Loan Documents, comprises the complete and integrated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8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SECTION 13.18 </w:t>
      </w:r>
      <w:r>
        <w:rPr>
          <w:rFonts w:ascii="Arial" w:cs="Arial" w:eastAsia="Arial" w:hAnsi="Arial"/>
          <w:sz w:val="18"/>
          <w:szCs w:val="18"/>
          <w:b w:val="1"/>
          <w:bCs w:val="1"/>
          <w:u w:val="single" w:color="auto"/>
          <w:color w:val="auto"/>
        </w:rPr>
        <w:t>Term of Agreement</w:t>
      </w:r>
      <w:r>
        <w:rPr>
          <w:rFonts w:ascii="Arial" w:cs="Arial" w:eastAsia="Arial" w:hAnsi="Arial"/>
          <w:sz w:val="18"/>
          <w:szCs w:val="18"/>
          <w:color w:val="auto"/>
        </w:rPr>
        <w:t>. This Agreement shall remain in effect from the Closing Date through and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upon which all Obligations (except for Hedging Obligations and Bank Product Debt not then due and payable and contingent indemnification obligations not yet due) arising hereunder or under any other Loan Document shall have been indefeasibly and irrevocably paid in full and all Commitments have been terminated. No termination of this Agreement shall affect the rights and obligations of the parties hereto arising prior to such termination or in respect of any provision of this Agreement which survives such termination.</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SECTION 13.19 </w:t>
      </w:r>
      <w:r>
        <w:rPr>
          <w:rFonts w:ascii="Arial" w:cs="Arial" w:eastAsia="Arial" w:hAnsi="Arial"/>
          <w:sz w:val="20"/>
          <w:szCs w:val="20"/>
          <w:b w:val="1"/>
          <w:bCs w:val="1"/>
          <w:u w:val="single" w:color="auto"/>
          <w:color w:val="auto"/>
        </w:rPr>
        <w:t>USA Patriot Act</w:t>
      </w:r>
      <w:r>
        <w:rPr>
          <w:rFonts w:ascii="Arial" w:cs="Arial" w:eastAsia="Arial" w:hAnsi="Arial"/>
          <w:sz w:val="20"/>
          <w:szCs w:val="20"/>
          <w:color w:val="auto"/>
        </w:rPr>
        <w:t>. Each Lender that is subject to the Patriot Act and the Administrative Agent (for itself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on behalf of any Lender) hereby notifies the Company and the other Credit Parties that pursuant to the requirements of the Patriot Act,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 The Company and the Credit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13.20 </w:t>
      </w:r>
      <w:r>
        <w:rPr>
          <w:rFonts w:ascii="Arial" w:cs="Arial" w:eastAsia="Arial" w:hAnsi="Arial"/>
          <w:sz w:val="20"/>
          <w:szCs w:val="20"/>
          <w:b w:val="1"/>
          <w:bCs w:val="1"/>
          <w:u w:val="single" w:color="auto"/>
          <w:color w:val="auto"/>
        </w:rPr>
        <w:t>Advice of Counsel, No Strict Construction</w:t>
      </w:r>
      <w:r>
        <w:rPr>
          <w:rFonts w:ascii="Arial" w:cs="Arial" w:eastAsia="Arial" w:hAnsi="Arial"/>
          <w:sz w:val="20"/>
          <w:szCs w:val="20"/>
          <w:color w:val="auto"/>
        </w:rPr>
        <w:t>. Each of the parties represents to each other party hereto that it has</w:t>
      </w:r>
      <w:r>
        <w:rPr>
          <w:rFonts w:ascii="Arial" w:cs="Arial" w:eastAsia="Arial" w:hAnsi="Arial"/>
          <w:sz w:val="20"/>
          <w:szCs w:val="20"/>
          <w:b w:val="1"/>
          <w:bCs w:val="1"/>
          <w:color w:val="auto"/>
        </w:rPr>
        <w:t xml:space="preserve"> </w:t>
      </w:r>
      <w:r>
        <w:rPr>
          <w:rFonts w:ascii="Arial" w:cs="Arial" w:eastAsia="Arial" w:hAnsi="Arial"/>
          <w:sz w:val="20"/>
          <w:szCs w:val="20"/>
          <w:color w:val="auto"/>
        </w:rPr>
        <w:t>discussed this Agreement with its counsel.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b w:val="1"/>
          <w:bCs w:val="1"/>
          <w:color w:val="auto"/>
        </w:rPr>
        <w:t>SECTION 13.21</w:t>
      </w:r>
      <w:r>
        <w:rPr>
          <w:sz w:val="20"/>
          <w:szCs w:val="20"/>
          <w:color w:val="auto"/>
        </w:rPr>
        <w:tab/>
      </w:r>
      <w:r>
        <w:rPr>
          <w:rFonts w:ascii="Arial" w:cs="Arial" w:eastAsia="Arial" w:hAnsi="Arial"/>
          <w:sz w:val="16"/>
          <w:szCs w:val="16"/>
          <w:b w:val="1"/>
          <w:bCs w:val="1"/>
          <w:u w:val="single" w:color="auto"/>
          <w:color w:val="auto"/>
        </w:rPr>
        <w:t>Inconsistencies with Other Documents; Independent Effect of Covenants.</w:t>
      </w:r>
    </w:p>
    <w:p>
      <w:pPr>
        <w:spacing w:after="0" w:line="222" w:lineRule="exact"/>
        <w:rPr>
          <w:sz w:val="20"/>
          <w:szCs w:val="20"/>
          <w:color w:val="auto"/>
        </w:rPr>
      </w:pPr>
    </w:p>
    <w:p>
      <w:pPr>
        <w:jc w:val="both"/>
        <w:ind w:left="660" w:firstLine="644"/>
        <w:spacing w:after="0" w:line="244" w:lineRule="auto"/>
        <w:tabs>
          <w:tab w:leader="none" w:pos="172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In the event there is a conflict or inconsistency between this Agreement and any other Loan Document, the terms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provision of the other Loan Documents which imposes additional burdens on the Company or its Subsidiaries or further restricts the rights of the Company or its Subsidiaries or gives the Administrative Agent or Lenders additional rights shall not be deemed to be in conflict or inconsistent with this Agreement and shall be given full force and effect.</w:t>
      </w:r>
    </w:p>
    <w:p>
      <w:pPr>
        <w:spacing w:after="0" w:line="194" w:lineRule="exact"/>
        <w:rPr>
          <w:rFonts w:ascii="Arial" w:cs="Arial" w:eastAsia="Arial" w:hAnsi="Arial"/>
          <w:sz w:val="20"/>
          <w:szCs w:val="20"/>
          <w:color w:val="auto"/>
        </w:rPr>
      </w:pPr>
    </w:p>
    <w:p>
      <w:pPr>
        <w:ind w:left="660" w:firstLine="644"/>
        <w:spacing w:after="0" w:line="260" w:lineRule="auto"/>
        <w:tabs>
          <w:tab w:leader="none" w:pos="1755"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Each Borrower expressly acknowledges and agrees that each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X</w:t>
      </w:r>
      <w:r>
        <w:rPr>
          <w:rFonts w:ascii="Arial" w:cs="Arial" w:eastAsia="Arial" w:hAnsi="Arial"/>
          <w:sz w:val="20"/>
          <w:szCs w:val="20"/>
          <w:color w:val="auto"/>
        </w:rPr>
        <w:t xml:space="preserve"> hereof shall be given independent effect. Accordingly, no Borrower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8" w:name="page219"/>
    <w:bookmarkEnd w:id="218"/>
    <w:p>
      <w:pPr>
        <w:jc w:val="both"/>
        <w:ind w:left="660" w:firstLine="6"/>
        <w:spacing w:after="0" w:line="250" w:lineRule="auto"/>
        <w:rPr>
          <w:sz w:val="20"/>
          <w:szCs w:val="20"/>
          <w:color w:val="auto"/>
        </w:rPr>
      </w:pPr>
      <w:r>
        <w:rPr>
          <w:rFonts w:ascii="Arial" w:cs="Arial" w:eastAsia="Arial" w:hAnsi="Arial"/>
          <w:sz w:val="20"/>
          <w:szCs w:val="20"/>
          <w:color w:val="auto"/>
        </w:rPr>
        <w:t xml:space="preserve">engage in any transaction or other act otherwise permitted under any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X</w:t>
      </w:r>
      <w:r>
        <w:rPr>
          <w:rFonts w:ascii="Arial" w:cs="Arial" w:eastAsia="Arial" w:hAnsi="Arial"/>
          <w:sz w:val="20"/>
          <w:szCs w:val="20"/>
          <w:color w:val="auto"/>
        </w:rPr>
        <w:t xml:space="preserve"> if, before or after giving effect to such transaction or act, such Borrower shall or would be in breach of any other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X</w:t>
      </w:r>
      <w:r>
        <w:rPr>
          <w:rFonts w:ascii="Arial" w:cs="Arial" w:eastAsia="Arial" w:hAnsi="Arial"/>
          <w:sz w:val="20"/>
          <w:szCs w:val="20"/>
          <w:color w:val="auto"/>
        </w:rPr>
        <w: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 xml:space="preserve">SECTION 13.22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each of the Credit Parties acknowledges and agrees, and acknowledges its Affiliates’ understanding, that: (a) the Credit Facilities provided for hereunder and any related arranging or other services in connection therewith (including in connection with any amendment, waiver or other modification hereof or of any other Loan Document) are an arm’s-length commercial transaction between the Credit Parties and their Affiliates, on the one hand, and the Administrative Agent, BAS, and each Lender (including Affiliates acting as arrangers) on the other hand, and the Credit Parties are capable of evaluating and understanding and understand and accept the terms, risks and conditions of the transactions contemplated hereby and by the other Loan Documents (including any amendment, waiver or other modification hereof or thereof); (b) in connection with the process leading to such transaction, the Administrative Agent, BAS, and each Person acting as an arranger hereunder, each is and has been acting solely as a principal and is not the financial advisor, agent or fiduciary, for any Credit Party or any of their Affiliates, stockholders, creditors or employees or any other Person; (c) neither the Administrative Agent, BAS nor any Person acting as an arranger hereunder has assumed or will assume an advisory, agency or fiduciary responsibility in favor of any Credit Party with respect to any of the transactions contemplated hereby or the process leading thereto, including with respect to any amendment, waiver or other modification hereof or of any other Loan Document (irrespective of whether the Administrative Agent, BAS or such other Person has advised or is currently advising any Credit Party or any of its Affiliates on other matters) and neither the Administrative Agent, BAS nor any Person acting as an arranger hereunder has any obligation to any Credit Party or any of their Affiliates with respect to the transactions contemplated hereby except those obligations expressly set forth herein and in the other Loan Documents; (d) the Administrative Agent, BAS or each Person acting as an arranger hereunder and their respective Affiliates may be engaged in a broad range of transactions that involve interests that differ from those of the Credit Parties and their Affiliates, and neither the Administrative Agent, BAS nor any Person acting as an arranger hereunder has any obligation to disclose any of such interests by virtue of any advisory, agency or fiduciary relationship; and (e) the Administrative Agent, BAS, and each Person acting as an arranger hereunder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 Each of the Credit Parties hereby waives and releases, to the fullest extent permitted by law, any claims that it may have against the Administrative Agent, BAS or each Person acting as an arranger hereunder with respect to any breach or alleged breach of agency or fiduciary duty.</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SECTION 13.23 </w:t>
      </w:r>
      <w:r>
        <w:rPr>
          <w:rFonts w:ascii="Arial" w:cs="Arial" w:eastAsia="Arial" w:hAnsi="Arial"/>
          <w:sz w:val="18"/>
          <w:szCs w:val="18"/>
          <w:b w:val="1"/>
          <w:bCs w:val="1"/>
          <w:u w:val="single" w:color="auto"/>
          <w:color w:val="auto"/>
        </w:rPr>
        <w:t>Judgment Currency</w:t>
      </w:r>
      <w:r>
        <w:rPr>
          <w:rFonts w:ascii="Arial" w:cs="Arial" w:eastAsia="Arial" w:hAnsi="Arial"/>
          <w:sz w:val="18"/>
          <w:szCs w:val="18"/>
          <w:color w:val="auto"/>
        </w:rPr>
        <w:t>. If for the purposes of obtaining judgment in any court it is necessary to convert a sum due</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 on the Business Day preceding that on which final, non-appealable judgment is given. The obligations of the Borrowers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19" w:name="page220"/>
    <w:bookmarkEnd w:id="219"/>
    <w:p>
      <w:pPr>
        <w:jc w:val="both"/>
        <w:ind w:firstLine="6"/>
        <w:spacing w:after="0" w:line="244" w:lineRule="auto"/>
        <w:rPr>
          <w:sz w:val="20"/>
          <w:szCs w:val="20"/>
          <w:color w:val="auto"/>
        </w:rPr>
      </w:pPr>
      <w:r>
        <w:rPr>
          <w:rFonts w:ascii="Arial" w:cs="Arial" w:eastAsia="Arial" w:hAnsi="Arial"/>
          <w:sz w:val="20"/>
          <w:szCs w:val="20"/>
          <w:color w:val="auto"/>
        </w:rPr>
        <w:t>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the sum originally due to the Lenders or the Administrative Agent, as the case may be, in the specified currency, the applicable Lender or the Administrative Agent, as the case may be, agrees to remit such excess to the applicable Borrower.</w:t>
      </w:r>
    </w:p>
    <w:p>
      <w:pPr>
        <w:spacing w:after="0" w:line="18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0"/>
          <w:szCs w:val="20"/>
          <w:b w:val="1"/>
          <w:bCs w:val="1"/>
          <w:color w:val="auto"/>
        </w:rPr>
        <w:t>SECTION 13.24</w:t>
      </w:r>
      <w:r>
        <w:rPr>
          <w:sz w:val="20"/>
          <w:szCs w:val="20"/>
          <w:color w:val="auto"/>
        </w:rPr>
        <w:tab/>
      </w:r>
      <w:r>
        <w:rPr>
          <w:rFonts w:ascii="Arial" w:cs="Arial" w:eastAsia="Arial" w:hAnsi="Arial"/>
          <w:sz w:val="16"/>
          <w:szCs w:val="16"/>
          <w:b w:val="1"/>
          <w:bCs w:val="1"/>
          <w:u w:val="single" w:color="auto"/>
          <w:color w:val="auto"/>
        </w:rPr>
        <w:t>Electronic Execution; Electronic Records.</w:t>
      </w:r>
    </w:p>
    <w:p>
      <w:pPr>
        <w:spacing w:after="0" w:line="222" w:lineRule="exact"/>
        <w:rPr>
          <w:sz w:val="20"/>
          <w:szCs w:val="20"/>
          <w:color w:val="auto"/>
        </w:rPr>
      </w:pPr>
    </w:p>
    <w:p>
      <w:pPr>
        <w:jc w:val="both"/>
        <w:ind w:left="660" w:firstLine="644"/>
        <w:spacing w:after="0" w:line="269" w:lineRule="auto"/>
        <w:tabs>
          <w:tab w:leader="none" w:pos="175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8"/>
          <w:szCs w:val="18"/>
          <w:b w:val="1"/>
          <w:bCs w:val="1"/>
          <w:i w:val="1"/>
          <w:iCs w:val="1"/>
          <w:u w:val="single" w:color="auto"/>
          <w:color w:val="auto"/>
        </w:rPr>
        <w:t>provided further</w:t>
      </w:r>
      <w:r>
        <w:rPr>
          <w:rFonts w:ascii="Arial" w:cs="Arial" w:eastAsia="Arial" w:hAnsi="Arial"/>
          <w:sz w:val="18"/>
          <w:szCs w:val="18"/>
          <w:b w:val="1"/>
          <w:bCs w:val="1"/>
          <w:i w:val="1"/>
          <w:iCs w:val="1"/>
          <w:color w:val="auto"/>
        </w:rPr>
        <w:t xml:space="preserve"> without limiting the foregoing, upon the request of the Administrative Agent, any electronic signature shall be promptly followed by such manually executed counterpart. </w:t>
      </w:r>
      <w:r>
        <w:rPr>
          <w:rFonts w:ascii="Arial" w:cs="Arial" w:eastAsia="Arial" w:hAnsi="Arial"/>
          <w:sz w:val="18"/>
          <w:szCs w:val="18"/>
          <w:color w:val="auto"/>
        </w:rPr>
        <w:t>For the avoidance of doubt, the authorization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paragraph may include, without limitation, use or acceptance by the Administrative Agent and each of the Lenders of a manually signed paper document, amendment, approval, consent, information, notice, certificate, request, statement, disclosure or authorization related to this Agreement (each a “</w:t>
      </w:r>
      <w:r>
        <w:rPr>
          <w:rFonts w:ascii="Arial" w:cs="Arial" w:eastAsia="Arial" w:hAnsi="Arial"/>
          <w:sz w:val="18"/>
          <w:szCs w:val="18"/>
          <w:u w:val="single" w:color="auto"/>
          <w:color w:val="auto"/>
        </w:rPr>
        <w:t>Communication</w:t>
      </w:r>
      <w:r>
        <w:rPr>
          <w:rFonts w:ascii="Arial" w:cs="Arial" w:eastAsia="Arial" w:hAnsi="Arial"/>
          <w:sz w:val="18"/>
          <w:szCs w:val="18"/>
          <w:color w:val="auto"/>
        </w:rPr>
        <w:t>”) which has been converted into electronic form (such as scanned into PDF format), or an electronically signed Communication converted into another format, for transmission, delivery and/or retention.</w:t>
      </w:r>
    </w:p>
    <w:p>
      <w:pPr>
        <w:spacing w:after="0" w:line="176" w:lineRule="exact"/>
        <w:rPr>
          <w:rFonts w:ascii="Arial" w:cs="Arial" w:eastAsia="Arial" w:hAnsi="Arial"/>
          <w:sz w:val="18"/>
          <w:szCs w:val="18"/>
          <w:color w:val="auto"/>
        </w:rPr>
      </w:pPr>
    </w:p>
    <w:p>
      <w:pPr>
        <w:jc w:val="both"/>
        <w:ind w:left="660" w:firstLine="644"/>
        <w:spacing w:after="0" w:line="259" w:lineRule="auto"/>
        <w:tabs>
          <w:tab w:leader="none" w:pos="185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Company hereby acknowledges the receipt of a copy of this Agreement and all other Loan Documents. The Administrative Agent and each Lender may, on behalf of the Borrowers, create a microfilm or optical disk or other electronic image of this Agreement and any or all of the other Loan Documents. The Administrative Agent and each Lender may store the electronic image of this Agreement and the other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13.25 </w:t>
      </w:r>
      <w:r>
        <w:rPr>
          <w:rFonts w:ascii="Arial" w:cs="Arial" w:eastAsia="Arial" w:hAnsi="Arial"/>
          <w:sz w:val="20"/>
          <w:szCs w:val="20"/>
          <w:b w:val="1"/>
          <w:bCs w:val="1"/>
          <w:u w:val="single" w:color="auto"/>
          <w:color w:val="auto"/>
        </w:rPr>
        <w:t>Acknowledgement and Consent to Bail-In of Affected Financial Institutions</w:t>
      </w:r>
      <w:r>
        <w:rPr>
          <w:rFonts w:ascii="Arial" w:cs="Arial" w:eastAsia="Arial" w:hAnsi="Arial"/>
          <w:sz w:val="20"/>
          <w:szCs w:val="20"/>
          <w:color w:val="auto"/>
        </w:rPr>
        <w:t>. Solely to the extent any Lender</w:t>
      </w:r>
      <w:r>
        <w:rPr>
          <w:rFonts w:ascii="Arial" w:cs="Arial" w:eastAsia="Arial" w:hAnsi="Arial"/>
          <w:sz w:val="20"/>
          <w:szCs w:val="20"/>
          <w:b w:val="1"/>
          <w:bCs w:val="1"/>
          <w:color w:val="auto"/>
        </w:rPr>
        <w:t xml:space="preserve"> </w:t>
      </w:r>
      <w:r>
        <w:rPr>
          <w:rFonts w:ascii="Arial" w:cs="Arial" w:eastAsia="Arial" w:hAnsi="Arial"/>
          <w:sz w:val="20"/>
          <w:szCs w:val="20"/>
          <w:color w:val="auto"/>
        </w:rPr>
        <w:t>or Issuing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Issuing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20" w:name="page221"/>
    <w:bookmarkEnd w:id="220"/>
    <w:p>
      <w:pPr>
        <w:jc w:val="both"/>
        <w:ind w:left="660" w:firstLine="644"/>
        <w:spacing w:after="0" w:line="316" w:lineRule="auto"/>
        <w:tabs>
          <w:tab w:leader="none" w:pos="188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or Issuing Lender that is an Affected Financial Institution; and</w:t>
      </w:r>
    </w:p>
    <w:p>
      <w:pPr>
        <w:spacing w:after="0" w:line="129" w:lineRule="exact"/>
        <w:rPr>
          <w:rFonts w:ascii="Arial" w:cs="Arial" w:eastAsia="Arial" w:hAnsi="Arial"/>
          <w:sz w:val="18"/>
          <w:szCs w:val="18"/>
          <w:color w:val="auto"/>
        </w:rPr>
      </w:pPr>
    </w:p>
    <w:p>
      <w:pPr>
        <w:ind w:left="1740" w:hanging="436"/>
        <w:spacing w:after="0"/>
        <w:tabs>
          <w:tab w:leader="none" w:pos="17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40" w:hanging="388"/>
        <w:spacing w:after="0"/>
        <w:tabs>
          <w:tab w:leader="none" w:pos="2340" w:val="left"/>
        </w:tabs>
        <w:numPr>
          <w:ilvl w:val="1"/>
          <w:numId w:val="24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392" w:val="left"/>
        </w:tabs>
        <w:numPr>
          <w:ilvl w:val="1"/>
          <w:numId w:val="24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52"/>
        <w:spacing w:after="0" w:line="260" w:lineRule="auto"/>
        <w:tabs>
          <w:tab w:leader="none" w:pos="2471" w:val="left"/>
        </w:tabs>
        <w:numPr>
          <w:ilvl w:val="1"/>
          <w:numId w:val="24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SECTION 13.26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color w:val="auto"/>
        </w:rPr>
        <w:t>. To the extent that the Loan Documents provide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guarantee or otherwise, for any Hedging Agreement or any other agreement or instrument that is a QFC (such support, “</w:t>
      </w:r>
      <w:r>
        <w:rPr>
          <w:rFonts w:ascii="Arial" w:cs="Arial" w:eastAsia="Arial" w:hAnsi="Arial"/>
          <w:sz w:val="18"/>
          <w:szCs w:val="18"/>
          <w:u w:val="single" w:color="auto"/>
          <w:color w:val="auto"/>
        </w:rPr>
        <w:t>QFC</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SECTION 13.27 </w:t>
      </w:r>
      <w:r>
        <w:rPr>
          <w:rFonts w:ascii="Arial" w:cs="Arial" w:eastAsia="Arial" w:hAnsi="Arial"/>
          <w:sz w:val="20"/>
          <w:szCs w:val="20"/>
          <w:b w:val="1"/>
          <w:bCs w:val="1"/>
          <w:u w:val="single" w:color="auto"/>
          <w:color w:val="auto"/>
        </w:rPr>
        <w:t>Amendment and Restatement</w:t>
      </w:r>
      <w:r>
        <w:rPr>
          <w:rFonts w:ascii="Arial" w:cs="Arial" w:eastAsia="Arial" w:hAnsi="Arial"/>
          <w:sz w:val="20"/>
          <w:szCs w:val="20"/>
          <w:color w:val="auto"/>
        </w:rPr>
        <w:t>. The parties to the Existing Credit Agreement, to the extent party hereto, each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hereby agree that, at such time as this Agreement shall have become effective pursuant to the terms of </w:t>
      </w:r>
      <w:r>
        <w:rPr>
          <w:rFonts w:ascii="Arial" w:cs="Arial" w:eastAsia="Arial" w:hAnsi="Arial"/>
          <w:sz w:val="20"/>
          <w:szCs w:val="20"/>
          <w:u w:val="single" w:color="auto"/>
          <w:color w:val="auto"/>
        </w:rPr>
        <w:t>Section 5.1</w:t>
      </w:r>
      <w:r>
        <w:rPr>
          <w:rFonts w:ascii="Arial" w:cs="Arial" w:eastAsia="Arial" w:hAnsi="Arial"/>
          <w:sz w:val="20"/>
          <w:szCs w:val="20"/>
          <w:color w:val="auto"/>
        </w:rPr>
        <w:t>,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 On the Closing Date, (i)(x) the Credit Parties shall prepay any dollar tranche revolving credit loans outstanding under the Existing Credit Agreement to the extent necessary to keep the outstanding Dollar Tranche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21" w:name="page222"/>
    <w:bookmarkEnd w:id="221"/>
    <w:p>
      <w:pPr>
        <w:jc w:val="both"/>
        <w:ind w:firstLine="6"/>
        <w:spacing w:after="0" w:line="272" w:lineRule="auto"/>
        <w:rPr>
          <w:sz w:val="20"/>
          <w:szCs w:val="20"/>
          <w:color w:val="auto"/>
        </w:rPr>
      </w:pPr>
      <w:r>
        <w:rPr>
          <w:rFonts w:ascii="Arial" w:cs="Arial" w:eastAsia="Arial" w:hAnsi="Arial"/>
          <w:sz w:val="18"/>
          <w:szCs w:val="18"/>
          <w:color w:val="auto"/>
        </w:rPr>
        <w:t xml:space="preserve">Loans ratable with the revised Dollar Tranche Revolving Credit Commitments as of the Closing Date, and (y) the dollar tranche revolving credit loans and dollar tranche revolving credit commitments made by the lenders under the Existing Credit Agreement shall be re-allocated and restated among the Lenders so that, as of the Closing Date, the respective Dollar Tranche Revolving Credit Commitments of the Lenders shall be as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and (ii)(x) the Credit Parties shall prepay any designated currency tranche revolving credit loans outstanding under the Existing Credit Agreement to the extent necessary to keep the outstanding Designated Currency Tranche Revolving Credit Loans ratable with the revised Designated Currency Tranche Revolving Credit Commitments as of the Closing Date, and (y) the designated currency tranche revolving credit loans and designated currency tranche revolving credit commitments made by the lenders under the Existing Credit Agreement shall be re-allocated and restated among the Lenders so that, as of the Closing Date, the respective Designated Currency Tranche Revolving Credit Commitments of the Lenders shall be as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CHAR1\1753066v5</w:t>
      </w:r>
    </w:p>
    <w:p>
      <w:pPr>
        <w:sectPr>
          <w:pgSz w:w="11900" w:h="16838" w:orient="portrait"/>
          <w:cols w:equalWidth="0" w:num="1">
            <w:col w:w="11240"/>
          </w:cols>
          <w:pgMar w:left="320" w:top="1216" w:right="339" w:bottom="1440" w:gutter="0" w:footer="0" w:header="0"/>
        </w:sectPr>
      </w:pPr>
    </w:p>
    <w:bookmarkStart w:id="222" w:name="page223"/>
    <w:bookmarkEnd w:id="222"/>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officers, all as of the day and year first written above.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BLACKBAUD, INC.</w:t>
      </w:r>
      <w:r>
        <w:rPr>
          <w:rFonts w:ascii="Arial" w:cs="Arial" w:eastAsia="Arial" w:hAnsi="Arial"/>
          <w:sz w:val="20"/>
          <w:szCs w:val="20"/>
          <w:color w:val="auto"/>
        </w:rPr>
        <w:t>, as a Borrower</w:t>
      </w:r>
    </w:p>
    <w:p>
      <w:pPr>
        <w:spacing w:after="0" w:line="200" w:lineRule="exact"/>
        <w:rPr>
          <w:sz w:val="20"/>
          <w:szCs w:val="20"/>
          <w:color w:val="auto"/>
        </w:rPr>
      </w:pPr>
    </w:p>
    <w:p>
      <w:pPr>
        <w:spacing w:after="0" w:line="400" w:lineRule="exact"/>
        <w:rPr>
          <w:sz w:val="20"/>
          <w:szCs w:val="20"/>
          <w:color w:val="auto"/>
        </w:rPr>
      </w:pPr>
    </w:p>
    <w:tbl>
      <w:tblPr>
        <w:tblLayout w:type="fixed"/>
        <w:tblInd w:w="516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Anthony W. Boor</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Anthony W. Boor</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1240"/>
          </w:cols>
          <w:pgMar w:left="320" w:top="1419" w:right="339" w:bottom="1440" w:gutter="0" w:footer="0" w:header="0"/>
        </w:sectPr>
      </w:pPr>
    </w:p>
    <w:bookmarkStart w:id="223" w:name="page224"/>
    <w:bookmarkEnd w:id="223"/>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ADMINISTRATIVE AGENT:</w:t>
      </w:r>
    </w:p>
    <w:p>
      <w:pPr>
        <w:spacing w:after="0" w:line="324"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BANK OF AMERICA, N.A.,</w:t>
      </w:r>
    </w:p>
    <w:p>
      <w:pPr>
        <w:spacing w:after="0" w:line="60"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394"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Liliana Claar</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Liliana Claar</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4" w:name="page225"/>
    <w:bookmarkEnd w:id="224"/>
    <w:p>
      <w:pPr>
        <w:spacing w:after="0" w:line="27"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LENDERS:</w:t>
      </w:r>
    </w:p>
    <w:p>
      <w:pPr>
        <w:spacing w:after="0" w:line="324"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 xml:space="preserve">BANK OF AMERICA, N.A., </w:t>
      </w:r>
      <w:r>
        <w:rPr>
          <w:rFonts w:ascii="Arial" w:cs="Arial" w:eastAsia="Arial" w:hAnsi="Arial"/>
          <w:sz w:val="20"/>
          <w:szCs w:val="20"/>
          <w:color w:val="auto"/>
        </w:rPr>
        <w:t>as a Lender, Swingline</w:t>
      </w:r>
    </w:p>
    <w:p>
      <w:pPr>
        <w:spacing w:after="0" w:line="6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Lender and an Issuing Lender</w:t>
      </w:r>
    </w:p>
    <w:p>
      <w:pPr>
        <w:spacing w:after="0" w:line="200" w:lineRule="exact"/>
        <w:rPr>
          <w:sz w:val="20"/>
          <w:szCs w:val="20"/>
          <w:color w:val="auto"/>
        </w:rPr>
      </w:pPr>
    </w:p>
    <w:p>
      <w:pPr>
        <w:spacing w:after="0" w:line="394" w:lineRule="exact"/>
        <w:rPr>
          <w:sz w:val="20"/>
          <w:szCs w:val="20"/>
          <w:color w:val="auto"/>
        </w:rPr>
      </w:pPr>
    </w:p>
    <w:tbl>
      <w:tblPr>
        <w:tblLayout w:type="fixed"/>
        <w:tblInd w:w="368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460" w:type="dxa"/>
            <w:vAlign w:val="bottom"/>
          </w:tcPr>
          <w:p>
            <w:pPr>
              <w:ind w:left="180"/>
              <w:spacing w:after="0"/>
              <w:rPr>
                <w:sz w:val="20"/>
                <w:szCs w:val="20"/>
                <w:color w:val="auto"/>
              </w:rPr>
            </w:pPr>
            <w:r>
              <w:rPr>
                <w:rFonts w:ascii="Arial" w:cs="Arial" w:eastAsia="Arial" w:hAnsi="Arial"/>
                <w:sz w:val="20"/>
                <w:szCs w:val="20"/>
                <w:color w:val="auto"/>
              </w:rPr>
              <w:t>/s/ Thomas M. Paulk</w:t>
            </w:r>
          </w:p>
        </w:tc>
      </w:tr>
      <w:tr>
        <w:trPr>
          <w:trHeight w:val="23"/>
        </w:trPr>
        <w:tc>
          <w:tcPr>
            <w:tcW w:w="700" w:type="dxa"/>
            <w:vAlign w:val="bottom"/>
            <w:gridSpan w:val="2"/>
          </w:tcPr>
          <w:p>
            <w:pPr>
              <w:spacing w:after="0"/>
              <w:rPr>
                <w:sz w:val="2"/>
                <w:szCs w:val="2"/>
                <w:color w:val="auto"/>
              </w:rPr>
            </w:pPr>
          </w:p>
        </w:tc>
        <w:tc>
          <w:tcPr>
            <w:tcW w:w="5460" w:type="dxa"/>
            <w:vAlign w:val="bottom"/>
          </w:tcPr>
          <w:p>
            <w:pPr>
              <w:spacing w:after="0"/>
              <w:rPr>
                <w:sz w:val="2"/>
                <w:szCs w:val="2"/>
                <w:color w:val="auto"/>
              </w:rPr>
            </w:pPr>
          </w:p>
        </w:tc>
      </w:tr>
      <w:tr>
        <w:trPr>
          <w:trHeight w:val="254"/>
        </w:trPr>
        <w:tc>
          <w:tcPr>
            <w:tcW w:w="520" w:type="dxa"/>
            <w:vAlign w:val="bottom"/>
          </w:tcPr>
          <w:p>
            <w:pPr>
              <w:spacing w:after="0"/>
              <w:rPr>
                <w:sz w:val="20"/>
                <w:szCs w:val="20"/>
                <w:color w:val="auto"/>
              </w:rPr>
            </w:pPr>
            <w:r>
              <w:rPr>
                <w:rFonts w:ascii="Arial" w:cs="Arial" w:eastAsia="Arial" w:hAnsi="Arial"/>
                <w:sz w:val="20"/>
                <w:szCs w:val="20"/>
                <w:color w:val="auto"/>
                <w:w w:val="84"/>
              </w:rPr>
              <w:t>Name:</w:t>
            </w:r>
          </w:p>
        </w:tc>
        <w:tc>
          <w:tcPr>
            <w:tcW w:w="180" w:type="dxa"/>
            <w:vAlign w:val="bottom"/>
            <w:tcBorders>
              <w:top w:val="single" w:sz="8" w:color="auto"/>
            </w:tcBorders>
          </w:tcPr>
          <w:p>
            <w:pPr>
              <w:spacing w:after="0"/>
              <w:rPr>
                <w:sz w:val="22"/>
                <w:szCs w:val="22"/>
                <w:color w:val="auto"/>
              </w:rPr>
            </w:pPr>
          </w:p>
        </w:tc>
        <w:tc>
          <w:tcPr>
            <w:tcW w:w="546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Thomas M. Paulk</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460" w:type="dxa"/>
            <w:vAlign w:val="bottom"/>
          </w:tcPr>
          <w:p>
            <w:pPr>
              <w:ind w:left="1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THE TORONTO-DOMINION BANK, NEW YORK</w:t>
      </w:r>
    </w:p>
    <w:p>
      <w:pPr>
        <w:spacing w:after="0" w:line="54"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Maria Macchiaroli</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Maria Macchiaroli</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6" w:name="page227"/>
    <w:bookmarkEnd w:id="226"/>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BBVA USA</w:t>
      </w:r>
      <w:r>
        <w:rPr>
          <w:rFonts w:ascii="Arial" w:cs="Arial" w:eastAsia="Arial" w:hAnsi="Arial"/>
          <w:sz w:val="16"/>
          <w:szCs w:val="16"/>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Jay S. Tweed</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Jay S. Tweed</w:t>
            </w:r>
          </w:p>
        </w:tc>
      </w:tr>
      <w:tr>
        <w:trPr>
          <w:trHeight w:val="284"/>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7" w:name="page228"/>
    <w:bookmarkEnd w:id="227"/>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Steven Thompson</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Steven Thompson</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8" w:name="page229"/>
    <w:bookmarkEnd w:id="228"/>
    <w:p>
      <w:pPr>
        <w:spacing w:after="0" w:line="270"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Delaney Besecker</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Delaney Besecker</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Associate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29" w:name="page230"/>
    <w:bookmarkEnd w:id="229"/>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Michael B. Cooper</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Michael B. Cooper</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30" w:name="page231"/>
    <w:bookmarkEnd w:id="230"/>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UNITED COMMUNITY BANK</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Jeff Wilson</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Jeff Wilson</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31" w:name="page232"/>
    <w:bookmarkEnd w:id="231"/>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Andrew Fraser</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Andrew Fraser</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32" w:name="page233"/>
    <w:bookmarkEnd w:id="232"/>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FIFTH THIRD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Jodie R. Ayres</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Jodie R. Ayres</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33" w:name="page234"/>
    <w:bookmarkEnd w:id="233"/>
    <w:p>
      <w:pPr>
        <w:spacing w:after="0" w:line="2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KEYBANK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400" w:lineRule="exact"/>
        <w:rPr>
          <w:sz w:val="20"/>
          <w:szCs w:val="20"/>
          <w:color w:val="auto"/>
        </w:rPr>
      </w:pPr>
    </w:p>
    <w:tbl>
      <w:tblPr>
        <w:tblLayout w:type="fixed"/>
        <w:tblInd w:w="4040" w:type="dxa"/>
        <w:tblCellMar>
          <w:top w:w="0" w:type="dxa"/>
          <w:left w:w="0" w:type="dxa"/>
          <w:bottom w:w="0" w:type="dxa"/>
          <w:right w:w="0" w:type="dxa"/>
        </w:tblCellMar>
      </w:tblPr>
      <w:tr>
        <w:trPr>
          <w:trHeight w:val="250"/>
        </w:trPr>
        <w:tc>
          <w:tcPr>
            <w:tcW w:w="700" w:type="dxa"/>
            <w:vAlign w:val="bottom"/>
            <w:gridSpan w:val="2"/>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80"/>
              <w:spacing w:after="0"/>
              <w:rPr>
                <w:sz w:val="20"/>
                <w:szCs w:val="20"/>
                <w:color w:val="auto"/>
              </w:rPr>
            </w:pPr>
            <w:r>
              <w:rPr>
                <w:rFonts w:ascii="Arial" w:cs="Arial" w:eastAsia="Arial" w:hAnsi="Arial"/>
                <w:sz w:val="20"/>
                <w:szCs w:val="20"/>
                <w:color w:val="auto"/>
              </w:rPr>
              <w:t>/s/ Ashley Braniecki</w:t>
            </w:r>
          </w:p>
        </w:tc>
      </w:tr>
      <w:tr>
        <w:trPr>
          <w:trHeight w:val="23"/>
        </w:trPr>
        <w:tc>
          <w:tcPr>
            <w:tcW w:w="700" w:type="dxa"/>
            <w:vAlign w:val="bottom"/>
            <w:gridSpan w:val="2"/>
          </w:tcPr>
          <w:p>
            <w:pPr>
              <w:spacing w:after="0"/>
              <w:rPr>
                <w:sz w:val="2"/>
                <w:szCs w:val="2"/>
                <w:color w:val="auto"/>
              </w:rPr>
            </w:pPr>
          </w:p>
        </w:tc>
        <w:tc>
          <w:tcPr>
            <w:tcW w:w="5120" w:type="dxa"/>
            <w:vAlign w:val="bottom"/>
          </w:tcPr>
          <w:p>
            <w:pPr>
              <w:spacing w:after="0"/>
              <w:rPr>
                <w:sz w:val="2"/>
                <w:szCs w:val="2"/>
                <w:color w:val="auto"/>
              </w:rPr>
            </w:pPr>
          </w:p>
        </w:tc>
      </w:tr>
      <w:tr>
        <w:trPr>
          <w:trHeight w:val="254"/>
        </w:trPr>
        <w:tc>
          <w:tcPr>
            <w:tcW w:w="500" w:type="dxa"/>
            <w:vAlign w:val="bottom"/>
          </w:tcPr>
          <w:p>
            <w:pPr>
              <w:spacing w:after="0"/>
              <w:rPr>
                <w:sz w:val="20"/>
                <w:szCs w:val="20"/>
                <w:color w:val="auto"/>
              </w:rPr>
            </w:pPr>
            <w:r>
              <w:rPr>
                <w:rFonts w:ascii="Arial" w:cs="Arial" w:eastAsia="Arial" w:hAnsi="Arial"/>
                <w:sz w:val="20"/>
                <w:szCs w:val="20"/>
                <w:color w:val="auto"/>
                <w:w w:val="81"/>
              </w:rPr>
              <w:t>Name:</w:t>
            </w:r>
          </w:p>
        </w:tc>
        <w:tc>
          <w:tcPr>
            <w:tcW w:w="200" w:type="dxa"/>
            <w:vAlign w:val="bottom"/>
            <w:tcBorders>
              <w:top w:val="single" w:sz="8" w:color="auto"/>
            </w:tcBorders>
          </w:tcPr>
          <w:p>
            <w:pPr>
              <w:spacing w:after="0"/>
              <w:rPr>
                <w:sz w:val="22"/>
                <w:szCs w:val="22"/>
                <w:color w:val="auto"/>
              </w:rPr>
            </w:pPr>
          </w:p>
        </w:tc>
        <w:tc>
          <w:tcPr>
            <w:tcW w:w="5120" w:type="dxa"/>
            <w:vAlign w:val="bottom"/>
            <w:tcBorders>
              <w:top w:val="single" w:sz="8" w:color="auto"/>
            </w:tcBorders>
          </w:tcPr>
          <w:p>
            <w:pPr>
              <w:ind w:left="180"/>
              <w:spacing w:after="0"/>
              <w:rPr>
                <w:sz w:val="20"/>
                <w:szCs w:val="20"/>
                <w:color w:val="auto"/>
              </w:rPr>
            </w:pPr>
            <w:r>
              <w:rPr>
                <w:rFonts w:ascii="Arial" w:cs="Arial" w:eastAsia="Arial" w:hAnsi="Arial"/>
                <w:sz w:val="20"/>
                <w:szCs w:val="20"/>
                <w:color w:val="auto"/>
              </w:rPr>
              <w:t>Ashley Braniecki</w:t>
            </w:r>
          </w:p>
        </w:tc>
      </w:tr>
      <w:tr>
        <w:trPr>
          <w:trHeight w:val="283"/>
        </w:trPr>
        <w:tc>
          <w:tcPr>
            <w:tcW w:w="7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1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AMENDED AND RESTATED CREDIT AGREEMENT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sectPr>
          <w:pgSz w:w="11900" w:h="16838" w:orient="portrait"/>
          <w:cols w:equalWidth="0" w:num="1">
            <w:col w:w="10120"/>
          </w:cols>
          <w:pgMar w:left="1440" w:top="1440"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20"/>
          <w:szCs w:val="20"/>
          <w:u w:val="single" w:color="auto"/>
          <w:color w:val="auto"/>
        </w:rPr>
        <w:t>EXHIBIT A-1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DOLLAR TRANCHE REVOLVING CREDIT NOTE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 20[__]</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VALUE RECEIVED, the undersigned, [_________], a [_________] organized under the laws of [_________]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__________________________________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and its registered assigns, at the place and times</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provided in the Credit Agreement referred to below, the aggregate unpaid principal amount of all Dollar Tranche Revolving Credit Loans made by the Lender from time to time pursuant to that certain Amended and Restated Credit Agreement, dated as of October 30, 2020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by and among [Blackbaud,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Borrower, certain Subsidiaries of [the Borrower][the Company] from time to time party thereto as borrowers, the Lender and the other lenders from time to time party thereto and Bank of America, N.A., as the Administrative Agent. Capitalized terms used herein and not defined herein shall have the meanings assigned thereto in the Credit Agreement.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unpaid principal amount of this Dollar Tranche Revolving Credit Note from time to time outstanding is subject to mandatory repayment from time to time as provided in the Credit Agreement and shall bear interest as provided in Section 4.1 of the Credit Agreement. All payments of principal and interest on this Dollar Tranche Revolving Credit Note shall be payable in Dollars in Same Day Funds to the account designated in the Credit Agreement.</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Dollar Tranche Revolving Credit Note is entitled to the benefits of, and evidences Obligations incurred under, the Credit Agreement, to which reference is made for a description of the security for this Dollar Tranche Revolving Credit Note and for a statement of the terms and conditions on which the Borrower is permitted and required to make prepayments and repayments of principal of the Obligations evidenced by this Dollar Tranche Revolving Credit Note and on which such Obligations may be declared to be immediately due and payable.</w:t>
      </w:r>
    </w:p>
    <w:p>
      <w:pPr>
        <w:spacing w:after="0" w:line="19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THIS DOLLAR TRANCHE REVOLVING CREDIT NOTE SHALL BE GOVERNED BY, CONSTRUED AND ENFORCED IN ACCORDANCE WITH THE LAWS OF THE STATE OF NEW YORK, WITHOUT REFERENCE TO THE CONFLICTS OR CHOICE OF LAW PRINCIPLES THEREOF.</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Indebtedness evidenced by this Dollar Tranche Revolving Credit Note is senior in right of payment to all Subordinated Indebtedness referred to in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all requirements as to diligence, presentment, demand of payment, protest and (except as required by the Credit Agreement) notice of any kind with respect to this Dollar Tranche Revolving Credit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176" w:right="339" w:bottom="1440" w:gutter="0" w:footer="0" w:header="0"/>
        </w:sectPr>
      </w:pPr>
    </w:p>
    <w:bookmarkStart w:id="235" w:name="page236"/>
    <w:bookmarkEnd w:id="235"/>
    <w:p>
      <w:pPr>
        <w:ind w:firstLine="648"/>
        <w:spacing w:after="0" w:line="260" w:lineRule="auto"/>
        <w:rPr>
          <w:sz w:val="20"/>
          <w:szCs w:val="20"/>
          <w:color w:val="auto"/>
        </w:rPr>
      </w:pPr>
      <w:r>
        <w:rPr>
          <w:rFonts w:ascii="Arial" w:cs="Arial" w:eastAsia="Arial" w:hAnsi="Arial"/>
          <w:sz w:val="20"/>
          <w:szCs w:val="20"/>
          <w:color w:val="auto"/>
        </w:rPr>
        <w:t>IN WITNESS WHEREOF, the undersigned has executed this Dollar Tranche Revolving Credit Note as of the day and year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2514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-24765</wp:posOffset>
            </wp:positionV>
            <wp:extent cx="251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-24765</wp:posOffset>
            </wp:positionV>
            <wp:extent cx="2514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20"/>
          <w:szCs w:val="20"/>
          <w:u w:val="single" w:color="auto"/>
          <w:color w:val="auto"/>
        </w:rPr>
        <w:t>EXHIBIT A-2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SWINGLINE NOTE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[____________], 20[__]</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VALUE RECEIVED, the undersigned, BLACKBAUD, INC., a corporation organized under the laws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BANK OF AMERICA, N.A. (the “</w:t>
      </w:r>
      <w:r>
        <w:rPr>
          <w:rFonts w:ascii="Arial" w:cs="Arial" w:eastAsia="Arial" w:hAnsi="Arial"/>
          <w:sz w:val="18"/>
          <w:szCs w:val="18"/>
          <w:u w:val="single" w:color="auto"/>
          <w:color w:val="auto"/>
        </w:rPr>
        <w:t>Lender</w:t>
      </w:r>
      <w:r>
        <w:rPr>
          <w:rFonts w:ascii="Arial" w:cs="Arial" w:eastAsia="Arial" w:hAnsi="Arial"/>
          <w:sz w:val="18"/>
          <w:szCs w:val="18"/>
          <w:color w:val="auto"/>
        </w:rPr>
        <w:t>”) and its registered assigns, at the place and times provided in the Credit Agreement referred to below, the aggregate unpaid principal amount of all Swingline Loans made by the Lender from time to time pursuant to that certain Amended and Restated Credit Agreement, dated as of October 30, 2020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certain Subsidiaries of the Borrower from time to time party thereto as borrowers, the Lender and the other lenders from time to time party thereto and Bank of America, N.A., as the Administrative Agent. Capitalized terms used herein and not defined herein shall have the meanings assigned thereto in the Credit Agreement.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unpaid principal amount of this Swingline Note from time to time outstanding is subject to mandatory repayment from time to time as provided in the Credit Agreement and shall bear interest as provided in Section 4.1 of the Credit Agreement. All payments of principal and interest on this Swingline Note shall be payable in Dollars in Same Day Funds to the account designated in the Credit Agreement.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Swingline Note is entitled to the benefits of, and evidences Obligations incurred under, the Credit Agreement, to which reference is made for a description of the security for this Swingline Note and for a statement of the terms and conditions on which the Borrower is permitted and required to make prepayments and repayment of principal of the Obligations evidenced by this Swingline Note and on which such Obligations may be declared to be immediately due and payable.</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SWINGLINE NOTE SHALL BE GOVERNED BY, CONSTRUED AND ENFORCED IN ACCORDANCE WITH THE LAWS OF THE STATE OF NEW YORK, WITHOUT REFERENCE TO THE CONFLICTS OR CHOICE OF LAW PRINCIPLES THEREOF.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Indebtedness evidenced by this Swingline Note is senior in right of payment to all Subordinated Indebtedness referred to in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all requirements as to diligence, presentment, demand of payment, protest and (except as required by the Credit Agreement) notice of any kind with respect to this Swingline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176"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IN WITNESS WHEREOF, the undersigned has executed this Swingline Note as of the day and year first above written.</w:t>
      </w:r>
    </w:p>
    <w:p>
      <w:pPr>
        <w:sectPr>
          <w:pgSz w:w="11900" w:h="16838" w:orient="portrait"/>
          <w:cols w:equalWidth="0" w:num="1">
            <w:col w:w="9480"/>
          </w:cols>
          <w:pgMar w:left="980" w:top="1176" w:right="1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BLACKBAUD, INC.</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-14605</wp:posOffset>
            </wp:positionV>
            <wp:extent cx="2514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-24765</wp:posOffset>
            </wp:positionV>
            <wp:extent cx="2514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-24765</wp:posOffset>
            </wp:positionV>
            <wp:extent cx="2514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480"/>
          </w:cols>
          <w:pgMar w:left="980" w:top="1176" w:right="1439" w:bottom="1440" w:gutter="0" w:footer="0" w:header="0"/>
          <w:type w:val="continuous"/>
        </w:sectPr>
      </w:pPr>
    </w:p>
    <w:bookmarkStart w:id="238" w:name="page239"/>
    <w:bookmarkEnd w:id="238"/>
    <w:p>
      <w:pPr>
        <w:jc w:val="center"/>
        <w:spacing w:after="0"/>
        <w:rPr>
          <w:sz w:val="20"/>
          <w:szCs w:val="20"/>
          <w:color w:val="auto"/>
        </w:rPr>
      </w:pPr>
      <w:r>
        <w:rPr>
          <w:rFonts w:ascii="Arial" w:cs="Arial" w:eastAsia="Arial" w:hAnsi="Arial"/>
          <w:sz w:val="20"/>
          <w:szCs w:val="20"/>
          <w:u w:val="single" w:color="auto"/>
          <w:color w:val="auto"/>
        </w:rPr>
        <w:t>EXHIBIT A-3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TERM LOAN NOTE</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[____________], 20[__]</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FOR VALUE RECEIVED, the undersigned, BLACKBAUD, INC., a corporation organized under the laws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__________________________________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and its registered assigns, at the place and times</w:t>
      </w:r>
    </w:p>
    <w:p>
      <w:pPr>
        <w:spacing w:after="0" w:line="1"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provided in the Credit Agreement referred to below, the aggregate unpaid principal amount of the Term Loan made by the Lender from time to time pursuant to that certain Amended and Restated Credit Agreement, dated as of October 30, 2020 (as amended, restated, supplemented or otherwise modified,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certain Subsidiaries of the Borrower from time to time party thereto as borrowers, the Lender and the other lenders from time to time party thereto and Bank of America, N.A., as the Administrative Agent. Capitalized terms used herein and not defined herein shall have the meanings assigned thereto in the Credit Agreement.</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unpaid principal amount of this Term Loan Note from time to time outstanding is subject to mandatory repayment from time to time as provided in the Credit Agreement and shall bear interest as provided in Section 4.1 of the Credit Agreement. All payments of principal and interest on this Term Loan Note shall be payable in Dollars in Same Day Funds to the account designated in the Credit Agreement.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Term Loan Note is entitled to the benefits of, and evidences Obligations incurred under, the Credit Agreement, to which reference is made for a description of the security for this Term Loan Note and for a statement of the terms and conditions on which the Borrower is permitted and required to make prepayments and repayments of principal of the Obligations evidenced by this Term Loan Note and on which such Obligations may be declared to be immediately due and payable.</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TERM LOAN NOTE SHALL BE GOVERNED BY, CONSTRUED AND ENFORCED IN ACCORDANCE WITH THE LAWS OF THE STATE OF NEW YORK, WITHOUT REFERENCE TO THE CONFLICTS OR CHOICE OF LAW PRINCIPLES THEREOF.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Indebtedness evidenced by this Term Loan Note is senior in right of payment to all Subordinated Indebtedness referred to in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all requirements as to diligence, presentment, demand of payment, protest and (except as required by the Credit Agreement) notice of any kind with respect to this Term Loan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176" w:right="33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t>IN WITNESS WHEREOF, the undersigned has executed this Term Loan Note as of the day and year first above written.</w:t>
      </w:r>
    </w:p>
    <w:p>
      <w:pPr>
        <w:sectPr>
          <w:pgSz w:w="11900" w:h="16838" w:orient="portrait"/>
          <w:cols w:equalWidth="0" w:num="1">
            <w:col w:w="9540"/>
          </w:cols>
          <w:pgMar w:left="980" w:top="1176" w:right="13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BLACKBAUD, INC.</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-14605</wp:posOffset>
            </wp:positionV>
            <wp:extent cx="2514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-24765</wp:posOffset>
            </wp:positionV>
            <wp:extent cx="2514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-24765</wp:posOffset>
            </wp:positionV>
            <wp:extent cx="2514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540"/>
          </w:cols>
          <w:pgMar w:left="980" w:top="1176" w:right="1379" w:bottom="1440" w:gutter="0" w:footer="0" w:header="0"/>
          <w:type w:val="continuous"/>
        </w:sectPr>
      </w:pPr>
    </w:p>
    <w:bookmarkStart w:id="240" w:name="page241"/>
    <w:bookmarkEnd w:id="240"/>
    <w:p>
      <w:pPr>
        <w:jc w:val="center"/>
        <w:spacing w:after="0"/>
        <w:rPr>
          <w:sz w:val="20"/>
          <w:szCs w:val="20"/>
          <w:color w:val="auto"/>
        </w:rPr>
      </w:pPr>
      <w:r>
        <w:rPr>
          <w:rFonts w:ascii="Arial" w:cs="Arial" w:eastAsia="Arial" w:hAnsi="Arial"/>
          <w:sz w:val="20"/>
          <w:szCs w:val="20"/>
          <w:u w:val="single" w:color="auto"/>
          <w:color w:val="auto"/>
        </w:rPr>
        <w:t>EXHIBIT A-4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DESIGNATED CURRENCY TRANCHE REVOLVING CREDIT NOTE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[___________], 20[__]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[____________], a [____________] organized under the laws of [____________]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__________________________________ (the “</w:t>
      </w:r>
      <w:r>
        <w:rPr>
          <w:rFonts w:ascii="Arial" w:cs="Arial" w:eastAsia="Arial" w:hAnsi="Arial"/>
          <w:sz w:val="18"/>
          <w:szCs w:val="18"/>
          <w:u w:val="single" w:color="auto"/>
          <w:color w:val="auto"/>
        </w:rPr>
        <w:t>Lender</w:t>
      </w:r>
      <w:r>
        <w:rPr>
          <w:rFonts w:ascii="Arial" w:cs="Arial" w:eastAsia="Arial" w:hAnsi="Arial"/>
          <w:sz w:val="18"/>
          <w:szCs w:val="18"/>
          <w:color w:val="auto"/>
        </w:rPr>
        <w:t>”) and its registered assigns, at the place and times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provided in the Credit Agreement referred to below, the aggregate unpaid principal amount of all Designated Currency Tranche Revolving Loans made by the Lender to the Borrower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Credit Agreement (as hereinafter defined) made by the Lender from time to time pursuant to that certain Amended and Restated Credit Agreement, dated as of October 30, 2020 (as amended, restated, supplemented or otherwise modified,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by and among [Blackbaud,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Borrower, certain Subsidiaries of [the Borrower][the Company] from time to time party thereto as borrowers, the Lender and the other lenders from time to time party thereto and Bank of America, N.A., as the Administrative Agent. Capitalized terms used herein and not defined herein shall have the meanings assigned thereto in the Credit Agreement.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unpaid principal amount of this Designated Currency Tranche Revolving Credit Note from time to time outstanding is subject to mandatory repayment from time to time as provided in the Credit Agreement and shall bear interest as provided in Section 4.1 of the Credit Agreement. All payments of principal and interest on this Designated Currency Tranche Revolving Credit Note shall be payable in Same Day Funds in the Agreed Currency and to the account designated in the Credit Agreement.</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Designated Currency Tranche Revolving Credit Note is entitled to the benefits of, and evidences Obligations incurred under, the Credit Agreement, to which reference is made for a description of the security for this Designated Currency Tranche Revolving Credit Note and for a statement of the terms and conditions on which the Borrower is permitted and required to make prepayments and repayments of principal of the Obligations evidenced by this Designated Currency Tranche Revolving Credit Note and on which such Obligations may be declared to be immediately due and payable.</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DESIGNATED CURRENCY TRANCHE REVOLVING CREDIT NOTE SHALL BE GOVERNED BY, CONSTRUED AND ENFORCED IN ACCORDANCE WITH THE LAWS OF THE STATE OF NEW YORK, WITHOUT REFERENCE TO THE CONFLICTS OR CHOICE OF LAW PRINCIPLES THEREOF.</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Indebtedness evidenced by this Designated Currency Tranche Revolving Credit Note is senior in right of payment to all Subordinated Indebtedness referred to in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hereby waives all requirements as to diligence, presentment, demand of payment, protest and (except as required by the Credit Agreement) notice of any kind with respect to this Designated Currency Tranche Revolving Credit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176" w:right="339" w:bottom="1440" w:gutter="0" w:footer="0" w:header="0"/>
        </w:sectPr>
      </w:pPr>
    </w:p>
    <w:bookmarkStart w:id="241" w:name="page242"/>
    <w:bookmarkEnd w:id="241"/>
    <w:p>
      <w:pPr>
        <w:ind w:firstLine="648"/>
        <w:spacing w:after="0" w:line="260" w:lineRule="auto"/>
        <w:rPr>
          <w:sz w:val="20"/>
          <w:szCs w:val="20"/>
          <w:color w:val="auto"/>
        </w:rPr>
      </w:pPr>
      <w:r>
        <w:rPr>
          <w:rFonts w:ascii="Arial" w:cs="Arial" w:eastAsia="Arial" w:hAnsi="Arial"/>
          <w:sz w:val="20"/>
          <w:szCs w:val="20"/>
          <w:color w:val="auto"/>
        </w:rPr>
        <w:t>IN WITNESS WHEREOF, the undersigned has executed this Designated Currency Tranche Revolving Credit Note as of the day and year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2514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-24765</wp:posOffset>
            </wp:positionV>
            <wp:extent cx="251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-24765</wp:posOffset>
            </wp:positionV>
            <wp:extent cx="2514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0"/>
          <w:szCs w:val="20"/>
          <w:u w:val="single" w:color="auto"/>
          <w:color w:val="auto"/>
        </w:rPr>
        <w:t>EXHIBIT B</w:t>
      </w:r>
    </w:p>
    <w:p>
      <w:pPr>
        <w:spacing w:after="0" w:line="24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[FORM OF] LOAN NOTICE</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43" w:lineRule="exact"/>
        <w:rPr>
          <w:sz w:val="20"/>
          <w:szCs w:val="20"/>
          <w:color w:val="auto"/>
        </w:rPr>
      </w:pPr>
    </w:p>
    <w:p>
      <w:pPr>
        <w:jc w:val="both"/>
        <w:ind w:left="540" w:hanging="1295"/>
        <w:spacing w:after="0" w:line="243" w:lineRule="auto"/>
        <w:tabs>
          <w:tab w:leader="none" w:pos="520" w:val="left"/>
        </w:tabs>
        <w:rPr>
          <w:sz w:val="20"/>
          <w:szCs w:val="20"/>
          <w:color w:val="auto"/>
        </w:rPr>
      </w:pPr>
      <w:r>
        <w:rPr>
          <w:rFonts w:ascii="Arial" w:cs="Arial" w:eastAsia="Arial" w:hAnsi="Arial"/>
          <w:sz w:val="20"/>
          <w:szCs w:val="20"/>
          <w:color w:val="auto"/>
        </w:rPr>
        <w:t>RE:</w:t>
        <w:tab/>
        <w:t>Amended and Restated Credit Agreement, dated as of October 30, 2020,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and Bank of America, N.A., as Administrative Agent, Swingline Lender and an Issuing Bank (as amended, modified, extended, restated, replaced,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herein and not otherwise defined shall have the meanings set forth in the Credit Agreement)</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(select one):</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Borrowing of [Dollar Tranche Revolving Credit][Designated Currency Tranche Revolving Credit][Term][Incremental Term] Loans</w:t>
      </w:r>
    </w:p>
    <w:p>
      <w:pPr>
        <w:spacing w:after="0" w:line="25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 [conversion] or [continuation] of [Dollar Tranche Revolving Credit][Designated Currency Tranche Revolving Credit][Term][Incremental Term] Loans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spacing w:after="0"/>
        <w:tabs>
          <w:tab w:leader="none" w:pos="340" w:val="left"/>
          <w:tab w:leader="none" w:pos="1260" w:val="left"/>
        </w:tabs>
        <w:rPr>
          <w:sz w:val="20"/>
          <w:szCs w:val="20"/>
          <w:color w:val="auto"/>
        </w:rPr>
      </w:pPr>
      <w:r>
        <w:rPr>
          <w:rFonts w:ascii="Arial" w:cs="Arial" w:eastAsia="Arial" w:hAnsi="Arial"/>
          <w:sz w:val="20"/>
          <w:szCs w:val="20"/>
          <w:color w:val="auto"/>
        </w:rPr>
        <w:t>1.</w:t>
        <w:tab/>
        <w:t>On</w:t>
      </w:r>
      <w:r>
        <w:rPr>
          <w:sz w:val="20"/>
          <w:szCs w:val="20"/>
          <w:color w:val="auto"/>
        </w:rPr>
        <w:tab/>
      </w:r>
      <w:r>
        <w:rPr>
          <w:rFonts w:ascii="Arial" w:cs="Arial" w:eastAsia="Arial" w:hAnsi="Arial"/>
          <w:sz w:val="18"/>
          <w:szCs w:val="18"/>
          <w:color w:val="auto"/>
        </w:rPr>
        <w:t>(the “Credit Extension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3771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23" w:lineRule="exact"/>
        <w:rPr>
          <w:sz w:val="20"/>
          <w:szCs w:val="20"/>
          <w:color w:val="auto"/>
        </w:rPr>
      </w:pPr>
    </w:p>
    <w:p>
      <w:pPr>
        <w:ind w:left="360" w:hanging="352"/>
        <w:spacing w:after="0"/>
        <w:tabs>
          <w:tab w:leader="none" w:pos="3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In the amount of [$]</w:t>
      </w:r>
      <w:r>
        <w:rPr>
          <w:rFonts w:ascii="Arial" w:cs="Arial" w:eastAsia="Arial" w:hAnsi="Arial"/>
          <w:sz w:val="18"/>
          <w:szCs w:val="18"/>
          <w:color w:val="auto"/>
        </w:rPr>
        <w:t>in the following currency: _______.</w:t>
      </w:r>
    </w:p>
    <w:p>
      <w:pPr>
        <w:spacing w:after="0" w:line="242" w:lineRule="exact"/>
        <w:rPr>
          <w:rFonts w:ascii="Arial" w:cs="Arial" w:eastAsia="Arial" w:hAnsi="Arial"/>
          <w:sz w:val="20"/>
          <w:szCs w:val="20"/>
          <w:color w:val="auto"/>
        </w:rPr>
      </w:pPr>
    </w:p>
    <w:p>
      <w:pPr>
        <w:ind w:left="360" w:hanging="352"/>
        <w:spacing w:after="0"/>
        <w:tabs>
          <w:tab w:leader="none" w:pos="36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Comprised of:   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-314960</wp:posOffset>
            </wp:positionV>
            <wp:extent cx="3771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Eurocurrency Rate Loans</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For Eurocurrency Rate Loans: with an Interest Period of __ months.</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Revolving Credit Loan(s) requested herein complies with the proviso to the first sentence of Section [2.1(a)/2.1(b)] of the Credit Agreement.]</w:t>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Borrower hereby represents and warrants that the conditions specified in Section 5.2 of the Credit Agreement shall be satisfied on and as of the date of the Credit Extension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ectPr>
          <w:pgSz w:w="11900" w:h="16838" w:orient="portrait"/>
          <w:cols w:equalWidth="0" w:num="1">
            <w:col w:w="11240"/>
          </w:cols>
          <w:pgMar w:left="320" w:top="1176" w:right="339" w:bottom="1440" w:gutter="0" w:footer="0" w:header="0"/>
        </w:sectPr>
      </w:pPr>
    </w:p>
    <w:bookmarkStart w:id="243" w:name="page244"/>
    <w:bookmarkEnd w:id="243"/>
    <w:p>
      <w:pPr>
        <w:ind w:left="180"/>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176" w:right="1440" w:bottom="1440" w:gutter="0" w:footer="0" w:header="0"/>
        </w:sectPr>
      </w:pPr>
    </w:p>
    <w:bookmarkStart w:id="244" w:name="page245"/>
    <w:bookmarkEnd w:id="244"/>
    <w:p>
      <w:pPr>
        <w:ind w:left="2780"/>
        <w:spacing w:after="0"/>
        <w:rPr>
          <w:sz w:val="20"/>
          <w:szCs w:val="20"/>
          <w:color w:val="auto"/>
        </w:rPr>
      </w:pPr>
      <w:r>
        <w:rPr>
          <w:rFonts w:ascii="Arial" w:cs="Arial" w:eastAsia="Arial" w:hAnsi="Arial"/>
          <w:sz w:val="20"/>
          <w:szCs w:val="20"/>
          <w:color w:val="auto"/>
        </w:rPr>
        <w:t>[____________________],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 [________________________]</w:t>
      </w:r>
    </w:p>
    <w:p>
      <w:pPr>
        <w:spacing w:after="0" w:line="2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7537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-24765</wp:posOffset>
            </wp:positionV>
            <wp:extent cx="7537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-24765</wp:posOffset>
            </wp:positionV>
            <wp:extent cx="7537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20"/>
          <w:szCs w:val="20"/>
          <w:u w:val="single" w:color="auto"/>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NOTICE OF ACCOUNT DESIGNATION</w:t>
      </w:r>
    </w:p>
    <w:p>
      <w:pPr>
        <w:spacing w:after="0" w:line="243"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Dated as of: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901 Main Street</w:t>
      </w:r>
    </w:p>
    <w:p>
      <w:pPr>
        <w:spacing w:after="0"/>
        <w:rPr>
          <w:sz w:val="20"/>
          <w:szCs w:val="20"/>
          <w:color w:val="auto"/>
        </w:rPr>
      </w:pPr>
      <w:r>
        <w:rPr>
          <w:rFonts w:ascii="Arial" w:cs="Arial" w:eastAsia="Arial" w:hAnsi="Arial"/>
          <w:sz w:val="20"/>
          <w:szCs w:val="20"/>
          <w:color w:val="auto"/>
        </w:rPr>
        <w:t>Mail Code: TX1-492-14-11</w:t>
      </w:r>
    </w:p>
    <w:p>
      <w:pPr>
        <w:spacing w:after="0"/>
        <w:rPr>
          <w:sz w:val="20"/>
          <w:szCs w:val="20"/>
          <w:color w:val="auto"/>
        </w:rPr>
      </w:pPr>
      <w:r>
        <w:rPr>
          <w:rFonts w:ascii="Arial" w:cs="Arial" w:eastAsia="Arial" w:hAnsi="Arial"/>
          <w:sz w:val="20"/>
          <w:szCs w:val="20"/>
          <w:color w:val="auto"/>
        </w:rPr>
        <w:t>Dallas, TX</w:t>
      </w:r>
    </w:p>
    <w:p>
      <w:pPr>
        <w:spacing w:after="0"/>
        <w:rPr>
          <w:sz w:val="20"/>
          <w:szCs w:val="20"/>
          <w:color w:val="auto"/>
        </w:rPr>
      </w:pPr>
      <w:r>
        <w:rPr>
          <w:rFonts w:ascii="Arial" w:cs="Arial" w:eastAsia="Arial" w:hAnsi="Arial"/>
          <w:sz w:val="20"/>
          <w:szCs w:val="20"/>
          <w:color w:val="auto"/>
        </w:rPr>
        <w:t>Attention: Kesha Martinez</w:t>
      </w:r>
    </w:p>
    <w:p>
      <w:pPr>
        <w:spacing w:after="0"/>
        <w:rPr>
          <w:sz w:val="20"/>
          <w:szCs w:val="20"/>
          <w:color w:val="auto"/>
        </w:rPr>
      </w:pPr>
      <w:r>
        <w:rPr>
          <w:rFonts w:ascii="Arial" w:cs="Arial" w:eastAsia="Arial" w:hAnsi="Arial"/>
          <w:sz w:val="20"/>
          <w:szCs w:val="20"/>
          <w:color w:val="auto"/>
        </w:rPr>
        <w:t>Facsimile: (214)-290-9416</w:t>
      </w:r>
    </w:p>
    <w:p>
      <w:pPr>
        <w:spacing w:after="0"/>
        <w:rPr>
          <w:sz w:val="20"/>
          <w:szCs w:val="20"/>
          <w:color w:val="auto"/>
        </w:rPr>
      </w:pPr>
      <w:r>
        <w:rPr>
          <w:rFonts w:ascii="Arial" w:cs="Arial" w:eastAsia="Arial" w:hAnsi="Arial"/>
          <w:sz w:val="20"/>
          <w:szCs w:val="20"/>
          <w:color w:val="auto"/>
        </w:rPr>
        <w:t>Email: kesha.martinez@bankofamerica.com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Notice of Account Designation is delivered to you pursuant to Section 5.1(g) of the Amended and Restated Credit Agreement, dated as of October 30, 2020 (as amended, restated, supplemented or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Blackbaud, Inc., a corporation organized under the laws of Delaware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who are or may become a party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6" w:lineRule="exact"/>
        <w:rPr>
          <w:sz w:val="20"/>
          <w:szCs w:val="20"/>
          <w:color w:val="auto"/>
        </w:rPr>
      </w:pPr>
    </w:p>
    <w:p>
      <w:pPr>
        <w:ind w:left="4180" w:right="1740" w:hanging="3524"/>
        <w:spacing w:after="0" w:line="690" w:lineRule="auto"/>
        <w:tabs>
          <w:tab w:leader="none" w:pos="1005" w:val="left"/>
        </w:tabs>
        <w:numPr>
          <w:ilvl w:val="0"/>
          <w:numId w:val="245"/>
        </w:numPr>
        <w:rPr>
          <w:rFonts w:ascii="Arial" w:cs="Arial" w:eastAsia="Arial" w:hAnsi="Arial"/>
          <w:sz w:val="20"/>
          <w:szCs w:val="20"/>
          <w:color w:val="auto"/>
        </w:rPr>
      </w:pPr>
      <w:r>
        <w:rPr>
          <w:rFonts w:ascii="Arial" w:cs="Arial" w:eastAsia="Arial" w:hAnsi="Arial"/>
          <w:sz w:val="20"/>
          <w:szCs w:val="20"/>
          <w:color w:val="auto"/>
        </w:rPr>
        <w:t>The Administrative Agent is hereby authorized to disburse all Loan proceeds into the following account(s): [____________________________]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ABA Routing Number: [________]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Account Number: [____________]</w:t>
      </w:r>
    </w:p>
    <w:p>
      <w:pPr>
        <w:ind w:firstLine="656"/>
        <w:spacing w:after="0" w:line="244" w:lineRule="auto"/>
        <w:tabs>
          <w:tab w:leader="none" w:pos="1049"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This authorization shall remain in effect until revoked or until a subsequent Notice of Account Designation is provided to the Administrative Agent.</w:t>
      </w:r>
    </w:p>
    <w:p>
      <w:pPr>
        <w:spacing w:after="0" w:line="191" w:lineRule="exact"/>
        <w:rPr>
          <w:rFonts w:ascii="Arial" w:cs="Arial" w:eastAsia="Arial" w:hAnsi="Arial"/>
          <w:sz w:val="20"/>
          <w:szCs w:val="20"/>
          <w:color w:val="auto"/>
        </w:rPr>
      </w:pPr>
    </w:p>
    <w:p>
      <w:pPr>
        <w:jc w:val="center"/>
        <w:ind w:left="4620" w:right="780" w:hanging="3964"/>
        <w:spacing w:after="0" w:line="486" w:lineRule="auto"/>
        <w:tabs>
          <w:tab w:leader="none" w:pos="1004"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Capitalized terms used herein and not defined herein shall have the meanings assigned thereto in the Credit Agreement. [Signature Page Follows]</w:t>
      </w:r>
    </w:p>
    <w:p>
      <w:pPr>
        <w:sectPr>
          <w:pgSz w:w="11900" w:h="16838" w:orient="portrait"/>
          <w:cols w:equalWidth="0" w:num="1">
            <w:col w:w="11240"/>
          </w:cols>
          <w:pgMar w:left="320" w:top="1176" w:right="3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t>IN WITNESS WHEREOF, the undersigned has executed this Notice of Account Designation as of the ____ day of ________, ____.</w:t>
      </w:r>
    </w:p>
    <w:p>
      <w:pPr>
        <w:sectPr>
          <w:pgSz w:w="11900" w:h="16838" w:orient="portrait"/>
          <w:cols w:equalWidth="0" w:num="1">
            <w:col w:w="10480"/>
          </w:cols>
          <w:pgMar w:left="980" w:top="1176" w:right="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BLACKBAUD, INC.</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-14605</wp:posOffset>
            </wp:positionV>
            <wp:extent cx="2514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-24765</wp:posOffset>
            </wp:positionV>
            <wp:extent cx="2514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-24765</wp:posOffset>
            </wp:positionV>
            <wp:extent cx="2514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ectPr>
          <w:pgSz w:w="11900" w:h="16838" w:orient="portrait"/>
          <w:cols w:equalWidth="0" w:num="1">
            <w:col w:w="10480"/>
          </w:cols>
          <w:pgMar w:left="980" w:top="1176" w:right="439" w:bottom="1440" w:gutter="0" w:footer="0" w:header="0"/>
          <w:type w:val="continuous"/>
        </w:sectPr>
      </w:pPr>
    </w:p>
    <w:bookmarkStart w:id="247" w:name="page248"/>
    <w:bookmarkEnd w:id="247"/>
    <w:p>
      <w:pPr>
        <w:jc w:val="center"/>
        <w:spacing w:after="0"/>
        <w:rPr>
          <w:sz w:val="20"/>
          <w:szCs w:val="20"/>
          <w:color w:val="auto"/>
        </w:rPr>
      </w:pPr>
      <w:r>
        <w:rPr>
          <w:rFonts w:ascii="Arial" w:cs="Arial" w:eastAsia="Arial" w:hAnsi="Arial"/>
          <w:sz w:val="20"/>
          <w:szCs w:val="20"/>
          <w:u w:val="single" w:color="auto"/>
          <w:color w:val="auto"/>
        </w:rPr>
        <w:t>EXHIBIT D</w:t>
      </w:r>
    </w:p>
    <w:p>
      <w:pPr>
        <w:spacing w:after="0" w:line="24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[FORM OF] NOTICE OF PREPAYMENT</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Agent][Swingline Lender]</w:t>
      </w:r>
    </w:p>
    <w:p>
      <w:pPr>
        <w:spacing w:after="0" w:line="243" w:lineRule="exact"/>
        <w:rPr>
          <w:sz w:val="20"/>
          <w:szCs w:val="20"/>
          <w:color w:val="auto"/>
        </w:rPr>
      </w:pPr>
    </w:p>
    <w:p>
      <w:pPr>
        <w:jc w:val="both"/>
        <w:ind w:left="540" w:hanging="1295"/>
        <w:spacing w:after="0" w:line="243" w:lineRule="auto"/>
        <w:tabs>
          <w:tab w:leader="none" w:pos="520" w:val="left"/>
        </w:tabs>
        <w:rPr>
          <w:sz w:val="20"/>
          <w:szCs w:val="20"/>
          <w:color w:val="auto"/>
        </w:rPr>
      </w:pPr>
      <w:r>
        <w:rPr>
          <w:rFonts w:ascii="Arial" w:cs="Arial" w:eastAsia="Arial" w:hAnsi="Arial"/>
          <w:sz w:val="20"/>
          <w:szCs w:val="20"/>
          <w:color w:val="auto"/>
        </w:rPr>
        <w:t>RE:</w:t>
        <w:tab/>
        <w:t>Amended and Restated Credit Agreement, dated as of October 30, 2020,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and Bank of America, N.A., as Administrative Agent, Swingline Lender and an Issuing Lender (as amended, modified, extended, restated, replaced,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herein and not otherwise defined shall have the meanings set forth in the Credit Agreement)</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undersigned Borrower hereby notifies the Administrative Agent that on </w:t>
      </w:r>
      <w:r>
        <w:rPr>
          <w:rFonts w:ascii="Arial" w:cs="Arial" w:eastAsia="Arial" w:hAnsi="Arial"/>
          <w:sz w:val="18"/>
          <w:szCs w:val="18"/>
          <w:b w:val="1"/>
          <w:bCs w:val="1"/>
          <w:color w:val="auto"/>
        </w:rPr>
        <w:t>_____________</w:t>
      </w:r>
      <w:r>
        <w:rPr>
          <w:rFonts w:ascii="Arial" w:cs="Arial" w:eastAsia="Arial" w:hAnsi="Arial"/>
          <w:sz w:val="18"/>
          <w:szCs w:val="18"/>
          <w:color w:val="auto"/>
        </w:rPr>
        <w:t xml:space="preserve"> pursuant to the terms of Section 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(Prepayments) of the Credit Agreement, such Borrower intends to prepay/repay the following Loans as more specifically set forth below:</w:t>
      </w:r>
    </w:p>
    <w:p>
      <w:pPr>
        <w:spacing w:after="0" w:line="25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Optional prepayment of [Dollar Tranche Revolving Credit][Designated Currency Tranche Revolving Credit][Term][Incremental Term] Loans in the following amount(s):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Base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-14605</wp:posOffset>
            </wp:positionV>
            <wp:extent cx="3771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Eurocurrency Rate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-14605</wp:posOffset>
            </wp:positionV>
            <wp:extent cx="3771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20"/>
          <w:szCs w:val="20"/>
          <w:color w:val="auto"/>
        </w:rPr>
        <w:t>In the following Agreed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-24765</wp:posOffset>
            </wp:positionV>
            <wp:extent cx="2514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0"/>
          <w:szCs w:val="20"/>
          <w:color w:val="auto"/>
        </w:rPr>
        <w:t>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-24765</wp:posOffset>
            </wp:positionV>
            <wp:extent cx="3771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Optional prepayment of Swingline Loans in the following amount: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-24765</wp:posOffset>
            </wp:positionV>
            <wp:extent cx="3771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7" w:lineRule="exact"/>
        <w:rPr>
          <w:sz w:val="20"/>
          <w:szCs w:val="20"/>
          <w:color w:val="auto"/>
        </w:rPr>
      </w:pPr>
    </w:p>
    <w:p>
      <w:pPr>
        <w:jc w:val="both"/>
        <w:ind w:firstLine="210"/>
        <w:spacing w:after="0" w:line="246" w:lineRule="auto"/>
        <w:rPr>
          <w:sz w:val="20"/>
          <w:szCs w:val="20"/>
          <w:color w:val="auto"/>
        </w:rPr>
      </w:pPr>
      <w:r>
        <w:rPr>
          <w:rFonts w:ascii="Arial" w:cs="Arial" w:eastAsia="Arial" w:hAnsi="Arial"/>
          <w:sz w:val="20"/>
          <w:szCs w:val="20"/>
          <w:color w:val="auto"/>
        </w:rPr>
        <w:t xml:space="preserve">This Notice of Prepayment is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undersigned Borrower may rescind or postpone any Notice for Prepayment if such prepayment would have resulted from a refinancing of a Credit Facility, which refinancing shall not be consummated or otherwise shall be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undersigned Borrower shall pay all amounts required pursuant to Section 4.9 of the Credit Agreement as a result of the rescission or postponement of such notice.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ectPr>
          <w:pgSz w:w="11900" w:h="16838" w:orient="portrait"/>
          <w:cols w:equalWidth="0" w:num="1">
            <w:col w:w="11240"/>
          </w:cols>
          <w:pgMar w:left="320" w:top="1176" w:right="3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176" w:right="1440" w:bottom="1440" w:gutter="0" w:footer="0" w:header="0"/>
        </w:sectPr>
      </w:pPr>
    </w:p>
    <w:bookmarkStart w:id="249" w:name="page250"/>
    <w:bookmarkEnd w:id="249"/>
    <w:p>
      <w:pPr>
        <w:ind w:left="2780"/>
        <w:spacing w:after="0"/>
        <w:rPr>
          <w:sz w:val="20"/>
          <w:szCs w:val="20"/>
          <w:color w:val="auto"/>
        </w:rPr>
      </w:pPr>
      <w:r>
        <w:rPr>
          <w:rFonts w:ascii="Arial" w:cs="Arial" w:eastAsia="Arial" w:hAnsi="Arial"/>
          <w:sz w:val="20"/>
          <w:szCs w:val="20"/>
          <w:color w:val="auto"/>
        </w:rPr>
        <w:t>[_________________],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 [____________________]</w:t>
      </w:r>
    </w:p>
    <w:p>
      <w:pPr>
        <w:spacing w:after="0" w:line="2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7537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-24765</wp:posOffset>
            </wp:positionV>
            <wp:extent cx="7537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-24765</wp:posOffset>
            </wp:positionV>
            <wp:extent cx="7537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20"/>
          <w:szCs w:val="20"/>
          <w:u w:val="single" w:color="auto"/>
          <w:color w:val="auto"/>
        </w:rPr>
        <w:t>EXHIBIT E</w:t>
      </w:r>
    </w:p>
    <w:p>
      <w:pPr>
        <w:spacing w:after="0" w:line="243"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[FORM OF] SWINGLINE LOAN NOTICE</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 and Swingline Lender</w:t>
      </w:r>
    </w:p>
    <w:p>
      <w:pPr>
        <w:spacing w:after="0" w:line="243" w:lineRule="exact"/>
        <w:rPr>
          <w:sz w:val="20"/>
          <w:szCs w:val="20"/>
          <w:color w:val="auto"/>
        </w:rPr>
      </w:pPr>
    </w:p>
    <w:p>
      <w:pPr>
        <w:jc w:val="both"/>
        <w:ind w:left="540" w:hanging="1295"/>
        <w:spacing w:after="0" w:line="243" w:lineRule="auto"/>
        <w:tabs>
          <w:tab w:leader="none" w:pos="520" w:val="left"/>
        </w:tabs>
        <w:rPr>
          <w:sz w:val="20"/>
          <w:szCs w:val="20"/>
          <w:color w:val="auto"/>
        </w:rPr>
      </w:pPr>
      <w:r>
        <w:rPr>
          <w:rFonts w:ascii="Arial" w:cs="Arial" w:eastAsia="Arial" w:hAnsi="Arial"/>
          <w:sz w:val="20"/>
          <w:szCs w:val="20"/>
          <w:color w:val="auto"/>
        </w:rPr>
        <w:t>RE:</w:t>
        <w:tab/>
        <w:t>Amended and Restated Credit Agreement, dated as of October 30, 2020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and Bank of America, N.A., as Administrative Agent, Swingline Lender and an Issuing Lender (as amended, modified, extended, restated, replaced,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herein and not otherwise defined shall have the meanings set forth in the Credit Agreement)</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a Swingline Loan: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1.</w:t>
            </w:r>
          </w:p>
        </w:tc>
        <w:tc>
          <w:tcPr>
            <w:tcW w:w="380" w:type="dxa"/>
            <w:vAlign w:val="bottom"/>
          </w:tcPr>
          <w:p>
            <w:pPr>
              <w:ind w:left="100"/>
              <w:spacing w:after="0"/>
              <w:rPr>
                <w:sz w:val="20"/>
                <w:szCs w:val="20"/>
                <w:color w:val="auto"/>
              </w:rPr>
            </w:pPr>
            <w:r>
              <w:rPr>
                <w:rFonts w:ascii="Arial" w:cs="Arial" w:eastAsia="Arial" w:hAnsi="Arial"/>
                <w:sz w:val="20"/>
                <w:szCs w:val="20"/>
                <w:color w:val="auto"/>
                <w:w w:val="97"/>
              </w:rPr>
              <w:t>On</w:t>
            </w:r>
          </w:p>
        </w:tc>
        <w:tc>
          <w:tcPr>
            <w:tcW w:w="1200" w:type="dxa"/>
            <w:vAlign w:val="bottom"/>
          </w:tcPr>
          <w:p>
            <w:pPr>
              <w:spacing w:after="0"/>
              <w:rPr>
                <w:sz w:val="19"/>
                <w:szCs w:val="19"/>
                <w:color w:val="auto"/>
              </w:rPr>
            </w:pPr>
          </w:p>
        </w:tc>
        <w:tc>
          <w:tcPr>
            <w:tcW w:w="2400" w:type="dxa"/>
            <w:vAlign w:val="bottom"/>
            <w:gridSpan w:val="4"/>
          </w:tcPr>
          <w:p>
            <w:pPr>
              <w:ind w:left="40"/>
              <w:spacing w:after="0"/>
              <w:rPr>
                <w:sz w:val="20"/>
                <w:szCs w:val="20"/>
                <w:color w:val="auto"/>
              </w:rPr>
            </w:pPr>
            <w:r>
              <w:rPr>
                <w:rFonts w:ascii="Arial" w:cs="Arial" w:eastAsia="Arial" w:hAnsi="Arial"/>
                <w:sz w:val="20"/>
                <w:szCs w:val="20"/>
                <w:color w:val="auto"/>
                <w:w w:val="91"/>
              </w:rPr>
              <w:t>(the “Credit Extension Date”)</w:t>
            </w: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0" w:type="dxa"/>
            <w:vAlign w:val="bottom"/>
          </w:tcPr>
          <w:p>
            <w:pPr>
              <w:jc w:val="right"/>
              <w:ind w:right="1"/>
              <w:spacing w:after="0" w:line="209" w:lineRule="exact"/>
              <w:rPr>
                <w:sz w:val="20"/>
                <w:szCs w:val="20"/>
                <w:color w:val="auto"/>
              </w:rPr>
            </w:pPr>
            <w:r>
              <w:rPr>
                <w:rFonts w:ascii="Arial" w:cs="Arial" w:eastAsia="Arial" w:hAnsi="Arial"/>
                <w:sz w:val="20"/>
                <w:szCs w:val="20"/>
                <w:color w:val="auto"/>
                <w:w w:val="83"/>
              </w:rPr>
              <w:t>2.</w:t>
            </w:r>
          </w:p>
        </w:tc>
        <w:tc>
          <w:tcPr>
            <w:tcW w:w="1580" w:type="dxa"/>
            <w:vAlign w:val="bottom"/>
            <w:gridSpan w:val="2"/>
          </w:tcPr>
          <w:p>
            <w:pPr>
              <w:ind w:left="100"/>
              <w:spacing w:after="0" w:line="209" w:lineRule="exact"/>
              <w:rPr>
                <w:sz w:val="20"/>
                <w:szCs w:val="20"/>
                <w:color w:val="auto"/>
              </w:rPr>
            </w:pPr>
            <w:r>
              <w:rPr>
                <w:rFonts w:ascii="Arial" w:cs="Arial" w:eastAsia="Arial" w:hAnsi="Arial"/>
                <w:sz w:val="20"/>
                <w:szCs w:val="20"/>
                <w:color w:val="auto"/>
                <w:w w:val="89"/>
              </w:rPr>
              <w:t>In the amount of $</w:t>
            </w:r>
          </w:p>
        </w:tc>
        <w:tc>
          <w:tcPr>
            <w:tcW w:w="760" w:type="dxa"/>
            <w:vAlign w:val="bottom"/>
            <w:tcBorders>
              <w:bottom w:val="single" w:sz="8" w:color="auto"/>
            </w:tcBorders>
            <w:gridSpan w:val="2"/>
          </w:tcPr>
          <w:p>
            <w:pPr>
              <w:spacing w:after="0"/>
              <w:rPr>
                <w:sz w:val="18"/>
                <w:szCs w:val="18"/>
                <w:color w:val="auto"/>
              </w:rPr>
            </w:pPr>
          </w:p>
        </w:tc>
        <w:tc>
          <w:tcPr>
            <w:tcW w:w="1480" w:type="dxa"/>
            <w:vAlign w:val="bottom"/>
          </w:tcPr>
          <w:p>
            <w:pPr>
              <w:jc w:val="right"/>
              <w:ind w:right="1321"/>
              <w:spacing w:after="0" w:line="209" w:lineRule="exact"/>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8"/>
                <w:szCs w:val="18"/>
                <w:color w:val="auto"/>
              </w:rPr>
            </w:pPr>
          </w:p>
        </w:tc>
      </w:tr>
    </w:tbl>
    <w:p>
      <w:pPr>
        <w:spacing w:after="0" w:line="25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Swingline Borrowing requested herein complies with the requirements of the provisos contained in Section 2.4(a) of the Credit Agreement.</w:t>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hereby represents and warrants that the conditions specified in Section 5.2 shall be satisfied on and as of the date of the Credit Extension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BLACKBAUD,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Delaware corporation</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7537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-24765</wp:posOffset>
            </wp:positionV>
            <wp:extent cx="7537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20"/>
          <w:szCs w:val="20"/>
          <w:u w:val="single" w:color="auto"/>
          <w:color w:val="auto"/>
        </w:rPr>
        <w:t>EXHIBIT 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OFFICER’S COMPLIANCE CERTIFICATE</w:t>
      </w:r>
    </w:p>
    <w:p>
      <w:pPr>
        <w:spacing w:after="0" w:line="200" w:lineRule="exact"/>
        <w:rPr>
          <w:sz w:val="20"/>
          <w:szCs w:val="20"/>
          <w:color w:val="auto"/>
        </w:rPr>
      </w:pPr>
    </w:p>
    <w:p>
      <w:pPr>
        <w:spacing w:after="0" w:line="275" w:lineRule="exact"/>
        <w:rPr>
          <w:sz w:val="20"/>
          <w:szCs w:val="20"/>
          <w:color w:val="auto"/>
        </w:rPr>
      </w:pPr>
    </w:p>
    <w:p>
      <w:pPr>
        <w:ind w:left="3480" w:hanging="196"/>
        <w:spacing w:after="0"/>
        <w:tabs>
          <w:tab w:leader="none" w:pos="3480" w:val="left"/>
        </w:tabs>
        <w:numPr>
          <w:ilvl w:val="0"/>
          <w:numId w:val="247"/>
        </w:numPr>
        <w:rPr>
          <w:rFonts w:ascii="Arial" w:cs="Arial" w:eastAsia="Arial" w:hAnsi="Arial"/>
          <w:sz w:val="25"/>
          <w:szCs w:val="25"/>
          <w:color w:val="auto"/>
        </w:rPr>
      </w:pPr>
      <w:r>
        <w:rPr>
          <w:rFonts w:ascii="Arial" w:cs="Arial" w:eastAsia="Arial" w:hAnsi="Arial"/>
          <w:sz w:val="20"/>
          <w:szCs w:val="20"/>
          <w:color w:val="auto"/>
        </w:rPr>
        <w:t xml:space="preserve">Check for distribution to public </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private side Lenders</w:t>
      </w:r>
    </w:p>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on behalf of Blackbaud, Inc. (the “</w:t>
      </w:r>
      <w:r>
        <w:rPr>
          <w:rFonts w:ascii="Arial" w:cs="Arial" w:eastAsia="Arial" w:hAnsi="Arial"/>
          <w:sz w:val="20"/>
          <w:szCs w:val="20"/>
          <w:u w:val="single" w:color="auto"/>
          <w:color w:val="auto"/>
        </w:rPr>
        <w:t>Company</w:t>
      </w:r>
      <w:r>
        <w:rPr>
          <w:rFonts w:ascii="Arial" w:cs="Arial" w:eastAsia="Arial" w:hAnsi="Arial"/>
          <w:sz w:val="20"/>
          <w:szCs w:val="20"/>
          <w:color w:val="auto"/>
        </w:rPr>
        <w:t>”), hereby certifies to the Administrative Agent and the Lenders each as defined in the Credit Agreement referred to below, as follows:</w:t>
      </w:r>
    </w:p>
    <w:p>
      <w:pPr>
        <w:spacing w:after="0" w:line="177" w:lineRule="exact"/>
        <w:rPr>
          <w:sz w:val="20"/>
          <w:szCs w:val="20"/>
          <w:color w:val="auto"/>
        </w:rPr>
      </w:pPr>
    </w:p>
    <w:p>
      <w:pPr>
        <w:jc w:val="both"/>
        <w:ind w:firstLine="656"/>
        <w:spacing w:after="0" w:line="243" w:lineRule="auto"/>
        <w:tabs>
          <w:tab w:leader="none" w:pos="102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This Officer’s Compliance Certificate (this “</w:t>
      </w:r>
      <w:r>
        <w:rPr>
          <w:rFonts w:ascii="Arial" w:cs="Arial" w:eastAsia="Arial" w:hAnsi="Arial"/>
          <w:sz w:val="20"/>
          <w:szCs w:val="20"/>
          <w:u w:val="single" w:color="auto"/>
          <w:color w:val="auto"/>
        </w:rPr>
        <w:t>Certificate</w:t>
      </w:r>
      <w:r>
        <w:rPr>
          <w:rFonts w:ascii="Arial" w:cs="Arial" w:eastAsia="Arial" w:hAnsi="Arial"/>
          <w:sz w:val="20"/>
          <w:szCs w:val="20"/>
          <w:color w:val="auto"/>
        </w:rPr>
        <w:t>”) is delivered to you pursuant to [Section 7.2] [Section 2.8(c)] [Section 2.9(c)] of the Amended and Restated Credit Agreement, dated as of October 30, 2020 (as amended, restated, supplemented or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the Company, certain Subsidiaries of the Company from time to time party thereto as subsidiary borrowers (the “</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who are or may a become party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herein and not defined herein shall have the meanings assigned thereto in the Credit Agreement.</w:t>
      </w:r>
    </w:p>
    <w:p>
      <w:pPr>
        <w:spacing w:after="0" w:line="192" w:lineRule="exact"/>
        <w:rPr>
          <w:rFonts w:ascii="Arial" w:cs="Arial" w:eastAsia="Arial" w:hAnsi="Arial"/>
          <w:sz w:val="20"/>
          <w:szCs w:val="20"/>
          <w:color w:val="auto"/>
        </w:rPr>
      </w:pPr>
    </w:p>
    <w:p>
      <w:pPr>
        <w:jc w:val="both"/>
        <w:ind w:firstLine="656"/>
        <w:spacing w:after="0" w:line="260" w:lineRule="auto"/>
        <w:tabs>
          <w:tab w:leader="none" w:pos="104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I have reviewed the financial [statements] [projections] of the Company and its Subsidiaries dated as of ______________ and for the ______________ period</w:t>
      </w:r>
      <w:r>
        <w:rPr>
          <w:rFonts w:ascii="Arial" w:cs="Arial" w:eastAsia="Arial" w:hAnsi="Arial"/>
          <w:sz w:val="19"/>
          <w:szCs w:val="19"/>
          <w:b w:val="1"/>
          <w:bCs w:val="1"/>
          <w:color w:val="auto"/>
        </w:rPr>
        <w:t>[</w:t>
      </w:r>
      <w:r>
        <w:rPr>
          <w:rFonts w:ascii="Arial" w:cs="Arial" w:eastAsia="Arial" w:hAnsi="Arial"/>
          <w:sz w:val="19"/>
          <w:szCs w:val="19"/>
          <w:color w:val="auto"/>
        </w:rPr>
        <w:t>s</w:t>
      </w:r>
      <w:r>
        <w:rPr>
          <w:rFonts w:ascii="Arial" w:cs="Arial" w:eastAsia="Arial" w:hAnsi="Arial"/>
          <w:sz w:val="19"/>
          <w:szCs w:val="19"/>
          <w:b w:val="1"/>
          <w:bCs w:val="1"/>
          <w:color w:val="auto"/>
        </w:rPr>
        <w:t>]</w:t>
      </w:r>
      <w:r>
        <w:rPr>
          <w:rFonts w:ascii="Arial" w:cs="Arial" w:eastAsia="Arial" w:hAnsi="Arial"/>
          <w:sz w:val="19"/>
          <w:szCs w:val="19"/>
          <w:color w:val="auto"/>
        </w:rPr>
        <w:t xml:space="preserve"> then ended and [such statements fairly present in all material respects the financial condition of the Company and its Subsidiaries on a Consolidated basis as of the dates indicated and the results of their operations and cash flows for the period[s] indicated] [represent the good faith estimates (utilizing reasonable assumptions) of the financial condition and operations of the Company and its Subsidiaries, taken as a whole, in all material respects].</w:t>
      </w:r>
    </w:p>
    <w:p>
      <w:pPr>
        <w:spacing w:after="0" w:line="180" w:lineRule="exact"/>
        <w:rPr>
          <w:rFonts w:ascii="Arial" w:cs="Arial" w:eastAsia="Arial" w:hAnsi="Arial"/>
          <w:sz w:val="19"/>
          <w:szCs w:val="19"/>
          <w:color w:val="auto"/>
        </w:rPr>
      </w:pPr>
    </w:p>
    <w:p>
      <w:pPr>
        <w:jc w:val="both"/>
        <w:ind w:firstLine="656"/>
        <w:spacing w:after="0" w:line="273" w:lineRule="auto"/>
        <w:tabs>
          <w:tab w:leader="none" w:pos="10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 have reviewed the terms of the Credit Agreement, and the related Loan Documents and have made, or caused to be made under my supervision, a review in reasonable detail of the transactions and the condition of the Company and its Subsidiaries during the accounting period covered by the financial [statements] [projections] referred to in Paragraph 2 above. Such review has not disclosed the existence [at the end of such accounting period] [as of the [Revolving Credit Increase Effective Date] [Incremental Term Loan Effective Date]] of any condition or event that constitutes a Default or an Event of Default [or that shall constitute a Default or an Event of Default immediately after giving effect to such [increase in the Revolving Credit Commitment] [Incremental Term Loans]], nor do I have any knowledge of the existence of any such condition or event as at the date of this Certificate </w:t>
      </w:r>
      <w:r>
        <w:rPr>
          <w:rFonts w:ascii="Arial" w:cs="Arial" w:eastAsia="Arial" w:hAnsi="Arial"/>
          <w:sz w:val="18"/>
          <w:szCs w:val="18"/>
          <w:b w:val="1"/>
          <w:bCs w:val="1"/>
          <w:color w:val="auto"/>
        </w:rPr>
        <w:t>[</w:t>
      </w:r>
      <w:r>
        <w:rPr>
          <w:rFonts w:ascii="Arial" w:cs="Arial" w:eastAsia="Arial" w:hAnsi="Arial"/>
          <w:sz w:val="18"/>
          <w:szCs w:val="18"/>
          <w:color w:val="auto"/>
        </w:rPr>
        <w:t>except, if such condition or event existed or exists, describe the nature and period of existence thereof and what action the Borrowers have taken, are taking and propose to take with respect thereto</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firstLine="656"/>
        <w:spacing w:after="0" w:line="250" w:lineRule="auto"/>
        <w:tabs>
          <w:tab w:leader="none" w:pos="1006"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The Applicable Margin and calculations determining such figures are set forth on the attached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and the Company and its Restricted Subsidiaries are in [pro forma] compliance with the financial covenants contained in Section 9.1 and Section 9.2 of the Credit Agreement as shown on such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ectPr>
          <w:pgSz w:w="11900" w:h="16838" w:orient="portrait"/>
          <w:cols w:equalWidth="0" w:num="1">
            <w:col w:w="11240"/>
          </w:cols>
          <w:pgMar w:left="320" w:top="1176" w:right="339" w:bottom="1440" w:gutter="0" w:footer="0" w:header="0"/>
        </w:sectPr>
      </w:pPr>
    </w:p>
    <w:bookmarkStart w:id="252" w:name="page253"/>
    <w:bookmarkEnd w:id="252"/>
    <w:p>
      <w:pPr>
        <w:jc w:val="both"/>
        <w:ind w:left="-20" w:firstLine="656"/>
        <w:spacing w:after="0" w:line="250" w:lineRule="auto"/>
        <w:tabs>
          <w:tab w:leader="none" w:pos="1144"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Schedule 2</w:t>
      </w:r>
      <w:r>
        <w:rPr>
          <w:rFonts w:ascii="Arial" w:cs="Arial" w:eastAsia="Arial" w:hAnsi="Arial"/>
          <w:sz w:val="20"/>
          <w:szCs w:val="20"/>
          <w:color w:val="auto"/>
        </w:rPr>
        <w:t xml:space="preserve"> are (i) calculations of the total assets and EBITDA of the Company and its Restricted Subsidiaries (determined on a Consolidated basis in accordance with GAAP) and (ii) a list of each Subsidiary that is not a Material Domestic Subsidiary or a Material Foreign Subsidiary and the total assets and EBITDA of each such Subsidiary.]</w:t>
      </w:r>
    </w:p>
    <w:p>
      <w:pPr>
        <w:spacing w:after="0" w:line="212" w:lineRule="exact"/>
        <w:rPr>
          <w:rFonts w:ascii="Arial" w:cs="Arial" w:eastAsia="Arial" w:hAnsi="Arial"/>
          <w:sz w:val="20"/>
          <w:szCs w:val="20"/>
          <w:color w:val="auto"/>
        </w:rPr>
      </w:pPr>
    </w:p>
    <w:p>
      <w:pPr>
        <w:jc w:val="both"/>
        <w:ind w:left="-20" w:firstLine="656"/>
        <w:spacing w:after="0" w:line="246" w:lineRule="auto"/>
        <w:tabs>
          <w:tab w:leader="none" w:pos="97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Schedule 3</w:t>
      </w:r>
      <w:r>
        <w:rPr>
          <w:rFonts w:ascii="Arial" w:cs="Arial" w:eastAsia="Arial" w:hAnsi="Arial"/>
          <w:sz w:val="20"/>
          <w:szCs w:val="20"/>
          <w:color w:val="auto"/>
        </w:rPr>
        <w:t xml:space="preserve"> are unaudited consolidating financial statements reflecting adjustments necessary to eliminate the assets, accounts and operations of Unrestricted Subsidiaries from such financial statements referred to in Paragraph 2 above. I have reviewed such financial statements and such statements fairly present in all material respects the financial condition and results of the operations of the Company and its Restricted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20"/>
          </w:cols>
          <w:pgMar w:left="340" w:top="1176"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t>WITNESS the following signature as of the ____ day of ________, ____.</w:t>
      </w:r>
    </w:p>
    <w:p>
      <w:pPr>
        <w:sectPr>
          <w:pgSz w:w="11900" w:h="16838" w:orient="portrait"/>
          <w:cols w:equalWidth="0" w:num="1">
            <w:col w:w="9479"/>
          </w:cols>
          <w:pgMar w:left="980" w:top="1176" w:right="1440" w:bottom="1440" w:gutter="0" w:footer="0" w:header="0"/>
        </w:sect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BLACKBAUD, INC.</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-14605</wp:posOffset>
            </wp:positionV>
            <wp:extent cx="2514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-24765</wp:posOffset>
            </wp:positionV>
            <wp:extent cx="2514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-24765</wp:posOffset>
            </wp:positionV>
            <wp:extent cx="2514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479"/>
          </w:cols>
          <w:pgMar w:left="980" w:top="1176" w:right="1440" w:bottom="1440" w:gutter="0" w:footer="0" w:header="0"/>
          <w:type w:val="continuous"/>
        </w:sectPr>
      </w:pPr>
    </w:p>
    <w:bookmarkStart w:id="254" w:name="page255"/>
    <w:bookmarkEnd w:id="254"/>
    <w:p>
      <w:pPr>
        <w:jc w:val="center"/>
        <w:ind w:right="19"/>
        <w:spacing w:after="0"/>
        <w:rPr>
          <w:sz w:val="20"/>
          <w:szCs w:val="20"/>
          <w:color w:val="auto"/>
        </w:rPr>
      </w:pPr>
      <w:r>
        <w:rPr>
          <w:rFonts w:ascii="Arial" w:cs="Arial" w:eastAsia="Arial" w:hAnsi="Arial"/>
          <w:sz w:val="20"/>
          <w:szCs w:val="20"/>
          <w:u w:val="single" w:color="auto"/>
          <w:color w:val="auto"/>
        </w:rPr>
        <w:t>Schedule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to</w:t>
      </w:r>
    </w:p>
    <w:p>
      <w:pPr>
        <w:jc w:val="center"/>
        <w:ind w:right="19"/>
        <w:spacing w:after="0"/>
        <w:rPr>
          <w:sz w:val="20"/>
          <w:szCs w:val="20"/>
          <w:color w:val="auto"/>
        </w:rPr>
      </w:pPr>
      <w:r>
        <w:rPr>
          <w:rFonts w:ascii="Arial" w:cs="Arial" w:eastAsia="Arial" w:hAnsi="Arial"/>
          <w:sz w:val="18"/>
          <w:szCs w:val="18"/>
          <w:color w:val="auto"/>
        </w:rPr>
        <w:t>Officer’s Compliance Certificate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provided by Company]</w:t>
      </w:r>
    </w:p>
    <w:p>
      <w:pPr>
        <w:sectPr>
          <w:pgSz w:w="11900" w:h="16838" w:orient="portrait"/>
          <w:cols w:equalWidth="0" w:num="1">
            <w:col w:w="9019"/>
          </w:cols>
          <w:pgMar w:left="1440" w:top="1176"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20"/>
          <w:szCs w:val="20"/>
          <w:u w:val="single" w:color="auto"/>
          <w:color w:val="auto"/>
        </w:rPr>
        <w:t>[Schedule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jc w:val="center"/>
        <w:spacing w:after="0"/>
        <w:rPr>
          <w:sz w:val="20"/>
          <w:szCs w:val="20"/>
          <w:color w:val="auto"/>
        </w:rPr>
      </w:pPr>
      <w:r>
        <w:rPr>
          <w:rFonts w:ascii="Arial" w:cs="Arial" w:eastAsia="Arial" w:hAnsi="Arial"/>
          <w:sz w:val="18"/>
          <w:szCs w:val="18"/>
          <w:color w:val="auto"/>
        </w:rPr>
        <w:t>Officer’s Compliance Certificate]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provided by Company]</w:t>
      </w:r>
    </w:p>
    <w:p>
      <w:pPr>
        <w:sectPr>
          <w:pgSz w:w="11900" w:h="16838" w:orient="portrait"/>
          <w:cols w:equalWidth="0" w:num="1">
            <w:col w:w="9019"/>
          </w:cols>
          <w:pgMar w:left="1440" w:top="1176" w:right="1440"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20"/>
          <w:szCs w:val="20"/>
          <w:u w:val="single" w:color="auto"/>
          <w:color w:val="auto"/>
        </w:rPr>
        <w:t>Schedule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to</w:t>
      </w:r>
    </w:p>
    <w:p>
      <w:pPr>
        <w:jc w:val="center"/>
        <w:ind w:right="19"/>
        <w:spacing w:after="0"/>
        <w:rPr>
          <w:sz w:val="20"/>
          <w:szCs w:val="20"/>
          <w:color w:val="auto"/>
        </w:rPr>
      </w:pPr>
      <w:r>
        <w:rPr>
          <w:rFonts w:ascii="Arial" w:cs="Arial" w:eastAsia="Arial" w:hAnsi="Arial"/>
          <w:sz w:val="18"/>
          <w:szCs w:val="18"/>
          <w:color w:val="auto"/>
        </w:rPr>
        <w:t>Officer’s Compliance Certificate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provided by Company]</w:t>
      </w:r>
    </w:p>
    <w:p>
      <w:pPr>
        <w:sectPr>
          <w:pgSz w:w="11900" w:h="16838" w:orient="portrait"/>
          <w:cols w:equalWidth="0" w:num="1">
            <w:col w:w="9019"/>
          </w:cols>
          <w:pgMar w:left="1440" w:top="1419"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20"/>
          <w:szCs w:val="20"/>
          <w:u w:val="single" w:color="auto"/>
          <w:color w:val="auto"/>
        </w:rPr>
        <w:t>EXHIBIT 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ASSIGNMENT AND ASSUMPTION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[the] [each] Assignor identified in item 1 below ([the] [each, an] “</w:t>
      </w:r>
      <w:r>
        <w:rPr>
          <w:rFonts w:ascii="Arial" w:cs="Arial" w:eastAsia="Arial" w:hAnsi="Arial"/>
          <w:sz w:val="19"/>
          <w:szCs w:val="19"/>
          <w:u w:val="single" w:color="auto"/>
          <w:color w:val="auto"/>
        </w:rPr>
        <w:t>Assignor</w:t>
      </w:r>
      <w:r>
        <w:rPr>
          <w:rFonts w:ascii="Arial" w:cs="Arial" w:eastAsia="Arial" w:hAnsi="Arial"/>
          <w:sz w:val="19"/>
          <w:szCs w:val="19"/>
          <w:color w:val="auto"/>
        </w:rPr>
        <w:t>”) and [the] [each] Assignee identified in item 2 below ([the] [each, an] “</w:t>
      </w:r>
      <w:r>
        <w:rPr>
          <w:rFonts w:ascii="Arial" w:cs="Arial" w:eastAsia="Arial" w:hAnsi="Arial"/>
          <w:sz w:val="19"/>
          <w:szCs w:val="19"/>
          <w:u w:val="single" w:color="auto"/>
          <w:color w:val="auto"/>
        </w:rPr>
        <w:t>Assignee</w:t>
      </w:r>
      <w:r>
        <w:rPr>
          <w:rFonts w:ascii="Arial" w:cs="Arial" w:eastAsia="Arial" w:hAnsi="Arial"/>
          <w:sz w:val="19"/>
          <w:szCs w:val="19"/>
          <w:color w:val="auto"/>
        </w:rPr>
        <w:t>”). [It is understood and agreed that the rights and obligations of [the Assignors] [the Assignees] hereunder are several and not joint.] Capitalized terms used but not defined herein shall have the meanings given to them in the Credit Agreement identified below (as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[each] Assignee. The Standard Terms and Conditions set forth in Annex 1 attached hereto are hereby agreed to and incorporated herein by reference and made a part of this Assignment and Assumption as if set forth herein in full.</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an agreed consideration, [the] [each] Assignor hereby irrevocably sells and assigns to [the Assignee] [the respective Assignees], and [the] [each]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Lender] [their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[any] Assignor to [the] [any] Assignee pursuant to clauses (i) and (ii) above being referred to herein collectively as [the] [an]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 [any] Assignor and, except as expressly provided in this Assignment and Assumption, without representation or warranty by [the] [any] Assignor.</w:t>
      </w:r>
    </w:p>
    <w:p>
      <w:pPr>
        <w:spacing w:after="0" w:line="176" w:lineRule="exact"/>
        <w:rPr>
          <w:sz w:val="20"/>
          <w:szCs w:val="20"/>
          <w:color w:val="auto"/>
        </w:rPr>
      </w:pPr>
    </w:p>
    <w:p>
      <w:pPr>
        <w:ind w:left="340" w:hanging="332"/>
        <w:spacing w:after="0"/>
        <w:tabs>
          <w:tab w:leader="none" w:pos="3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Assignor[s]: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8" w:lineRule="exact"/>
        <w:rPr>
          <w:rFonts w:ascii="Arial" w:cs="Arial" w:eastAsia="Arial" w:hAnsi="Arial"/>
          <w:sz w:val="20"/>
          <w:szCs w:val="20"/>
          <w:color w:val="auto"/>
        </w:rPr>
      </w:pPr>
    </w:p>
    <w:p>
      <w:pPr>
        <w:ind w:left="340" w:hanging="332"/>
        <w:spacing w:after="0"/>
        <w:tabs>
          <w:tab w:leader="none" w:pos="34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-597535</wp:posOffset>
            </wp:positionV>
            <wp:extent cx="125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-160655</wp:posOffset>
            </wp:positionV>
            <wp:extent cx="1257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-14605</wp:posOffset>
            </wp:positionV>
            <wp:extent cx="125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421640</wp:posOffset>
            </wp:positionV>
            <wp:extent cx="1257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each Assignee, indicate [Affiliate] [Approved Fund] of [</w:t>
      </w:r>
      <w:r>
        <w:rPr>
          <w:rFonts w:ascii="Arial" w:cs="Arial" w:eastAsia="Arial" w:hAnsi="Arial"/>
          <w:sz w:val="20"/>
          <w:szCs w:val="20"/>
          <w:i w:val="1"/>
          <w:iCs w:val="1"/>
          <w:color w:val="auto"/>
        </w:rPr>
        <w:t>identify</w:t>
      </w:r>
      <w:r>
        <w:rPr>
          <w:rFonts w:ascii="Arial" w:cs="Arial" w:eastAsia="Arial" w:hAnsi="Arial"/>
          <w:sz w:val="20"/>
          <w:szCs w:val="20"/>
          <w:color w:val="auto"/>
        </w:rPr>
        <w:t xml:space="preserve"> Lender]</w:t>
      </w:r>
    </w:p>
    <w:p>
      <w:pPr>
        <w:spacing w:after="0" w:line="16" w:lineRule="exact"/>
        <w:rPr>
          <w:sz w:val="20"/>
          <w:szCs w:val="20"/>
          <w:color w:val="auto"/>
        </w:rPr>
      </w:pPr>
    </w:p>
    <w:p>
      <w:pPr>
        <w:ind w:left="660" w:hanging="652"/>
        <w:spacing w:after="0" w:line="241" w:lineRule="auto"/>
        <w:tabs>
          <w:tab w:leader="none" w:pos="362" w:val="left"/>
        </w:tabs>
        <w:numPr>
          <w:ilvl w:val="0"/>
          <w:numId w:val="251"/>
        </w:numPr>
        <w:rPr>
          <w:rFonts w:ascii="Arial" w:cs="Arial" w:eastAsia="Arial" w:hAnsi="Arial"/>
          <w:sz w:val="20"/>
          <w:szCs w:val="20"/>
          <w:color w:val="auto"/>
        </w:rPr>
      </w:pPr>
      <w:r>
        <w:rPr>
          <w:rFonts w:ascii="Arial" w:cs="Arial" w:eastAsia="Arial" w:hAnsi="Arial"/>
          <w:sz w:val="20"/>
          <w:szCs w:val="20"/>
          <w:color w:val="auto"/>
        </w:rPr>
        <w:t>Borrower: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certain Subsidiaries of the Company from time to time party thereto as subsidiary borrowers (the “</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ectPr>
          <w:pgSz w:w="11900" w:h="16838" w:orient="portrait"/>
          <w:cols w:equalWidth="0" w:num="1">
            <w:col w:w="11240"/>
          </w:cols>
          <w:pgMar w:left="320" w:top="1176" w:right="339" w:bottom="1440" w:gutter="0" w:footer="0" w:header="0"/>
        </w:sectPr>
      </w:pPr>
    </w:p>
    <w:bookmarkStart w:id="258" w:name="page259"/>
    <w:bookmarkEnd w:id="258"/>
    <w:p>
      <w:pPr>
        <w:ind w:left="340" w:hanging="332"/>
        <w:spacing w:after="0"/>
        <w:tabs>
          <w:tab w:leader="none" w:pos="3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Administrative Agent:  Bank of America, N.A., as the administrative agent under the Credit Agreement.</w:t>
      </w:r>
    </w:p>
    <w:p>
      <w:pPr>
        <w:spacing w:after="0" w:line="215" w:lineRule="exact"/>
        <w:rPr>
          <w:rFonts w:ascii="Arial" w:cs="Arial" w:eastAsia="Arial" w:hAnsi="Arial"/>
          <w:sz w:val="20"/>
          <w:szCs w:val="20"/>
          <w:color w:val="auto"/>
        </w:rPr>
      </w:pPr>
    </w:p>
    <w:p>
      <w:pPr>
        <w:ind w:left="2680" w:hanging="2672"/>
        <w:spacing w:after="0" w:line="250" w:lineRule="auto"/>
        <w:tabs>
          <w:tab w:leader="none" w:pos="362" w:val="left"/>
        </w:tabs>
        <w:numPr>
          <w:ilvl w:val="0"/>
          <w:numId w:val="252"/>
        </w:numPr>
        <w:rPr>
          <w:rFonts w:ascii="Arial" w:cs="Arial" w:eastAsia="Arial" w:hAnsi="Arial"/>
          <w:sz w:val="20"/>
          <w:szCs w:val="20"/>
          <w:color w:val="auto"/>
        </w:rPr>
      </w:pPr>
      <w:r>
        <w:rPr>
          <w:rFonts w:ascii="Arial" w:cs="Arial" w:eastAsia="Arial" w:hAnsi="Arial"/>
          <w:sz w:val="20"/>
          <w:szCs w:val="20"/>
          <w:color w:val="auto"/>
        </w:rPr>
        <w:t>Credit Agreement: The Amended and Restated Credit Agreement, dated as of October 30, 2020, among the Borrowers, the lenders and other financial institutions from time to time party thereto, and Bank of America, N.A., as Administrative Agent, Swingline Lender and an Issuing Lender.</w:t>
      </w:r>
    </w:p>
    <w:p>
      <w:pPr>
        <w:spacing w:after="0" w:line="185" w:lineRule="exact"/>
        <w:rPr>
          <w:rFonts w:ascii="Arial" w:cs="Arial" w:eastAsia="Arial" w:hAnsi="Arial"/>
          <w:sz w:val="20"/>
          <w:szCs w:val="20"/>
          <w:color w:val="auto"/>
        </w:rPr>
      </w:pPr>
    </w:p>
    <w:p>
      <w:pPr>
        <w:ind w:left="340" w:hanging="332"/>
        <w:spacing w:after="0"/>
        <w:tabs>
          <w:tab w:leader="none" w:pos="34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Assigned Interest[s]: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50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20"/>
                <w:szCs w:val="20"/>
                <w:color w:val="auto"/>
              </w:rPr>
              <w:t>Assignor[s]</w:t>
            </w:r>
          </w:p>
        </w:tc>
        <w:tc>
          <w:tcPr>
            <w:tcW w:w="12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Assignee[s]</w:t>
            </w:r>
          </w:p>
        </w:tc>
        <w:tc>
          <w:tcPr>
            <w:tcW w:w="1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4"/>
              </w:rPr>
              <w:t>Facility Assigned</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Aggregate Amount</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Percentage</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CUSIP</w:t>
            </w:r>
          </w:p>
        </w:tc>
      </w:tr>
      <w:tr>
        <w:trPr>
          <w:trHeight w:val="229"/>
        </w:trPr>
        <w:tc>
          <w:tcPr>
            <w:tcW w:w="150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of Commitment/</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Commitment/ Loans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Assigned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Number</w:t>
            </w:r>
          </w:p>
        </w:tc>
      </w:tr>
      <w:tr>
        <w:trPr>
          <w:trHeight w:val="229"/>
        </w:trPr>
        <w:tc>
          <w:tcPr>
            <w:tcW w:w="150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Loans for all</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Assigned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Commitment/</w:t>
            </w:r>
          </w:p>
        </w:tc>
        <w:tc>
          <w:tcPr>
            <w:tcW w:w="1180" w:type="dxa"/>
            <w:vAlign w:val="bottom"/>
            <w:tcBorders>
              <w:right w:val="single" w:sz="8" w:color="auto"/>
            </w:tcBorders>
          </w:tcPr>
          <w:p>
            <w:pPr>
              <w:spacing w:after="0"/>
              <w:rPr>
                <w:sz w:val="19"/>
                <w:szCs w:val="19"/>
                <w:color w:val="auto"/>
              </w:rPr>
            </w:pPr>
          </w:p>
        </w:tc>
      </w:tr>
      <w:tr>
        <w:trPr>
          <w:trHeight w:val="250"/>
        </w:trPr>
        <w:tc>
          <w:tcPr>
            <w:tcW w:w="150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Lenders</w:t>
            </w:r>
          </w:p>
        </w:tc>
        <w:tc>
          <w:tcPr>
            <w:tcW w:w="17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c>
          <w:tcPr>
            <w:tcW w:w="1180" w:type="dxa"/>
            <w:vAlign w:val="bottom"/>
            <w:tcBorders>
              <w:right w:val="single" w:sz="8" w:color="auto"/>
            </w:tcBorders>
          </w:tcPr>
          <w:p>
            <w:pPr>
              <w:spacing w:after="0"/>
              <w:rPr>
                <w:sz w:val="21"/>
                <w:szCs w:val="21"/>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right"/>
              <w:ind w:right="1441"/>
              <w:spacing w:after="0"/>
              <w:rPr>
                <w:sz w:val="20"/>
                <w:szCs w:val="20"/>
                <w:color w:val="auto"/>
              </w:rPr>
            </w:pPr>
            <w:r>
              <w:rPr>
                <w:rFonts w:ascii="Arial" w:cs="Arial" w:eastAsia="Arial" w:hAnsi="Arial"/>
                <w:sz w:val="20"/>
                <w:szCs w:val="20"/>
                <w:color w:val="auto"/>
                <w:w w:val="89"/>
              </w:rPr>
              <w:t>$</w:t>
            </w:r>
          </w:p>
        </w:tc>
        <w:tc>
          <w:tcPr>
            <w:tcW w:w="1780" w:type="dxa"/>
            <w:vAlign w:val="bottom"/>
            <w:tcBorders>
              <w:right w:val="single" w:sz="8" w:color="auto"/>
            </w:tcBorders>
          </w:tcPr>
          <w:p>
            <w:pPr>
              <w:jc w:val="right"/>
              <w:ind w:right="1561"/>
              <w:spacing w:after="0"/>
              <w:rPr>
                <w:sz w:val="20"/>
                <w:szCs w:val="20"/>
                <w:color w:val="auto"/>
              </w:rPr>
            </w:pPr>
            <w:r>
              <w:rPr>
                <w:rFonts w:ascii="Arial" w:cs="Arial" w:eastAsia="Arial" w:hAnsi="Arial"/>
                <w:sz w:val="20"/>
                <w:szCs w:val="20"/>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180" w:type="dxa"/>
            <w:vAlign w:val="bottom"/>
            <w:tcBorders>
              <w:right w:val="single" w:sz="8" w:color="auto"/>
            </w:tcBorders>
          </w:tcPr>
          <w:p>
            <w:pPr>
              <w:spacing w:after="0"/>
              <w:rPr>
                <w:sz w:val="22"/>
                <w:szCs w:val="22"/>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right"/>
              <w:ind w:right="1441"/>
              <w:spacing w:after="0"/>
              <w:rPr>
                <w:sz w:val="20"/>
                <w:szCs w:val="20"/>
                <w:color w:val="auto"/>
              </w:rPr>
            </w:pPr>
            <w:r>
              <w:rPr>
                <w:rFonts w:ascii="Arial" w:cs="Arial" w:eastAsia="Arial" w:hAnsi="Arial"/>
                <w:sz w:val="20"/>
                <w:szCs w:val="20"/>
                <w:color w:val="auto"/>
                <w:w w:val="89"/>
              </w:rPr>
              <w:t>$</w:t>
            </w:r>
          </w:p>
        </w:tc>
        <w:tc>
          <w:tcPr>
            <w:tcW w:w="1780" w:type="dxa"/>
            <w:vAlign w:val="bottom"/>
            <w:tcBorders>
              <w:right w:val="single" w:sz="8" w:color="auto"/>
            </w:tcBorders>
          </w:tcPr>
          <w:p>
            <w:pPr>
              <w:jc w:val="right"/>
              <w:ind w:right="1561"/>
              <w:spacing w:after="0"/>
              <w:rPr>
                <w:sz w:val="20"/>
                <w:szCs w:val="20"/>
                <w:color w:val="auto"/>
              </w:rPr>
            </w:pPr>
            <w:r>
              <w:rPr>
                <w:rFonts w:ascii="Arial" w:cs="Arial" w:eastAsia="Arial" w:hAnsi="Arial"/>
                <w:sz w:val="20"/>
                <w:szCs w:val="20"/>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180" w:type="dxa"/>
            <w:vAlign w:val="bottom"/>
            <w:tcBorders>
              <w:right w:val="single" w:sz="8" w:color="auto"/>
            </w:tcBorders>
          </w:tcPr>
          <w:p>
            <w:pPr>
              <w:spacing w:after="0"/>
              <w:rPr>
                <w:sz w:val="22"/>
                <w:szCs w:val="22"/>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jc w:val="right"/>
              <w:ind w:right="1441"/>
              <w:spacing w:after="0"/>
              <w:rPr>
                <w:sz w:val="20"/>
                <w:szCs w:val="20"/>
                <w:color w:val="auto"/>
              </w:rPr>
            </w:pPr>
            <w:r>
              <w:rPr>
                <w:rFonts w:ascii="Arial" w:cs="Arial" w:eastAsia="Arial" w:hAnsi="Arial"/>
                <w:sz w:val="20"/>
                <w:szCs w:val="20"/>
                <w:color w:val="auto"/>
                <w:w w:val="89"/>
              </w:rPr>
              <w:t>$</w:t>
            </w:r>
          </w:p>
        </w:tc>
        <w:tc>
          <w:tcPr>
            <w:tcW w:w="1780" w:type="dxa"/>
            <w:vAlign w:val="bottom"/>
            <w:tcBorders>
              <w:right w:val="single" w:sz="8" w:color="auto"/>
            </w:tcBorders>
          </w:tcPr>
          <w:p>
            <w:pPr>
              <w:jc w:val="right"/>
              <w:ind w:right="1561"/>
              <w:spacing w:after="0"/>
              <w:rPr>
                <w:sz w:val="20"/>
                <w:szCs w:val="20"/>
                <w:color w:val="auto"/>
              </w:rPr>
            </w:pPr>
            <w:r>
              <w:rPr>
                <w:rFonts w:ascii="Arial" w:cs="Arial" w:eastAsia="Arial" w:hAnsi="Arial"/>
                <w:sz w:val="20"/>
                <w:szCs w:val="20"/>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180" w:type="dxa"/>
            <w:vAlign w:val="bottom"/>
            <w:tcBorders>
              <w:right w:val="single" w:sz="8" w:color="auto"/>
            </w:tcBorders>
          </w:tcPr>
          <w:p>
            <w:pPr>
              <w:spacing w:after="0"/>
              <w:rPr>
                <w:sz w:val="22"/>
                <w:szCs w:val="22"/>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91" w:lineRule="exact"/>
        <w:rPr>
          <w:sz w:val="20"/>
          <w:szCs w:val="20"/>
          <w:color w:val="auto"/>
        </w:rPr>
      </w:pPr>
    </w:p>
    <w:p>
      <w:pPr>
        <w:spacing w:after="0"/>
        <w:tabs>
          <w:tab w:leader="none" w:pos="400" w:val="left"/>
          <w:tab w:leader="none" w:pos="1520" w:val="left"/>
        </w:tabs>
        <w:rPr>
          <w:sz w:val="20"/>
          <w:szCs w:val="20"/>
          <w:color w:val="auto"/>
        </w:rPr>
      </w:pPr>
      <w:r>
        <w:rPr>
          <w:rFonts w:ascii="Arial" w:cs="Arial" w:eastAsia="Arial" w:hAnsi="Arial"/>
          <w:sz w:val="20"/>
          <w:szCs w:val="20"/>
          <w:color w:val="auto"/>
        </w:rPr>
        <w:t>[7.</w:t>
        <w:tab/>
        <w:t>Trade Date:</w:t>
      </w:r>
      <w:r>
        <w:rPr>
          <w:sz w:val="20"/>
          <w:szCs w:val="20"/>
          <w:color w:val="auto"/>
        </w:rPr>
        <w:tab/>
      </w:r>
      <w:r>
        <w:rPr>
          <w:rFonts w:ascii="Arial" w:cs="Arial" w:eastAsia="Arial" w:hAnsi="Arial"/>
          <w:sz w:val="18"/>
          <w:szCs w:val="18"/>
          <w:color w:val="auto"/>
        </w:rPr>
        <w:t>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176" w:right="339" w:bottom="1440" w:gutter="0" w:footer="0" w:header="0"/>
        </w:sectPr>
      </w:pPr>
    </w:p>
    <w:bookmarkStart w:id="259" w:name="page260"/>
    <w:bookmarkEnd w:id="259"/>
    <w:p>
      <w:pPr>
        <w:ind w:left="660"/>
        <w:spacing w:after="0"/>
        <w:rPr>
          <w:sz w:val="20"/>
          <w:szCs w:val="20"/>
          <w:color w:val="auto"/>
        </w:rPr>
      </w:pPr>
      <w:r>
        <w:rPr>
          <w:rFonts w:ascii="Arial" w:cs="Arial" w:eastAsia="Arial" w:hAnsi="Arial"/>
          <w:sz w:val="16"/>
          <w:szCs w:val="16"/>
          <w:color w:val="auto"/>
        </w:rPr>
        <w:t>The terms set forth in this Assignment and Assumption are hereby agreed to:</w:t>
      </w:r>
    </w:p>
    <w:p>
      <w:pPr>
        <w:spacing w:after="0" w:line="2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ASSIGNOR[S]</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-14605</wp:posOffset>
            </wp:positionV>
            <wp:extent cx="2514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20"/>
          <w:szCs w:val="20"/>
          <w:color w:val="auto"/>
        </w:rPr>
        <w:t>Title:</w:t>
      </w:r>
    </w:p>
    <w:p>
      <w:pPr>
        <w:ind w:left="4220"/>
        <w:spacing w:after="0"/>
        <w:rPr>
          <w:sz w:val="20"/>
          <w:szCs w:val="20"/>
          <w:color w:val="auto"/>
        </w:rPr>
      </w:pPr>
      <w:r>
        <w:rPr>
          <w:rFonts w:ascii="Arial" w:cs="Arial" w:eastAsia="Arial" w:hAnsi="Arial"/>
          <w:sz w:val="20"/>
          <w:szCs w:val="20"/>
          <w:color w:val="auto"/>
        </w:rPr>
        <w:t>ASSIGNEE[S]</w:t>
      </w: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-14605</wp:posOffset>
            </wp:positionV>
            <wp:extent cx="2514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 Accepted: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Administrative Agent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BLACKBAUD,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 Issuing Lender and Swingline Lender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176" w:right="1440" w:bottom="1440" w:gutter="0" w:footer="0" w:header="0"/>
        </w:sectPr>
      </w:pPr>
    </w:p>
    <w:bookmarkStart w:id="260" w:name="page261"/>
    <w:bookmarkEnd w:id="260"/>
    <w:p>
      <w:pPr>
        <w:spacing w:after="0"/>
        <w:rPr>
          <w:sz w:val="20"/>
          <w:szCs w:val="20"/>
          <w:color w:val="auto"/>
        </w:rPr>
      </w:pPr>
      <w:r>
        <w:rPr>
          <w:rFonts w:ascii="Arial" w:cs="Arial" w:eastAsia="Arial" w:hAnsi="Arial"/>
          <w:sz w:val="20"/>
          <w:szCs w:val="20"/>
          <w:color w:val="auto"/>
        </w:rPr>
        <w:t>Consented 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 as</w:t>
      </w:r>
    </w:p>
    <w:p>
      <w:pPr>
        <w:spacing w:after="0"/>
        <w:rPr>
          <w:sz w:val="20"/>
          <w:szCs w:val="20"/>
          <w:color w:val="auto"/>
        </w:rPr>
      </w:pPr>
      <w:r>
        <w:rPr>
          <w:rFonts w:ascii="Arial" w:cs="Arial" w:eastAsia="Arial" w:hAnsi="Arial"/>
          <w:sz w:val="20"/>
          <w:szCs w:val="20"/>
          <w:color w:val="auto"/>
        </w:rPr>
        <w:t>an Issuing Lender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176"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20"/>
          <w:szCs w:val="20"/>
          <w:color w:val="auto"/>
        </w:rPr>
        <w:t>ANNEX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27" w:lineRule="exact"/>
        <w:rPr>
          <w:sz w:val="20"/>
          <w:szCs w:val="20"/>
          <w:color w:val="auto"/>
        </w:rPr>
      </w:pPr>
    </w:p>
    <w:p>
      <w:pPr>
        <w:ind w:left="1000" w:hanging="344"/>
        <w:spacing w:after="0"/>
        <w:tabs>
          <w:tab w:leader="none" w:pos="1000" w:val="left"/>
        </w:tabs>
        <w:numPr>
          <w:ilvl w:val="0"/>
          <w:numId w:val="25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 [Each] Assignor (a) represents and warrants that (i) it is the legal and beneficial owner of [the] [the relevant] Assigned Interest, (ii) [the]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Assignee[s]</w:t>
      </w:r>
      <w:r>
        <w:rPr>
          <w:rFonts w:ascii="Arial" w:cs="Arial" w:eastAsia="Arial" w:hAnsi="Arial"/>
          <w:sz w:val="18"/>
          <w:szCs w:val="18"/>
          <w:color w:val="auto"/>
        </w:rPr>
        <w:t>. [The] [Each]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the Credit Agreement (including, in the case of any assignment of any Designated Currency Tranche Revolving Credit Commitment that the Assignee is able to fund in Agreed Currencies as and when required under the Credit Agreement), subject to receipt of such consents, if any, as may be required under Section 13.9 of the Credit Agreement, (iii) from and after the Effective Date, it shall be bound by the provisions of the Credit Agreement as a Lender thereunder and, to the extent of [the] [the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7.1 thereof, as applicable,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[such] Assigned Interest, (vii) attached hereto is any documentation required to be delivered by it pursuant to the terms of the Credit Agreement (including, for the avoidance of doubt, pursuant to Section 4.11(e) of the Credit Agreement), duly completed and executed by [the][such] Assignee, and (viii) it is not a Disqualified Institution or a Defaulting Lender;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9" w:lineRule="exact"/>
        <w:rPr>
          <w:sz w:val="20"/>
          <w:szCs w:val="20"/>
          <w:color w:val="auto"/>
        </w:rPr>
      </w:pPr>
    </w:p>
    <w:p>
      <w:pPr>
        <w:jc w:val="both"/>
        <w:ind w:firstLine="656"/>
        <w:spacing w:after="0" w:line="250" w:lineRule="auto"/>
        <w:tabs>
          <w:tab w:leader="none" w:pos="1102"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Administrative Agent shall make all payments in respect of [the] [each] Assigned Interest (including payments of principal, interest, fees and other amounts) to [the] [the relevant] Assignor for amounts which have accrued to but excluding the</w:t>
      </w:r>
    </w:p>
    <w:p>
      <w:pPr>
        <w:sectPr>
          <w:pgSz w:w="11900" w:h="16838" w:orient="portrait"/>
          <w:cols w:equalWidth="0" w:num="1">
            <w:col w:w="11240"/>
          </w:cols>
          <w:pgMar w:left="320" w:top="1176" w:right="339"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color w:val="auto"/>
        </w:rPr>
        <w:t>Effective Date and to [the] [the relevant] Assignee for amounts which have accrued from and after the Effective Date.</w:t>
      </w:r>
    </w:p>
    <w:p>
      <w:pPr>
        <w:spacing w:after="0" w:line="216" w:lineRule="exact"/>
        <w:rPr>
          <w:sz w:val="20"/>
          <w:szCs w:val="20"/>
          <w:color w:val="auto"/>
        </w:rPr>
      </w:pPr>
    </w:p>
    <w:p>
      <w:pPr>
        <w:jc w:val="both"/>
        <w:ind w:firstLine="656"/>
        <w:spacing w:after="0" w:line="278" w:lineRule="auto"/>
        <w:tabs>
          <w:tab w:leader="none" w:pos="1035"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sectPr>
          <w:pgSz w:w="11900" w:h="16838" w:orient="portrait"/>
          <w:cols w:equalWidth="0" w:num="1">
            <w:col w:w="11240"/>
          </w:cols>
          <w:pgMar w:left="320" w:top="1176" w:right="33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20"/>
          <w:szCs w:val="20"/>
          <w:u w:val="single" w:color="auto"/>
          <w:color w:val="auto"/>
        </w:rPr>
        <w:t>EXHIBIT H</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FORM OF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335915</wp:posOffset>
            </wp:positionV>
            <wp:extent cx="66694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361950</wp:posOffset>
            </wp:positionV>
            <wp:extent cx="66694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AMENDED AND RESTATED GUARANTY AGREEMENT</w:t>
      </w:r>
    </w:p>
    <w:p>
      <w:pPr>
        <w:spacing w:after="0" w:line="227"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dated as of [___________]</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by and among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BLACKBAUD, INC.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certain Subsidiaries of BLACKBAUD,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Guarantors,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favor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325755</wp:posOffset>
            </wp:positionV>
            <wp:extent cx="66694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351790</wp:posOffset>
            </wp:positionV>
            <wp:extent cx="66694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264" w:name="page265"/>
    <w:bookmarkEnd w:id="264"/>
    <w:p>
      <w:pPr>
        <w:ind w:left="660"/>
        <w:spacing w:after="0"/>
        <w:rPr>
          <w:sz w:val="20"/>
          <w:szCs w:val="20"/>
          <w:color w:val="auto"/>
        </w:rPr>
      </w:pPr>
      <w:r>
        <w:rPr>
          <w:rFonts w:ascii="Arial" w:cs="Arial" w:eastAsia="Arial" w:hAnsi="Arial"/>
          <w:sz w:val="20"/>
          <w:szCs w:val="20"/>
          <w:color w:val="auto"/>
        </w:rPr>
        <w:t>THIS AMENDED AND RESTATED GUARANTY AGREEMENT, dated as of [_________] (this “</w:t>
      </w:r>
      <w:r>
        <w:rPr>
          <w:rFonts w:ascii="Arial" w:cs="Arial" w:eastAsia="Arial" w:hAnsi="Arial"/>
          <w:sz w:val="20"/>
          <w:szCs w:val="20"/>
          <w:u w:val="single" w:color="auto"/>
          <w:color w:val="auto"/>
        </w:rPr>
        <w:t>Guaranty</w:t>
      </w:r>
      <w:r>
        <w:rPr>
          <w:rFonts w:ascii="Arial" w:cs="Arial" w:eastAsia="Arial" w:hAnsi="Arial"/>
          <w:sz w:val="20"/>
          <w:szCs w:val="20"/>
          <w:color w:val="auto"/>
        </w:rPr>
        <w:t>”), made by</w:t>
      </w:r>
    </w:p>
    <w:p>
      <w:pPr>
        <w:spacing w:after="0" w:line="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BLACKBAUD,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certain Subsidiaries of the Company which may become parties to this Guaranty from time to time by executing a supplement hereto (a “</w:t>
      </w:r>
      <w:r>
        <w:rPr>
          <w:rFonts w:ascii="Arial" w:cs="Arial" w:eastAsia="Arial" w:hAnsi="Arial"/>
          <w:sz w:val="18"/>
          <w:szCs w:val="18"/>
          <w:u w:val="single" w:color="auto"/>
          <w:color w:val="auto"/>
        </w:rPr>
        <w:t>Guaranty Supplement</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(such Subsidiaries, together with the Company (in its capacity as a Guarantor of Hedging Obligations between any Credit Party (other than the Company) and any Lender or an Affiliate of a Lender and any Bank Product Debt owing by any Credit Party (other than the Company)), each a “</w:t>
      </w:r>
      <w:r>
        <w:rPr>
          <w:rFonts w:ascii="Arial" w:cs="Arial" w:eastAsia="Arial" w:hAnsi="Arial"/>
          <w:sz w:val="18"/>
          <w:szCs w:val="18"/>
          <w:u w:val="single" w:color="auto"/>
          <w:color w:val="auto"/>
        </w:rPr>
        <w:t>Guarantor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in favor of Bank of America, N.A. (“</w:t>
      </w:r>
      <w:r>
        <w:rPr>
          <w:rFonts w:ascii="Arial" w:cs="Arial" w:eastAsia="Arial" w:hAnsi="Arial"/>
          <w:sz w:val="18"/>
          <w:szCs w:val="18"/>
          <w:u w:val="single" w:color="auto"/>
          <w:color w:val="auto"/>
        </w:rPr>
        <w:t>Bank of America</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ratable benefit of itself and the holders of the Guaranteed Obligations (as defined 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of the Credit Agreement dated as of June 2, 2017 (as amended, restated, supplemented or</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otherwise modified prior to the date hereof,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by and among the Company, certain Subsidiaries of the Company from time to time party thereto as subsidiary borrowers, the financial institutions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from time to time party thereto and the Administrative Agent, the Existing Lenders required the Company to execute the Guaranty, dated as of June 8, 2017 (as amended, restated, supplemented or otherwise modified prior to the date hereof, the “</w:t>
      </w:r>
      <w:r>
        <w:rPr>
          <w:rFonts w:ascii="Arial" w:cs="Arial" w:eastAsia="Arial" w:hAnsi="Arial"/>
          <w:sz w:val="19"/>
          <w:szCs w:val="19"/>
          <w:u w:val="single" w:color="auto"/>
          <w:color w:val="auto"/>
        </w:rPr>
        <w:t>Existing Guaranty</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the Administrative Agent and certain Existing Lenders have agreed to amend and restate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Agreement pursuant to the Amended and Restated Credit Agreement, dated as of the date hereof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Company, certain Subsidiaries of the Company from time to time party thereto as subsidiary borrowers (the “</w:t>
      </w:r>
      <w:r>
        <w:rPr>
          <w:rFonts w:ascii="Arial" w:cs="Arial" w:eastAsia="Arial" w:hAnsi="Arial"/>
          <w:sz w:val="16"/>
          <w:szCs w:val="16"/>
          <w:u w:val="single" w:color="auto"/>
          <w:color w:val="auto"/>
        </w:rPr>
        <w:t>Subsidiary Borrowers</w:t>
      </w:r>
      <w:r>
        <w:rPr>
          <w:rFonts w:ascii="Arial" w:cs="Arial" w:eastAsia="Arial" w:hAnsi="Arial"/>
          <w:sz w:val="16"/>
          <w:szCs w:val="16"/>
          <w:color w:val="auto"/>
        </w:rPr>
        <w:t>” and, together with the Company,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the financial institutions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thereto and the Administrative Agent;</w:t>
      </w:r>
    </w:p>
    <w:p>
      <w:pPr>
        <w:spacing w:after="0" w:line="12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Borrowers and the Guarantors, though separate legal entities, comprise one integrated financial enterprise,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Extensions of Credit to the Borrowers will inure, directly or indirectly, to the benefit of each of the Guarantors; and</w:t>
      </w:r>
    </w:p>
    <w:p>
      <w:pPr>
        <w:spacing w:after="0" w:line="14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Section 5.1(a) or Section 8.11 of the Credit Agreement, as applicable, the Guarantors shall have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and delivered this Guaranty to the Administrative Agent, for the ratable benefit of itself and the Secured Parties;</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are hereby acknowledged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and to induce the Administrative Agent and the Lenders to enter into the Credit Agreement and to induce the Lenders to make their respective Extensions of Credit to the Borrowers thereunder, each Guarantor hereby agrees with the Administrative Agent, for the ratable benefit of itself and the Secured Parties,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DEFINED TERMS</w:t>
      </w:r>
    </w:p>
    <w:p>
      <w:pPr>
        <w:spacing w:after="0" w:line="26" w:lineRule="exact"/>
        <w:rPr>
          <w:sz w:val="20"/>
          <w:szCs w:val="20"/>
          <w:color w:val="auto"/>
        </w:rPr>
      </w:pPr>
    </w:p>
    <w:p>
      <w:pPr>
        <w:jc w:val="center"/>
        <w:ind w:right="-259"/>
        <w:spacing w:after="0"/>
        <w:tabs>
          <w:tab w:leader="none" w:pos="180" w:val="left"/>
        </w:tabs>
        <w:rPr>
          <w:sz w:val="20"/>
          <w:szCs w:val="20"/>
          <w:color w:val="auto"/>
        </w:rPr>
      </w:pPr>
      <w:r>
        <w:rPr>
          <w:rFonts w:ascii="Arial" w:cs="Arial" w:eastAsia="Arial" w:hAnsi="Arial"/>
          <w:sz w:val="22"/>
          <w:szCs w:val="22"/>
          <w:color w:val="010000"/>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Guaranty shall have the meanings assigned to them below:</w:t>
      </w:r>
    </w:p>
    <w:p>
      <w:pPr>
        <w:sectPr>
          <w:pgSz w:w="11900" w:h="16838" w:orient="portrait"/>
          <w:cols w:equalWidth="0" w:num="1">
            <w:col w:w="11240"/>
          </w:cols>
          <w:pgMar w:left="320" w:top="1176" w:right="339" w:bottom="1440" w:gutter="0" w:footer="0" w:header="0"/>
        </w:sectPr>
      </w:pPr>
    </w:p>
    <w:bookmarkStart w:id="265" w:name="page266"/>
    <w:bookmarkEnd w:id="265"/>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Guarantor</w:t>
      </w:r>
      <w:r>
        <w:rPr>
          <w:rFonts w:ascii="Arial" w:cs="Arial" w:eastAsia="Arial" w:hAnsi="Arial"/>
          <w:sz w:val="20"/>
          <w:szCs w:val="20"/>
          <w:color w:val="auto"/>
        </w:rPr>
        <w:t xml:space="preserve">” means each Subsidiary of the Company which hereafter becomes a Guarantor pursuant to </w:t>
      </w:r>
      <w:r>
        <w:rPr>
          <w:rFonts w:ascii="Arial" w:cs="Arial" w:eastAsia="Arial" w:hAnsi="Arial"/>
          <w:sz w:val="20"/>
          <w:szCs w:val="20"/>
          <w:u w:val="single" w:color="auto"/>
          <w:color w:val="auto"/>
        </w:rPr>
        <w:t>Section 4.15</w:t>
      </w:r>
      <w:r>
        <w:rPr>
          <w:rFonts w:ascii="Arial" w:cs="Arial" w:eastAsia="Arial" w:hAnsi="Arial"/>
          <w:sz w:val="20"/>
          <w:szCs w:val="20"/>
          <w:color w:val="auto"/>
        </w:rPr>
        <w:t xml:space="preserve"> hereof and Section 8.11 of the Credit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Allocable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Insolvency Laws</w:t>
      </w:r>
      <w:r>
        <w:rPr>
          <w:rFonts w:ascii="Arial" w:cs="Arial" w:eastAsia="Arial" w:hAnsi="Arial"/>
          <w:sz w:val="20"/>
          <w:szCs w:val="20"/>
          <w:color w:val="auto"/>
        </w:rPr>
        <w:t>” means all Applicable Laws governing bankruptcy, reorganization, arrangement, adjustment of debts, relief of debtors, dissolution, insolvency, fraudulent transfers or conveyances or other similar laws (including, without limitation, 11 U.S.C. Sections 544, 547, 548 and 550 and other “avoidance” provisions of Title 11 of the United States Code, as amended or supplemented, and under any applicable state Uniform Fraudulent Transfer Act, Uniform Fraudulent Conveyance Act or similar statute or common law or proceeding thereunder).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means this Guaranty Agreement, as amended, restated, supplemented or otherwise modified.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Currency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Currency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4.17</w:t>
      </w:r>
      <w:r>
        <w:rPr>
          <w:rFonts w:ascii="Arial" w:cs="Arial" w:eastAsia="Arial" w:hAnsi="Arial"/>
          <w:sz w:val="20"/>
          <w:szCs w:val="20"/>
          <w:color w:val="auto"/>
        </w:rPr>
        <w:t>.</w:t>
      </w:r>
    </w:p>
    <w:p>
      <w:pPr>
        <w:spacing w:after="0" w:line="22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1.2</w:t>
      </w:r>
      <w:r>
        <w:rPr>
          <w:sz w:val="20"/>
          <w:szCs w:val="20"/>
          <w:color w:val="auto"/>
        </w:rPr>
        <w:tab/>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15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Capitalized terms used and not otherwise defined in this Guaranty including the preambles and recitals hereof shall have the meanings ascribed to them in the Credit Agreement. In the event of a conflict between capitalized terms defined herein and in the Credit Agreement, the Credit Agreement shall control. The words “hereof,” “herein”, “hereto” and “hereunder” and words of similar import when used in this Guaranty shall refer to this Guaranty as a whole and not to any particular provision of this Guaranty, and Section references are to this Guaranty unless otherwise specified. The meanings given to terms defined herein shall be equally applicable to both the singular and plural forms of such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GUARANTY</w:t>
      </w:r>
    </w:p>
    <w:p>
      <w:pPr>
        <w:spacing w:after="0" w:line="2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2.1 </w:t>
      </w:r>
      <w:r>
        <w:rPr>
          <w:rFonts w:ascii="Arial" w:cs="Arial" w:eastAsia="Arial" w:hAnsi="Arial"/>
          <w:sz w:val="18"/>
          <w:szCs w:val="18"/>
          <w:u w:val="single" w:color="auto"/>
          <w:color w:val="000000"/>
        </w:rPr>
        <w:t>Guaranty</w:t>
      </w:r>
      <w:r>
        <w:rPr>
          <w:rFonts w:ascii="Arial" w:cs="Arial" w:eastAsia="Arial" w:hAnsi="Arial"/>
          <w:sz w:val="18"/>
          <w:szCs w:val="18"/>
          <w:color w:val="000000"/>
        </w:rPr>
        <w:t>.Each Guarantor hereby, jointly and severally with the other Guarantors, unconditionally and irrevocably</w:t>
      </w:r>
      <w:r>
        <w:rPr>
          <w:rFonts w:ascii="Arial" w:cs="Arial" w:eastAsia="Arial" w:hAnsi="Arial"/>
          <w:sz w:val="21"/>
          <w:szCs w:val="21"/>
          <w:color w:val="010000"/>
        </w:rPr>
        <w:t xml:space="preserve"> </w:t>
      </w:r>
      <w:r>
        <w:rPr>
          <w:rFonts w:ascii="Arial" w:cs="Arial" w:eastAsia="Arial" w:hAnsi="Arial"/>
          <w:sz w:val="18"/>
          <w:szCs w:val="18"/>
          <w:color w:val="000000"/>
        </w:rPr>
        <w:t>guarantees as primary obligor and not as surety to the Administrative Agent for the ratable benefit of itself and the holders of the Guaranteed Obligations (each a “</w:t>
      </w:r>
      <w:r>
        <w:rPr>
          <w:rFonts w:ascii="Arial" w:cs="Arial" w:eastAsia="Arial" w:hAnsi="Arial"/>
          <w:sz w:val="18"/>
          <w:szCs w:val="18"/>
          <w:u w:val="single" w:color="auto"/>
          <w:color w:val="000000"/>
        </w:rPr>
        <w:t>Secured Party</w:t>
      </w:r>
      <w:r>
        <w:rPr>
          <w:rFonts w:ascii="Arial" w:cs="Arial" w:eastAsia="Arial" w:hAnsi="Arial"/>
          <w:sz w:val="18"/>
          <w:szCs w:val="18"/>
          <w:color w:val="000000"/>
        </w:rPr>
        <w:t>” and collectively, the “</w:t>
      </w:r>
      <w:r>
        <w:rPr>
          <w:rFonts w:ascii="Arial" w:cs="Arial" w:eastAsia="Arial" w:hAnsi="Arial"/>
          <w:sz w:val="18"/>
          <w:szCs w:val="18"/>
          <w:u w:val="single" w:color="auto"/>
          <w:color w:val="000000"/>
        </w:rPr>
        <w:t>Secured Parties</w:t>
      </w:r>
      <w:r>
        <w:rPr>
          <w:rFonts w:ascii="Arial" w:cs="Arial" w:eastAsia="Arial" w:hAnsi="Arial"/>
          <w:sz w:val="18"/>
          <w:szCs w:val="18"/>
          <w:color w:val="000000"/>
        </w:rPr>
        <w:t>”), and their respective permitted successors, endorsees, transferees and assigns, the prompt payment and performance of all Obligations (including, without limitation, all Bank Product Debt of any Credit Party or its Subsidiaries), whether primary or secondary (whether by way of endorsement or otherwise), whether now existing or hereafter arising, whether or not from time to time reduced or extinguished (except by payment thereof) or hereafter increased or incurred, whether or not recovery may be or hereafter becomes barred by the statute of limitations, whether enforceable or unenforceable as against the Company or any Subsidiary thereof, whether or not discharged, stayed or otherwise affected by any Applicable Insolvency Law or proceeding thereunder, whether created directly with the Administrative Agent or any Secured Party or acquired by the Administrative Agent or any Secured Party through assignment, endorsement or otherwise, whether</w:t>
      </w:r>
    </w:p>
    <w:p>
      <w:pPr>
        <w:sectPr>
          <w:pgSz w:w="11900" w:h="16838" w:orient="portrait"/>
          <w:cols w:equalWidth="0" w:num="1">
            <w:col w:w="11240"/>
          </w:cols>
          <w:pgMar w:left="320" w:top="1176" w:right="339" w:bottom="1440" w:gutter="0" w:footer="0" w:header="0"/>
        </w:sectPr>
      </w:pPr>
    </w:p>
    <w:bookmarkStart w:id="266" w:name="page267"/>
    <w:bookmarkEnd w:id="266"/>
    <w:p>
      <w:pPr>
        <w:jc w:val="both"/>
        <w:spacing w:after="0" w:line="244" w:lineRule="auto"/>
        <w:rPr>
          <w:sz w:val="20"/>
          <w:szCs w:val="20"/>
          <w:color w:val="auto"/>
        </w:rPr>
      </w:pPr>
      <w:r>
        <w:rPr>
          <w:rFonts w:ascii="Arial" w:cs="Arial" w:eastAsia="Arial" w:hAnsi="Arial"/>
          <w:sz w:val="20"/>
          <w:szCs w:val="20"/>
          <w:color w:val="auto"/>
        </w:rPr>
        <w:t>matured or unmatured, whether joint or several, as and when the same become due and payable (whether at maturity or earlier, by reason of acceleration, mandatory repayment or otherwise), in accordance with the terms of any such instruments evidencing any such obligations, including all renewals, extensions or modifications thereof (all such Obligations, including all of the foregoing being hereafter collectively referred to as the “</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provided, that “Guaranteed Obligations” of a Guarantor shall exclude any Excluded Hedging Obligations of such Guarantor.</w:t>
      </w:r>
    </w:p>
    <w:p>
      <w:pPr>
        <w:spacing w:after="0" w:line="14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SECTION 2.2 </w:t>
      </w:r>
      <w:r>
        <w:rPr>
          <w:rFonts w:ascii="Arial" w:cs="Arial" w:eastAsia="Arial" w:hAnsi="Arial"/>
          <w:sz w:val="18"/>
          <w:szCs w:val="18"/>
          <w:u w:val="single" w:color="auto"/>
          <w:color w:val="000000"/>
        </w:rPr>
        <w:t>Bankruptcy Limitations on each Guarantor</w:t>
      </w:r>
      <w:r>
        <w:rPr>
          <w:rFonts w:ascii="Arial" w:cs="Arial" w:eastAsia="Arial" w:hAnsi="Arial"/>
          <w:sz w:val="18"/>
          <w:szCs w:val="18"/>
          <w:color w:val="000000"/>
        </w:rPr>
        <w:t>.Notwithstanding anything to the contrary contained in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 2.1</w:t>
      </w:r>
      <w:r>
        <w:rPr>
          <w:rFonts w:ascii="Arial" w:cs="Arial" w:eastAsia="Arial" w:hAnsi="Arial"/>
          <w:sz w:val="18"/>
          <w:szCs w:val="18"/>
          <w:color w:val="000000"/>
        </w:rPr>
        <w:t>, it is</w:t>
      </w:r>
      <w:r>
        <w:rPr>
          <w:rFonts w:ascii="Arial" w:cs="Arial" w:eastAsia="Arial" w:hAnsi="Arial"/>
          <w:sz w:val="21"/>
          <w:szCs w:val="21"/>
          <w:color w:val="010000"/>
        </w:rPr>
        <w:t xml:space="preserve"> </w:t>
      </w:r>
      <w:r>
        <w:rPr>
          <w:rFonts w:ascii="Arial" w:cs="Arial" w:eastAsia="Arial" w:hAnsi="Arial"/>
          <w:sz w:val="18"/>
          <w:szCs w:val="18"/>
          <w:color w:val="000000"/>
        </w:rPr>
        <w:t xml:space="preserve">the intention of each Guarantor, the Administrative Agent and the Secured Parties that, in any proceeding involving the bankruptcy, reorganization, arrangement, adjustment of debts, relief of debtors, dissolution or insolvency or any similar proceeding with respect to any Guarantor or its assets, the amount of such Guarantor’s obligations with respect to the Guaranteed Obligations shall be equal to, but not in excess of, the maximum amount thereof not subject to avoidance or recovery by operation of Applicable Insolvency Laws after giving effect to </w:t>
      </w:r>
      <w:r>
        <w:rPr>
          <w:rFonts w:ascii="Arial" w:cs="Arial" w:eastAsia="Arial" w:hAnsi="Arial"/>
          <w:sz w:val="18"/>
          <w:szCs w:val="18"/>
          <w:u w:val="single" w:color="auto"/>
          <w:color w:val="000000"/>
        </w:rPr>
        <w:t>Section 2.3</w:t>
      </w:r>
      <w:r>
        <w:rPr>
          <w:rFonts w:ascii="Arial" w:cs="Arial" w:eastAsia="Arial" w:hAnsi="Arial"/>
          <w:sz w:val="18"/>
          <w:szCs w:val="18"/>
          <w:color w:val="000000"/>
        </w:rPr>
        <w:t xml:space="preserve">. To that end, but only in the event and to the extent that after giving effect to </w:t>
      </w:r>
      <w:r>
        <w:rPr>
          <w:rFonts w:ascii="Arial" w:cs="Arial" w:eastAsia="Arial" w:hAnsi="Arial"/>
          <w:sz w:val="18"/>
          <w:szCs w:val="18"/>
          <w:u w:val="single" w:color="auto"/>
          <w:color w:val="000000"/>
        </w:rPr>
        <w:t>Section 2.3</w:t>
      </w:r>
      <w:r>
        <w:rPr>
          <w:rFonts w:ascii="Arial" w:cs="Arial" w:eastAsia="Arial" w:hAnsi="Arial"/>
          <w:sz w:val="18"/>
          <w:szCs w:val="18"/>
          <w:color w:val="000000"/>
        </w:rPr>
        <w:t xml:space="preserve">, such Guarantor’s obligations with respect to the Guaranteed Obligations or any payment made pursuant to such Guaranteed Obligations would, but for the operation of the first sentence of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be subject to avoidance or recovery in any such proceeding under Applicable Insolvency Laws after giving effect to </w:t>
      </w:r>
      <w:r>
        <w:rPr>
          <w:rFonts w:ascii="Arial" w:cs="Arial" w:eastAsia="Arial" w:hAnsi="Arial"/>
          <w:sz w:val="18"/>
          <w:szCs w:val="18"/>
          <w:u w:val="single" w:color="auto"/>
          <w:color w:val="000000"/>
        </w:rPr>
        <w:t>Section 2.3</w:t>
      </w:r>
      <w:r>
        <w:rPr>
          <w:rFonts w:ascii="Arial" w:cs="Arial" w:eastAsia="Arial" w:hAnsi="Arial"/>
          <w:sz w:val="18"/>
          <w:szCs w:val="18"/>
          <w:color w:val="000000"/>
        </w:rPr>
        <w:t xml:space="preserve">, the amount of each Guarantor’s obligations with respect to the Guaranteed Obligations shall be limited to the largest amount which, after giving effect thereto, would not, under Applicable Insolvency Laws, render such Guarantor’s obligations with respect to the Guaranteed Obligations unenforceable or avoidable or otherwise subject to recovery under Applicable Insolvency Laws. To the extent any payment actually made pursuant to the Guaranteed Obligations exceeds the limitation of the first sentence of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and is otherwise subject to avoidance and recovery in any such proceeding under Applicable Insolvency Laws, the amount subject to avoidance shall in all events be limited to the amount by which such actual payment exceeds such limitation and the Guaranteed Obligations as limited by the first sentence of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shall in all events remain in full force and effect and be fully enforceable against each Guarantor. The first sentence of this </w:t>
      </w:r>
      <w:r>
        <w:rPr>
          <w:rFonts w:ascii="Arial" w:cs="Arial" w:eastAsia="Arial" w:hAnsi="Arial"/>
          <w:sz w:val="18"/>
          <w:szCs w:val="18"/>
          <w:u w:val="single" w:color="auto"/>
          <w:color w:val="000000"/>
        </w:rPr>
        <w:t>Section 2.2</w:t>
      </w:r>
      <w:r>
        <w:rPr>
          <w:rFonts w:ascii="Arial" w:cs="Arial" w:eastAsia="Arial" w:hAnsi="Arial"/>
          <w:sz w:val="18"/>
          <w:szCs w:val="18"/>
          <w:color w:val="000000"/>
        </w:rPr>
        <w:t xml:space="preserve"> is intended solely to preserve the rights of the Administrative Agent hereunder against each Guarantor in such proceeding to the maximum extent permitted by Applicable Insolvency Laws and neither such Guarantor, any Borrower, any other Guarantor nor any other Person shall have any right or claim under such sentence that would not otherwise be available under Applicable Insolvency Laws in such proceeding.</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2.3 </w:t>
      </w:r>
      <w:r>
        <w:rPr>
          <w:rFonts w:ascii="Arial" w:cs="Arial" w:eastAsia="Arial" w:hAnsi="Arial"/>
          <w:sz w:val="19"/>
          <w:szCs w:val="19"/>
          <w:u w:val="single" w:color="auto"/>
          <w:color w:val="000000"/>
        </w:rPr>
        <w:t>Agreements for Contribution</w:t>
      </w:r>
      <w:r>
        <w:rPr>
          <w:rFonts w:ascii="Arial" w:cs="Arial" w:eastAsia="Arial" w:hAnsi="Arial"/>
          <w:sz w:val="19"/>
          <w:szCs w:val="19"/>
          <w:color w:val="000000"/>
        </w:rPr>
        <w:t>.To the extent any Guarantor is required, by reason of its obligations hereunder, to</w:t>
      </w:r>
      <w:r>
        <w:rPr>
          <w:rFonts w:ascii="Arial" w:cs="Arial" w:eastAsia="Arial" w:hAnsi="Arial"/>
          <w:sz w:val="22"/>
          <w:szCs w:val="22"/>
          <w:color w:val="010000"/>
        </w:rPr>
        <w:t xml:space="preserve"> </w:t>
      </w:r>
      <w:r>
        <w:rPr>
          <w:rFonts w:ascii="Arial" w:cs="Arial" w:eastAsia="Arial" w:hAnsi="Arial"/>
          <w:sz w:val="19"/>
          <w:szCs w:val="19"/>
          <w:color w:val="000000"/>
        </w:rPr>
        <w:t>make a payment (a “</w:t>
      </w:r>
      <w:r>
        <w:rPr>
          <w:rFonts w:ascii="Arial" w:cs="Arial" w:eastAsia="Arial" w:hAnsi="Arial"/>
          <w:sz w:val="19"/>
          <w:szCs w:val="19"/>
          <w:u w:val="single" w:color="auto"/>
          <w:color w:val="000000"/>
        </w:rPr>
        <w:t>Guarantor Payment</w:t>
      </w:r>
      <w:r>
        <w:rPr>
          <w:rFonts w:ascii="Arial" w:cs="Arial" w:eastAsia="Arial" w:hAnsi="Arial"/>
          <w:sz w:val="19"/>
          <w:szCs w:val="19"/>
          <w:color w:val="000000"/>
        </w:rPr>
        <w:t xml:space="preserve">”) in an amount which, taking into account all other previous or concurrent payments made by any other Guarantor pursuant to this Guaranty, would be greater than the amount which otherwise would have been paid by or attributable to such Guarantor if each Guarantor had paid the Guaranteed Obligations satisfied by such Guarantor Payment in the same proportion as such Guarantor’s Allocable Amount (as determined immediately prior to such Guarantor Payment) bore to the aggregate Allocable Amounts of each of the Guarantors as determined immediately prior to the making of such Guarantor Payment, then such Guarantor shall have an enforceable right of contribution against the Company and the remaining Guarantors, and the Company and the remaining Guarantors shall be liable for repayment of the full amount of such excess payment, pro rata based upon their respective Allocable Amounts in effect immediately prior to such Guarantor Payment. Subject only to the subordination provided in </w:t>
      </w:r>
      <w:r>
        <w:rPr>
          <w:rFonts w:ascii="Arial" w:cs="Arial" w:eastAsia="Arial" w:hAnsi="Arial"/>
          <w:sz w:val="19"/>
          <w:szCs w:val="19"/>
          <w:u w:val="single" w:color="auto"/>
          <w:color w:val="000000"/>
        </w:rPr>
        <w:t>Section 2.3(d)</w:t>
      </w:r>
      <w:r>
        <w:rPr>
          <w:rFonts w:ascii="Arial" w:cs="Arial" w:eastAsia="Arial" w:hAnsi="Arial"/>
          <w:sz w:val="19"/>
          <w:szCs w:val="19"/>
          <w:color w:val="000000"/>
        </w:rPr>
        <w:t>, such Guarantor further shall be subrogated to any and all rights of the Secured Parties against the Company and the remaining Guarantors to the extent of such excess payment. As of any date of determination, the “</w:t>
      </w:r>
      <w:r>
        <w:rPr>
          <w:rFonts w:ascii="Arial" w:cs="Arial" w:eastAsia="Arial" w:hAnsi="Arial"/>
          <w:sz w:val="19"/>
          <w:szCs w:val="19"/>
          <w:u w:val="single" w:color="auto"/>
          <w:color w:val="000000"/>
        </w:rPr>
        <w:t>Allocable Amount</w:t>
      </w:r>
      <w:r>
        <w:rPr>
          <w:rFonts w:ascii="Arial" w:cs="Arial" w:eastAsia="Arial" w:hAnsi="Arial"/>
          <w:sz w:val="19"/>
          <w:szCs w:val="19"/>
          <w:color w:val="000000"/>
        </w:rPr>
        <w: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w:t>
      </w:r>
    </w:p>
    <w:p>
      <w:pPr>
        <w:sectPr>
          <w:pgSz w:w="11900" w:h="16838" w:orient="portrait"/>
          <w:cols w:equalWidth="0" w:num="1">
            <w:col w:w="11240"/>
          </w:cols>
          <w:pgMar w:left="320" w:top="1176" w:right="33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to all payments made by other Guarantors as of such date in a manner to maximize the amount of such contributions.</w:t>
      </w:r>
    </w:p>
    <w:p>
      <w:pPr>
        <w:spacing w:after="0" w:line="162" w:lineRule="exact"/>
        <w:rPr>
          <w:sz w:val="20"/>
          <w:szCs w:val="20"/>
          <w:color w:val="auto"/>
        </w:rPr>
      </w:pPr>
    </w:p>
    <w:p>
      <w:pPr>
        <w:jc w:val="both"/>
        <w:ind w:firstLine="656"/>
        <w:spacing w:after="0" w:line="244" w:lineRule="auto"/>
        <w:tabs>
          <w:tab w:leader="none" w:pos="1076" w:val="left"/>
        </w:tabs>
        <w:numPr>
          <w:ilvl w:val="0"/>
          <w:numId w:val="256"/>
        </w:numPr>
        <w:rPr>
          <w:rFonts w:ascii="Arial" w:cs="Arial" w:eastAsia="Arial" w:hAnsi="Arial"/>
          <w:sz w:val="20"/>
          <w:szCs w:val="20"/>
          <w:color w:val="010000"/>
        </w:rPr>
      </w:pPr>
      <w:r>
        <w:rPr>
          <w:rFonts w:ascii="Arial" w:cs="Arial" w:eastAsia="Arial" w:hAnsi="Arial"/>
          <w:sz w:val="20"/>
          <w:szCs w:val="20"/>
          <w:color w:val="auto"/>
        </w:rPr>
        <w:t xml:space="preserve">To the extent that any Guarantor would, but for the operation of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and by reason of its obligations hereunder or its obligations to other Guarantors under this </w:t>
      </w:r>
      <w:r>
        <w:rPr>
          <w:rFonts w:ascii="Arial" w:cs="Arial" w:eastAsia="Arial" w:hAnsi="Arial"/>
          <w:sz w:val="20"/>
          <w:szCs w:val="20"/>
          <w:u w:val="single" w:color="auto"/>
          <w:color w:val="auto"/>
        </w:rPr>
        <w:t>Section 2.3</w:t>
      </w:r>
      <w:r>
        <w:rPr>
          <w:rFonts w:ascii="Arial" w:cs="Arial" w:eastAsia="Arial" w:hAnsi="Arial"/>
          <w:sz w:val="20"/>
          <w:szCs w:val="20"/>
          <w:color w:val="auto"/>
        </w:rPr>
        <w:t>, be rendered insolvent for any purpose under Applicable Insolvency Laws, each of the Guarantors hereby agrees to indemnify such Guarantor and commits to make a contribution to such Guarantor’s capital in an amount at least equal to the amount necessary to prevent such Guarantor from having been rendered insolvent by reason of the incurrence of any such obligations.</w:t>
      </w:r>
    </w:p>
    <w:p>
      <w:pPr>
        <w:spacing w:after="0" w:line="194" w:lineRule="exact"/>
        <w:rPr>
          <w:rFonts w:ascii="Arial" w:cs="Arial" w:eastAsia="Arial" w:hAnsi="Arial"/>
          <w:sz w:val="20"/>
          <w:szCs w:val="20"/>
          <w:color w:val="010000"/>
        </w:rPr>
      </w:pPr>
    </w:p>
    <w:p>
      <w:pPr>
        <w:jc w:val="both"/>
        <w:ind w:firstLine="656"/>
        <w:spacing w:after="0" w:line="243" w:lineRule="auto"/>
        <w:tabs>
          <w:tab w:leader="none" w:pos="1106" w:val="left"/>
        </w:tabs>
        <w:numPr>
          <w:ilvl w:val="0"/>
          <w:numId w:val="256"/>
        </w:numPr>
        <w:rPr>
          <w:rFonts w:ascii="Arial" w:cs="Arial" w:eastAsia="Arial" w:hAnsi="Arial"/>
          <w:sz w:val="20"/>
          <w:szCs w:val="20"/>
          <w:color w:val="010000"/>
        </w:rPr>
      </w:pPr>
      <w:r>
        <w:rPr>
          <w:rFonts w:ascii="Arial" w:cs="Arial" w:eastAsia="Arial" w:hAnsi="Arial"/>
          <w:sz w:val="20"/>
          <w:szCs w:val="20"/>
          <w:color w:val="auto"/>
        </w:rPr>
        <w:t xml:space="preserve">To the extent that any Guarantor would, but for the operation of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be rendered insolvent under any Applicable Insolvency Law by reason of its incurring of obligations to any other Guarantor under the foregoing </w:t>
      </w:r>
      <w:r>
        <w:rPr>
          <w:rFonts w:ascii="Arial" w:cs="Arial" w:eastAsia="Arial" w:hAnsi="Arial"/>
          <w:sz w:val="20"/>
          <w:szCs w:val="20"/>
          <w:u w:val="single" w:color="auto"/>
          <w:color w:val="auto"/>
        </w:rPr>
        <w:t>Sections 2.3(a)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such Guarantor shall, in turn, have rights of contribution and indemnity, to the full extent provided in the foregoing </w:t>
      </w:r>
      <w:r>
        <w:rPr>
          <w:rFonts w:ascii="Arial" w:cs="Arial" w:eastAsia="Arial" w:hAnsi="Arial"/>
          <w:sz w:val="20"/>
          <w:szCs w:val="20"/>
          <w:u w:val="single" w:color="auto"/>
          <w:color w:val="auto"/>
        </w:rPr>
        <w:t>Sections 2.3(a)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against the Company and the remaining Guarantors, such that all obligations of all of the Guarantors hereunder and under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shall be allocated in a manner such that no Guarantor shall be rendered insolvent for any purpose under Applicable Insolvency Law by reason of its incurrence of such obligations.</w:t>
      </w:r>
    </w:p>
    <w:p>
      <w:pPr>
        <w:spacing w:after="0" w:line="195" w:lineRule="exact"/>
        <w:rPr>
          <w:rFonts w:ascii="Arial" w:cs="Arial" w:eastAsia="Arial" w:hAnsi="Arial"/>
          <w:sz w:val="20"/>
          <w:szCs w:val="20"/>
          <w:color w:val="010000"/>
        </w:rPr>
      </w:pPr>
    </w:p>
    <w:p>
      <w:pPr>
        <w:jc w:val="both"/>
        <w:ind w:firstLine="656"/>
        <w:spacing w:after="0" w:line="254" w:lineRule="auto"/>
        <w:tabs>
          <w:tab w:leader="none" w:pos="1090" w:val="left"/>
        </w:tabs>
        <w:numPr>
          <w:ilvl w:val="0"/>
          <w:numId w:val="256"/>
        </w:numPr>
        <w:rPr>
          <w:rFonts w:ascii="Arial" w:cs="Arial" w:eastAsia="Arial" w:hAnsi="Arial"/>
          <w:sz w:val="19"/>
          <w:szCs w:val="19"/>
          <w:color w:val="010000"/>
        </w:rPr>
      </w:pPr>
      <w:r>
        <w:rPr>
          <w:rFonts w:ascii="Arial" w:cs="Arial" w:eastAsia="Arial" w:hAnsi="Arial"/>
          <w:sz w:val="19"/>
          <w:szCs w:val="19"/>
          <w:color w:val="auto"/>
        </w:rPr>
        <w:t>Notwithstanding any payment or payments by any of the Guarantors hereunder, or any set-off or application of funds of any of the Guarantors by the Administrative Agent or any Secured Party, or the receipt of any amounts by the Administrative Agent or any Secured Party with respect to any of the Guaranteed Obligations, none of the Guarantors shall be entitled to be subrogated to any of the rights of the Administrative Agent or any Secured Party against the Company or the other Guarantors or against any collateral security held by the Administrative Agent or any Secured Party for the payment of the Guaranteed Obligations nor shall any of the Guarantors seek any reimbursement from the Company or any of the other Guarantors in respect of payments made by such Guarantor in connection with the Guaranteed Obligations, until all amounts owing to the Administrative Agent and the Secured Parties on account of the Guaranteed Obligations (other than contingent indemnification obligations not yet due and Bank Product Debt) are paid in full (or, in the case of Letters of Credit, cash collateralized in accordance with the terms of the Credit Agreement) and the Commitments are terminated. If any amount shall be paid to any Guarantor on account of such subrogation rights at any time when all of the Guaranteed Obligations (other than contingent indemnification obligations not yet due and Bank Product Debt) shall not have been paid in full, such amount shall be held by such Guarantor in trust for the Administrative Agent, segregated from other funds of such Guarantor, and shall, forthwith upon receipt by such Guarantor, be turned over to the Administrative Agent in the exact form received by such Guarantor (duly endorsed by such Guarantor to the Administrative Agent, if required) to be applied against the Guaranteed Obligations, whether matured or unmatured, in such order as set forth in the Credit Agreement.</w:t>
      </w:r>
    </w:p>
    <w:p>
      <w:pPr>
        <w:spacing w:after="0" w:line="190" w:lineRule="exact"/>
        <w:rPr>
          <w:rFonts w:ascii="Arial" w:cs="Arial" w:eastAsia="Arial" w:hAnsi="Arial"/>
          <w:sz w:val="19"/>
          <w:szCs w:val="19"/>
          <w:color w:val="010000"/>
        </w:rPr>
      </w:pPr>
    </w:p>
    <w:p>
      <w:pPr>
        <w:jc w:val="both"/>
        <w:ind w:firstLine="656"/>
        <w:spacing w:after="0" w:line="250" w:lineRule="auto"/>
        <w:tabs>
          <w:tab w:leader="none" w:pos="1146" w:val="left"/>
        </w:tabs>
        <w:numPr>
          <w:ilvl w:val="0"/>
          <w:numId w:val="256"/>
        </w:numPr>
        <w:rPr>
          <w:rFonts w:ascii="Arial" w:cs="Arial" w:eastAsia="Arial" w:hAnsi="Arial"/>
          <w:sz w:val="20"/>
          <w:szCs w:val="20"/>
          <w:color w:val="010000"/>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is intended only to define the relative rights of the Guarantors, and nothing set forth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is intended to or shall impair the obligations of the Guarantors, jointly and severally, to pay any amounts as and when the same shall become due and payable in accordance with the terms of this Guaranty.</w:t>
      </w:r>
    </w:p>
    <w:p>
      <w:pPr>
        <w:spacing w:after="0" w:line="185" w:lineRule="exact"/>
        <w:rPr>
          <w:rFonts w:ascii="Arial" w:cs="Arial" w:eastAsia="Arial" w:hAnsi="Arial"/>
          <w:sz w:val="20"/>
          <w:szCs w:val="20"/>
          <w:color w:val="010000"/>
        </w:rPr>
      </w:pPr>
    </w:p>
    <w:p>
      <w:pPr>
        <w:ind w:firstLine="656"/>
        <w:spacing w:after="0" w:line="260" w:lineRule="auto"/>
        <w:tabs>
          <w:tab w:leader="none" w:pos="1152" w:val="left"/>
        </w:tabs>
        <w:numPr>
          <w:ilvl w:val="0"/>
          <w:numId w:val="256"/>
        </w:numPr>
        <w:rPr>
          <w:rFonts w:ascii="Arial" w:cs="Arial" w:eastAsia="Arial" w:hAnsi="Arial"/>
          <w:sz w:val="20"/>
          <w:szCs w:val="20"/>
          <w:color w:val="010000"/>
        </w:rPr>
      </w:pPr>
      <w:r>
        <w:rPr>
          <w:rFonts w:ascii="Arial" w:cs="Arial" w:eastAsia="Arial" w:hAnsi="Arial"/>
          <w:sz w:val="20"/>
          <w:szCs w:val="20"/>
          <w:color w:val="auto"/>
        </w:rPr>
        <w:t>The parties hereto acknowledge that the rights of contribution and indemnification hereunder shall constitute assets of the Guarantor or Guarantors to which such contribution and indemnification is owing.</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2.4 </w:t>
      </w:r>
      <w:r>
        <w:rPr>
          <w:rFonts w:ascii="Arial" w:cs="Arial" w:eastAsia="Arial" w:hAnsi="Arial"/>
          <w:sz w:val="19"/>
          <w:szCs w:val="19"/>
          <w:u w:val="single" w:color="auto"/>
          <w:color w:val="000000"/>
        </w:rPr>
        <w:t>Nature of Guaranty</w:t>
      </w:r>
      <w:r>
        <w:rPr>
          <w:rFonts w:ascii="Arial" w:cs="Arial" w:eastAsia="Arial" w:hAnsi="Arial"/>
          <w:sz w:val="19"/>
          <w:szCs w:val="19"/>
          <w:color w:val="000000"/>
        </w:rPr>
        <w:t>.Each Guarantor agrees that this Guaranty is a continuing, unconditional guaranty of payment</w:t>
      </w:r>
      <w:r>
        <w:rPr>
          <w:rFonts w:ascii="Arial" w:cs="Arial" w:eastAsia="Arial" w:hAnsi="Arial"/>
          <w:sz w:val="22"/>
          <w:szCs w:val="22"/>
          <w:color w:val="010000"/>
        </w:rPr>
        <w:t xml:space="preserve"> </w:t>
      </w:r>
      <w:r>
        <w:rPr>
          <w:rFonts w:ascii="Arial" w:cs="Arial" w:eastAsia="Arial" w:hAnsi="Arial"/>
          <w:sz w:val="19"/>
          <w:szCs w:val="19"/>
          <w:color w:val="000000"/>
        </w:rPr>
        <w:t>and performance and not of collection, and that its obligations under this Guaranty shall be exclusive and independent of any security for or other guaranty of the Guaranteed</w:t>
      </w:r>
    </w:p>
    <w:p>
      <w:pPr>
        <w:sectPr>
          <w:pgSz w:w="11900" w:h="16838" w:orient="portrait"/>
          <w:cols w:equalWidth="0" w:num="1">
            <w:col w:w="11240"/>
          </w:cols>
          <w:pgMar w:left="320" w:top="1176" w:right="339" w:bottom="1440" w:gutter="0" w:footer="0" w:header="0"/>
        </w:sectPr>
      </w:pPr>
    </w:p>
    <w:bookmarkStart w:id="268" w:name="page269"/>
    <w:bookmarkEnd w:id="268"/>
    <w:p>
      <w:pPr>
        <w:spacing w:after="0" w:line="260" w:lineRule="auto"/>
        <w:rPr>
          <w:sz w:val="20"/>
          <w:szCs w:val="20"/>
          <w:color w:val="auto"/>
        </w:rPr>
      </w:pPr>
      <w:r>
        <w:rPr>
          <w:rFonts w:ascii="Arial" w:cs="Arial" w:eastAsia="Arial" w:hAnsi="Arial"/>
          <w:sz w:val="20"/>
          <w:szCs w:val="20"/>
          <w:color w:val="auto"/>
        </w:rPr>
        <w:t>Obligations whether executed by any such Guarantor, any other guarantor or by any other party and shall be primary, absolute and unconditional, irrespective of, and unaffected by:</w:t>
      </w:r>
    </w:p>
    <w:p>
      <w:pPr>
        <w:spacing w:after="0" w:line="204" w:lineRule="exact"/>
        <w:rPr>
          <w:sz w:val="20"/>
          <w:szCs w:val="20"/>
          <w:color w:val="auto"/>
        </w:rPr>
      </w:pPr>
    </w:p>
    <w:p>
      <w:pPr>
        <w:jc w:val="both"/>
        <w:ind w:left="660" w:firstLine="644"/>
        <w:spacing w:after="0" w:line="238" w:lineRule="auto"/>
        <w:tabs>
          <w:tab w:leader="none" w:pos="1755" w:val="left"/>
        </w:tabs>
        <w:numPr>
          <w:ilvl w:val="0"/>
          <w:numId w:val="257"/>
        </w:numPr>
        <w:rPr>
          <w:rFonts w:ascii="Arial" w:cs="Arial" w:eastAsia="Arial" w:hAnsi="Arial"/>
          <w:sz w:val="22"/>
          <w:szCs w:val="22"/>
          <w:color w:val="010000"/>
        </w:rPr>
      </w:pPr>
      <w:r>
        <w:rPr>
          <w:rFonts w:ascii="Arial" w:cs="Arial" w:eastAsia="Arial" w:hAnsi="Arial"/>
          <w:sz w:val="20"/>
          <w:szCs w:val="20"/>
          <w:color w:val="auto"/>
        </w:rPr>
        <w:t>the genuineness, validity, regularity, enforceability or any future amendment of, or change in, the Credit Agreement or any other Loan Document or any other agreement, document or instrument to which the Company, any Guarantor or any of their respective Subsidiaries or Affiliates is or may become a party;</w:t>
      </w:r>
    </w:p>
    <w:p>
      <w:pPr>
        <w:spacing w:after="0" w:line="224" w:lineRule="exact"/>
        <w:rPr>
          <w:rFonts w:ascii="Arial" w:cs="Arial" w:eastAsia="Arial" w:hAnsi="Arial"/>
          <w:sz w:val="22"/>
          <w:szCs w:val="22"/>
          <w:color w:val="010000"/>
        </w:rPr>
      </w:pPr>
    </w:p>
    <w:p>
      <w:pPr>
        <w:jc w:val="both"/>
        <w:ind w:left="660" w:firstLine="644"/>
        <w:spacing w:after="0" w:line="238" w:lineRule="auto"/>
        <w:tabs>
          <w:tab w:leader="none" w:pos="1788" w:val="left"/>
        </w:tabs>
        <w:numPr>
          <w:ilvl w:val="0"/>
          <w:numId w:val="257"/>
        </w:numPr>
        <w:rPr>
          <w:rFonts w:ascii="Arial" w:cs="Arial" w:eastAsia="Arial" w:hAnsi="Arial"/>
          <w:sz w:val="22"/>
          <w:szCs w:val="22"/>
          <w:color w:val="010000"/>
        </w:rPr>
      </w:pPr>
      <w:r>
        <w:rPr>
          <w:rFonts w:ascii="Arial" w:cs="Arial" w:eastAsia="Arial" w:hAnsi="Arial"/>
          <w:sz w:val="20"/>
          <w:szCs w:val="20"/>
          <w:color w:val="auto"/>
        </w:rPr>
        <w:t>the absence of any action to enforce this Guaranty, the Credit Agreement or any other Loan Document or the waiver or consent by the Administrative Agent or any Secured Party with respect to any of the provisions of this Guaranty, the Credit Agreement or any other Loan Document;</w:t>
      </w:r>
    </w:p>
    <w:p>
      <w:pPr>
        <w:spacing w:after="0" w:line="224" w:lineRule="exact"/>
        <w:rPr>
          <w:rFonts w:ascii="Arial" w:cs="Arial" w:eastAsia="Arial" w:hAnsi="Arial"/>
          <w:sz w:val="22"/>
          <w:szCs w:val="22"/>
          <w:color w:val="010000"/>
        </w:rPr>
      </w:pPr>
    </w:p>
    <w:p>
      <w:pPr>
        <w:jc w:val="both"/>
        <w:ind w:left="660" w:firstLine="644"/>
        <w:spacing w:after="0" w:line="238" w:lineRule="auto"/>
        <w:tabs>
          <w:tab w:leader="none" w:pos="1915" w:val="left"/>
        </w:tabs>
        <w:numPr>
          <w:ilvl w:val="0"/>
          <w:numId w:val="257"/>
        </w:numPr>
        <w:rPr>
          <w:rFonts w:ascii="Arial" w:cs="Arial" w:eastAsia="Arial" w:hAnsi="Arial"/>
          <w:sz w:val="22"/>
          <w:szCs w:val="22"/>
          <w:color w:val="010000"/>
        </w:rPr>
      </w:pPr>
      <w:r>
        <w:rPr>
          <w:rFonts w:ascii="Arial" w:cs="Arial" w:eastAsia="Arial" w:hAnsi="Arial"/>
          <w:sz w:val="20"/>
          <w:szCs w:val="20"/>
          <w:color w:val="auto"/>
        </w:rPr>
        <w:t>the existence, value or condition of, or failure to perfect its Lien against, any security for or other guaranty of the Guaranteed Obligations or any action, or the absence of any action, by the Administrative Agent or any Secured Party in respect of such security or guaranty (including, without limitation, the release of any such security or guaranty);</w:t>
      </w:r>
    </w:p>
    <w:p>
      <w:pPr>
        <w:spacing w:after="0" w:line="224" w:lineRule="exact"/>
        <w:rPr>
          <w:rFonts w:ascii="Arial" w:cs="Arial" w:eastAsia="Arial" w:hAnsi="Arial"/>
          <w:sz w:val="22"/>
          <w:szCs w:val="22"/>
          <w:color w:val="010000"/>
        </w:rPr>
      </w:pPr>
    </w:p>
    <w:p>
      <w:pPr>
        <w:ind w:left="1860" w:hanging="556"/>
        <w:spacing w:after="0"/>
        <w:tabs>
          <w:tab w:leader="none" w:pos="1860" w:val="left"/>
        </w:tabs>
        <w:numPr>
          <w:ilvl w:val="0"/>
          <w:numId w:val="257"/>
        </w:numPr>
        <w:rPr>
          <w:rFonts w:ascii="Arial" w:cs="Arial" w:eastAsia="Arial" w:hAnsi="Arial"/>
          <w:sz w:val="19"/>
          <w:szCs w:val="19"/>
          <w:color w:val="010000"/>
        </w:rPr>
      </w:pPr>
      <w:r>
        <w:rPr>
          <w:rFonts w:ascii="Arial" w:cs="Arial" w:eastAsia="Arial" w:hAnsi="Arial"/>
          <w:sz w:val="18"/>
          <w:szCs w:val="18"/>
          <w:color w:val="auto"/>
        </w:rPr>
        <w:t>any structural change in, restructuring of or similar change of the Company, any Guarantor or any of their respective</w:t>
      </w:r>
    </w:p>
    <w:p>
      <w:pPr>
        <w:spacing w:after="0" w:line="27"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0"/>
          <w:szCs w:val="20"/>
          <w:color w:val="auto"/>
        </w:rPr>
        <w:t>Subsidiaries;</w:t>
      </w:r>
    </w:p>
    <w:p>
      <w:pPr>
        <w:spacing w:after="0" w:line="226" w:lineRule="exact"/>
        <w:rPr>
          <w:rFonts w:ascii="Arial" w:cs="Arial" w:eastAsia="Arial" w:hAnsi="Arial"/>
          <w:sz w:val="19"/>
          <w:szCs w:val="19"/>
          <w:color w:val="010000"/>
        </w:rPr>
      </w:pPr>
    </w:p>
    <w:p>
      <w:pPr>
        <w:ind w:left="660" w:right="20" w:firstLine="644"/>
        <w:spacing w:after="0" w:line="238" w:lineRule="auto"/>
        <w:tabs>
          <w:tab w:leader="none" w:pos="1776" w:val="left"/>
        </w:tabs>
        <w:numPr>
          <w:ilvl w:val="0"/>
          <w:numId w:val="257"/>
        </w:numPr>
        <w:rPr>
          <w:rFonts w:ascii="Arial" w:cs="Arial" w:eastAsia="Arial" w:hAnsi="Arial"/>
          <w:sz w:val="22"/>
          <w:szCs w:val="22"/>
          <w:color w:val="010000"/>
        </w:rPr>
      </w:pPr>
      <w:r>
        <w:rPr>
          <w:rFonts w:ascii="Arial" w:cs="Arial" w:eastAsia="Arial" w:hAnsi="Arial"/>
          <w:sz w:val="20"/>
          <w:szCs w:val="20"/>
          <w:color w:val="auto"/>
        </w:rPr>
        <w:t>any other action or circumstances which might otherwise constitute a legal or equitable discharge or defense of a surety or guarantor (other than the defense of payment or performance); or</w:t>
      </w:r>
    </w:p>
    <w:p>
      <w:pPr>
        <w:spacing w:after="0" w:line="220" w:lineRule="exact"/>
        <w:rPr>
          <w:rFonts w:ascii="Arial" w:cs="Arial" w:eastAsia="Arial" w:hAnsi="Arial"/>
          <w:sz w:val="22"/>
          <w:szCs w:val="22"/>
          <w:color w:val="010000"/>
        </w:rPr>
      </w:pPr>
    </w:p>
    <w:p>
      <w:pPr>
        <w:ind w:left="1840" w:hanging="536"/>
        <w:spacing w:after="0"/>
        <w:tabs>
          <w:tab w:leader="none" w:pos="1840" w:val="left"/>
        </w:tabs>
        <w:numPr>
          <w:ilvl w:val="0"/>
          <w:numId w:val="257"/>
        </w:numPr>
        <w:rPr>
          <w:rFonts w:ascii="Arial" w:cs="Arial" w:eastAsia="Arial" w:hAnsi="Arial"/>
          <w:sz w:val="22"/>
          <w:szCs w:val="22"/>
          <w:color w:val="010000"/>
        </w:rPr>
      </w:pPr>
      <w:r>
        <w:rPr>
          <w:rFonts w:ascii="Arial" w:cs="Arial" w:eastAsia="Arial" w:hAnsi="Arial"/>
          <w:sz w:val="20"/>
          <w:szCs w:val="20"/>
          <w:color w:val="auto"/>
        </w:rPr>
        <w:t>any direction as to application of payment by the Company or by any other party;</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it being agreed by each Guarantor that, subject to the first sentence of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its obligations under this Guaranty shall not be discharged until the final indefeasible payment (or, in the case of Letters of Credit, Cash Collateralized in accordance with the terms of the Credit Agreement) and performance, in full, of the Guaranteed Obligations (other than contingent indemnification obligations not yet due and Bank Product Debt) and the Commitments are terminated;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Guarantor may be released from the Guaranteed Obligations pursuant to </w:t>
      </w:r>
      <w:r>
        <w:rPr>
          <w:rFonts w:ascii="Arial" w:cs="Arial" w:eastAsia="Arial" w:hAnsi="Arial"/>
          <w:sz w:val="20"/>
          <w:szCs w:val="20"/>
          <w:u w:val="single" w:color="auto"/>
          <w:color w:val="auto"/>
        </w:rPr>
        <w:t>Section 4.14</w:t>
      </w:r>
      <w:r>
        <w:rPr>
          <w:rFonts w:ascii="Arial" w:cs="Arial" w:eastAsia="Arial" w:hAnsi="Arial"/>
          <w:sz w:val="20"/>
          <w:szCs w:val="20"/>
          <w:color w:val="auto"/>
        </w:rPr>
        <w:t xml:space="preserve"> of this Guaranty.</w:t>
      </w:r>
    </w:p>
    <w:p>
      <w:pPr>
        <w:spacing w:after="0" w:line="194" w:lineRule="exact"/>
        <w:rPr>
          <w:sz w:val="20"/>
          <w:szCs w:val="20"/>
          <w:color w:val="auto"/>
        </w:rPr>
      </w:pPr>
    </w:p>
    <w:p>
      <w:pPr>
        <w:jc w:val="both"/>
        <w:ind w:firstLine="656"/>
        <w:spacing w:after="0" w:line="250" w:lineRule="auto"/>
        <w:tabs>
          <w:tab w:leader="none" w:pos="1103" w:val="left"/>
        </w:tabs>
        <w:numPr>
          <w:ilvl w:val="0"/>
          <w:numId w:val="258"/>
        </w:numPr>
        <w:rPr>
          <w:rFonts w:ascii="Arial" w:cs="Arial" w:eastAsia="Arial" w:hAnsi="Arial"/>
          <w:sz w:val="20"/>
          <w:szCs w:val="20"/>
          <w:color w:val="010000"/>
        </w:rPr>
      </w:pPr>
      <w:r>
        <w:rPr>
          <w:rFonts w:ascii="Arial" w:cs="Arial" w:eastAsia="Arial" w:hAnsi="Arial"/>
          <w:sz w:val="20"/>
          <w:szCs w:val="20"/>
          <w:color w:val="auto"/>
        </w:rPr>
        <w:t>Each Guarantor represents, warrants and agrees that its obligations under this Guaranty are not and shall not be subject to any counterclaims, offsets or defenses of any kind against the Administrative Agent, the Secured Parties or the Company whether now existing or which may arise in the future.</w:t>
      </w:r>
    </w:p>
    <w:p>
      <w:pPr>
        <w:spacing w:after="0" w:line="185" w:lineRule="exact"/>
        <w:rPr>
          <w:rFonts w:ascii="Arial" w:cs="Arial" w:eastAsia="Arial" w:hAnsi="Arial"/>
          <w:sz w:val="20"/>
          <w:szCs w:val="20"/>
          <w:color w:val="010000"/>
        </w:rPr>
      </w:pPr>
    </w:p>
    <w:p>
      <w:pPr>
        <w:jc w:val="both"/>
        <w:ind w:firstLine="656"/>
        <w:spacing w:after="0" w:line="263" w:lineRule="auto"/>
        <w:tabs>
          <w:tab w:leader="none" w:pos="1173" w:val="left"/>
        </w:tabs>
        <w:numPr>
          <w:ilvl w:val="0"/>
          <w:numId w:val="258"/>
        </w:numPr>
        <w:rPr>
          <w:rFonts w:ascii="Arial" w:cs="Arial" w:eastAsia="Arial" w:hAnsi="Arial"/>
          <w:sz w:val="19"/>
          <w:szCs w:val="19"/>
          <w:color w:val="010000"/>
        </w:rPr>
      </w:pPr>
      <w:r>
        <w:rPr>
          <w:rFonts w:ascii="Arial" w:cs="Arial" w:eastAsia="Arial" w:hAnsi="Arial"/>
          <w:sz w:val="19"/>
          <w:szCs w:val="19"/>
          <w:color w:val="auto"/>
        </w:rPr>
        <w:t>Each Guarantor hereby agrees and acknowledges that the Guaranteed Obligations, and any of them, shall conclusively be deemed to have been created, contracted or incurred, or renewed, extended, amended or waived, in reliance upon this Guaranty, and all dealings between the Company and any Guarantor, on the one hand, and the Administrative Agent and the Secured Parties, on the other hand, likewise shall be conclusively presumed to have been had or consummated in reliance upon this Guaranty.</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21"/>
          <w:szCs w:val="21"/>
          <w:color w:val="010000"/>
        </w:rPr>
        <w:t xml:space="preserve">SECTION 2.5 </w:t>
      </w:r>
      <w:r>
        <w:rPr>
          <w:rFonts w:ascii="Arial" w:cs="Arial" w:eastAsia="Arial" w:hAnsi="Arial"/>
          <w:sz w:val="18"/>
          <w:szCs w:val="18"/>
          <w:u w:val="single" w:color="auto"/>
          <w:color w:val="000000"/>
        </w:rPr>
        <w:t>Waivers</w:t>
      </w:r>
      <w:r>
        <w:rPr>
          <w:rFonts w:ascii="Arial" w:cs="Arial" w:eastAsia="Arial" w:hAnsi="Arial"/>
          <w:sz w:val="18"/>
          <w:szCs w:val="18"/>
          <w:color w:val="000000"/>
        </w:rPr>
        <w:t>. To the extent permitted by law, each Guarantor expressly waives all of the following rights and defenses</w:t>
      </w:r>
      <w:r>
        <w:rPr>
          <w:rFonts w:ascii="Arial" w:cs="Arial" w:eastAsia="Arial" w:hAnsi="Arial"/>
          <w:sz w:val="21"/>
          <w:szCs w:val="21"/>
          <w:color w:val="010000"/>
        </w:rPr>
        <w:t xml:space="preserve"> </w:t>
      </w:r>
      <w:r>
        <w:rPr>
          <w:rFonts w:ascii="Arial" w:cs="Arial" w:eastAsia="Arial" w:hAnsi="Arial"/>
          <w:sz w:val="18"/>
          <w:szCs w:val="18"/>
          <w:color w:val="000000"/>
        </w:rPr>
        <w:t>(other than the defense of payment or performance) and agrees not to take advantage of or assert any such right or defense:</w:t>
      </w:r>
    </w:p>
    <w:p>
      <w:pPr>
        <w:sectPr>
          <w:pgSz w:w="11900" w:h="16838" w:orient="portrait"/>
          <w:cols w:equalWidth="0" w:num="1">
            <w:col w:w="11240"/>
          </w:cols>
          <w:pgMar w:left="320" w:top="1176" w:right="339" w:bottom="1440" w:gutter="0" w:footer="0" w:header="0"/>
        </w:sectPr>
      </w:pPr>
    </w:p>
    <w:bookmarkStart w:id="269" w:name="page270"/>
    <w:bookmarkEnd w:id="269"/>
    <w:p>
      <w:pPr>
        <w:jc w:val="both"/>
        <w:ind w:firstLine="656"/>
        <w:spacing w:after="0" w:line="246" w:lineRule="auto"/>
        <w:tabs>
          <w:tab w:leader="none" w:pos="1079"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any rights it may now or in the future have under any statute, or at law or in equity, or otherwise, to compel the Administrative Agent or any Secured Party to proceed in respect of the Obligations against the Company or any other Person or against any security for or other guaranty of the payment and performance of the Guaranteed Obligations before proceeding against, or as a condition to proceeding against, such Guarantor;</w:t>
      </w:r>
    </w:p>
    <w:p>
      <w:pPr>
        <w:spacing w:after="0" w:line="191" w:lineRule="exact"/>
        <w:rPr>
          <w:rFonts w:ascii="Arial" w:cs="Arial" w:eastAsia="Arial" w:hAnsi="Arial"/>
          <w:sz w:val="20"/>
          <w:szCs w:val="20"/>
          <w:color w:val="010000"/>
        </w:rPr>
      </w:pPr>
    </w:p>
    <w:p>
      <w:pPr>
        <w:jc w:val="both"/>
        <w:ind w:firstLine="656"/>
        <w:spacing w:after="0" w:line="250" w:lineRule="auto"/>
        <w:tabs>
          <w:tab w:leader="none" w:pos="1103"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any defense based upon the failure of the Administrative Agent or any Secured Party to commence an action in respect of the Guaranteed Obligations against the Company, any Guarantor or any other Person or any security for the payment and performance of the Guaranteed Obligations;</w:t>
      </w:r>
    </w:p>
    <w:p>
      <w:pPr>
        <w:spacing w:after="0" w:line="185" w:lineRule="exact"/>
        <w:rPr>
          <w:rFonts w:ascii="Arial" w:cs="Arial" w:eastAsia="Arial" w:hAnsi="Arial"/>
          <w:sz w:val="20"/>
          <w:szCs w:val="20"/>
          <w:color w:val="010000"/>
        </w:rPr>
      </w:pPr>
    </w:p>
    <w:p>
      <w:pPr>
        <w:jc w:val="both"/>
        <w:ind w:firstLine="656"/>
        <w:spacing w:after="0" w:line="246" w:lineRule="auto"/>
        <w:tabs>
          <w:tab w:leader="none" w:pos="1119"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any right to insist upon, plead or in any manner whatever claim or take the benefit or advantage of, any appraisal, valuation, stay, extension, marshalling of assets or redemption laws, or exemption, whether now or at any time hereafter in force, which may delay, prevent or otherwise affect the performance by such Guarantor of its obligations under, or the enforcement by the Administrative Agent or the Secured Parties of this Guaranty;</w:t>
      </w:r>
    </w:p>
    <w:p>
      <w:pPr>
        <w:spacing w:after="0" w:line="191" w:lineRule="exact"/>
        <w:rPr>
          <w:rFonts w:ascii="Arial" w:cs="Arial" w:eastAsia="Arial" w:hAnsi="Arial"/>
          <w:sz w:val="20"/>
          <w:szCs w:val="20"/>
          <w:color w:val="010000"/>
        </w:rPr>
      </w:pPr>
    </w:p>
    <w:p>
      <w:pPr>
        <w:jc w:val="both"/>
        <w:ind w:right="20" w:firstLine="656"/>
        <w:spacing w:after="0" w:line="250" w:lineRule="auto"/>
        <w:tabs>
          <w:tab w:leader="none" w:pos="1157"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any right of diligence, presentment, demand, protest and notice (except as specifically required herein) of whatever kind or nature with respect to any of the Guaranteed Obligations and waives, to the extent permitted by Applicable Laws, the benefit of all provisions of law which are or might be in conflict with the terms of this Guaranty; and</w:t>
      </w:r>
    </w:p>
    <w:p>
      <w:pPr>
        <w:spacing w:after="0" w:line="185" w:lineRule="exact"/>
        <w:rPr>
          <w:rFonts w:ascii="Arial" w:cs="Arial" w:eastAsia="Arial" w:hAnsi="Arial"/>
          <w:sz w:val="20"/>
          <w:szCs w:val="20"/>
          <w:color w:val="010000"/>
        </w:rPr>
      </w:pPr>
    </w:p>
    <w:p>
      <w:pPr>
        <w:ind w:firstLine="656"/>
        <w:spacing w:after="0" w:line="260" w:lineRule="auto"/>
        <w:tabs>
          <w:tab w:leader="none" w:pos="1133" w:val="left"/>
        </w:tabs>
        <w:numPr>
          <w:ilvl w:val="0"/>
          <w:numId w:val="259"/>
        </w:numPr>
        <w:rPr>
          <w:rFonts w:ascii="Arial" w:cs="Arial" w:eastAsia="Arial" w:hAnsi="Arial"/>
          <w:sz w:val="20"/>
          <w:szCs w:val="20"/>
          <w:color w:val="010000"/>
        </w:rPr>
      </w:pPr>
      <w:r>
        <w:rPr>
          <w:rFonts w:ascii="Arial" w:cs="Arial" w:eastAsia="Arial" w:hAnsi="Arial"/>
          <w:sz w:val="20"/>
          <w:szCs w:val="20"/>
          <w:color w:val="auto"/>
        </w:rPr>
        <w:t>any and all right to notice of the creation, renewal, extension or accrual of any of the Obligations and notice of or proof of reliance by the Administrative Agent or any Secured Party upon, or acceptance of, this Guaranty.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Guarantor agrees that any notice or directive given at any time to the Administrative Agent or any Secured Party which is inconsistent with any of the foregoing waivers shall be null and void and may be ignored by the Administrative Agent or such Secured Party, and, in addition, may not be pleaded or introduced as evidence in any litigation relating to this Guaranty for the reason that such pleading or introduction would be at variance with the written terms of this Guaranty, unless the Administrative Agent and the Required Lenders have specifically agreed otherwise in writing. The foregoing waivers are of the essence of the transaction contemplated by the Credit Agreement and the other Loan Documents and, but for this Guaranty and such waivers, the Administrative Agent and Secured Parties would decline to enter into the Credit Agreement and the other Loan Documents.</w:t>
      </w:r>
    </w:p>
    <w:p>
      <w:pPr>
        <w:spacing w:after="0" w:line="19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2.6 </w:t>
      </w:r>
      <w:r>
        <w:rPr>
          <w:rFonts w:ascii="Arial" w:cs="Arial" w:eastAsia="Arial" w:hAnsi="Arial"/>
          <w:sz w:val="19"/>
          <w:szCs w:val="19"/>
          <w:u w:val="single" w:color="auto"/>
          <w:color w:val="000000"/>
        </w:rPr>
        <w:t>Modification of Loan Documents, etc.</w:t>
      </w:r>
      <w:r>
        <w:rPr>
          <w:rFonts w:ascii="Arial" w:cs="Arial" w:eastAsia="Arial" w:hAnsi="Arial"/>
          <w:sz w:val="22"/>
          <w:szCs w:val="22"/>
          <w:color w:val="010000"/>
        </w:rPr>
        <w:t xml:space="preserve"> </w:t>
      </w:r>
      <w:r>
        <w:rPr>
          <w:rFonts w:ascii="Arial" w:cs="Arial" w:eastAsia="Arial" w:hAnsi="Arial"/>
          <w:sz w:val="19"/>
          <w:szCs w:val="19"/>
          <w:color w:val="000000"/>
        </w:rPr>
        <w:t>Neither the Administrative Agent nor any Secured Party shall incur any</w:t>
      </w:r>
      <w:r>
        <w:rPr>
          <w:rFonts w:ascii="Arial" w:cs="Arial" w:eastAsia="Arial" w:hAnsi="Arial"/>
          <w:sz w:val="22"/>
          <w:szCs w:val="22"/>
          <w:color w:val="010000"/>
        </w:rPr>
        <w:t xml:space="preserve"> </w:t>
      </w:r>
      <w:r>
        <w:rPr>
          <w:rFonts w:ascii="Arial" w:cs="Arial" w:eastAsia="Arial" w:hAnsi="Arial"/>
          <w:sz w:val="19"/>
          <w:szCs w:val="19"/>
          <w:color w:val="000000"/>
        </w:rPr>
        <w:t>liability to any Guarantor as a result of any of the following, and none of the following shall impair or release this Guaranty or any of the obligations of any Guarantor under this Guaranty:</w:t>
      </w:r>
    </w:p>
    <w:p>
      <w:pPr>
        <w:spacing w:after="0" w:line="195" w:lineRule="exact"/>
        <w:rPr>
          <w:sz w:val="20"/>
          <w:szCs w:val="20"/>
          <w:color w:val="auto"/>
        </w:rPr>
      </w:pPr>
    </w:p>
    <w:p>
      <w:pPr>
        <w:ind w:right="20" w:firstLine="656"/>
        <w:spacing w:after="0" w:line="260" w:lineRule="auto"/>
        <w:tabs>
          <w:tab w:leader="none" w:pos="1146" w:val="left"/>
        </w:tabs>
        <w:numPr>
          <w:ilvl w:val="0"/>
          <w:numId w:val="260"/>
        </w:numPr>
        <w:rPr>
          <w:rFonts w:ascii="Arial" w:cs="Arial" w:eastAsia="Arial" w:hAnsi="Arial"/>
          <w:sz w:val="20"/>
          <w:szCs w:val="20"/>
          <w:color w:val="010000"/>
        </w:rPr>
      </w:pPr>
      <w:r>
        <w:rPr>
          <w:rFonts w:ascii="Arial" w:cs="Arial" w:eastAsia="Arial" w:hAnsi="Arial"/>
          <w:sz w:val="20"/>
          <w:szCs w:val="20"/>
          <w:color w:val="auto"/>
        </w:rPr>
        <w:t>any change or extension of the manner, place or terms of payment of, or renewal or alteration of all or any portion of, the Guaranteed Obligations;</w:t>
      </w:r>
    </w:p>
    <w:p>
      <w:pPr>
        <w:spacing w:after="0" w:line="176" w:lineRule="exact"/>
        <w:rPr>
          <w:rFonts w:ascii="Arial" w:cs="Arial" w:eastAsia="Arial" w:hAnsi="Arial"/>
          <w:sz w:val="20"/>
          <w:szCs w:val="20"/>
          <w:color w:val="010000"/>
        </w:rPr>
      </w:pPr>
    </w:p>
    <w:p>
      <w:pPr>
        <w:jc w:val="both"/>
        <w:ind w:firstLine="656"/>
        <w:spacing w:after="0" w:line="250" w:lineRule="auto"/>
        <w:tabs>
          <w:tab w:leader="none" w:pos="1117" w:val="left"/>
        </w:tabs>
        <w:numPr>
          <w:ilvl w:val="0"/>
          <w:numId w:val="260"/>
        </w:numPr>
        <w:rPr>
          <w:rFonts w:ascii="Arial" w:cs="Arial" w:eastAsia="Arial" w:hAnsi="Arial"/>
          <w:sz w:val="20"/>
          <w:szCs w:val="20"/>
          <w:color w:val="010000"/>
        </w:rPr>
      </w:pPr>
      <w:r>
        <w:rPr>
          <w:rFonts w:ascii="Arial" w:cs="Arial" w:eastAsia="Arial" w:hAnsi="Arial"/>
          <w:sz w:val="20"/>
          <w:szCs w:val="20"/>
          <w:color w:val="auto"/>
        </w:rPr>
        <w:t>any action under or in respect of the Credit Agreement or the other Loan Documents in the exercise of any remedy, power or privilege contained therein or available to any of them at law, in equity or otherwise, or waiver or refrain from exercising any such remedies, powers or privileges;</w:t>
      </w:r>
    </w:p>
    <w:p>
      <w:pPr>
        <w:spacing w:after="0" w:line="185" w:lineRule="exact"/>
        <w:rPr>
          <w:rFonts w:ascii="Arial" w:cs="Arial" w:eastAsia="Arial" w:hAnsi="Arial"/>
          <w:sz w:val="20"/>
          <w:szCs w:val="20"/>
          <w:color w:val="010000"/>
        </w:rPr>
      </w:pPr>
    </w:p>
    <w:p>
      <w:pPr>
        <w:ind w:left="1080" w:hanging="424"/>
        <w:spacing w:after="0"/>
        <w:tabs>
          <w:tab w:leader="none" w:pos="1080" w:val="left"/>
        </w:tabs>
        <w:numPr>
          <w:ilvl w:val="0"/>
          <w:numId w:val="260"/>
        </w:numPr>
        <w:rPr>
          <w:rFonts w:ascii="Arial" w:cs="Arial" w:eastAsia="Arial" w:hAnsi="Arial"/>
          <w:sz w:val="20"/>
          <w:szCs w:val="20"/>
          <w:color w:val="010000"/>
        </w:rPr>
      </w:pPr>
      <w:r>
        <w:rPr>
          <w:rFonts w:ascii="Arial" w:cs="Arial" w:eastAsia="Arial" w:hAnsi="Arial"/>
          <w:sz w:val="20"/>
          <w:szCs w:val="20"/>
          <w:color w:val="auto"/>
        </w:rPr>
        <w:t>any amendment or modification, in any manner whatsoever, of the Credit Agreement or any other Loan Document;</w:t>
      </w:r>
    </w:p>
    <w:p>
      <w:pPr>
        <w:sectPr>
          <w:pgSz w:w="11900" w:h="16838" w:orient="portrait"/>
          <w:cols w:equalWidth="0" w:num="1">
            <w:col w:w="11240"/>
          </w:cols>
          <w:pgMar w:left="320" w:top="1176" w:right="339" w:bottom="1440" w:gutter="0" w:footer="0" w:header="0"/>
        </w:sectPr>
      </w:pPr>
    </w:p>
    <w:bookmarkStart w:id="270" w:name="page271"/>
    <w:bookmarkEnd w:id="270"/>
    <w:p>
      <w:pPr>
        <w:jc w:val="both"/>
        <w:ind w:firstLine="656"/>
        <w:spacing w:after="0" w:line="291" w:lineRule="auto"/>
        <w:tabs>
          <w:tab w:leader="none" w:pos="1144" w:val="left"/>
        </w:tabs>
        <w:numPr>
          <w:ilvl w:val="0"/>
          <w:numId w:val="261"/>
        </w:numPr>
        <w:rPr>
          <w:rFonts w:ascii="Arial" w:cs="Arial" w:eastAsia="Arial" w:hAnsi="Arial"/>
          <w:sz w:val="18"/>
          <w:szCs w:val="18"/>
          <w:color w:val="010000"/>
        </w:rPr>
      </w:pPr>
      <w:r>
        <w:rPr>
          <w:rFonts w:ascii="Arial" w:cs="Arial" w:eastAsia="Arial" w:hAnsi="Arial"/>
          <w:sz w:val="18"/>
          <w:szCs w:val="18"/>
          <w:color w:val="auto"/>
        </w:rPr>
        <w:t>any extension or waiver of the time for performance by the Company, any Guarantor or any other Person of, or compliance with, any term, covenant or agreement on its part to be performed or observed under the Credit Agreement or any other Loan Document, or waive such performance or compliance or consent to a failure of, or departure from, such performance or compliance;</w:t>
      </w:r>
    </w:p>
    <w:p>
      <w:pPr>
        <w:spacing w:after="0" w:line="151" w:lineRule="exact"/>
        <w:rPr>
          <w:rFonts w:ascii="Arial" w:cs="Arial" w:eastAsia="Arial" w:hAnsi="Arial"/>
          <w:sz w:val="18"/>
          <w:szCs w:val="18"/>
          <w:color w:val="010000"/>
        </w:rPr>
      </w:pPr>
    </w:p>
    <w:p>
      <w:pPr>
        <w:jc w:val="both"/>
        <w:ind w:firstLine="656"/>
        <w:spacing w:after="0" w:line="246" w:lineRule="auto"/>
        <w:tabs>
          <w:tab w:leader="none" w:pos="1079" w:val="left"/>
        </w:tabs>
        <w:numPr>
          <w:ilvl w:val="0"/>
          <w:numId w:val="261"/>
        </w:numPr>
        <w:rPr>
          <w:rFonts w:ascii="Arial" w:cs="Arial" w:eastAsia="Arial" w:hAnsi="Arial"/>
          <w:sz w:val="20"/>
          <w:szCs w:val="20"/>
          <w:color w:val="010000"/>
        </w:rPr>
      </w:pPr>
      <w:r>
        <w:rPr>
          <w:rFonts w:ascii="Arial" w:cs="Arial" w:eastAsia="Arial" w:hAnsi="Arial"/>
          <w:sz w:val="20"/>
          <w:szCs w:val="20"/>
          <w:color w:val="auto"/>
        </w:rPr>
        <w:t>any taking and holding of security or collateral for the payment of the Obligations or the sale, exchange, release, disposal of, or other dealing with, any property pledged, mortgaged or conveyed, or in which the Administrative Agent or the Secured Parties have been granted a Lien, to secure any Indebtedness of the Company, any Guarantor or any other Person to the Administrative Agent or the Secured Parties;</w:t>
      </w:r>
    </w:p>
    <w:p>
      <w:pPr>
        <w:spacing w:after="0" w:line="191" w:lineRule="exact"/>
        <w:rPr>
          <w:rFonts w:ascii="Arial" w:cs="Arial" w:eastAsia="Arial" w:hAnsi="Arial"/>
          <w:sz w:val="20"/>
          <w:szCs w:val="20"/>
          <w:color w:val="010000"/>
        </w:rPr>
      </w:pPr>
    </w:p>
    <w:p>
      <w:pPr>
        <w:ind w:firstLine="656"/>
        <w:spacing w:after="0" w:line="260" w:lineRule="auto"/>
        <w:tabs>
          <w:tab w:leader="none" w:pos="1057" w:val="left"/>
        </w:tabs>
        <w:numPr>
          <w:ilvl w:val="0"/>
          <w:numId w:val="261"/>
        </w:numPr>
        <w:rPr>
          <w:rFonts w:ascii="Arial" w:cs="Arial" w:eastAsia="Arial" w:hAnsi="Arial"/>
          <w:sz w:val="20"/>
          <w:szCs w:val="20"/>
          <w:color w:val="010000"/>
        </w:rPr>
      </w:pPr>
      <w:r>
        <w:rPr>
          <w:rFonts w:ascii="Arial" w:cs="Arial" w:eastAsia="Arial" w:hAnsi="Arial"/>
          <w:sz w:val="20"/>
          <w:szCs w:val="20"/>
          <w:color w:val="auto"/>
        </w:rPr>
        <w:t>any release of anyone who may be liable in any manner for the payment of any amounts owed by the Company, any Guarantor or any other Person to the Administrative Agent or any Secured Party;</w:t>
      </w:r>
    </w:p>
    <w:p>
      <w:pPr>
        <w:spacing w:after="0" w:line="176" w:lineRule="exact"/>
        <w:rPr>
          <w:rFonts w:ascii="Arial" w:cs="Arial" w:eastAsia="Arial" w:hAnsi="Arial"/>
          <w:sz w:val="20"/>
          <w:szCs w:val="20"/>
          <w:color w:val="010000"/>
        </w:rPr>
      </w:pPr>
    </w:p>
    <w:p>
      <w:pPr>
        <w:jc w:val="both"/>
        <w:ind w:firstLine="656"/>
        <w:spacing w:after="0" w:line="250" w:lineRule="auto"/>
        <w:tabs>
          <w:tab w:leader="none" w:pos="1090" w:val="left"/>
        </w:tabs>
        <w:numPr>
          <w:ilvl w:val="0"/>
          <w:numId w:val="261"/>
        </w:numPr>
        <w:rPr>
          <w:rFonts w:ascii="Arial" w:cs="Arial" w:eastAsia="Arial" w:hAnsi="Arial"/>
          <w:sz w:val="20"/>
          <w:szCs w:val="20"/>
          <w:color w:val="010000"/>
        </w:rPr>
      </w:pPr>
      <w:r>
        <w:rPr>
          <w:rFonts w:ascii="Arial" w:cs="Arial" w:eastAsia="Arial" w:hAnsi="Arial"/>
          <w:sz w:val="20"/>
          <w:szCs w:val="20"/>
          <w:color w:val="auto"/>
        </w:rPr>
        <w:t>any modification or termination of the terms of any intercreditor or subordination agreement pursuant to which claims of other creditors of the Company, any Guarantor or any other Person are subordinated to the claims of the Administrative Agent or any Secured Party; or</w:t>
      </w:r>
    </w:p>
    <w:p>
      <w:pPr>
        <w:spacing w:after="0" w:line="185" w:lineRule="exact"/>
        <w:rPr>
          <w:rFonts w:ascii="Arial" w:cs="Arial" w:eastAsia="Arial" w:hAnsi="Arial"/>
          <w:sz w:val="20"/>
          <w:szCs w:val="20"/>
          <w:color w:val="010000"/>
        </w:rPr>
      </w:pPr>
    </w:p>
    <w:p>
      <w:pPr>
        <w:jc w:val="both"/>
        <w:ind w:firstLine="656"/>
        <w:spacing w:after="0" w:line="250" w:lineRule="auto"/>
        <w:tabs>
          <w:tab w:leader="none" w:pos="1103" w:val="left"/>
        </w:tabs>
        <w:numPr>
          <w:ilvl w:val="0"/>
          <w:numId w:val="261"/>
        </w:numPr>
        <w:rPr>
          <w:rFonts w:ascii="Arial" w:cs="Arial" w:eastAsia="Arial" w:hAnsi="Arial"/>
          <w:sz w:val="20"/>
          <w:szCs w:val="20"/>
          <w:color w:val="010000"/>
        </w:rPr>
      </w:pPr>
      <w:r>
        <w:rPr>
          <w:rFonts w:ascii="Arial" w:cs="Arial" w:eastAsia="Arial" w:hAnsi="Arial"/>
          <w:sz w:val="20"/>
          <w:szCs w:val="20"/>
          <w:color w:val="auto"/>
        </w:rPr>
        <w:t>any application of any sums by whomever paid or however realized to any Obligations owing by the Company, any Guarantor or any other Person to the Administrative Agent or any Secured Party in such manner as the Administrative Agent or any Secured Party shall determine in its reasonable discretion.</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010000"/>
        </w:rPr>
        <w:t xml:space="preserve">SECTION 2.7 </w:t>
      </w:r>
      <w:r>
        <w:rPr>
          <w:rFonts w:ascii="Arial" w:cs="Arial" w:eastAsia="Arial" w:hAnsi="Arial"/>
          <w:sz w:val="18"/>
          <w:szCs w:val="18"/>
          <w:u w:val="single" w:color="auto"/>
          <w:color w:val="000000"/>
        </w:rPr>
        <w:t>Demand by the Administrative Agent</w:t>
      </w:r>
      <w:r>
        <w:rPr>
          <w:rFonts w:ascii="Arial" w:cs="Arial" w:eastAsia="Arial" w:hAnsi="Arial"/>
          <w:sz w:val="18"/>
          <w:szCs w:val="18"/>
          <w:color w:val="000000"/>
        </w:rPr>
        <w:t>. In addition to the terms set forth in this</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Article II</w:t>
      </w:r>
      <w:r>
        <w:rPr>
          <w:rFonts w:ascii="Arial" w:cs="Arial" w:eastAsia="Arial" w:hAnsi="Arial"/>
          <w:sz w:val="21"/>
          <w:szCs w:val="21"/>
          <w:color w:val="010000"/>
        </w:rPr>
        <w:t xml:space="preserve"> </w:t>
      </w:r>
      <w:r>
        <w:rPr>
          <w:rFonts w:ascii="Arial" w:cs="Arial" w:eastAsia="Arial" w:hAnsi="Arial"/>
          <w:sz w:val="18"/>
          <w:szCs w:val="18"/>
          <w:color w:val="000000"/>
        </w:rPr>
        <w:t>and in no manner</w:t>
      </w:r>
      <w:r>
        <w:rPr>
          <w:rFonts w:ascii="Arial" w:cs="Arial" w:eastAsia="Arial" w:hAnsi="Arial"/>
          <w:sz w:val="21"/>
          <w:szCs w:val="21"/>
          <w:color w:val="010000"/>
        </w:rPr>
        <w:t xml:space="preserve"> </w:t>
      </w:r>
      <w:r>
        <w:rPr>
          <w:rFonts w:ascii="Arial" w:cs="Arial" w:eastAsia="Arial" w:hAnsi="Arial"/>
          <w:sz w:val="18"/>
          <w:szCs w:val="18"/>
          <w:color w:val="000000"/>
        </w:rPr>
        <w:t>imposing any limitation on such terms, if all or any portion of the then outstanding Guaranteed Obligations under the Credit Agreement are declared to be immediately due and payable, then the Guarantors shall, upon demand in writing therefor by the Administrative Agent to the Guarantors, pay all or such portion of the outstanding Guaranteed Obligations due hereunder then declared due and payable. Notwithstanding the foregoing, each Guarantor agrees that, in the event of the dissolution or insolvency of the Company or any Guarantor, or the inability or failure of the Company or any Guarantor to pay debts as they become due, or an assignment by the Company or any Guarantor for the benefit of creditors, or the commencement of any case or proceeding in respect of the Company or any Guarantor under bankruptcy, insolvency or similar laws, and if such event shall occur at a time when an Event of Default exists and any of the Guaranteed Obligations may not then be due and payable, each Guarantor will pay to the Administrative Agent, for the ratable benefit of the Secured Parties and their respective successors, indorsees, transferees and assigns, forthwith the full amount which would be payable hereunder by each Guarantor if all such Guaranteed Obligations were then due and payable.</w:t>
      </w:r>
    </w:p>
    <w:p>
      <w:pPr>
        <w:spacing w:after="0" w:line="1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2.8 </w:t>
      </w:r>
      <w:r>
        <w:rPr>
          <w:rFonts w:ascii="Arial" w:cs="Arial" w:eastAsia="Arial" w:hAnsi="Arial"/>
          <w:sz w:val="19"/>
          <w:szCs w:val="19"/>
          <w:u w:val="single" w:color="auto"/>
          <w:color w:val="000000"/>
        </w:rPr>
        <w:t>Remedies</w:t>
      </w:r>
      <w:r>
        <w:rPr>
          <w:rFonts w:ascii="Arial" w:cs="Arial" w:eastAsia="Arial" w:hAnsi="Arial"/>
          <w:sz w:val="19"/>
          <w:szCs w:val="19"/>
          <w:color w:val="000000"/>
        </w:rPr>
        <w:t>. Upon the occurrence and during the continuance of any Event of Default, with the consent of the</w:t>
      </w:r>
      <w:r>
        <w:rPr>
          <w:rFonts w:ascii="Arial" w:cs="Arial" w:eastAsia="Arial" w:hAnsi="Arial"/>
          <w:sz w:val="22"/>
          <w:szCs w:val="22"/>
          <w:color w:val="010000"/>
        </w:rPr>
        <w:t xml:space="preserve"> </w:t>
      </w:r>
      <w:r>
        <w:rPr>
          <w:rFonts w:ascii="Arial" w:cs="Arial" w:eastAsia="Arial" w:hAnsi="Arial"/>
          <w:sz w:val="19"/>
          <w:szCs w:val="19"/>
          <w:color w:val="000000"/>
        </w:rPr>
        <w:t>Required Lenders, the Administrative Agent may, or upon the request of the Required Lenders, the Administrative Agent shall, enforce against the Guarantors their respective obligations and liabilities hereunder and exercise such other rights and remedies as may be available to the Administrative Agent hereunder, under the Credit Agreement or the other Loan Documents or otherwise.</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2.9 </w:t>
      </w:r>
      <w:r>
        <w:rPr>
          <w:rFonts w:ascii="Arial" w:cs="Arial" w:eastAsia="Arial" w:hAnsi="Arial"/>
          <w:sz w:val="19"/>
          <w:szCs w:val="19"/>
          <w:u w:val="single" w:color="auto"/>
          <w:color w:val="000000"/>
        </w:rPr>
        <w:t>Benefits of Guaranty</w:t>
      </w:r>
      <w:r>
        <w:rPr>
          <w:rFonts w:ascii="Arial" w:cs="Arial" w:eastAsia="Arial" w:hAnsi="Arial"/>
          <w:sz w:val="19"/>
          <w:szCs w:val="19"/>
          <w:color w:val="000000"/>
        </w:rPr>
        <w:t>. The provisions of this Guaranty are for the benefit of the Administrative Agent and the</w:t>
      </w:r>
      <w:r>
        <w:rPr>
          <w:rFonts w:ascii="Arial" w:cs="Arial" w:eastAsia="Arial" w:hAnsi="Arial"/>
          <w:sz w:val="22"/>
          <w:szCs w:val="22"/>
          <w:color w:val="010000"/>
        </w:rPr>
        <w:t xml:space="preserve"> </w:t>
      </w:r>
      <w:r>
        <w:rPr>
          <w:rFonts w:ascii="Arial" w:cs="Arial" w:eastAsia="Arial" w:hAnsi="Arial"/>
          <w:sz w:val="19"/>
          <w:szCs w:val="19"/>
          <w:color w:val="000000"/>
        </w:rPr>
        <w:t>Secured Parties and their respective permitted successors, transferees, endorsees and assigns, and nothing herein contained shall impair, as between or among the Company, the Administrative Agent and the Secured Parties, the obligations of the Company under the Credit Agreement and the other Loan Documents. In the event all or any part of the Obligations are transferred,</w:t>
      </w:r>
    </w:p>
    <w:p>
      <w:pPr>
        <w:sectPr>
          <w:pgSz w:w="11900" w:h="16838" w:orient="portrait"/>
          <w:cols w:equalWidth="0" w:num="1">
            <w:col w:w="11240"/>
          </w:cols>
          <w:pgMar w:left="320" w:top="1176" w:right="339" w:bottom="1440" w:gutter="0" w:footer="0" w:header="0"/>
        </w:sectPr>
      </w:pPr>
    </w:p>
    <w:bookmarkStart w:id="271" w:name="page272"/>
    <w:bookmarkEnd w:id="271"/>
    <w:p>
      <w:pPr>
        <w:jc w:val="both"/>
        <w:ind w:right="20"/>
        <w:spacing w:after="0" w:line="287" w:lineRule="auto"/>
        <w:rPr>
          <w:sz w:val="20"/>
          <w:szCs w:val="20"/>
          <w:color w:val="auto"/>
        </w:rPr>
      </w:pPr>
      <w:r>
        <w:rPr>
          <w:rFonts w:ascii="Arial" w:cs="Arial" w:eastAsia="Arial" w:hAnsi="Arial"/>
          <w:sz w:val="19"/>
          <w:szCs w:val="19"/>
          <w:color w:val="auto"/>
        </w:rPr>
        <w:t>endorsed or assigned by the Administrative Agent or any Lender to any Person or Persons as permitted under the Credit Agreement, any reference to an “Administrative Agent” or “Lender” herein shall be deemed to refer equally to such Person or Persons.</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2.10 </w:t>
      </w:r>
      <w:r>
        <w:rPr>
          <w:rFonts w:ascii="Arial" w:cs="Arial" w:eastAsia="Arial" w:hAnsi="Arial"/>
          <w:sz w:val="19"/>
          <w:szCs w:val="19"/>
          <w:u w:val="single" w:color="auto"/>
          <w:color w:val="000000"/>
        </w:rPr>
        <w:t>Termination; Reinstatement</w:t>
      </w:r>
      <w:r>
        <w:rPr>
          <w:rFonts w:ascii="Arial" w:cs="Arial" w:eastAsia="Arial" w:hAnsi="Arial"/>
          <w:sz w:val="19"/>
          <w:szCs w:val="19"/>
          <w:color w:val="000000"/>
        </w:rPr>
        <w:t>. Subject to subsection (c) below, this Guaranty shall remain in full force and effect</w:t>
      </w:r>
      <w:r>
        <w:rPr>
          <w:rFonts w:ascii="Arial" w:cs="Arial" w:eastAsia="Arial" w:hAnsi="Arial"/>
          <w:sz w:val="22"/>
          <w:szCs w:val="22"/>
          <w:color w:val="010000"/>
        </w:rPr>
        <w:t xml:space="preserve"> </w:t>
      </w:r>
      <w:r>
        <w:rPr>
          <w:rFonts w:ascii="Arial" w:cs="Arial" w:eastAsia="Arial" w:hAnsi="Arial"/>
          <w:sz w:val="19"/>
          <w:szCs w:val="19"/>
          <w:color w:val="000000"/>
        </w:rPr>
        <w:t>until all the Guaranteed Obligations (other than contingent indemnification obligations not yet due and Bank Product Debt) are paid in full (or, in the case of Letters of Credit, cash collateralized in accordance with the terms of the Credit Agreement) and the Commitments are terminated.</w:t>
      </w:r>
    </w:p>
    <w:p>
      <w:pPr>
        <w:spacing w:after="0" w:line="193" w:lineRule="exact"/>
        <w:rPr>
          <w:sz w:val="20"/>
          <w:szCs w:val="20"/>
          <w:color w:val="auto"/>
        </w:rPr>
      </w:pPr>
    </w:p>
    <w:p>
      <w:pPr>
        <w:jc w:val="both"/>
        <w:ind w:firstLine="656"/>
        <w:spacing w:after="0" w:line="256" w:lineRule="auto"/>
        <w:tabs>
          <w:tab w:leader="none" w:pos="1103" w:val="left"/>
        </w:tabs>
        <w:numPr>
          <w:ilvl w:val="0"/>
          <w:numId w:val="262"/>
        </w:numPr>
        <w:rPr>
          <w:rFonts w:ascii="Arial" w:cs="Arial" w:eastAsia="Arial" w:hAnsi="Arial"/>
          <w:sz w:val="19"/>
          <w:szCs w:val="19"/>
          <w:color w:val="010000"/>
        </w:rPr>
      </w:pPr>
      <w:r>
        <w:rPr>
          <w:rFonts w:ascii="Arial" w:cs="Arial" w:eastAsia="Arial" w:hAnsi="Arial"/>
          <w:sz w:val="19"/>
          <w:szCs w:val="19"/>
          <w:color w:val="auto"/>
        </w:rPr>
        <w:t>No payment made by any Borrower, any Guarantor, or any other Person received or collected by the Administrative Agent or any Secured Party from any Borrower, any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obligations of the Guarantors or any payment received or collected from such Guarantor in respect of the obligations of the Guarantors), remain liable for the obligations of the Guarantors up to the maximum liability of such Guarantor hereunder until the Guaranteed Obligations (other than contingent indemnification obligations not yet due and Bank Product Debt) are paid in full (or, in the case of Letters of Credit, cash collateralized in accordance with the terms of the Credit Agreement) and the Commitments are terminated.</w:t>
      </w:r>
    </w:p>
    <w:p>
      <w:pPr>
        <w:spacing w:after="0" w:line="184" w:lineRule="exact"/>
        <w:rPr>
          <w:rFonts w:ascii="Arial" w:cs="Arial" w:eastAsia="Arial" w:hAnsi="Arial"/>
          <w:sz w:val="19"/>
          <w:szCs w:val="19"/>
          <w:color w:val="010000"/>
        </w:rPr>
      </w:pPr>
    </w:p>
    <w:p>
      <w:pPr>
        <w:jc w:val="both"/>
        <w:ind w:firstLine="656"/>
        <w:spacing w:after="0" w:line="274" w:lineRule="auto"/>
        <w:tabs>
          <w:tab w:leader="none" w:pos="1079"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Each Guarantor agrees that, if any payment made by the Company or any other Person applied to the Obligations is at any time annulled, set aside, rescinded, invalidated, declared to be fraudulent or preferential or otherwise required to be refunded or repaid by the Administrative Agent or any Secured Party to the Company, its estate, trustee, receiver or any other Person, including, without limitation, any Guarantor, under any Applicable Law or equitable cause, then, to the extent of such payment or repayment, each Guarantor’s liability hereunder shall be and remain in full force and effect, as fully as if such payment had never been made, and, if prior thereto, this Guaranty shall have been canceled or surrendered, this Guaranty shall be reinstated in full force and effect, and such prior cancellation or surrender shall not diminish, release, discharge, impair or otherwise affect the obligations of such Guarantor in respect of the amount of such payment.</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2.11 </w:t>
      </w:r>
      <w:r>
        <w:rPr>
          <w:rFonts w:ascii="Arial" w:cs="Arial" w:eastAsia="Arial" w:hAnsi="Arial"/>
          <w:sz w:val="18"/>
          <w:szCs w:val="18"/>
          <w:u w:val="single" w:color="auto"/>
          <w:color w:val="000000"/>
        </w:rPr>
        <w:t>Payments</w:t>
      </w:r>
      <w:r>
        <w:rPr>
          <w:rFonts w:ascii="Arial" w:cs="Arial" w:eastAsia="Arial" w:hAnsi="Arial"/>
          <w:sz w:val="18"/>
          <w:szCs w:val="18"/>
          <w:color w:val="000000"/>
        </w:rPr>
        <w:t>. Payments by the Guarantors shall be made to the Administrative Agent, to be credited and applied to</w:t>
      </w:r>
      <w:r>
        <w:rPr>
          <w:rFonts w:ascii="Arial" w:cs="Arial" w:eastAsia="Arial" w:hAnsi="Arial"/>
          <w:sz w:val="21"/>
          <w:szCs w:val="21"/>
          <w:color w:val="010000"/>
        </w:rPr>
        <w:t xml:space="preserve"> </w:t>
      </w:r>
      <w:r>
        <w:rPr>
          <w:rFonts w:ascii="Arial" w:cs="Arial" w:eastAsia="Arial" w:hAnsi="Arial"/>
          <w:sz w:val="18"/>
          <w:szCs w:val="18"/>
          <w:color w:val="000000"/>
        </w:rPr>
        <w:t>the Guaranteed Obligations in accordance with Sections 4.4 and 11.4 of the Credit Agreement, in Same Day Funds to an account designated by the Administrative Agent at the Administrative Agent’s Office (or, with respect to the Designated Currency Tranche, in the applicable Lending Office) or at any other address that may be specified in writing from time to time by the Administrative Agent. Notwithstanding the foregoing provisions of this Section, if, with respect to any Loan in any Foreign Currency, currency control or exchange regulations are imposed in the country which issues such currency with the result that the type of currency in which such Loan was made (the “</w:t>
      </w:r>
      <w:r>
        <w:rPr>
          <w:rFonts w:ascii="Arial" w:cs="Arial" w:eastAsia="Arial" w:hAnsi="Arial"/>
          <w:sz w:val="18"/>
          <w:szCs w:val="18"/>
          <w:u w:val="single" w:color="auto"/>
          <w:color w:val="000000"/>
        </w:rPr>
        <w:t>Original</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Currency</w:t>
      </w:r>
      <w:r>
        <w:rPr>
          <w:rFonts w:ascii="Arial" w:cs="Arial" w:eastAsia="Arial" w:hAnsi="Arial"/>
          <w:sz w:val="18"/>
          <w:szCs w:val="18"/>
          <w:color w:val="000000"/>
        </w:rPr>
        <w:t>”) no longer exists or the applicable Guarantor is not able to make payment to the Administrative Agent for the account of the Secured Parties in such Original Currency, then all payments to be made by such Guarantor hereunder in such currency shall instead be made when due in Dollars in an amount equal to the Dollar Amount (as of the date of payment and as such amount shall be determined pursuant to the Credit Agreement) of such payment due, it being the intention of the parties hereto that the Guarantors take all risks of the imposition of any such currency control or exchange regulations.</w:t>
      </w:r>
    </w:p>
    <w:p>
      <w:pPr>
        <w:spacing w:after="0" w:line="178" w:lineRule="exact"/>
        <w:rPr>
          <w:sz w:val="20"/>
          <w:szCs w:val="20"/>
          <w:color w:val="auto"/>
        </w:rPr>
      </w:pPr>
    </w:p>
    <w:p>
      <w:pPr>
        <w:ind w:left="200"/>
        <w:spacing w:after="0"/>
        <w:tabs>
          <w:tab w:leader="none" w:pos="182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ectPr>
          <w:pgSz w:w="11900" w:h="16838" w:orient="portrait"/>
          <w:cols w:equalWidth="0" w:num="1">
            <w:col w:w="11240"/>
          </w:cols>
          <w:pgMar w:left="320" w:top="1176" w:right="339" w:bottom="1440" w:gutter="0" w:footer="0" w:header="0"/>
        </w:sectPr>
      </w:pPr>
    </w:p>
    <w:bookmarkStart w:id="272" w:name="page273"/>
    <w:bookmarkEnd w:id="272"/>
    <w:p>
      <w:pPr>
        <w:jc w:val="both"/>
        <w:ind w:firstLine="648"/>
        <w:spacing w:after="0" w:line="255" w:lineRule="auto"/>
        <w:rPr>
          <w:sz w:val="20"/>
          <w:szCs w:val="20"/>
          <w:color w:val="auto"/>
        </w:rPr>
      </w:pPr>
      <w:r>
        <w:rPr>
          <w:rFonts w:ascii="Arial" w:cs="Arial" w:eastAsia="Arial" w:hAnsi="Arial"/>
          <w:sz w:val="19"/>
          <w:szCs w:val="19"/>
          <w:color w:val="auto"/>
        </w:rPr>
        <w:t xml:space="preserve">Each Qualified ECP Guarantor hereby jointly and severally absolutely, unconditionally and irrevocably undertakes to provide such funds or other support as may be needed from time to time by each Specified Credit Party to honor all of such Specified Credit Party’s obligations under this Agreement and the other Loan Documents in respect of Hedging Obligations (provided, however, that each Qualified ECP Guarantor shall only be liable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otherwise under this Agreement voidable under applicable law relating to fraudulent conveyance or fraudulent transfer, and not for any greater amount). The obligations of each Qualified ECP Guarantor under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remain in full force and effect until all the Guaranteed Obligations (other than contingent indemnification obligations not yet due and Bank Product Debt) are paid in full (or, in the case of Letters of Credit, cash collateralized in accordance with the terms of the Credit Agreement) and the Commitments are terminated. Each Qualified ECP Guarantor intends that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shall be deemed to constitute, a “keepwell, support, or other agreement” for the benefit of each Specified Credit Party for all purposes of Section la(18)(A)(v)(II) of the Commodity Exchange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Administrative Agent and the Lenders to make any Extensions of Credit each Guarantor hereby represents and warrants that: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19"/>
          <w:szCs w:val="19"/>
          <w:u w:val="single" w:color="auto"/>
          <w:color w:val="000000"/>
        </w:rPr>
        <w:t>Existence</w:t>
      </w:r>
      <w:r>
        <w:rPr>
          <w:rFonts w:ascii="Arial" w:cs="Arial" w:eastAsia="Arial" w:hAnsi="Arial"/>
          <w:sz w:val="19"/>
          <w:szCs w:val="19"/>
          <w:color w:val="000000"/>
        </w:rPr>
        <w:t>. Such Guarantor is duly organized, validly existing and in good standing under the laws of the</w:t>
      </w:r>
      <w:r>
        <w:rPr>
          <w:rFonts w:ascii="Arial" w:cs="Arial" w:eastAsia="Arial" w:hAnsi="Arial"/>
          <w:sz w:val="22"/>
          <w:szCs w:val="22"/>
          <w:color w:val="010000"/>
        </w:rPr>
        <w:t xml:space="preserve"> </w:t>
      </w:r>
      <w:r>
        <w:rPr>
          <w:rFonts w:ascii="Arial" w:cs="Arial" w:eastAsia="Arial" w:hAnsi="Arial"/>
          <w:sz w:val="19"/>
          <w:szCs w:val="19"/>
          <w:color w:val="000000"/>
        </w:rPr>
        <w:t>jurisdiction of its incorporation or formation, has the power and authority to own its properties and to carry on its business as now being and hereafter proposed to be conducted and is duly qualified and authorized to do business in each jurisdiction in which the character of its properties or the nature of its business requires such qualification and authorization except where the failure to be so qualified would not reasonably be expected to have a Material Adverse Effect.</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SECTION 3.2 </w:t>
      </w:r>
      <w:r>
        <w:rPr>
          <w:rFonts w:ascii="Arial" w:cs="Arial" w:eastAsia="Arial" w:hAnsi="Arial"/>
          <w:sz w:val="19"/>
          <w:szCs w:val="19"/>
          <w:u w:val="single" w:color="auto"/>
          <w:color w:val="000000"/>
        </w:rPr>
        <w:t>Authorization of Agreement; Enforceability</w:t>
      </w:r>
      <w:r>
        <w:rPr>
          <w:rFonts w:ascii="Arial" w:cs="Arial" w:eastAsia="Arial" w:hAnsi="Arial"/>
          <w:sz w:val="19"/>
          <w:szCs w:val="19"/>
          <w:color w:val="000000"/>
        </w:rPr>
        <w:t>. Such Guarantor has the right, power and authority and has taken all</w:t>
      </w:r>
      <w:r>
        <w:rPr>
          <w:rFonts w:ascii="Arial" w:cs="Arial" w:eastAsia="Arial" w:hAnsi="Arial"/>
          <w:sz w:val="22"/>
          <w:szCs w:val="22"/>
          <w:color w:val="010000"/>
        </w:rPr>
        <w:t xml:space="preserve"> </w:t>
      </w:r>
      <w:r>
        <w:rPr>
          <w:rFonts w:ascii="Arial" w:cs="Arial" w:eastAsia="Arial" w:hAnsi="Arial"/>
          <w:sz w:val="19"/>
          <w:szCs w:val="19"/>
          <w:color w:val="000000"/>
        </w:rPr>
        <w:t>necessary corporate or other action to authorize the execution, delivery and performance of this Guaranty in accordance with its terms. This Guaranty has been duly executed and delivered by the duly authorized officers of such Guarantor and this Guaranty constitutes the legal, valid and binding obligation of such Guarantor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010000"/>
        </w:rPr>
        <w:t xml:space="preserve">SECTION 3.3 </w:t>
      </w:r>
      <w:r>
        <w:rPr>
          <w:rFonts w:ascii="Arial" w:cs="Arial" w:eastAsia="Arial" w:hAnsi="Arial"/>
          <w:sz w:val="18"/>
          <w:szCs w:val="18"/>
          <w:u w:val="single" w:color="auto"/>
          <w:color w:val="000000"/>
        </w:rPr>
        <w:t>No Conflict; Consents</w:t>
      </w:r>
      <w:r>
        <w:rPr>
          <w:rFonts w:ascii="Arial" w:cs="Arial" w:eastAsia="Arial" w:hAnsi="Arial"/>
          <w:sz w:val="18"/>
          <w:szCs w:val="18"/>
          <w:color w:val="000000"/>
        </w:rPr>
        <w:t>. The execution, delivery and performance by such Guarantor of this Guaranty in accordance</w:t>
      </w:r>
      <w:r>
        <w:rPr>
          <w:rFonts w:ascii="Arial" w:cs="Arial" w:eastAsia="Arial" w:hAnsi="Arial"/>
          <w:sz w:val="21"/>
          <w:szCs w:val="21"/>
          <w:color w:val="010000"/>
        </w:rPr>
        <w:t xml:space="preserve"> </w:t>
      </w:r>
      <w:r>
        <w:rPr>
          <w:rFonts w:ascii="Arial" w:cs="Arial" w:eastAsia="Arial" w:hAnsi="Arial"/>
          <w:sz w:val="18"/>
          <w:szCs w:val="18"/>
          <w:color w:val="000000"/>
        </w:rPr>
        <w:t>with its terms and the transactions contemplated hereby do not and will not, by the passage of time, the giving of notice or otherwise,</w:t>
      </w:r>
    </w:p>
    <w:p>
      <w:pPr>
        <w:jc w:val="both"/>
        <w:ind w:firstLine="8"/>
        <w:spacing w:after="0" w:line="271" w:lineRule="auto"/>
        <w:tabs>
          <w:tab w:leader="none" w:pos="24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require any material Governmental Approval except any approval previously or concurrently received or violate any material Applicable Law, in each case relating to such Guarantor; (ii) conflict with, result in a breach of or constitute a default under the articles of incorporation, bylaws or other organizational documents of such Guarantor; (iii) conflict with, result in a breach of or constitute a default under any indenture, agreement or other instrument in an aggregate principal amount of at least $40,000,000 or under which amounts payable or receivable are at least $40,000,000 to which such Person is a party or by which any of its properties may be bound; (iv) result in or require the creation or imposition of any Lien upon or with respect to any property now owned or hereafter acquired by such Guarantor or (v) require any consent or authorization of, filing with, or other act in respect of, an arbitrator or Governmental Authority and no</w:t>
      </w:r>
    </w:p>
    <w:p>
      <w:pPr>
        <w:sectPr>
          <w:pgSz w:w="11900" w:h="16838" w:orient="portrait"/>
          <w:cols w:equalWidth="0" w:num="1">
            <w:col w:w="11240"/>
          </w:cols>
          <w:pgMar w:left="320" w:top="1176" w:right="339" w:bottom="1440" w:gutter="0" w:footer="0" w:header="0"/>
        </w:sectPr>
      </w:pPr>
    </w:p>
    <w:bookmarkStart w:id="273" w:name="page274"/>
    <w:bookmarkEnd w:id="273"/>
    <w:p>
      <w:pPr>
        <w:jc w:val="both"/>
        <w:spacing w:after="0" w:line="291" w:lineRule="auto"/>
        <w:rPr>
          <w:sz w:val="20"/>
          <w:szCs w:val="20"/>
          <w:color w:val="auto"/>
        </w:rPr>
      </w:pPr>
      <w:r>
        <w:rPr>
          <w:rFonts w:ascii="Arial" w:cs="Arial" w:eastAsia="Arial" w:hAnsi="Arial"/>
          <w:sz w:val="18"/>
          <w:szCs w:val="18"/>
          <w:color w:val="auto"/>
        </w:rPr>
        <w:t>consent of any other Person is required in connection with the execution, delivery, performance, validity or enforceability of this Guaranty, other than (A) consents, authorizations, filings or other acts or consents obtained or for which the failure to obtain or make would not individually or in the aggregate, reasonably be expected to have a Material Adverse Effect and (B) consents or filings, if any, under the UCC.</w:t>
      </w:r>
    </w:p>
    <w:p>
      <w:pPr>
        <w:spacing w:after="0" w:line="16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3.4 </w:t>
      </w:r>
      <w:r>
        <w:rPr>
          <w:rFonts w:ascii="Arial" w:cs="Arial" w:eastAsia="Arial" w:hAnsi="Arial"/>
          <w:sz w:val="19"/>
          <w:szCs w:val="19"/>
          <w:u w:val="single" w:color="auto"/>
          <w:color w:val="000000"/>
        </w:rPr>
        <w:t>Litigation</w:t>
      </w:r>
      <w:r>
        <w:rPr>
          <w:rFonts w:ascii="Arial" w:cs="Arial" w:eastAsia="Arial" w:hAnsi="Arial"/>
          <w:sz w:val="19"/>
          <w:szCs w:val="19"/>
          <w:color w:val="000000"/>
        </w:rPr>
        <w:t>. Except for matters that would not reasonably be expected, individually, or in the aggregate, to have a</w:t>
      </w:r>
      <w:r>
        <w:rPr>
          <w:rFonts w:ascii="Arial" w:cs="Arial" w:eastAsia="Arial" w:hAnsi="Arial"/>
          <w:sz w:val="22"/>
          <w:szCs w:val="22"/>
          <w:color w:val="010000"/>
        </w:rPr>
        <w:t xml:space="preserve"> </w:t>
      </w:r>
      <w:r>
        <w:rPr>
          <w:rFonts w:ascii="Arial" w:cs="Arial" w:eastAsia="Arial" w:hAnsi="Arial"/>
          <w:sz w:val="19"/>
          <w:szCs w:val="19"/>
          <w:color w:val="000000"/>
        </w:rPr>
        <w:t>Material Adverse Effect, there are no actions, suits or proceedings pending nor, to the knowledge of such Guarantor, threatened in writing against or in any way relating adversely to or affecting such Guarantor or any its respective properties in any court or before any arbitrator of any kind or before or by any Governmental Authority.</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3.5 </w:t>
      </w:r>
      <w:r>
        <w:rPr>
          <w:rFonts w:ascii="Arial" w:cs="Arial" w:eastAsia="Arial" w:hAnsi="Arial"/>
          <w:sz w:val="19"/>
          <w:szCs w:val="19"/>
          <w:u w:val="single" w:color="auto"/>
          <w:color w:val="000000"/>
        </w:rPr>
        <w:t>Title to Assets</w:t>
      </w:r>
      <w:r>
        <w:rPr>
          <w:rFonts w:ascii="Arial" w:cs="Arial" w:eastAsia="Arial" w:hAnsi="Arial"/>
          <w:sz w:val="19"/>
          <w:szCs w:val="19"/>
          <w:color w:val="000000"/>
        </w:rPr>
        <w:t>. Such Guarantor has such title to the real property owned or leased by it as is necessary to the</w:t>
      </w:r>
      <w:r>
        <w:rPr>
          <w:rFonts w:ascii="Arial" w:cs="Arial" w:eastAsia="Arial" w:hAnsi="Arial"/>
          <w:sz w:val="22"/>
          <w:szCs w:val="22"/>
          <w:color w:val="010000"/>
        </w:rPr>
        <w:t xml:space="preserve"> </w:t>
      </w:r>
      <w:r>
        <w:rPr>
          <w:rFonts w:ascii="Arial" w:cs="Arial" w:eastAsia="Arial" w:hAnsi="Arial"/>
          <w:sz w:val="19"/>
          <w:szCs w:val="19"/>
          <w:color w:val="000000"/>
        </w:rPr>
        <w:t>conduct of its business and valid and legal title to all of its personal property and assets.</w:t>
      </w:r>
    </w:p>
    <w:p>
      <w:pPr>
        <w:spacing w:after="0" w:line="20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3.6</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.None of the properties and assets of such Guarantor is subject to any Lien, except Permitted Liens.</w:t>
      </w:r>
    </w:p>
    <w:p>
      <w:pPr>
        <w:spacing w:after="0" w:line="2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3.7 </w:t>
      </w:r>
      <w:r>
        <w:rPr>
          <w:rFonts w:ascii="Arial" w:cs="Arial" w:eastAsia="Arial" w:hAnsi="Arial"/>
          <w:sz w:val="19"/>
          <w:szCs w:val="19"/>
          <w:u w:val="single" w:color="auto"/>
          <w:color w:val="000000"/>
        </w:rPr>
        <w:t>Compliance with the Credit Agreement</w:t>
      </w:r>
      <w:r>
        <w:rPr>
          <w:rFonts w:ascii="Arial" w:cs="Arial" w:eastAsia="Arial" w:hAnsi="Arial"/>
          <w:sz w:val="19"/>
          <w:szCs w:val="19"/>
          <w:color w:val="000000"/>
        </w:rPr>
        <w:t>. Until the Obligations (other than contingent indemnification obligations</w:t>
      </w:r>
      <w:r>
        <w:rPr>
          <w:rFonts w:ascii="Arial" w:cs="Arial" w:eastAsia="Arial" w:hAnsi="Arial"/>
          <w:sz w:val="22"/>
          <w:szCs w:val="22"/>
          <w:color w:val="010000"/>
        </w:rPr>
        <w:t xml:space="preserve"> </w:t>
      </w:r>
      <w:r>
        <w:rPr>
          <w:rFonts w:ascii="Arial" w:cs="Arial" w:eastAsia="Arial" w:hAnsi="Arial"/>
          <w:sz w:val="19"/>
          <w:szCs w:val="19"/>
          <w:color w:val="000000"/>
        </w:rPr>
        <w:t xml:space="preserve">not yet due and Bank Product Debt) are paid in full (or, in the case of Letters of Credit, cash collateralized in accordance with the terms of the Credit Agreement) and the Commitments are terminated, such Guarantor shall comply with the provisions of </w:t>
      </w:r>
      <w:r>
        <w:rPr>
          <w:rFonts w:ascii="Arial" w:cs="Arial" w:eastAsia="Arial" w:hAnsi="Arial"/>
          <w:sz w:val="19"/>
          <w:szCs w:val="19"/>
          <w:u w:val="single" w:color="auto"/>
          <w:color w:val="000000"/>
        </w:rPr>
        <w:t>Articles VII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VIII</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IX</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X</w:t>
      </w:r>
      <w:r>
        <w:rPr>
          <w:rFonts w:ascii="Arial" w:cs="Arial" w:eastAsia="Arial" w:hAnsi="Arial"/>
          <w:sz w:val="19"/>
          <w:szCs w:val="19"/>
          <w:color w:val="000000"/>
        </w:rPr>
        <w:t xml:space="preserve"> of the Credit Agreement as if a party thereto.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3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4.1 </w:t>
      </w:r>
      <w:r>
        <w:rPr>
          <w:rFonts w:ascii="Arial" w:cs="Arial" w:eastAsia="Arial" w:hAnsi="Arial"/>
          <w:sz w:val="19"/>
          <w:szCs w:val="19"/>
          <w:u w:val="single" w:color="auto"/>
          <w:color w:val="000000"/>
        </w:rPr>
        <w:t>Amendments, Waivers and Consents</w:t>
      </w:r>
      <w:r>
        <w:rPr>
          <w:rFonts w:ascii="Arial" w:cs="Arial" w:eastAsia="Arial" w:hAnsi="Arial"/>
          <w:sz w:val="19"/>
          <w:szCs w:val="19"/>
          <w:color w:val="000000"/>
        </w:rPr>
        <w:t>.None of the terms, covenants, agreements or conditions of this Guaranty may</w:t>
      </w:r>
      <w:r>
        <w:rPr>
          <w:rFonts w:ascii="Arial" w:cs="Arial" w:eastAsia="Arial" w:hAnsi="Arial"/>
          <w:sz w:val="22"/>
          <w:szCs w:val="22"/>
          <w:color w:val="010000"/>
        </w:rPr>
        <w:t xml:space="preserve"> </w:t>
      </w:r>
      <w:r>
        <w:rPr>
          <w:rFonts w:ascii="Arial" w:cs="Arial" w:eastAsia="Arial" w:hAnsi="Arial"/>
          <w:sz w:val="19"/>
          <w:szCs w:val="19"/>
          <w:color w:val="000000"/>
        </w:rPr>
        <w:t>be amended, supplemented or otherwise modified, nor may they be waived, nor may any consent be given, except in accordance with Section 13.2 of the Credit Agreement.</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4.2 </w:t>
      </w:r>
      <w:r>
        <w:rPr>
          <w:rFonts w:ascii="Arial" w:cs="Arial" w:eastAsia="Arial" w:hAnsi="Arial"/>
          <w:sz w:val="19"/>
          <w:szCs w:val="19"/>
          <w:u w:val="single" w:color="auto"/>
          <w:color w:val="000000"/>
        </w:rPr>
        <w:t>Notices</w:t>
      </w:r>
      <w:r>
        <w:rPr>
          <w:rFonts w:ascii="Arial" w:cs="Arial" w:eastAsia="Arial" w:hAnsi="Arial"/>
          <w:sz w:val="19"/>
          <w:szCs w:val="19"/>
          <w:color w:val="000000"/>
        </w:rPr>
        <w:t>.All notices and communications hereunder shall be given to the addresses and otherwise made in</w:t>
      </w:r>
      <w:r>
        <w:rPr>
          <w:rFonts w:ascii="Arial" w:cs="Arial" w:eastAsia="Arial" w:hAnsi="Arial"/>
          <w:sz w:val="22"/>
          <w:szCs w:val="22"/>
          <w:color w:val="010000"/>
        </w:rPr>
        <w:t xml:space="preserve"> </w:t>
      </w:r>
      <w:r>
        <w:rPr>
          <w:rFonts w:ascii="Arial" w:cs="Arial" w:eastAsia="Arial" w:hAnsi="Arial"/>
          <w:sz w:val="19"/>
          <w:szCs w:val="19"/>
          <w:color w:val="000000"/>
        </w:rPr>
        <w:t xml:space="preserve">accordance with Section 13.1 of the Credit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notices and communications to the Guarantors shall be directed to the Guarantors at the address of the Company set forth on Schedule 1.1(a) of the Credit Agreement.</w:t>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4.3 </w:t>
      </w:r>
      <w:r>
        <w:rPr>
          <w:rFonts w:ascii="Arial" w:cs="Arial" w:eastAsia="Arial" w:hAnsi="Arial"/>
          <w:sz w:val="19"/>
          <w:szCs w:val="19"/>
          <w:u w:val="single" w:color="auto"/>
          <w:color w:val="000000"/>
        </w:rPr>
        <w:t>Enforcement Expenses, Indemnification, Taxes</w:t>
      </w:r>
      <w:r>
        <w:rPr>
          <w:rFonts w:ascii="Arial" w:cs="Arial" w:eastAsia="Arial" w:hAnsi="Arial"/>
          <w:sz w:val="19"/>
          <w:szCs w:val="19"/>
          <w:color w:val="000000"/>
        </w:rPr>
        <w:t>.The Guarantors shall, jointly and severally, pay all reasonable, out-of-pocket expenses (including, without limitation, attorney’s fees and expenses incurred by the Administrative Agent and each Lender) to the extent the Company would be required to do so pursuant to Section 13.4 of the Credit Agreement. All such costs and expenses shall be additional Guaranteed Obligations.</w:t>
      </w:r>
    </w:p>
    <w:p>
      <w:pPr>
        <w:spacing w:after="0" w:line="193" w:lineRule="exact"/>
        <w:rPr>
          <w:sz w:val="20"/>
          <w:szCs w:val="20"/>
          <w:color w:val="auto"/>
        </w:rPr>
      </w:pPr>
    </w:p>
    <w:p>
      <w:pPr>
        <w:jc w:val="both"/>
        <w:ind w:firstLine="656"/>
        <w:spacing w:after="0" w:line="250" w:lineRule="auto"/>
        <w:tabs>
          <w:tab w:leader="none" w:pos="1144"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The Guarantors shall, jointly and severally, pay and indemnify each indemnified party (which for purposes of this Guaranty shall include, without limitation, all Secured Parties) against Indemnified Taxes and Other Taxes to the extent the Company would be required to do so pursuant to Section 4.11 of the Credit Agreement.</w:t>
      </w:r>
    </w:p>
    <w:p>
      <w:pPr>
        <w:spacing w:after="0" w:line="185" w:lineRule="exact"/>
        <w:rPr>
          <w:rFonts w:ascii="Arial" w:cs="Arial" w:eastAsia="Arial" w:hAnsi="Arial"/>
          <w:sz w:val="20"/>
          <w:szCs w:val="20"/>
          <w:color w:val="010000"/>
        </w:rPr>
      </w:pPr>
    </w:p>
    <w:p>
      <w:pPr>
        <w:ind w:firstLine="656"/>
        <w:spacing w:after="0" w:line="260" w:lineRule="auto"/>
        <w:tabs>
          <w:tab w:leader="none" w:pos="1133" w:val="left"/>
        </w:tabs>
        <w:numPr>
          <w:ilvl w:val="0"/>
          <w:numId w:val="264"/>
        </w:numPr>
        <w:rPr>
          <w:rFonts w:ascii="Arial" w:cs="Arial" w:eastAsia="Arial" w:hAnsi="Arial"/>
          <w:sz w:val="20"/>
          <w:szCs w:val="20"/>
          <w:color w:val="010000"/>
        </w:rPr>
      </w:pPr>
      <w:r>
        <w:rPr>
          <w:rFonts w:ascii="Arial" w:cs="Arial" w:eastAsia="Arial" w:hAnsi="Arial"/>
          <w:sz w:val="20"/>
          <w:szCs w:val="20"/>
          <w:color w:val="auto"/>
        </w:rPr>
        <w:t>The Guarantors shall, jointly and severally, pay and indemnify each indemnified party to the extent the Company would be required to do so pursuant to Section 13.4 of the Credit Agreement.</w:t>
      </w:r>
    </w:p>
    <w:p>
      <w:pPr>
        <w:sectPr>
          <w:pgSz w:w="11900" w:h="16838" w:orient="portrait"/>
          <w:cols w:equalWidth="0" w:num="1">
            <w:col w:w="11240"/>
          </w:cols>
          <w:pgMar w:left="320" w:top="1176" w:right="339" w:bottom="1440" w:gutter="0" w:footer="0" w:header="0"/>
        </w:sectPr>
      </w:pPr>
    </w:p>
    <w:bookmarkStart w:id="274" w:name="page275"/>
    <w:bookmarkEnd w:id="274"/>
    <w:p>
      <w:pPr>
        <w:jc w:val="both"/>
        <w:ind w:firstLine="656"/>
        <w:spacing w:after="0" w:line="250" w:lineRule="auto"/>
        <w:tabs>
          <w:tab w:leader="none" w:pos="1117" w:val="left"/>
        </w:tabs>
        <w:numPr>
          <w:ilvl w:val="0"/>
          <w:numId w:val="265"/>
        </w:numPr>
        <w:rPr>
          <w:rFonts w:ascii="Arial" w:cs="Arial" w:eastAsia="Arial" w:hAnsi="Arial"/>
          <w:sz w:val="20"/>
          <w:szCs w:val="20"/>
          <w:color w:val="010000"/>
        </w:rPr>
      </w:pPr>
      <w:r>
        <w:rPr>
          <w:rFonts w:ascii="Arial" w:cs="Arial" w:eastAsia="Arial" w:hAnsi="Arial"/>
          <w:sz w:val="20"/>
          <w:szCs w:val="20"/>
          <w:color w:val="auto"/>
        </w:rPr>
        <w:t xml:space="preserve">All amounts due under this Section shall be payable promptly after demand therefor. The agreements in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shall survive termination of the Commitments and repayment of the Obligations and all other amounts payable under the Credit Agreement and the other Loan Documents.</w:t>
      </w:r>
    </w:p>
    <w:p>
      <w:pPr>
        <w:spacing w:after="0" w:line="19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4.4 </w:t>
      </w:r>
      <w:r>
        <w:rPr>
          <w:rFonts w:ascii="Arial" w:cs="Arial" w:eastAsia="Arial" w:hAnsi="Arial"/>
          <w:sz w:val="19"/>
          <w:szCs w:val="19"/>
          <w:u w:val="single" w:color="auto"/>
          <w:color w:val="000000"/>
        </w:rPr>
        <w:t>Governing Law; Submission to Jurisdiction; Venue.</w:t>
      </w:r>
      <w:r>
        <w:rPr>
          <w:rFonts w:ascii="Arial" w:cs="Arial" w:eastAsia="Arial" w:hAnsi="Arial"/>
          <w:sz w:val="22"/>
          <w:szCs w:val="22"/>
          <w:color w:val="010000"/>
        </w:rPr>
        <w:t xml:space="preserve"> </w:t>
      </w:r>
      <w:r>
        <w:rPr>
          <w:rFonts w:ascii="Arial" w:cs="Arial" w:eastAsia="Arial" w:hAnsi="Arial"/>
          <w:sz w:val="19"/>
          <w:szCs w:val="19"/>
          <w:color w:val="000000"/>
        </w:rPr>
        <w:t>The terms of Section 13.6 of the Credit Agreement with</w:t>
      </w:r>
      <w:r>
        <w:rPr>
          <w:rFonts w:ascii="Arial" w:cs="Arial" w:eastAsia="Arial" w:hAnsi="Arial"/>
          <w:sz w:val="22"/>
          <w:szCs w:val="22"/>
          <w:color w:val="010000"/>
        </w:rPr>
        <w:t xml:space="preserve"> </w:t>
      </w:r>
      <w:r>
        <w:rPr>
          <w:rFonts w:ascii="Arial" w:cs="Arial" w:eastAsia="Arial" w:hAnsi="Arial"/>
          <w:sz w:val="19"/>
          <w:szCs w:val="19"/>
          <w:color w:val="000000"/>
        </w:rPr>
        <w:t xml:space="preserve">respect to governing law, submission to jurisdiction and venue are incorporated herein by reference, </w:t>
      </w:r>
      <w:r>
        <w:rPr>
          <w:rFonts w:ascii="Arial" w:cs="Arial" w:eastAsia="Arial" w:hAnsi="Arial"/>
          <w:sz w:val="19"/>
          <w:szCs w:val="19"/>
          <w:i w:val="1"/>
          <w:iCs w:val="1"/>
          <w:color w:val="000000"/>
        </w:rPr>
        <w:t>mutatis mutandis</w:t>
      </w:r>
      <w:r>
        <w:rPr>
          <w:rFonts w:ascii="Arial" w:cs="Arial" w:eastAsia="Arial" w:hAnsi="Arial"/>
          <w:sz w:val="19"/>
          <w:szCs w:val="19"/>
          <w:color w:val="000000"/>
        </w:rPr>
        <w:t>, and the parties hereto agree to such terms.</w:t>
      </w:r>
    </w:p>
    <w:p>
      <w:pPr>
        <w:spacing w:after="0" w:line="195" w:lineRule="exact"/>
        <w:rPr>
          <w:sz w:val="20"/>
          <w:szCs w:val="20"/>
          <w:color w:val="auto"/>
        </w:rPr>
      </w:pPr>
    </w:p>
    <w:p>
      <w:pPr>
        <w:ind w:right="20" w:firstLine="656"/>
        <w:spacing w:after="0" w:line="260" w:lineRule="auto"/>
        <w:tabs>
          <w:tab w:leader="none" w:pos="1119" w:val="left"/>
        </w:tabs>
        <w:numPr>
          <w:ilvl w:val="0"/>
          <w:numId w:val="266"/>
        </w:numPr>
        <w:rPr>
          <w:rFonts w:ascii="Arial" w:cs="Arial" w:eastAsia="Arial" w:hAnsi="Arial"/>
          <w:sz w:val="20"/>
          <w:szCs w:val="20"/>
          <w:color w:val="010000"/>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The terms of Section 13.7 of the Credit Agreement with respect to waiver of jury trial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and the parties hereto agree to such terms.</w:t>
      </w:r>
    </w:p>
    <w:p>
      <w:pPr>
        <w:spacing w:after="0" w:line="176" w:lineRule="exact"/>
        <w:rPr>
          <w:rFonts w:ascii="Arial" w:cs="Arial" w:eastAsia="Arial" w:hAnsi="Arial"/>
          <w:sz w:val="20"/>
          <w:szCs w:val="20"/>
          <w:color w:val="010000"/>
        </w:rPr>
      </w:pPr>
    </w:p>
    <w:p>
      <w:pPr>
        <w:jc w:val="both"/>
        <w:ind w:firstLine="656"/>
        <w:spacing w:after="0" w:line="242" w:lineRule="auto"/>
        <w:tabs>
          <w:tab w:leader="none" w:pos="1171" w:val="left"/>
        </w:tabs>
        <w:numPr>
          <w:ilvl w:val="0"/>
          <w:numId w:val="266"/>
        </w:numPr>
        <w:rPr>
          <w:rFonts w:ascii="Arial" w:cs="Arial" w:eastAsia="Arial" w:hAnsi="Arial"/>
          <w:sz w:val="20"/>
          <w:szCs w:val="20"/>
          <w:color w:val="010000"/>
        </w:rPr>
      </w:pPr>
      <w:r>
        <w:rPr>
          <w:rFonts w:ascii="Arial" w:cs="Arial" w:eastAsia="Arial" w:hAnsi="Arial"/>
          <w:sz w:val="20"/>
          <w:szCs w:val="20"/>
          <w:u w:val="single" w:color="auto"/>
          <w:color w:val="auto"/>
        </w:rPr>
        <w:t>Preservation of Certain Remedies</w:t>
      </w:r>
      <w:r>
        <w:rPr>
          <w:rFonts w:ascii="Arial" w:cs="Arial" w:eastAsia="Arial" w:hAnsi="Arial"/>
          <w:sz w:val="20"/>
          <w:szCs w:val="20"/>
          <w:color w:val="auto"/>
        </w:rPr>
        <w:t>. The parties hereto and the other Loan Documents preserve, without diminution, certain remedies that such Persons may employ or exercise freely, either alone, in conjunction with or during any dispute, claim or controversy arising out of, connected with or relating to this Guaranty or any Loan Document. Each such Person shall have and hereby reserves the right to proceed in any court of proper jurisdiction or by self help to exercise or prosecute the following remedies, as applicable: (i) all rights to foreclose against any real or personal property or other security by exercising a power of sale granted in the Loan Documents or under Applicable Law or by judicial foreclosure and sale, including a proceeding to confirm the sale, (ii) all rights of self help including peaceful occupation of property and collection of rents, set off, and peaceful possession of property and (iii) obtaining provisional or ancillary remedies including injunctive relief, sequestration, garnishment, attachment, appointment of receiver and in filing an involuntary bankruptcy proceeding.</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4.5 </w:t>
      </w:r>
      <w:r>
        <w:rPr>
          <w:rFonts w:ascii="Arial" w:cs="Arial" w:eastAsia="Arial" w:hAnsi="Arial"/>
          <w:sz w:val="19"/>
          <w:szCs w:val="19"/>
          <w:u w:val="single" w:color="auto"/>
          <w:color w:val="000000"/>
        </w:rPr>
        <w:t>Injunctive Relief, Punitive Damages</w:t>
      </w:r>
      <w:r>
        <w:rPr>
          <w:rFonts w:ascii="Arial" w:cs="Arial" w:eastAsia="Arial" w:hAnsi="Arial"/>
          <w:sz w:val="19"/>
          <w:szCs w:val="19"/>
          <w:color w:val="000000"/>
        </w:rPr>
        <w:t>. Each Guarantor recognizes that, in the event such Guarantor fails to perform,</w:t>
      </w:r>
      <w:r>
        <w:rPr>
          <w:rFonts w:ascii="Arial" w:cs="Arial" w:eastAsia="Arial" w:hAnsi="Arial"/>
          <w:sz w:val="22"/>
          <w:szCs w:val="22"/>
          <w:color w:val="010000"/>
        </w:rPr>
        <w:t xml:space="preserve"> </w:t>
      </w:r>
      <w:r>
        <w:rPr>
          <w:rFonts w:ascii="Arial" w:cs="Arial" w:eastAsia="Arial" w:hAnsi="Arial"/>
          <w:sz w:val="19"/>
          <w:szCs w:val="19"/>
          <w:color w:val="000000"/>
        </w:rPr>
        <w:t>observe or discharge any of its obligations or liabilities under this Guaranty, any remedy of law may prove to be inadequate relief to the Administrative Agent and the Secured Parties. Therefore, each Guarantor agrees that the Administrative Agent and the Secured Parties, at the Required Lenders’ option, shall be entitled to temporary and permanent injunctive relief in any such case without the necessity of proving actual damages.</w:t>
      </w:r>
    </w:p>
    <w:p>
      <w:pPr>
        <w:spacing w:after="0" w:line="191" w:lineRule="exact"/>
        <w:rPr>
          <w:sz w:val="20"/>
          <w:szCs w:val="20"/>
          <w:color w:val="auto"/>
        </w:rPr>
      </w:pPr>
    </w:p>
    <w:p>
      <w:pPr>
        <w:jc w:val="both"/>
        <w:ind w:firstLine="656"/>
        <w:spacing w:after="0" w:line="282" w:lineRule="auto"/>
        <w:tabs>
          <w:tab w:leader="none" w:pos="1103" w:val="left"/>
        </w:tabs>
        <w:numPr>
          <w:ilvl w:val="0"/>
          <w:numId w:val="267"/>
        </w:numPr>
        <w:rPr>
          <w:rFonts w:ascii="Arial" w:cs="Arial" w:eastAsia="Arial" w:hAnsi="Arial"/>
          <w:sz w:val="18"/>
          <w:szCs w:val="18"/>
          <w:color w:val="010000"/>
        </w:rPr>
      </w:pPr>
      <w:r>
        <w:rPr>
          <w:rFonts w:ascii="Arial" w:cs="Arial" w:eastAsia="Arial" w:hAnsi="Arial"/>
          <w:sz w:val="18"/>
          <w:szCs w:val="18"/>
          <w:color w:val="auto"/>
        </w:rPr>
        <w:t>The Administrative Agent and each Guarantor hereby agree that no such Person shall have a remedy of punitive or exemplary damages against any other party to this Guaranty, the Credit Agreement, the Notes or the other Loan Documents and each such Person hereby waives any right or claim to punitive or exemplary damages that they may now have or may arise in the future in connection with any dispute, claim or controversy arising out of, connected with or relating to this Guaranty or any Loan Document.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4.6 </w:t>
      </w:r>
      <w:r>
        <w:rPr>
          <w:rFonts w:ascii="Arial" w:cs="Arial" w:eastAsia="Arial" w:hAnsi="Arial"/>
          <w:sz w:val="18"/>
          <w:szCs w:val="18"/>
          <w:u w:val="single" w:color="auto"/>
          <w:color w:val="000000"/>
        </w:rPr>
        <w:t>No Waiver by Course of Conduct, Cumulative Remedies</w:t>
      </w:r>
      <w:r>
        <w:rPr>
          <w:rFonts w:ascii="Arial" w:cs="Arial" w:eastAsia="Arial" w:hAnsi="Arial"/>
          <w:sz w:val="18"/>
          <w:szCs w:val="18"/>
          <w:color w:val="000000"/>
        </w:rPr>
        <w:t>. Neither the Administrative Agent nor any Secured Party</w:t>
      </w:r>
      <w:r>
        <w:rPr>
          <w:rFonts w:ascii="Arial" w:cs="Arial" w:eastAsia="Arial" w:hAnsi="Arial"/>
          <w:sz w:val="21"/>
          <w:szCs w:val="21"/>
          <w:color w:val="010000"/>
        </w:rPr>
        <w:t xml:space="preserve"> </w:t>
      </w:r>
      <w:r>
        <w:rPr>
          <w:rFonts w:ascii="Arial" w:cs="Arial" w:eastAsia="Arial" w:hAnsi="Arial"/>
          <w:sz w:val="18"/>
          <w:szCs w:val="18"/>
          <w:color w:val="000000"/>
        </w:rPr>
        <w:t xml:space="preserve">shall by any act (except by a written instrument pursuant to </w:t>
      </w:r>
      <w:r>
        <w:rPr>
          <w:rFonts w:ascii="Arial" w:cs="Arial" w:eastAsia="Arial" w:hAnsi="Arial"/>
          <w:sz w:val="18"/>
          <w:szCs w:val="18"/>
          <w:u w:val="single" w:color="auto"/>
          <w:color w:val="000000"/>
        </w:rPr>
        <w:t>Section 4.1</w:t>
      </w:r>
      <w:r>
        <w:rPr>
          <w:rFonts w:ascii="Arial" w:cs="Arial" w:eastAsia="Arial" w:hAnsi="Arial"/>
          <w:sz w:val="18"/>
          <w:szCs w:val="18"/>
          <w:color w:val="000000"/>
        </w:rPr>
        <w:t>), delay, indulgence, omission or otherwise be deemed to have waived any right or remedy hereunder or to have acquiesced in any Default or Event of Default. No delay or failure to take action on the part of the Administrative Agent or any Secured Party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any Guarantor, the Administrative Agent and any Secured Parties or their respective agents or employees shall be effective to change, modify or discharge any provision of this Guaranty or to constitute a waiver of any Event of Default. The enumeration of the rights and remedies of the Administrative Agent and the Secured Parties set forth in this Guaranty is not intended to be exhaustive and the exercise by the Administrative Agent and the Secured Parties of any right or remedy shall not preclude the exercise of any other rights or</w:t>
      </w:r>
    </w:p>
    <w:p>
      <w:pPr>
        <w:sectPr>
          <w:pgSz w:w="11900" w:h="16838" w:orient="portrait"/>
          <w:cols w:equalWidth="0" w:num="1">
            <w:col w:w="11240"/>
          </w:cols>
          <w:pgMar w:left="320" w:top="1176" w:right="339" w:bottom="1440" w:gutter="0" w:footer="0" w:header="0"/>
        </w:sectPr>
      </w:pPr>
    </w:p>
    <w:bookmarkStart w:id="275" w:name="page276"/>
    <w:bookmarkEnd w:id="275"/>
    <w:p>
      <w:pPr>
        <w:jc w:val="both"/>
        <w:spacing w:after="0" w:line="260" w:lineRule="auto"/>
        <w:rPr>
          <w:sz w:val="20"/>
          <w:szCs w:val="20"/>
          <w:color w:val="auto"/>
        </w:rPr>
      </w:pPr>
      <w:r>
        <w:rPr>
          <w:rFonts w:ascii="Arial" w:cs="Arial" w:eastAsia="Arial" w:hAnsi="Arial"/>
          <w:sz w:val="20"/>
          <w:szCs w:val="20"/>
          <w:color w:val="auto"/>
        </w:rPr>
        <w:t>remedies, all of which shall be cumulative, and shall be in addition to any other right or remedy given hereunder or under the other Loan Documents or that may now or hereafter exist at law or in equity or by suit or otherwise.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4.7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This Guaranty shall be binding upon each Guarantor and its successors and assigns and</w:t>
      </w:r>
      <w:r>
        <w:rPr>
          <w:rFonts w:ascii="Arial" w:cs="Arial" w:eastAsia="Arial" w:hAnsi="Arial"/>
          <w:sz w:val="22"/>
          <w:szCs w:val="22"/>
          <w:color w:val="010000"/>
        </w:rPr>
        <w:t xml:space="preserve"> </w:t>
      </w:r>
      <w:r>
        <w:rPr>
          <w:rFonts w:ascii="Arial" w:cs="Arial" w:eastAsia="Arial" w:hAnsi="Arial"/>
          <w:sz w:val="19"/>
          <w:szCs w:val="19"/>
          <w:color w:val="000000"/>
        </w:rPr>
        <w:t xml:space="preserve">shall inure to the benefit of each Guarantor (and shall bind all Persons who become bound as a Guarantor under this Guaranty), the Administrative Agent and the Secured Parties and their successors and assigns;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 Guarantor may assign, transfer or delegate any of its rights or obligations under this Guaranty without the prior written consent of the Administrative Agent and the Secured Parties (given in accordance with </w:t>
      </w:r>
      <w:r>
        <w:rPr>
          <w:rFonts w:ascii="Arial" w:cs="Arial" w:eastAsia="Arial" w:hAnsi="Arial"/>
          <w:sz w:val="19"/>
          <w:szCs w:val="19"/>
          <w:u w:val="single" w:color="auto"/>
          <w:color w:val="000000"/>
        </w:rPr>
        <w:t>Section 4.1</w:t>
      </w:r>
      <w:r>
        <w:rPr>
          <w:rFonts w:ascii="Arial" w:cs="Arial" w:eastAsia="Arial" w:hAnsi="Arial"/>
          <w:sz w:val="19"/>
          <w:szCs w:val="19"/>
          <w:color w:val="000000"/>
        </w:rPr>
        <w:t>).</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010000"/>
        </w:rPr>
        <w:t xml:space="preserve">SECTION 4.8 </w:t>
      </w:r>
      <w:r>
        <w:rPr>
          <w:rFonts w:ascii="Arial" w:cs="Arial" w:eastAsia="Arial" w:hAnsi="Arial"/>
          <w:sz w:val="18"/>
          <w:szCs w:val="18"/>
          <w:u w:val="single" w:color="auto"/>
          <w:color w:val="000000"/>
        </w:rPr>
        <w:t>Severability</w:t>
      </w:r>
      <w:r>
        <w:rPr>
          <w:rFonts w:ascii="Arial" w:cs="Arial" w:eastAsia="Arial" w:hAnsi="Arial"/>
          <w:sz w:val="18"/>
          <w:szCs w:val="18"/>
          <w:color w:val="000000"/>
        </w:rPr>
        <w:t>. Any provision of this Guaranty which is prohibited or unenforceable in any jurisdiction shall, as to</w:t>
      </w:r>
      <w:r>
        <w:rPr>
          <w:rFonts w:ascii="Arial" w:cs="Arial" w:eastAsia="Arial" w:hAnsi="Arial"/>
          <w:sz w:val="21"/>
          <w:szCs w:val="21"/>
          <w:color w:val="010000"/>
        </w:rPr>
        <w:t xml:space="preserve"> </w:t>
      </w:r>
      <w:r>
        <w:rPr>
          <w:rFonts w:ascii="Arial" w:cs="Arial" w:eastAsia="Arial" w:hAnsi="Arial"/>
          <w:sz w:val="18"/>
          <w:szCs w:val="18"/>
          <w:color w:val="000000"/>
        </w:rPr>
        <w:t>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17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4.9 </w:t>
      </w:r>
      <w:r>
        <w:rPr>
          <w:rFonts w:ascii="Arial" w:cs="Arial" w:eastAsia="Arial" w:hAnsi="Arial"/>
          <w:sz w:val="19"/>
          <w:szCs w:val="19"/>
          <w:u w:val="single" w:color="auto"/>
          <w:color w:val="000000"/>
        </w:rPr>
        <w:t>Titles and Captions</w:t>
      </w:r>
      <w:r>
        <w:rPr>
          <w:rFonts w:ascii="Arial" w:cs="Arial" w:eastAsia="Arial" w:hAnsi="Arial"/>
          <w:sz w:val="19"/>
          <w:szCs w:val="19"/>
          <w:color w:val="000000"/>
        </w:rPr>
        <w:t>. Titles and captions of Articles, Sections and subsections in, and the table of contents of, this</w:t>
      </w:r>
      <w:r>
        <w:rPr>
          <w:rFonts w:ascii="Arial" w:cs="Arial" w:eastAsia="Arial" w:hAnsi="Arial"/>
          <w:sz w:val="22"/>
          <w:szCs w:val="22"/>
          <w:color w:val="010000"/>
        </w:rPr>
        <w:t xml:space="preserve"> </w:t>
      </w:r>
      <w:r>
        <w:rPr>
          <w:rFonts w:ascii="Arial" w:cs="Arial" w:eastAsia="Arial" w:hAnsi="Arial"/>
          <w:sz w:val="19"/>
          <w:szCs w:val="19"/>
          <w:color w:val="000000"/>
        </w:rPr>
        <w:t>Guaranty are for convenience only, and neither limit nor amplify the provisions of this Guaranty.</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4.10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Guaranty may be executed in any number of counterparts and by different parties hereto in</w:t>
      </w:r>
      <w:r>
        <w:rPr>
          <w:rFonts w:ascii="Arial" w:cs="Arial" w:eastAsia="Arial" w:hAnsi="Arial"/>
          <w:sz w:val="22"/>
          <w:szCs w:val="22"/>
          <w:color w:val="010000"/>
        </w:rPr>
        <w:t xml:space="preserve"> </w:t>
      </w:r>
      <w:r>
        <w:rPr>
          <w:rFonts w:ascii="Arial" w:cs="Arial" w:eastAsia="Arial" w:hAnsi="Arial"/>
          <w:sz w:val="19"/>
          <w:szCs w:val="19"/>
          <w:color w:val="000000"/>
        </w:rPr>
        <w:t>separate counterparts, each of which when so executed shall be deemed to be an original and shall be binding upon all parties, their successors and assigns, and all of which taken together shall constitute one and the same agreement. Delivery of an executed counterpart of a signature page of this Guaranty by facsimile or in electronic (i.e., “.pdf” or “.tif”) format shall be effective as delivery of a manually executed counterpart of this Guaranty.</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4.11 </w:t>
      </w:r>
      <w:r>
        <w:rPr>
          <w:rFonts w:ascii="Arial" w:cs="Arial" w:eastAsia="Arial" w:hAnsi="Arial"/>
          <w:sz w:val="18"/>
          <w:szCs w:val="18"/>
          <w:u w:val="single" w:color="auto"/>
          <w:color w:val="000000"/>
        </w:rPr>
        <w:t>Set-Off</w:t>
      </w:r>
      <w:r>
        <w:rPr>
          <w:rFonts w:ascii="Arial" w:cs="Arial" w:eastAsia="Arial" w:hAnsi="Arial"/>
          <w:sz w:val="18"/>
          <w:szCs w:val="18"/>
          <w:color w:val="000000"/>
        </w:rPr>
        <w:t>. Upon the occurrence and during the continuance of any Event of Default, subject to Section 13.5 of the</w:t>
      </w:r>
      <w:r>
        <w:rPr>
          <w:rFonts w:ascii="Arial" w:cs="Arial" w:eastAsia="Arial" w:hAnsi="Arial"/>
          <w:sz w:val="21"/>
          <w:szCs w:val="21"/>
          <w:color w:val="010000"/>
        </w:rPr>
        <w:t xml:space="preserve"> </w:t>
      </w:r>
      <w:r>
        <w:rPr>
          <w:rFonts w:ascii="Arial" w:cs="Arial" w:eastAsia="Arial" w:hAnsi="Arial"/>
          <w:sz w:val="18"/>
          <w:szCs w:val="18"/>
          <w:color w:val="000000"/>
        </w:rPr>
        <w:t xml:space="preserve">Credit Agreement, each Guarantor hereby irrevocably authorizes the Administrative Agent and each Secured Party at any time and from time to time pursuant to Section 13.5 of the Credit Agreement to set-off and appropriate and apply any and all deposits (general or special, time or demand, provisional or final), other than deposits in Blackbaud Payment Services Accounts, in any currency, and any other credits, indebtedness or claims, in any currency, in each case whether direct or indirect, absolute or contingent, matured or unmatured, at any time held or owing by the Administrative Agent or such Secured Party to or for the credit or the account of such Guarantor, or any part thereof in such amounts as the Administrative Agent or such Secured Party may elect, against and on account of the obligations and liabilities of such Guarantor to the Administrative Agent or such Secured Party hereunder and claims of every nature and description of the Administrative Agent or such Secured Party against such Guarantor, in any currency, whether arising hereunder, under the Credit Agreement, any other Loan Document or otherwise, as the Administrative Agent or such Secured Party may elect, whether or not the Administrative Agent or any Secured Party has made any demand for payment and although such obligations, liabilities and claims may be contingent or unmatured. The Administrative Agent and each Secured Party shall notify such Guarantor promptly of any such set-off and the application made by the Administrative Agent or such Secured Party of the proceeds thereof;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failure to give such notice shall not affect the validity of such set-off and application. The rights of the Administrative Agent and each Secured Party under this </w:t>
      </w:r>
      <w:r>
        <w:rPr>
          <w:rFonts w:ascii="Arial" w:cs="Arial" w:eastAsia="Arial" w:hAnsi="Arial"/>
          <w:sz w:val="18"/>
          <w:szCs w:val="18"/>
          <w:u w:val="single" w:color="auto"/>
          <w:color w:val="000000"/>
        </w:rPr>
        <w:t>Section 4.11</w:t>
      </w:r>
      <w:r>
        <w:rPr>
          <w:rFonts w:ascii="Arial" w:cs="Arial" w:eastAsia="Arial" w:hAnsi="Arial"/>
          <w:sz w:val="18"/>
          <w:szCs w:val="18"/>
          <w:color w:val="000000"/>
        </w:rPr>
        <w:t xml:space="preserve"> are in addition to other rights and remedies (including, without limitation, other rights of set-off) which the Administrative Agent or such Secured Party may have.</w:t>
      </w:r>
    </w:p>
    <w:p>
      <w:pPr>
        <w:sectPr>
          <w:pgSz w:w="11900" w:h="16838" w:orient="portrait"/>
          <w:cols w:equalWidth="0" w:num="1">
            <w:col w:w="11240"/>
          </w:cols>
          <w:pgMar w:left="320" w:top="1176" w:right="339" w:bottom="1440" w:gutter="0" w:footer="0" w:header="0"/>
        </w:sectPr>
      </w:pPr>
    </w:p>
    <w:bookmarkStart w:id="276" w:name="page277"/>
    <w:bookmarkEnd w:id="276"/>
    <w:p>
      <w:pPr>
        <w:jc w:val="both"/>
        <w:ind w:firstLine="648"/>
        <w:spacing w:after="0" w:line="244" w:lineRule="auto"/>
        <w:rPr>
          <w:sz w:val="20"/>
          <w:szCs w:val="20"/>
          <w:color w:val="auto"/>
        </w:rPr>
      </w:pPr>
      <w:r>
        <w:rPr>
          <w:rFonts w:ascii="Arial" w:cs="Arial" w:eastAsia="Arial" w:hAnsi="Arial"/>
          <w:sz w:val="22"/>
          <w:szCs w:val="22"/>
          <w:color w:val="010000"/>
        </w:rPr>
        <w:t xml:space="preserve">SECTION 4.12 </w:t>
      </w:r>
      <w:r>
        <w:rPr>
          <w:rFonts w:ascii="Arial" w:cs="Arial" w:eastAsia="Arial" w:hAnsi="Arial"/>
          <w:sz w:val="19"/>
          <w:szCs w:val="19"/>
          <w:u w:val="single" w:color="auto"/>
          <w:color w:val="000000"/>
        </w:rPr>
        <w:t>Integration</w:t>
      </w:r>
      <w:r>
        <w:rPr>
          <w:rFonts w:ascii="Arial" w:cs="Arial" w:eastAsia="Arial" w:hAnsi="Arial"/>
          <w:sz w:val="19"/>
          <w:szCs w:val="19"/>
          <w:color w:val="000000"/>
        </w:rPr>
        <w:t>. This Guaranty, together with the other Loan Documents, comprises the complete and integrated</w:t>
      </w:r>
      <w:r>
        <w:rPr>
          <w:rFonts w:ascii="Arial" w:cs="Arial" w:eastAsia="Arial" w:hAnsi="Arial"/>
          <w:sz w:val="22"/>
          <w:szCs w:val="22"/>
          <w:color w:val="010000"/>
        </w:rPr>
        <w:t xml:space="preserve"> </w:t>
      </w:r>
      <w:r>
        <w:rPr>
          <w:rFonts w:ascii="Arial" w:cs="Arial" w:eastAsia="Arial" w:hAnsi="Arial"/>
          <w:sz w:val="19"/>
          <w:szCs w:val="19"/>
          <w:color w:val="000000"/>
        </w:rPr>
        <w:t>agreement of the parties on the subject matter hereof and thereof and supersedes all prior agreements, written or oral, on such subject matter. This Guaranty was drafted with the joint participation of the respective parties thereto and shall be construed neither against nor in favor of any party, but rather in accordance with the fair meaning thereof.</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010000"/>
        </w:rPr>
        <w:t>SECTION 4.13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Guarantor hereby acknowledges that:</w:t>
      </w:r>
    </w:p>
    <w:p>
      <w:pPr>
        <w:spacing w:after="0" w:line="211" w:lineRule="exact"/>
        <w:rPr>
          <w:sz w:val="20"/>
          <w:szCs w:val="20"/>
          <w:color w:val="auto"/>
        </w:rPr>
      </w:pPr>
    </w:p>
    <w:p>
      <w:pPr>
        <w:ind w:right="20" w:firstLine="656"/>
        <w:spacing w:after="0" w:line="260" w:lineRule="auto"/>
        <w:tabs>
          <w:tab w:leader="none" w:pos="1119" w:val="left"/>
        </w:tabs>
        <w:numPr>
          <w:ilvl w:val="0"/>
          <w:numId w:val="268"/>
        </w:numPr>
        <w:rPr>
          <w:rFonts w:ascii="Arial" w:cs="Arial" w:eastAsia="Arial" w:hAnsi="Arial"/>
          <w:sz w:val="20"/>
          <w:szCs w:val="20"/>
          <w:color w:val="010000"/>
        </w:rPr>
      </w:pPr>
      <w:r>
        <w:rPr>
          <w:rFonts w:ascii="Arial" w:cs="Arial" w:eastAsia="Arial" w:hAnsi="Arial"/>
          <w:sz w:val="20"/>
          <w:szCs w:val="20"/>
          <w:color w:val="auto"/>
        </w:rPr>
        <w:t>it has been advised by counsel in the negotiation, execution and delivery of this Guaranty and the other Loan Documents to which it is a party;</w:t>
      </w:r>
    </w:p>
    <w:p>
      <w:pPr>
        <w:spacing w:after="0" w:line="176" w:lineRule="exact"/>
        <w:rPr>
          <w:rFonts w:ascii="Arial" w:cs="Arial" w:eastAsia="Arial" w:hAnsi="Arial"/>
          <w:sz w:val="20"/>
          <w:szCs w:val="20"/>
          <w:color w:val="010000"/>
        </w:rPr>
      </w:pPr>
    </w:p>
    <w:p>
      <w:pPr>
        <w:jc w:val="both"/>
        <w:ind w:firstLine="656"/>
        <w:spacing w:after="0" w:line="246" w:lineRule="auto"/>
        <w:tabs>
          <w:tab w:leader="none" w:pos="1076" w:val="left"/>
        </w:tabs>
        <w:numPr>
          <w:ilvl w:val="0"/>
          <w:numId w:val="268"/>
        </w:numPr>
        <w:rPr>
          <w:rFonts w:ascii="Arial" w:cs="Arial" w:eastAsia="Arial" w:hAnsi="Arial"/>
          <w:sz w:val="20"/>
          <w:szCs w:val="20"/>
          <w:color w:val="010000"/>
        </w:rPr>
      </w:pPr>
      <w:r>
        <w:rPr>
          <w:rFonts w:ascii="Arial" w:cs="Arial" w:eastAsia="Arial" w:hAnsi="Arial"/>
          <w:sz w:val="20"/>
          <w:szCs w:val="20"/>
          <w:color w:val="auto"/>
        </w:rPr>
        <w:t>neither the Administrative Agent nor any Secured Party has any fiduciary relationship with or duty to any Guarantor arising out of or in connection with this Guaranty or any of the other Loan Documents, and the relationship between the Guarantors, on the one hand, and the Administrative Agent and Secured Parties, on the other hand, in connection herewith or therewith is solely that of debtor and creditor; and</w:t>
      </w:r>
    </w:p>
    <w:p>
      <w:pPr>
        <w:spacing w:after="0" w:line="191" w:lineRule="exact"/>
        <w:rPr>
          <w:rFonts w:ascii="Arial" w:cs="Arial" w:eastAsia="Arial" w:hAnsi="Arial"/>
          <w:sz w:val="20"/>
          <w:szCs w:val="20"/>
          <w:color w:val="010000"/>
        </w:rPr>
      </w:pPr>
    </w:p>
    <w:p>
      <w:pPr>
        <w:ind w:firstLine="656"/>
        <w:spacing w:after="0" w:line="260" w:lineRule="auto"/>
        <w:tabs>
          <w:tab w:leader="none" w:pos="1065" w:val="left"/>
        </w:tabs>
        <w:numPr>
          <w:ilvl w:val="0"/>
          <w:numId w:val="268"/>
        </w:numPr>
        <w:rPr>
          <w:rFonts w:ascii="Arial" w:cs="Arial" w:eastAsia="Arial" w:hAnsi="Arial"/>
          <w:sz w:val="20"/>
          <w:szCs w:val="20"/>
          <w:color w:val="010000"/>
        </w:rPr>
      </w:pPr>
      <w:r>
        <w:rPr>
          <w:rFonts w:ascii="Arial" w:cs="Arial" w:eastAsia="Arial" w:hAnsi="Arial"/>
          <w:sz w:val="20"/>
          <w:szCs w:val="20"/>
          <w:color w:val="auto"/>
        </w:rPr>
        <w:t>no joint venture is created hereby or by the other Loan Documents or otherwise exists by virtue of the transactions contemplated hereby among the Secured Parties or among the Guarantors and the Secured Parties.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4.14 </w:t>
      </w:r>
      <w:r>
        <w:rPr>
          <w:rFonts w:ascii="Arial" w:cs="Arial" w:eastAsia="Arial" w:hAnsi="Arial"/>
          <w:sz w:val="19"/>
          <w:szCs w:val="19"/>
          <w:u w:val="single" w:color="auto"/>
          <w:color w:val="000000"/>
        </w:rPr>
        <w:t>Releases</w:t>
      </w:r>
      <w:r>
        <w:rPr>
          <w:rFonts w:ascii="Arial" w:cs="Arial" w:eastAsia="Arial" w:hAnsi="Arial"/>
          <w:sz w:val="19"/>
          <w:szCs w:val="19"/>
          <w:color w:val="000000"/>
        </w:rPr>
        <w:t>. At such time as (a) the Guaranteed Obligations (other than contingent indemnification obligations not</w:t>
      </w:r>
      <w:r>
        <w:rPr>
          <w:rFonts w:ascii="Arial" w:cs="Arial" w:eastAsia="Arial" w:hAnsi="Arial"/>
          <w:sz w:val="22"/>
          <w:szCs w:val="22"/>
          <w:color w:val="010000"/>
        </w:rPr>
        <w:t xml:space="preserve"> </w:t>
      </w:r>
      <w:r>
        <w:rPr>
          <w:rFonts w:ascii="Arial" w:cs="Arial" w:eastAsia="Arial" w:hAnsi="Arial"/>
          <w:sz w:val="19"/>
          <w:szCs w:val="19"/>
          <w:color w:val="000000"/>
        </w:rPr>
        <w:t>yet due and Bank Product Debt) are paid in full (or, in the case of Letters of Credit, cash collateralized in accordance with the terms of the Credit Agreement) and the Commitments are terminated, this Guaranty and all obligations (other than those expressly stated to survive such termination) of the Administrative Agent and each Guarantor hereunder shall terminate, all without delivery of any instrument or performance of any act by any party, or (b) a Guarantor ceases to be a Material Subsidiary of the Company in connection with a transaction permitted under the terms and conditions of the Credit Agreement, such Guarantor shall be released from the Guaranteed Obligations (other than obligations expressly stated to survive the termination of this Guaranty).</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4.15 </w:t>
      </w:r>
      <w:r>
        <w:rPr>
          <w:rFonts w:ascii="Arial" w:cs="Arial" w:eastAsia="Arial" w:hAnsi="Arial"/>
          <w:sz w:val="19"/>
          <w:szCs w:val="19"/>
          <w:u w:val="single" w:color="auto"/>
          <w:color w:val="000000"/>
        </w:rPr>
        <w:t>Additional Guarantors</w:t>
      </w:r>
      <w:r>
        <w:rPr>
          <w:rFonts w:ascii="Arial" w:cs="Arial" w:eastAsia="Arial" w:hAnsi="Arial"/>
          <w:sz w:val="19"/>
          <w:szCs w:val="19"/>
          <w:color w:val="000000"/>
        </w:rPr>
        <w:t>. Each Material Subsidiary of the Company that is required to become a party to this</w:t>
      </w:r>
      <w:r>
        <w:rPr>
          <w:rFonts w:ascii="Arial" w:cs="Arial" w:eastAsia="Arial" w:hAnsi="Arial"/>
          <w:sz w:val="22"/>
          <w:szCs w:val="22"/>
          <w:color w:val="010000"/>
        </w:rPr>
        <w:t xml:space="preserve"> </w:t>
      </w:r>
      <w:r>
        <w:rPr>
          <w:rFonts w:ascii="Arial" w:cs="Arial" w:eastAsia="Arial" w:hAnsi="Arial"/>
          <w:sz w:val="19"/>
          <w:szCs w:val="19"/>
          <w:color w:val="000000"/>
        </w:rPr>
        <w:t>Guaranty pursuant to Section 8.11 of the Credit Agreement shall become a Guarantor for all purposes of this Guaranty upon execution and delivery by such Subsidiary of a Guaranty Supplement.</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4.16 </w:t>
      </w:r>
      <w:r>
        <w:rPr>
          <w:rFonts w:ascii="Arial" w:cs="Arial" w:eastAsia="Arial" w:hAnsi="Arial"/>
          <w:sz w:val="19"/>
          <w:szCs w:val="19"/>
          <w:u w:val="single" w:color="auto"/>
          <w:color w:val="000000"/>
        </w:rPr>
        <w:t>Powers Coupled with an Interest</w:t>
      </w:r>
      <w:r>
        <w:rPr>
          <w:rFonts w:ascii="Arial" w:cs="Arial" w:eastAsia="Arial" w:hAnsi="Arial"/>
          <w:sz w:val="19"/>
          <w:szCs w:val="19"/>
          <w:color w:val="000000"/>
        </w:rPr>
        <w:t>. All authorizations and agencies herein contained are irrevocable and powers</w:t>
      </w:r>
      <w:r>
        <w:rPr>
          <w:rFonts w:ascii="Arial" w:cs="Arial" w:eastAsia="Arial" w:hAnsi="Arial"/>
          <w:sz w:val="22"/>
          <w:szCs w:val="22"/>
          <w:color w:val="010000"/>
        </w:rPr>
        <w:t xml:space="preserve"> </w:t>
      </w:r>
      <w:r>
        <w:rPr>
          <w:rFonts w:ascii="Arial" w:cs="Arial" w:eastAsia="Arial" w:hAnsi="Arial"/>
          <w:sz w:val="19"/>
          <w:szCs w:val="19"/>
          <w:color w:val="000000"/>
        </w:rPr>
        <w:t>coupled with an interest.</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4.17 </w:t>
      </w:r>
      <w:r>
        <w:rPr>
          <w:rFonts w:ascii="Arial" w:cs="Arial" w:eastAsia="Arial" w:hAnsi="Arial"/>
          <w:sz w:val="18"/>
          <w:szCs w:val="18"/>
          <w:u w:val="single" w:color="auto"/>
          <w:color w:val="000000"/>
        </w:rPr>
        <w:t>Judgment Currency</w:t>
      </w:r>
      <w:r>
        <w:rPr>
          <w:rFonts w:ascii="Arial" w:cs="Arial" w:eastAsia="Arial" w:hAnsi="Arial"/>
          <w:sz w:val="18"/>
          <w:szCs w:val="18"/>
          <w:color w:val="000000"/>
        </w:rPr>
        <w:t>. If for the purposes of obtaining judgment in any court it is necessary to convert a sum due</w:t>
      </w:r>
      <w:r>
        <w:rPr>
          <w:rFonts w:ascii="Arial" w:cs="Arial" w:eastAsia="Arial" w:hAnsi="Arial"/>
          <w:sz w:val="21"/>
          <w:szCs w:val="21"/>
          <w:color w:val="010000"/>
        </w:rPr>
        <w:t xml:space="preserve"> </w:t>
      </w:r>
      <w:r>
        <w:rPr>
          <w:rFonts w:ascii="Arial" w:cs="Arial" w:eastAsia="Arial" w:hAnsi="Arial"/>
          <w:sz w:val="18"/>
          <w:szCs w:val="18"/>
          <w:color w:val="000000"/>
        </w:rPr>
        <w:t>from any Guarantor hereunder in the currency expressed to be payable herein (the “</w:t>
      </w:r>
      <w:r>
        <w:rPr>
          <w:rFonts w:ascii="Arial" w:cs="Arial" w:eastAsia="Arial" w:hAnsi="Arial"/>
          <w:sz w:val="18"/>
          <w:szCs w:val="18"/>
          <w:u w:val="single" w:color="auto"/>
          <w:color w:val="000000"/>
        </w:rPr>
        <w:t>Specified Currency</w:t>
      </w:r>
      <w:r>
        <w:rPr>
          <w:rFonts w:ascii="Arial" w:cs="Arial" w:eastAsia="Arial" w:hAnsi="Arial"/>
          <w:sz w:val="18"/>
          <w:szCs w:val="18"/>
          <w:color w:val="000000"/>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office on the Business Day preceding that on which final, non-appealable judgment is given. The obligations of each Guarantor in respect of any sum due to such Secured Party or Administrative Agent (as the case may be) hereunder shall, notwithstanding any judgment in a currency other than the Specified Currency, be discharged only to the extent that on the Business Day following receipt by the Administrative Agent of any sum adjudged to be so due in such other currency such Secured Party or the Administrative Agent (as the case may be) may in accordance with normal, reasonable banking procedures purchase the Specified Currency with such other currency.</w:t>
      </w:r>
    </w:p>
    <w:p>
      <w:pPr>
        <w:sectPr>
          <w:pgSz w:w="11900" w:h="16838" w:orient="portrait"/>
          <w:cols w:equalWidth="0" w:num="1">
            <w:col w:w="11240"/>
          </w:cols>
          <w:pgMar w:left="320" w:top="1185" w:right="339" w:bottom="1440" w:gutter="0" w:footer="0" w:header="0"/>
        </w:sectPr>
      </w:pPr>
    </w:p>
    <w:bookmarkStart w:id="277" w:name="page278"/>
    <w:bookmarkEnd w:id="277"/>
    <w:p>
      <w:pPr>
        <w:jc w:val="both"/>
        <w:spacing w:after="0" w:line="259" w:lineRule="auto"/>
        <w:rPr>
          <w:sz w:val="20"/>
          <w:szCs w:val="20"/>
          <w:color w:val="auto"/>
        </w:rPr>
      </w:pPr>
      <w:r>
        <w:rPr>
          <w:rFonts w:ascii="Arial" w:cs="Arial" w:eastAsia="Arial" w:hAnsi="Arial"/>
          <w:sz w:val="19"/>
          <w:szCs w:val="19"/>
          <w:color w:val="auto"/>
        </w:rPr>
        <w:t>If the amount of the Specified Currency so purchased is less than the sum originally due to such Secured Party or the Administrative Agent, as the case may be, in the Specified Currency, each Guarantor agrees, to the fullest extent that they may effectively do so, as a separate obligation and notwithstanding any such judgment, to indemnify such Secured Party or the Administrative Agent, as the case may be, against such loss, and if the amount of the Specified Currency so purchased exceeds the sum originally due to such Secured Party or the Administrative Agent, as the case may be, in the Specified Currency, the applicable Secured Party or the Administrative Agent, as the case may be, agrees to remit such excess to such Guarantor.</w:t>
      </w:r>
    </w:p>
    <w:p>
      <w:pPr>
        <w:spacing w:after="0" w:line="21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4.18 </w:t>
      </w:r>
      <w:r>
        <w:rPr>
          <w:rFonts w:ascii="Arial" w:cs="Arial" w:eastAsia="Arial" w:hAnsi="Arial"/>
          <w:sz w:val="19"/>
          <w:szCs w:val="19"/>
          <w:u w:val="single" w:color="auto"/>
          <w:color w:val="000000"/>
        </w:rPr>
        <w:t>Acknowledgement Regarding Any Supported QFCs</w:t>
      </w:r>
      <w:r>
        <w:rPr>
          <w:rFonts w:ascii="Arial" w:cs="Arial" w:eastAsia="Arial" w:hAnsi="Arial"/>
          <w:sz w:val="19"/>
          <w:szCs w:val="19"/>
          <w:color w:val="000000"/>
        </w:rPr>
        <w:t>. The terms of Section 13.26 of the Credit Agreement with</w:t>
      </w:r>
      <w:r>
        <w:rPr>
          <w:rFonts w:ascii="Arial" w:cs="Arial" w:eastAsia="Arial" w:hAnsi="Arial"/>
          <w:sz w:val="22"/>
          <w:szCs w:val="22"/>
          <w:color w:val="010000"/>
        </w:rPr>
        <w:t xml:space="preserve"> </w:t>
      </w:r>
      <w:r>
        <w:rPr>
          <w:rFonts w:ascii="Arial" w:cs="Arial" w:eastAsia="Arial" w:hAnsi="Arial"/>
          <w:sz w:val="19"/>
          <w:szCs w:val="19"/>
          <w:color w:val="000000"/>
        </w:rPr>
        <w:t xml:space="preserve">respect to acknowledgement regarding any Supported QFCs are incorporated herein by reference, </w:t>
      </w:r>
      <w:r>
        <w:rPr>
          <w:rFonts w:ascii="Arial" w:cs="Arial" w:eastAsia="Arial" w:hAnsi="Arial"/>
          <w:sz w:val="19"/>
          <w:szCs w:val="19"/>
          <w:i w:val="1"/>
          <w:iCs w:val="1"/>
          <w:color w:val="000000"/>
        </w:rPr>
        <w:t>mutatis mutandis</w:t>
      </w:r>
      <w:r>
        <w:rPr>
          <w:rFonts w:ascii="Arial" w:cs="Arial" w:eastAsia="Arial" w:hAnsi="Arial"/>
          <w:sz w:val="19"/>
          <w:szCs w:val="19"/>
          <w:color w:val="000000"/>
        </w:rPr>
        <w:t>, and the parties hereto agree to such terms.</w:t>
      </w:r>
    </w:p>
    <w:p>
      <w:pPr>
        <w:spacing w:after="0" w:line="23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010000"/>
        </w:rPr>
        <w:t xml:space="preserve">SECTION 4.19 </w:t>
      </w:r>
      <w:r>
        <w:rPr>
          <w:rFonts w:ascii="Arial" w:cs="Arial" w:eastAsia="Arial" w:hAnsi="Arial"/>
          <w:sz w:val="17"/>
          <w:szCs w:val="17"/>
          <w:u w:val="single" w:color="auto"/>
          <w:color w:val="000000"/>
        </w:rPr>
        <w:t>Amendment and Restatement of Existing Guaranty</w:t>
      </w:r>
      <w:r>
        <w:rPr>
          <w:rFonts w:ascii="Arial" w:cs="Arial" w:eastAsia="Arial" w:hAnsi="Arial"/>
          <w:sz w:val="17"/>
          <w:szCs w:val="17"/>
          <w:color w:val="000000"/>
        </w:rPr>
        <w:t>. The parties to the Existing Guaranty, to the extent party</w:t>
      </w:r>
      <w:r>
        <w:rPr>
          <w:rFonts w:ascii="Arial" w:cs="Arial" w:eastAsia="Arial" w:hAnsi="Arial"/>
          <w:sz w:val="19"/>
          <w:szCs w:val="19"/>
          <w:color w:val="010000"/>
        </w:rPr>
        <w:t xml:space="preserve"> </w:t>
      </w:r>
      <w:r>
        <w:rPr>
          <w:rFonts w:ascii="Arial" w:cs="Arial" w:eastAsia="Arial" w:hAnsi="Arial"/>
          <w:sz w:val="17"/>
          <w:szCs w:val="17"/>
          <w:color w:val="000000"/>
        </w:rPr>
        <w:t>hereto, each hereby agree that the Existing Guaranty automatically shall be deemed amended and restated in its entirety by this Guaranty. All indebtedness, obligations, liabilities and liens created by the Existing Guaranty shall continue unimpaired and in full force and effect, as amended and restated in this Guaranty. This Guaranty is not a novation of the Existing Guaranty, and this Guaranty evidences the obligations of the Guarantors (as defined in the Existing Guaranty) under the Existing Guaranty as continued and amended and restated hereby.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ectPr>
          <w:pgSz w:w="11900" w:h="16838" w:orient="portrait"/>
          <w:cols w:equalWidth="0" w:num="1">
            <w:col w:w="11240"/>
          </w:cols>
          <w:pgMar w:left="320" w:top="1176" w:right="339" w:bottom="1440" w:gutter="0" w:footer="0" w:header="0"/>
        </w:sectPr>
      </w:pPr>
    </w:p>
    <w:bookmarkStart w:id="278" w:name="page279"/>
    <w:bookmarkEnd w:id="278"/>
    <w:p>
      <w:pPr>
        <w:spacing w:after="0" w:line="260" w:lineRule="auto"/>
        <w:rPr>
          <w:sz w:val="20"/>
          <w:szCs w:val="20"/>
          <w:color w:val="auto"/>
        </w:rPr>
      </w:pPr>
      <w:r>
        <w:rPr>
          <w:rFonts w:ascii="Arial" w:cs="Arial" w:eastAsia="Arial" w:hAnsi="Arial"/>
          <w:sz w:val="20"/>
          <w:szCs w:val="20"/>
          <w:color w:val="auto"/>
        </w:rPr>
        <w:t>IN WITNESS WHEREOF, the undersigned has executed and delivered this Amended and Restated Guaranty by its duly authorized officer, all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BLACKBAUD, INC., as Guarantor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6280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-24765</wp:posOffset>
            </wp:positionV>
            <wp:extent cx="753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-24765</wp:posOffset>
            </wp:positionV>
            <wp:extent cx="7537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 as Guarantor</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628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-24765</wp:posOffset>
            </wp:positionV>
            <wp:extent cx="7537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-24765</wp:posOffset>
            </wp:positionV>
            <wp:extent cx="7537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Continue]</w:t>
      </w:r>
    </w:p>
    <w:p>
      <w:pPr>
        <w:sectPr>
          <w:pgSz w:w="11900" w:h="16838" w:orient="portrait"/>
          <w:cols w:equalWidth="0" w:num="1">
            <w:col w:w="11240"/>
          </w:cols>
          <w:pgMar w:left="320" w:top="1176" w:right="339" w:bottom="1440" w:gutter="0" w:footer="0" w:header="0"/>
        </w:sectPr>
      </w:pPr>
    </w:p>
    <w:bookmarkStart w:id="279" w:name="page280"/>
    <w:bookmarkEnd w:id="279"/>
    <w:p>
      <w:pPr>
        <w:ind w:left="2780"/>
        <w:spacing w:after="0"/>
        <w:rPr>
          <w:sz w:val="20"/>
          <w:szCs w:val="20"/>
          <w:color w:val="auto"/>
        </w:rPr>
      </w:pPr>
      <w:r>
        <w:rPr>
          <w:rFonts w:ascii="Arial" w:cs="Arial" w:eastAsia="Arial" w:hAnsi="Arial"/>
          <w:sz w:val="19"/>
          <w:szCs w:val="19"/>
          <w:color w:val="auto"/>
        </w:rPr>
        <w:t>BANK OF AMERICA, N.A., as Administrative Agent</w:t>
      </w:r>
    </w:p>
    <w:p>
      <w:pPr>
        <w:spacing w:after="0" w:line="200" w:lineRule="exact"/>
        <w:rPr>
          <w:sz w:val="20"/>
          <w:szCs w:val="20"/>
          <w:color w:val="auto"/>
        </w:rPr>
      </w:pPr>
    </w:p>
    <w:p>
      <w:pPr>
        <w:spacing w:after="0" w:line="29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-14605</wp:posOffset>
            </wp:positionV>
            <wp:extent cx="628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-24765</wp:posOffset>
            </wp:positionV>
            <wp:extent cx="7537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-24765</wp:posOffset>
            </wp:positionV>
            <wp:extent cx="7537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280" w:name="page281"/>
    <w:bookmarkEnd w:id="280"/>
    <w:p>
      <w:pPr>
        <w:jc w:val="center"/>
        <w:spacing w:after="0"/>
        <w:rPr>
          <w:sz w:val="20"/>
          <w:szCs w:val="20"/>
          <w:color w:val="auto"/>
        </w:rPr>
      </w:pPr>
      <w:r>
        <w:rPr>
          <w:rFonts w:ascii="Arial" w:cs="Arial" w:eastAsia="Arial" w:hAnsi="Arial"/>
          <w:sz w:val="20"/>
          <w:szCs w:val="20"/>
          <w:u w:val="single" w:color="auto"/>
          <w:color w:val="auto"/>
        </w:rPr>
        <w:t>ANNEX I TO GUARANTY</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Reference is hereby made to the Amended and Restated Guaranty Agreement (as the same may be amended, restated, supplemented or otherwise modified from time to time, the “</w:t>
      </w:r>
      <w:r>
        <w:rPr>
          <w:rFonts w:ascii="Arial" w:cs="Arial" w:eastAsia="Arial" w:hAnsi="Arial"/>
          <w:sz w:val="20"/>
          <w:szCs w:val="20"/>
          <w:u w:val="single" w:color="auto"/>
          <w:color w:val="auto"/>
        </w:rPr>
        <w:t>Guaranty</w:t>
      </w:r>
      <w:r>
        <w:rPr>
          <w:rFonts w:ascii="Arial" w:cs="Arial" w:eastAsia="Arial" w:hAnsi="Arial"/>
          <w:sz w:val="20"/>
          <w:szCs w:val="20"/>
          <w:color w:val="auto"/>
        </w:rPr>
        <w:t>”), dated as of October 30, 2020, made by Blackbaud,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any Material Domestic Subsidiaries which become parties to the Guaranty by executing Guaranty supplements thereto substantially similar in form and substance hereto, the “</w:t>
      </w:r>
      <w:r>
        <w:rPr>
          <w:rFonts w:ascii="Arial" w:cs="Arial" w:eastAsia="Arial" w:hAnsi="Arial"/>
          <w:sz w:val="20"/>
          <w:szCs w:val="20"/>
          <w:u w:val="single" w:color="auto"/>
          <w:color w:val="auto"/>
        </w:rPr>
        <w:t>Guarantors</w:t>
      </w:r>
      <w:r>
        <w:rPr>
          <w:rFonts w:ascii="Arial" w:cs="Arial" w:eastAsia="Arial" w:hAnsi="Arial"/>
          <w:sz w:val="20"/>
          <w:szCs w:val="20"/>
          <w:color w:val="auto"/>
        </w:rPr>
        <w:t>”), in favor of the Administrative Agent, for the ratable benefit of the Secured Parties, under the Credit Agreement. Each capitalized term used herein and not defined herein shall have the meaning given to it in the Guaranty.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its execution below, the undersigned, [NAME OF NEW GUARANTOR], a [________________] [corporation] [partnership]</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[limited liability company], agrees to become, and does hereby become, a Guarantor under the Guaranty and agrees to be bound by such Guaranty as if originally a party thereto. By its execution below, the undersigned represents and warrants as to itself that all of the representations and warranties contained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of the Guaranty are true and correct in all material respects (without duplication with respect to any materiality qualifications set forth in any individual representation and warranty) as of the date hereof (except to the extent such representation and warranty relates to an earlier date).</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WITNESS WHEREOF, [NAME OF NEW GUARANTOR], a [corporation] [partnership] [limited liability company] has executed and delivered this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counterpart to the Guaranty as of this __________ day of _________, ____.</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[NAME OF NEW GUARANTOR]</w:t>
      </w:r>
    </w:p>
    <w:p>
      <w:pPr>
        <w:spacing w:after="0" w:line="200" w:lineRule="exact"/>
        <w:rPr>
          <w:sz w:val="20"/>
          <w:szCs w:val="20"/>
          <w:color w:val="auto"/>
        </w:rPr>
      </w:pPr>
    </w:p>
    <w:p>
      <w:pPr>
        <w:spacing w:after="0" w:line="286"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By:____________________________________</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Title:__________________________________</w:t>
      </w:r>
    </w:p>
    <w:p>
      <w:pPr>
        <w:sectPr>
          <w:pgSz w:w="11900" w:h="16838" w:orient="portrait"/>
          <w:cols w:equalWidth="0" w:num="1">
            <w:col w:w="11240"/>
          </w:cols>
          <w:pgMar w:left="320" w:top="1176" w:right="339" w:bottom="1440" w:gutter="0" w:footer="0" w:header="0"/>
        </w:sectPr>
      </w:pPr>
    </w:p>
    <w:bookmarkStart w:id="281" w:name="page282"/>
    <w:bookmarkEnd w:id="281"/>
    <w:p>
      <w:pPr>
        <w:jc w:val="center"/>
        <w:ind w:right="-440"/>
        <w:spacing w:after="0"/>
        <w:rPr>
          <w:sz w:val="20"/>
          <w:szCs w:val="20"/>
          <w:color w:val="auto"/>
        </w:rPr>
      </w:pPr>
      <w:r>
        <w:rPr>
          <w:rFonts w:ascii="Arial" w:cs="Arial" w:eastAsia="Arial" w:hAnsi="Arial"/>
          <w:sz w:val="20"/>
          <w:szCs w:val="20"/>
          <w:u w:val="single" w:color="auto"/>
          <w:color w:val="auto"/>
        </w:rPr>
        <w:t>EXHIBIT I</w:t>
      </w:r>
    </w:p>
    <w:p>
      <w:pPr>
        <w:spacing w:after="0" w:line="243" w:lineRule="exact"/>
        <w:rPr>
          <w:sz w:val="20"/>
          <w:szCs w:val="20"/>
          <w:color w:val="auto"/>
        </w:rPr>
      </w:pPr>
    </w:p>
    <w:p>
      <w:pPr>
        <w:jc w:val="right"/>
        <w:ind w:right="2979"/>
        <w:spacing w:after="0"/>
        <w:rPr>
          <w:sz w:val="20"/>
          <w:szCs w:val="20"/>
          <w:color w:val="auto"/>
        </w:rPr>
      </w:pPr>
      <w:r>
        <w:rPr>
          <w:rFonts w:ascii="Arial" w:cs="Arial" w:eastAsia="Arial" w:hAnsi="Arial"/>
          <w:sz w:val="20"/>
          <w:szCs w:val="20"/>
          <w:color w:val="auto"/>
        </w:rPr>
        <w:t>[FORM OF] PLEDGE AGREEMENT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479"/>
          </w:cols>
          <w:pgMar w:left="980" w:top="1176" w:right="1440"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20"/>
          <w:szCs w:val="20"/>
          <w:u w:val="single" w:color="auto"/>
          <w:color w:val="auto"/>
        </w:rPr>
        <w:t>EXHIBIT J</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BANK PRODUCT PROVIDER NOTICE</w:t>
      </w:r>
    </w:p>
    <w:p>
      <w:pPr>
        <w:spacing w:after="0" w:line="24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Dated as of: 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204" w:lineRule="auto"/>
        <w:rPr>
          <w:sz w:val="20"/>
          <w:szCs w:val="20"/>
          <w:color w:val="auto"/>
        </w:rPr>
      </w:pPr>
      <w:r>
        <w:rPr>
          <w:rFonts w:ascii="Arial" w:cs="Arial" w:eastAsia="Arial" w:hAnsi="Arial"/>
          <w:sz w:val="20"/>
          <w:szCs w:val="20"/>
          <w:color w:val="auto"/>
        </w:rPr>
        <w:t>555 California Street,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Mail Code: CA5-701-04-09</w:t>
      </w:r>
    </w:p>
    <w:p>
      <w:pPr>
        <w:spacing w:after="0"/>
        <w:rPr>
          <w:sz w:val="20"/>
          <w:szCs w:val="20"/>
          <w:color w:val="auto"/>
        </w:rPr>
      </w:pPr>
      <w:r>
        <w:rPr>
          <w:rFonts w:ascii="Arial" w:cs="Arial" w:eastAsia="Arial" w:hAnsi="Arial"/>
          <w:sz w:val="20"/>
          <w:szCs w:val="20"/>
          <w:color w:val="auto"/>
        </w:rPr>
        <w:t>San Francisco, CA 94104</w:t>
      </w:r>
    </w:p>
    <w:p>
      <w:pPr>
        <w:spacing w:after="0"/>
        <w:rPr>
          <w:sz w:val="20"/>
          <w:szCs w:val="20"/>
          <w:color w:val="auto"/>
        </w:rPr>
      </w:pPr>
      <w:r>
        <w:rPr>
          <w:rFonts w:ascii="Arial" w:cs="Arial" w:eastAsia="Arial" w:hAnsi="Arial"/>
          <w:sz w:val="20"/>
          <w:szCs w:val="20"/>
          <w:color w:val="auto"/>
        </w:rPr>
        <w:t>Attention: Liliana Claar, Agency Officer</w:t>
      </w:r>
    </w:p>
    <w:p>
      <w:pPr>
        <w:spacing w:after="0"/>
        <w:rPr>
          <w:sz w:val="20"/>
          <w:szCs w:val="20"/>
          <w:color w:val="auto"/>
        </w:rPr>
      </w:pPr>
      <w:r>
        <w:rPr>
          <w:rFonts w:ascii="Arial" w:cs="Arial" w:eastAsia="Arial" w:hAnsi="Arial"/>
          <w:sz w:val="20"/>
          <w:szCs w:val="20"/>
          <w:color w:val="auto"/>
        </w:rPr>
        <w:t>Facsimile: (415)-503-5003</w:t>
      </w:r>
    </w:p>
    <w:p>
      <w:pPr>
        <w:spacing w:after="0"/>
        <w:rPr>
          <w:sz w:val="20"/>
          <w:szCs w:val="20"/>
          <w:color w:val="auto"/>
        </w:rPr>
      </w:pPr>
      <w:r>
        <w:rPr>
          <w:rFonts w:ascii="Arial" w:cs="Arial" w:eastAsia="Arial" w:hAnsi="Arial"/>
          <w:sz w:val="20"/>
          <w:szCs w:val="20"/>
          <w:color w:val="auto"/>
        </w:rPr>
        <w:t>Email: liliana.claar@baml.com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Blackbaud,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65 Fairchild Street</w:t>
      </w:r>
    </w:p>
    <w:p>
      <w:pPr>
        <w:spacing w:after="0"/>
        <w:rPr>
          <w:sz w:val="20"/>
          <w:szCs w:val="20"/>
          <w:color w:val="auto"/>
        </w:rPr>
      </w:pPr>
      <w:r>
        <w:rPr>
          <w:rFonts w:ascii="Arial" w:cs="Arial" w:eastAsia="Arial" w:hAnsi="Arial"/>
          <w:sz w:val="20"/>
          <w:szCs w:val="20"/>
          <w:color w:val="auto"/>
        </w:rPr>
        <w:t>Charleston, SC 29492</w:t>
      </w:r>
    </w:p>
    <w:p>
      <w:pPr>
        <w:spacing w:after="0"/>
        <w:rPr>
          <w:sz w:val="20"/>
          <w:szCs w:val="20"/>
          <w:color w:val="auto"/>
        </w:rPr>
      </w:pPr>
      <w:r>
        <w:rPr>
          <w:rFonts w:ascii="Arial" w:cs="Arial" w:eastAsia="Arial" w:hAnsi="Arial"/>
          <w:sz w:val="20"/>
          <w:szCs w:val="20"/>
          <w:color w:val="auto"/>
        </w:rPr>
        <w:t>Attention: Chief Financial Officer</w:t>
      </w: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Bank Product Provider Notice is delivered to you pursuant to the terms of the Amended and Restated Credit Agreement, dated as of October 30, 2020 (as amended, restated, supplemented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Blackbaud,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Subsidiaries of the Company from time to time party thereto as subsidiary borrowers (the “</w:t>
      </w:r>
      <w:r>
        <w:rPr>
          <w:rFonts w:ascii="Arial" w:cs="Arial" w:eastAsia="Arial" w:hAnsi="Arial"/>
          <w:sz w:val="18"/>
          <w:szCs w:val="18"/>
          <w:u w:val="single" w:color="auto"/>
          <w:color w:val="auto"/>
        </w:rPr>
        <w:t>Subsidiary Borrowers</w:t>
      </w:r>
      <w:r>
        <w:rPr>
          <w:rFonts w:ascii="Arial" w:cs="Arial" w:eastAsia="Arial" w:hAnsi="Arial"/>
          <w:sz w:val="18"/>
          <w:szCs w:val="18"/>
          <w:color w:val="auto"/>
        </w:rPr>
        <w:t>” and, together with the Company,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who are or may become a party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Swingline Lender and Issuing Lender. Capitalized terms used herein and not defined herein shall have the meanings assigned thereto in the Credit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of Bank Product Provider] hereby notifies you, pursuant to the terms of the Credit Agreement, that:</w:t>
      </w:r>
    </w:p>
    <w:p>
      <w:pPr>
        <w:spacing w:after="0" w:line="216" w:lineRule="exact"/>
        <w:rPr>
          <w:sz w:val="20"/>
          <w:szCs w:val="20"/>
          <w:color w:val="auto"/>
        </w:rPr>
      </w:pPr>
    </w:p>
    <w:p>
      <w:pPr>
        <w:ind w:firstLine="656"/>
        <w:spacing w:after="0" w:line="260" w:lineRule="auto"/>
        <w:tabs>
          <w:tab w:leader="none" w:pos="1087"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[Name of Bank Product Provider] meets the requirements of a Bank Product Provider under the terms of the Credit Agreement and is a Bank Product Provider under the Credit Agreement and the other Loan Documents.</w:t>
      </w:r>
    </w:p>
    <w:p>
      <w:pPr>
        <w:spacing w:after="0" w:line="176" w:lineRule="exact"/>
        <w:rPr>
          <w:rFonts w:ascii="Arial" w:cs="Arial" w:eastAsia="Arial" w:hAnsi="Arial"/>
          <w:sz w:val="20"/>
          <w:szCs w:val="20"/>
          <w:color w:val="auto"/>
        </w:rPr>
      </w:pPr>
    </w:p>
    <w:p>
      <w:pPr>
        <w:ind w:left="1180" w:hanging="524"/>
        <w:spacing w:after="0"/>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Credit Parties have entered into Bank Products with [Name of Bank Product Provider] which include: [set forth Bank</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Products].</w:t>
      </w:r>
    </w:p>
    <w:p>
      <w:pPr>
        <w:spacing w:after="0" w:line="199" w:lineRule="exact"/>
        <w:rPr>
          <w:rFonts w:ascii="Arial" w:cs="Arial" w:eastAsia="Arial" w:hAnsi="Arial"/>
          <w:sz w:val="18"/>
          <w:szCs w:val="18"/>
          <w:color w:val="auto"/>
        </w:rPr>
      </w:pPr>
    </w:p>
    <w:p>
      <w:pPr>
        <w:ind w:left="1320" w:hanging="664"/>
        <w:spacing w:after="0"/>
        <w:tabs>
          <w:tab w:leader="none" w:pos="13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methodology to be used by such parties in determining the Bank Product Debt owing from time to time is:</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____________________.</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Delivery of this Notice by telecopy or other electronic mail transmission (e.g. “pdf” or “tif”) shall be effective as an original.</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duly authorized officer of the undersigned has executed this Notice as of the ___ day of _____, _____.</w:t>
      </w:r>
    </w:p>
    <w:p>
      <w:pPr>
        <w:sectPr>
          <w:pgSz w:w="11900" w:h="16838" w:orient="portrait"/>
          <w:cols w:equalWidth="0" w:num="1">
            <w:col w:w="11240"/>
          </w:cols>
          <w:pgMar w:left="320" w:top="1176" w:right="339" w:bottom="1440" w:gutter="0" w:footer="0" w:header="0"/>
        </w:sectPr>
      </w:pPr>
    </w:p>
    <w:bookmarkStart w:id="283" w:name="page284"/>
    <w:bookmarkEnd w:id="283"/>
    <w:p>
      <w:pPr>
        <w:ind w:left="33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-14605</wp:posOffset>
            </wp:positionV>
            <wp:extent cx="3771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6"/>
          <w:szCs w:val="16"/>
          <w:color w:val="auto"/>
        </w:rPr>
        <w:t>as a Bank Product Provider</w:t>
      </w:r>
    </w:p>
    <w:p>
      <w:pPr>
        <w:spacing w:after="0" w:line="27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2514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-24765</wp:posOffset>
            </wp:positionV>
            <wp:extent cx="2514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-24765</wp:posOffset>
            </wp:positionV>
            <wp:extent cx="2514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9019"/>
          </w:cols>
          <w:pgMar w:left="1440" w:top="1176" w:right="1440" w:bottom="1440" w:gutter="0" w:footer="0" w:header="0"/>
        </w:sectPr>
      </w:pPr>
    </w:p>
    <w:bookmarkStart w:id="284" w:name="page285"/>
    <w:bookmarkEnd w:id="284"/>
    <w:p>
      <w:pPr>
        <w:jc w:val="center"/>
        <w:spacing w:after="0"/>
        <w:rPr>
          <w:sz w:val="20"/>
          <w:szCs w:val="20"/>
          <w:color w:val="auto"/>
        </w:rPr>
      </w:pPr>
      <w:r>
        <w:rPr>
          <w:rFonts w:ascii="Arial" w:cs="Arial" w:eastAsia="Arial" w:hAnsi="Arial"/>
          <w:sz w:val="20"/>
          <w:szCs w:val="20"/>
          <w:u w:val="single" w:color="auto"/>
          <w:color w:val="auto"/>
        </w:rPr>
        <w:t>EXHIBIT K-1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 TAX COMPLIANCE CERTIFICATE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4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Reference is hereby made to the Amended and Restated Credit Agreement, dated as of October 30, 2020 (as amended, restated, supplemented or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who are or may become a party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Pursuant to the provisions of Section 4.11(e)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The undersigned has furnished the Administrative Agent and the Borrowers with a certificate of its non-U.S. Person status on IRS Form W-8BEN-E (or W-8BEN, as applicable).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9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 ________________________</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76"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20"/>
          <w:szCs w:val="20"/>
          <w:u w:val="single" w:color="auto"/>
          <w:color w:val="auto"/>
        </w:rPr>
        <w:t>EXHIBIT K-2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2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Reference is hereby made to the Amended and Restated Credit Agreement, dated as of October 30, 2020 (as amended, restated, supplemented or otherwise modified,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Blackbaud,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certain Subsidiaries of the Company from time to time party thereto as Subsidiary Borrowers, the lenders who are or may become a party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Pursuant to the provisions of Section 4.11(e)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6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W-8BEN-E (or W-8BEN,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 ________________________</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76" w:right="3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20"/>
          <w:szCs w:val="20"/>
          <w:u w:val="single" w:color="auto"/>
          <w:color w:val="auto"/>
        </w:rPr>
        <w:t>EXHIBIT K-3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2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Reference is hereby made to the Amended and Restated Credit Agreement, dated as of October 30, 2020 (as amended, restated, supplemented or otherwise modified,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Blackbaud,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certain Subsidiaries of the Company from time to time party thereto as Subsidiary Borrowers, the lenders who are or may become a party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Pursuant to the provisions of Section 4.11(e)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PARTICIPANT]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 ________________________</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76" w:right="339" w:bottom="1440" w:gutter="0" w:footer="0" w:header="0"/>
        </w:sectPr>
      </w:pPr>
    </w:p>
    <w:bookmarkStart w:id="287" w:name="page288"/>
    <w:bookmarkEnd w:id="287"/>
    <w:p>
      <w:pPr>
        <w:jc w:val="center"/>
        <w:spacing w:after="0"/>
        <w:rPr>
          <w:sz w:val="20"/>
          <w:szCs w:val="20"/>
          <w:color w:val="auto"/>
        </w:rPr>
      </w:pPr>
      <w:r>
        <w:rPr>
          <w:rFonts w:ascii="Arial" w:cs="Arial" w:eastAsia="Arial" w:hAnsi="Arial"/>
          <w:sz w:val="20"/>
          <w:szCs w:val="20"/>
          <w:u w:val="single" w:color="auto"/>
          <w:color w:val="auto"/>
        </w:rPr>
        <w:t>EXHIBIT K-4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2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Reference is hereby made to the Amended and Restated Credit Agreement, dated as of October 30, 2020 (as amended, restated, supplemented or otherwise modified,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certain Subsidiaries of the Company from time to time party thereto as subsidiary borrowers (the “</w:t>
      </w:r>
      <w:r>
        <w:rPr>
          <w:rFonts w:ascii="Arial" w:cs="Arial" w:eastAsia="Arial" w:hAnsi="Arial"/>
          <w:sz w:val="20"/>
          <w:szCs w:val="20"/>
          <w:u w:val="single" w:color="auto"/>
          <w:color w:val="auto"/>
        </w:rPr>
        <w:t>Subsidiary Borrowers</w:t>
      </w:r>
      <w:r>
        <w:rPr>
          <w:rFonts w:ascii="Arial" w:cs="Arial" w:eastAsia="Arial" w:hAnsi="Arial"/>
          <w:sz w:val="20"/>
          <w:szCs w:val="20"/>
          <w:color w:val="auto"/>
        </w:rPr>
        <w:t>” and, together with the Company, each a “</w:t>
      </w:r>
      <w:r>
        <w:rPr>
          <w:rFonts w:ascii="Arial" w:cs="Arial" w:eastAsia="Arial" w:hAnsi="Arial"/>
          <w:sz w:val="20"/>
          <w:szCs w:val="20"/>
          <w:u w:val="single" w:color="auto"/>
          <w:color w:val="auto"/>
        </w:rPr>
        <w:t>Borrower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who are or may become a party thereto, as Lenders (the “</w:t>
      </w:r>
      <w:r>
        <w:rPr>
          <w:rFonts w:ascii="Arial" w:cs="Arial" w:eastAsia="Arial" w:hAnsi="Arial"/>
          <w:sz w:val="20"/>
          <w:szCs w:val="20"/>
          <w:u w:val="single" w:color="auto"/>
          <w:color w:val="auto"/>
        </w:rPr>
        <w:t>Lenders</w:t>
      </w:r>
      <w:r>
        <w:rPr>
          <w:rFonts w:ascii="Arial" w:cs="Arial" w:eastAsia="Arial" w:hAnsi="Arial"/>
          <w:sz w:val="20"/>
          <w:szCs w:val="20"/>
          <w:color w:val="auto"/>
        </w:rPr>
        <w:t>”) and Bank of America, N.A., as Administrative Agent.</w:t>
      </w:r>
    </w:p>
    <w:p>
      <w:pPr>
        <w:spacing w:after="0" w:line="19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Pursuant to the provisions of Section 4.11(e)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The undersigned has furnished the Administrative Agent and the Borrowers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LENDER]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Name: ________________________</w:t>
      </w:r>
    </w:p>
    <w:p>
      <w:pPr>
        <w:spacing w:after="0" w:line="5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 ________________________</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40"/>
          </w:cols>
          <w:pgMar w:left="320" w:top="1176" w:right="3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100" w:type="dxa"/>
            <w:vAlign w:val="bottom"/>
            <w:gridSpan w:val="9"/>
          </w:tcPr>
          <w:p>
            <w:pPr>
              <w:jc w:val="right"/>
              <w:ind w:right="5140"/>
              <w:spacing w:after="0"/>
              <w:rPr>
                <w:sz w:val="20"/>
                <w:szCs w:val="20"/>
                <w:color w:val="auto"/>
              </w:rPr>
            </w:pPr>
            <w:r>
              <w:rPr>
                <w:rFonts w:ascii="Arial" w:cs="Arial" w:eastAsia="Arial" w:hAnsi="Arial"/>
                <w:sz w:val="20"/>
                <w:szCs w:val="20"/>
                <w:color w:val="auto"/>
                <w:w w:val="99"/>
              </w:rPr>
              <w:t>EXHIBIT L</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70"/>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00" w:type="dxa"/>
            <w:vAlign w:val="bottom"/>
            <w:gridSpan w:val="10"/>
          </w:tcPr>
          <w:p>
            <w:pPr>
              <w:jc w:val="right"/>
              <w:ind w:right="3800"/>
              <w:spacing w:after="0"/>
              <w:rPr>
                <w:sz w:val="20"/>
                <w:szCs w:val="20"/>
                <w:color w:val="auto"/>
              </w:rPr>
            </w:pPr>
            <w:r>
              <w:rPr>
                <w:rFonts w:ascii="Arial" w:cs="Arial" w:eastAsia="Arial" w:hAnsi="Arial"/>
                <w:sz w:val="20"/>
                <w:szCs w:val="20"/>
                <w:color w:val="auto"/>
              </w:rPr>
              <w:t>[FORM OF] LETTER OF CREDIT REPORT</w:t>
            </w:r>
          </w:p>
        </w:tc>
      </w:tr>
      <w:tr>
        <w:trPr>
          <w:trHeight w:val="904"/>
        </w:trPr>
        <w:tc>
          <w:tcPr>
            <w:tcW w:w="640" w:type="dxa"/>
            <w:vAlign w:val="bottom"/>
            <w:gridSpan w:val="2"/>
          </w:tcPr>
          <w:p>
            <w:pPr>
              <w:spacing w:after="0"/>
              <w:rPr>
                <w:sz w:val="20"/>
                <w:szCs w:val="20"/>
                <w:color w:val="auto"/>
              </w:rPr>
            </w:pPr>
            <w:r>
              <w:rPr>
                <w:rFonts w:ascii="Arial" w:cs="Arial" w:eastAsia="Arial" w:hAnsi="Arial"/>
                <w:sz w:val="20"/>
                <w:szCs w:val="20"/>
                <w:color w:val="auto"/>
              </w:rPr>
              <w:t>TO:</w:t>
            </w:r>
          </w:p>
        </w:tc>
        <w:tc>
          <w:tcPr>
            <w:tcW w:w="10600" w:type="dxa"/>
            <w:vAlign w:val="bottom"/>
            <w:gridSpan w:val="13"/>
          </w:tcPr>
          <w:p>
            <w:pPr>
              <w:jc w:val="right"/>
              <w:ind w:right="6640"/>
              <w:spacing w:after="0"/>
              <w:rPr>
                <w:sz w:val="20"/>
                <w:szCs w:val="20"/>
                <w:color w:val="auto"/>
              </w:rPr>
            </w:pPr>
            <w:r>
              <w:rPr>
                <w:rFonts w:ascii="Arial" w:cs="Arial" w:eastAsia="Arial" w:hAnsi="Arial"/>
                <w:sz w:val="20"/>
                <w:szCs w:val="20"/>
                <w:color w:val="auto"/>
                <w:w w:val="94"/>
              </w:rPr>
              <w:t>Bank of America, N.A., as Administrative Agent</w:t>
            </w:r>
          </w:p>
        </w:tc>
      </w:tr>
      <w:tr>
        <w:trPr>
          <w:trHeight w:val="452"/>
        </w:trPr>
        <w:tc>
          <w:tcPr>
            <w:tcW w:w="640" w:type="dxa"/>
            <w:vAlign w:val="bottom"/>
            <w:gridSpan w:val="2"/>
          </w:tcPr>
          <w:p>
            <w:pPr>
              <w:spacing w:after="0"/>
              <w:rPr>
                <w:sz w:val="20"/>
                <w:szCs w:val="20"/>
                <w:color w:val="auto"/>
              </w:rPr>
            </w:pPr>
            <w:r>
              <w:rPr>
                <w:rFonts w:ascii="Arial" w:cs="Arial" w:eastAsia="Arial" w:hAnsi="Arial"/>
                <w:sz w:val="20"/>
                <w:szCs w:val="20"/>
                <w:color w:val="auto"/>
              </w:rPr>
              <w:t>RE:</w:t>
            </w:r>
          </w:p>
        </w:tc>
        <w:tc>
          <w:tcPr>
            <w:tcW w:w="10600" w:type="dxa"/>
            <w:vAlign w:val="bottom"/>
            <w:gridSpan w:val="13"/>
          </w:tcPr>
          <w:p>
            <w:pPr>
              <w:jc w:val="right"/>
              <w:spacing w:after="0"/>
              <w:rPr>
                <w:sz w:val="20"/>
                <w:szCs w:val="20"/>
                <w:color w:val="auto"/>
              </w:rPr>
            </w:pPr>
            <w:r>
              <w:rPr>
                <w:rFonts w:ascii="Arial" w:cs="Arial" w:eastAsia="Arial" w:hAnsi="Arial"/>
                <w:sz w:val="20"/>
                <w:szCs w:val="20"/>
                <w:color w:val="auto"/>
                <w:w w:val="89"/>
              </w:rPr>
              <w:t>Amended and Restated Credit Agreement, dated as of October 30, 2020, by and among Blackbaud, Inc., a Delaware corporation (the</w:t>
            </w:r>
          </w:p>
        </w:tc>
      </w:tr>
      <w:tr>
        <w:trPr>
          <w:trHeight w:val="206"/>
        </w:trPr>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40" w:type="dxa"/>
            <w:vAlign w:val="bottom"/>
            <w:gridSpan w:val="12"/>
          </w:tcPr>
          <w:p>
            <w:pPr>
              <w:jc w:val="right"/>
              <w:spacing w:after="0" w:line="206" w:lineRule="exact"/>
              <w:rPr>
                <w:sz w:val="20"/>
                <w:szCs w:val="20"/>
                <w:color w:val="auto"/>
              </w:rPr>
            </w:pPr>
            <w:r>
              <w:rPr>
                <w:rFonts w:ascii="Arial" w:cs="Arial" w:eastAsia="Arial" w:hAnsi="Arial"/>
                <w:sz w:val="20"/>
                <w:szCs w:val="20"/>
                <w:color w:val="auto"/>
                <w:w w:val="92"/>
              </w:rPr>
              <w:t>“Company”), certain Subsidiaries of the Company from time to time party thereto as subsidiary borrowers (the “Subsidiary</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40" w:type="dxa"/>
            <w:vAlign w:val="bottom"/>
            <w:tcBorders>
              <w:left w:val="single" w:sz="8" w:color="auto"/>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940" w:type="dxa"/>
            <w:vAlign w:val="bottom"/>
            <w:gridSpan w:val="12"/>
          </w:tcPr>
          <w:p>
            <w:pPr>
              <w:jc w:val="right"/>
              <w:spacing w:after="0" w:line="209" w:lineRule="exact"/>
              <w:rPr>
                <w:sz w:val="20"/>
                <w:szCs w:val="20"/>
                <w:color w:val="auto"/>
              </w:rPr>
            </w:pPr>
            <w:r>
              <w:rPr>
                <w:rFonts w:ascii="Arial" w:cs="Arial" w:eastAsia="Arial" w:hAnsi="Arial"/>
                <w:sz w:val="20"/>
                <w:szCs w:val="20"/>
                <w:color w:val="auto"/>
                <w:w w:val="92"/>
              </w:rPr>
              <w:t>Borrowers” and, together with the Company, each a “Borrower” and collectively the “Borrowers”), the Lenders and Bank of</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40" w:type="dxa"/>
            <w:vAlign w:val="bottom"/>
            <w:gridSpan w:val="12"/>
          </w:tcPr>
          <w:p>
            <w:pPr>
              <w:jc w:val="right"/>
              <w:spacing w:after="0"/>
              <w:rPr>
                <w:sz w:val="20"/>
                <w:szCs w:val="20"/>
                <w:color w:val="auto"/>
              </w:rPr>
            </w:pPr>
            <w:r>
              <w:rPr>
                <w:rFonts w:ascii="Arial" w:cs="Arial" w:eastAsia="Arial" w:hAnsi="Arial"/>
                <w:sz w:val="20"/>
                <w:szCs w:val="20"/>
                <w:color w:val="auto"/>
                <w:w w:val="97"/>
              </w:rPr>
              <w:t>America, N.A., as Administrative Agent, Swingline Lender and an Issuing Lender (as amended, modified, extended,</w:t>
            </w:r>
          </w:p>
        </w:tc>
      </w:tr>
      <w:tr>
        <w:trPr>
          <w:trHeight w:val="206"/>
        </w:trPr>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40" w:type="dxa"/>
            <w:vAlign w:val="bottom"/>
            <w:gridSpan w:val="12"/>
          </w:tcPr>
          <w:p>
            <w:pPr>
              <w:jc w:val="right"/>
              <w:spacing w:after="0" w:line="206" w:lineRule="exact"/>
              <w:rPr>
                <w:sz w:val="20"/>
                <w:szCs w:val="20"/>
                <w:color w:val="auto"/>
              </w:rPr>
            </w:pPr>
            <w:r>
              <w:rPr>
                <w:rFonts w:ascii="Arial" w:cs="Arial" w:eastAsia="Arial" w:hAnsi="Arial"/>
                <w:sz w:val="20"/>
                <w:szCs w:val="20"/>
                <w:color w:val="auto"/>
                <w:w w:val="96"/>
              </w:rPr>
              <w:t>restated, replaced, or supplemented from time to time, the “Credit Agreement”; capitalized terms used herein and not</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254"/>
        </w:trPr>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940" w:type="dxa"/>
            <w:vAlign w:val="bottom"/>
            <w:gridSpan w:val="12"/>
          </w:tcPr>
          <w:p>
            <w:pPr>
              <w:jc w:val="right"/>
              <w:ind w:right="3840"/>
              <w:spacing w:after="0"/>
              <w:rPr>
                <w:sz w:val="20"/>
                <w:szCs w:val="20"/>
                <w:color w:val="auto"/>
              </w:rPr>
            </w:pPr>
            <w:r>
              <w:rPr>
                <w:rFonts w:ascii="Arial" w:cs="Arial" w:eastAsia="Arial" w:hAnsi="Arial"/>
                <w:sz w:val="20"/>
                <w:szCs w:val="20"/>
                <w:color w:val="auto"/>
                <w:w w:val="89"/>
              </w:rPr>
              <w:t>otherwise defined shall have the meanings set forth in the Credit Agreement)</w:t>
            </w:r>
          </w:p>
        </w:tc>
      </w:tr>
      <w:tr>
        <w:trPr>
          <w:trHeight w:val="473"/>
        </w:trPr>
        <w:tc>
          <w:tcPr>
            <w:tcW w:w="640" w:type="dxa"/>
            <w:vAlign w:val="bottom"/>
            <w:gridSpan w:val="2"/>
          </w:tcPr>
          <w:p>
            <w:pPr>
              <w:spacing w:after="0"/>
              <w:rPr>
                <w:sz w:val="20"/>
                <w:szCs w:val="20"/>
                <w:color w:val="auto"/>
              </w:rPr>
            </w:pPr>
            <w:r>
              <w:rPr>
                <w:rFonts w:ascii="Arial" w:cs="Arial" w:eastAsia="Arial" w:hAnsi="Arial"/>
                <w:sz w:val="20"/>
                <w:szCs w:val="20"/>
                <w:color w:val="auto"/>
              </w:rPr>
              <w:t>DATE:</w:t>
            </w:r>
          </w:p>
        </w:tc>
        <w:tc>
          <w:tcPr>
            <w:tcW w:w="10600" w:type="dxa"/>
            <w:vAlign w:val="bottom"/>
            <w:gridSpan w:val="13"/>
          </w:tcPr>
          <w:p>
            <w:pPr>
              <w:jc w:val="right"/>
              <w:ind w:right="9780"/>
              <w:spacing w:after="0"/>
              <w:rPr>
                <w:sz w:val="20"/>
                <w:szCs w:val="20"/>
                <w:color w:val="auto"/>
              </w:rPr>
            </w:pPr>
            <w:r>
              <w:rPr>
                <w:rFonts w:ascii="Arial" w:cs="Arial" w:eastAsia="Arial" w:hAnsi="Arial"/>
                <w:sz w:val="20"/>
                <w:szCs w:val="20"/>
                <w:color w:val="auto"/>
              </w:rPr>
              <w:t>[Date]</w:t>
            </w:r>
          </w:p>
        </w:tc>
      </w:tr>
      <w:tr>
        <w:trPr>
          <w:trHeight w:val="185"/>
        </w:trPr>
        <w:tc>
          <w:tcPr>
            <w:tcW w:w="2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undersigned, [insert name of Issuing Lender] (the “</w:t>
      </w:r>
      <w:r>
        <w:rPr>
          <w:rFonts w:ascii="Arial" w:cs="Arial" w:eastAsia="Arial" w:hAnsi="Arial"/>
          <w:sz w:val="20"/>
          <w:szCs w:val="20"/>
          <w:u w:val="single" w:color="auto"/>
          <w:color w:val="auto"/>
        </w:rPr>
        <w:t>Issuing Lender</w:t>
      </w:r>
      <w:r>
        <w:rPr>
          <w:rFonts w:ascii="Arial" w:cs="Arial" w:eastAsia="Arial" w:hAnsi="Arial"/>
          <w:sz w:val="20"/>
          <w:szCs w:val="20"/>
          <w:color w:val="auto"/>
        </w:rPr>
        <w:t>”) hereby delivers this report to the Administrative Agent, pursuant to the terms of Section 2.3(m) of the Credit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L/C Issuer plans to issue, amend, renew, increase or extend the follow Letter(s) of Credit on [insert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0575" cy="17316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0575" cy="17316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Credit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L/C No.</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Maximum</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spacing w:after="0" w:line="314" w:lineRule="auto"/>
        <w:rPr>
          <w:sz w:val="20"/>
          <w:szCs w:val="20"/>
          <w:color w:val="auto"/>
        </w:rPr>
      </w:pPr>
      <w:r>
        <w:rPr>
          <w:rFonts w:ascii="Arial" w:cs="Arial" w:eastAsia="Arial" w:hAnsi="Arial"/>
          <w:sz w:val="16"/>
          <w:szCs w:val="16"/>
          <w:b w:val="1"/>
          <w:bCs w:val="1"/>
          <w:color w:val="auto"/>
        </w:rPr>
        <w:t>Current Face Amount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b w:val="1"/>
          <w:bCs w:val="1"/>
          <w:color w:val="auto"/>
        </w:rPr>
        <w:t>Financials or Beneficiary Issuance</w:t>
      </w:r>
      <w:r>
        <w:rPr>
          <w:sz w:val="20"/>
          <w:szCs w:val="20"/>
          <w:color w:val="auto"/>
        </w:rPr>
        <w:tab/>
      </w:r>
      <w:r>
        <w:rPr>
          <w:rFonts w:ascii="Arial" w:cs="Arial" w:eastAsia="Arial" w:hAnsi="Arial"/>
          <w:sz w:val="17"/>
          <w:szCs w:val="17"/>
          <w:b w:val="1"/>
          <w:bCs w:val="1"/>
          <w:color w:val="auto"/>
        </w:rPr>
        <w:t>Expiry</w:t>
      </w:r>
    </w:p>
    <w:p>
      <w:pPr>
        <w:spacing w:after="0" w:line="27" w:lineRule="exact"/>
        <w:rPr>
          <w:sz w:val="20"/>
          <w:szCs w:val="20"/>
          <w:color w:val="auto"/>
        </w:rPr>
      </w:pPr>
    </w:p>
    <w:p>
      <w:pPr>
        <w:spacing w:after="0"/>
        <w:tabs>
          <w:tab w:leader="none" w:pos="1280" w:val="left"/>
          <w:tab w:leader="none" w:pos="2220" w:val="left"/>
          <w:tab w:leader="none" w:pos="2980" w:val="left"/>
        </w:tabs>
        <w:rPr>
          <w:sz w:val="20"/>
          <w:szCs w:val="20"/>
          <w:color w:val="auto"/>
        </w:rPr>
      </w:pPr>
      <w:r>
        <w:rPr>
          <w:rFonts w:ascii="Arial" w:cs="Arial" w:eastAsia="Arial" w:hAnsi="Arial"/>
          <w:sz w:val="18"/>
          <w:szCs w:val="18"/>
          <w:b w:val="1"/>
          <w:bCs w:val="1"/>
          <w:color w:val="auto"/>
        </w:rPr>
        <w:t>Performance</w:t>
      </w:r>
      <w:r>
        <w:rPr>
          <w:sz w:val="20"/>
          <w:szCs w:val="20"/>
          <w:color w:val="auto"/>
        </w:rPr>
        <w:tab/>
      </w: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b w:val="1"/>
          <w:bCs w:val="1"/>
          <w:color w:val="auto"/>
        </w:rPr>
        <w:t>Date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SBLC</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Auto</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r>
      <w:tr>
        <w:trPr>
          <w:trHeight w:val="234"/>
        </w:trPr>
        <w:tc>
          <w:tcPr>
            <w:tcW w:w="7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Renewal</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Amendment</w:t>
            </w:r>
          </w:p>
        </w:tc>
      </w:tr>
      <w:tr>
        <w:trPr>
          <w:trHeight w:val="2254"/>
        </w:trPr>
        <w:tc>
          <w:tcPr>
            <w:tcW w:w="76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Amount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w:t>
      </w:r>
    </w:p>
    <w:p>
      <w:pPr>
        <w:spacing w:after="0" w:line="2486" w:lineRule="exact"/>
        <w:rPr>
          <w:sz w:val="20"/>
          <w:szCs w:val="20"/>
          <w:color w:val="auto"/>
        </w:rPr>
      </w:pPr>
    </w:p>
    <w:p>
      <w:pPr>
        <w:sectPr>
          <w:pgSz w:w="11900" w:h="16838" w:orient="portrait"/>
          <w:cols w:equalWidth="0" w:num="8">
            <w:col w:w="600" w:space="120"/>
            <w:col w:w="620" w:space="180"/>
            <w:col w:w="800" w:space="260"/>
            <w:col w:w="640" w:space="280"/>
            <w:col w:w="740" w:space="220"/>
            <w:col w:w="3440" w:space="160"/>
            <w:col w:w="1740" w:space="260"/>
            <w:col w:w="1180"/>
          </w:cols>
          <w:pgMar w:left="320" w:top="1395" w:right="339" w:bottom="1440" w:gutter="0" w:footer="0" w:header="0"/>
          <w:type w:val="continuous"/>
        </w:sectPr>
      </w:pP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Issuing Lender made a payment, with respect to L/C No. _______, on [insert date] in the amount of [$]_____________].</w:t>
      </w:r>
    </w:p>
    <w:p>
      <w:pPr>
        <w:sectPr>
          <w:pgSz w:w="11900" w:h="16838" w:orient="portrait"/>
          <w:cols w:equalWidth="0" w:num="1">
            <w:col w:w="11240"/>
          </w:cols>
          <w:pgMar w:left="320" w:top="1395" w:right="339" w:bottom="1440" w:gutter="0" w:footer="0" w:header="0"/>
          <w:type w:val="continuous"/>
        </w:sectPr>
      </w:pPr>
    </w:p>
    <w:bookmarkStart w:id="289" w:name="page290"/>
    <w:bookmarkEnd w:id="289"/>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applicable Borrower failed to reimburse the Issuing Lender for a payment made in the amount of [$][insert amount of such payment] pursuant to L/C No. ______ on [insert date of such failure], with respect to L/C No. _______.]</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in the table below is a description of each Letter of Credit issued by the undersigned and outstanding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40575" cy="17316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0575" cy="17316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Credit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L/C No.</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Maximum</w:t>
      </w:r>
      <w:r>
        <w:rPr>
          <w:sz w:val="20"/>
          <w:szCs w:val="20"/>
          <w:color w:val="auto"/>
        </w:rPr>
        <w:tab/>
      </w:r>
      <w:r>
        <w:rPr>
          <w:rFonts w:ascii="Arial" w:cs="Arial" w:eastAsia="Arial" w:hAnsi="Arial"/>
          <w:sz w:val="17"/>
          <w:szCs w:val="17"/>
          <w:b w:val="1"/>
          <w:bCs w:val="1"/>
          <w:color w:val="auto"/>
        </w:rPr>
        <w:t>Current</w:t>
      </w:r>
    </w:p>
    <w:p>
      <w:pPr>
        <w:spacing w:after="0" w:line="39" w:lineRule="exact"/>
        <w:rPr>
          <w:sz w:val="20"/>
          <w:szCs w:val="20"/>
          <w:color w:val="auto"/>
        </w:rPr>
      </w:pPr>
    </w:p>
    <w:p>
      <w:pPr>
        <w:ind w:left="220"/>
        <w:spacing w:after="0"/>
        <w:tabs>
          <w:tab w:leader="none" w:pos="1200" w:val="left"/>
        </w:tabs>
        <w:rPr>
          <w:sz w:val="20"/>
          <w:szCs w:val="20"/>
          <w:color w:val="auto"/>
        </w:rPr>
      </w:pPr>
      <w:r>
        <w:rPr>
          <w:rFonts w:ascii="Arial" w:cs="Arial" w:eastAsia="Arial" w:hAnsi="Arial"/>
          <w:sz w:val="18"/>
          <w:szCs w:val="18"/>
          <w:b w:val="1"/>
          <w:bCs w:val="1"/>
          <w:color w:val="auto"/>
        </w:rPr>
        <w:t>Face</w:t>
      </w:r>
      <w:r>
        <w:rPr>
          <w:sz w:val="20"/>
          <w:szCs w:val="20"/>
          <w:color w:val="auto"/>
        </w:rPr>
        <w:tab/>
      </w:r>
      <w:r>
        <w:rPr>
          <w:rFonts w:ascii="Arial" w:cs="Arial" w:eastAsia="Arial" w:hAnsi="Arial"/>
          <w:sz w:val="18"/>
          <w:szCs w:val="18"/>
          <w:b w:val="1"/>
          <w:bCs w:val="1"/>
          <w:color w:val="auto"/>
        </w:rPr>
        <w:t>Face</w:t>
      </w:r>
    </w:p>
    <w:p>
      <w:pPr>
        <w:spacing w:after="0" w:line="9"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Financials or Beneficiary Issuance</w:t>
      </w:r>
    </w:p>
    <w:p>
      <w:pPr>
        <w:spacing w:after="0" w:line="50" w:lineRule="exact"/>
        <w:rPr>
          <w:sz w:val="20"/>
          <w:szCs w:val="20"/>
          <w:color w:val="auto"/>
        </w:rPr>
      </w:pPr>
    </w:p>
    <w:p>
      <w:pPr>
        <w:spacing w:after="0"/>
        <w:tabs>
          <w:tab w:leader="none" w:pos="1280" w:val="left"/>
          <w:tab w:leader="none" w:pos="2200" w:val="left"/>
        </w:tabs>
        <w:rPr>
          <w:sz w:val="20"/>
          <w:szCs w:val="20"/>
          <w:color w:val="auto"/>
        </w:rPr>
      </w:pPr>
      <w:r>
        <w:rPr>
          <w:rFonts w:ascii="Arial" w:cs="Arial" w:eastAsia="Arial" w:hAnsi="Arial"/>
          <w:sz w:val="18"/>
          <w:szCs w:val="18"/>
          <w:b w:val="1"/>
          <w:bCs w:val="1"/>
          <w:color w:val="auto"/>
        </w:rPr>
        <w:t>Performance</w:t>
      </w:r>
      <w:r>
        <w:rPr>
          <w:sz w:val="20"/>
          <w:szCs w:val="20"/>
          <w:color w:val="auto"/>
        </w:rPr>
        <w:tab/>
      </w: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Date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SBLC</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Expiry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Auto</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Date of</w:t>
            </w:r>
          </w:p>
        </w:tc>
      </w:tr>
      <w:tr>
        <w:trPr>
          <w:trHeight w:val="234"/>
        </w:trPr>
        <w:tc>
          <w:tcPr>
            <w:tcW w:w="7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Renewal</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Amendment</w:t>
            </w:r>
          </w:p>
        </w:tc>
      </w:tr>
      <w:tr>
        <w:trPr>
          <w:trHeight w:val="2254"/>
        </w:trPr>
        <w:tc>
          <w:tcPr>
            <w:tcW w:w="76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Amount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w:t>
      </w:r>
    </w:p>
    <w:p>
      <w:pPr>
        <w:spacing w:after="0" w:line="2486" w:lineRule="exact"/>
        <w:rPr>
          <w:sz w:val="20"/>
          <w:szCs w:val="20"/>
          <w:color w:val="auto"/>
        </w:rPr>
      </w:pPr>
    </w:p>
    <w:p>
      <w:pPr>
        <w:sectPr>
          <w:pgSz w:w="11900" w:h="16838" w:orient="portrait"/>
          <w:cols w:equalWidth="0" w:num="8">
            <w:col w:w="600" w:space="120"/>
            <w:col w:w="620" w:space="180"/>
            <w:col w:w="1700" w:space="340"/>
            <w:col w:w="740" w:space="260"/>
            <w:col w:w="2740" w:space="160"/>
            <w:col w:w="540" w:space="160"/>
            <w:col w:w="1720" w:space="240"/>
            <w:col w:w="1120"/>
          </w:cols>
          <w:pgMar w:left="320" w:top="1440" w:right="339" w:bottom="1440" w:gutter="0" w:footer="0" w:header="0"/>
          <w:type w:val="continuous"/>
        </w:sect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440" w:right="339" w:bottom="1440" w:gutter="0" w:footer="0" w:header="0"/>
          <w:type w:val="continuous"/>
        </w:sectPr>
      </w:pPr>
    </w:p>
    <w:bookmarkStart w:id="290" w:name="page291"/>
    <w:bookmarkEnd w:id="290"/>
    <w:p>
      <w:pPr>
        <w:ind w:left="2780"/>
        <w:spacing w:after="0"/>
        <w:rPr>
          <w:sz w:val="20"/>
          <w:szCs w:val="20"/>
          <w:color w:val="auto"/>
        </w:rPr>
      </w:pPr>
      <w:r>
        <w:rPr>
          <w:rFonts w:ascii="Arial" w:cs="Arial" w:eastAsia="Arial" w:hAnsi="Arial"/>
          <w:sz w:val="19"/>
          <w:szCs w:val="19"/>
          <w:b w:val="1"/>
          <w:bCs w:val="1"/>
          <w:color w:val="auto"/>
        </w:rPr>
        <w:t>[ISSUING LENDER]</w:t>
      </w:r>
      <w:r>
        <w:rPr>
          <w:rFonts w:ascii="Arial" w:cs="Arial" w:eastAsia="Arial" w:hAnsi="Arial"/>
          <w:sz w:val="19"/>
          <w:szCs w:val="19"/>
          <w:color w:val="auto"/>
        </w:rPr>
        <w:t>,</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Issuing Lender</w:t>
      </w:r>
    </w:p>
    <w:p>
      <w:pPr>
        <w:spacing w:after="0" w:line="22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7537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-24765</wp:posOffset>
            </wp:positionV>
            <wp:extent cx="7537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-24765</wp:posOffset>
            </wp:positionV>
            <wp:extent cx="6280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1" w:name="page292"/>
    <w:bookmarkEnd w:id="291"/>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AMENDED AND RESTATED PLEDGE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AMENDED AND RESTATED PLEDGE AGREEMENT, dated as of October 30, 2020 (as amended, restated, supplemented or otherwise modified from time to time, this “</w:t>
      </w:r>
      <w:r>
        <w:rPr>
          <w:rFonts w:ascii="Arial" w:cs="Arial" w:eastAsia="Arial" w:hAnsi="Arial"/>
          <w:sz w:val="20"/>
          <w:szCs w:val="20"/>
          <w:u w:val="single" w:color="auto"/>
          <w:color w:val="auto"/>
        </w:rPr>
        <w:t>Pledge Agreement</w:t>
      </w:r>
      <w:r>
        <w:rPr>
          <w:rFonts w:ascii="Arial" w:cs="Arial" w:eastAsia="Arial" w:hAnsi="Arial"/>
          <w:sz w:val="20"/>
          <w:szCs w:val="20"/>
          <w:color w:val="auto"/>
        </w:rPr>
        <w:t>”), is made by BLACKBAUD,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certain Subsidiaries of the Company which may become parties to this Pledge Agreement from time to time by executing a supplement hereto (a “</w:t>
      </w:r>
      <w:r>
        <w:rPr>
          <w:rFonts w:ascii="Arial" w:cs="Arial" w:eastAsia="Arial" w:hAnsi="Arial"/>
          <w:sz w:val="20"/>
          <w:szCs w:val="20"/>
          <w:u w:val="single" w:color="auto"/>
          <w:color w:val="auto"/>
        </w:rPr>
        <w:t>Pledge Agreement Supplement</w:t>
      </w:r>
      <w:r>
        <w:rPr>
          <w:rFonts w:ascii="Arial" w:cs="Arial" w:eastAsia="Arial" w:hAnsi="Arial"/>
          <w:sz w:val="20"/>
          <w:szCs w:val="20"/>
          <w:color w:val="auto"/>
        </w:rPr>
        <w:t xml:space="preserve">”) in substantially the form attached hereto as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(such Subsidiaries, together with the Company, as pledgors, the “</w:t>
      </w:r>
      <w:r>
        <w:rPr>
          <w:rFonts w:ascii="Arial" w:cs="Arial" w:eastAsia="Arial" w:hAnsi="Arial"/>
          <w:sz w:val="20"/>
          <w:szCs w:val="20"/>
          <w:u w:val="single" w:color="auto"/>
          <w:color w:val="auto"/>
        </w:rPr>
        <w:t>Pledgors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Pledgor</w:t>
      </w:r>
      <w:r>
        <w:rPr>
          <w:rFonts w:ascii="Arial" w:cs="Arial" w:eastAsia="Arial" w:hAnsi="Arial"/>
          <w:sz w:val="20"/>
          <w:szCs w:val="20"/>
          <w:color w:val="auto"/>
        </w:rPr>
        <w:t>”), in favor of BANK OF AMERICA, N.A. (“</w:t>
      </w:r>
      <w:r>
        <w:rPr>
          <w:rFonts w:ascii="Arial" w:cs="Arial" w:eastAsia="Arial" w:hAnsi="Arial"/>
          <w:sz w:val="20"/>
          <w:szCs w:val="20"/>
          <w:u w:val="single" w:color="auto"/>
          <w:color w:val="auto"/>
        </w:rPr>
        <w:t>Bank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America</w:t>
      </w:r>
      <w:r>
        <w:rPr>
          <w:rFonts w:ascii="Arial" w:cs="Arial" w:eastAsia="Arial" w:hAnsi="Arial"/>
          <w:sz w:val="20"/>
          <w:szCs w:val="20"/>
          <w:color w:val="auto"/>
        </w:rPr>
        <w:t>”),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ratable benefit of itself and the holders of the Obligations.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of the Credit Agreement, dated as of June 2, 2017 (as amended, restated, supplemented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modified prior to the date hereof,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by and among the Company, the other borrowers from time to time party thereto, the financial institutions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from time to time party thereto and the Administrative Agent, the Existing Lenders required, as a condition precedent to their entering into the Existing Credit Agreement and making extensions of credit to the Borrowers thereunder, the Company to execute the Pledge Agreement, dated as of June 2, 2017 (as amended, restated, supplemented or otherwise modified prior to the date hereof, the “</w:t>
      </w:r>
      <w:r>
        <w:rPr>
          <w:rFonts w:ascii="Arial" w:cs="Arial" w:eastAsia="Arial" w:hAnsi="Arial"/>
          <w:sz w:val="19"/>
          <w:szCs w:val="19"/>
          <w:u w:val="single" w:color="auto"/>
          <w:color w:val="auto"/>
        </w:rPr>
        <w:t>Existing Pledge Agreement</w:t>
      </w:r>
      <w:r>
        <w:rPr>
          <w:rFonts w:ascii="Arial" w:cs="Arial" w:eastAsia="Arial" w:hAnsi="Arial"/>
          <w:sz w:val="19"/>
          <w:szCs w:val="19"/>
          <w:color w:val="auto"/>
        </w:rPr>
        <w: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the Administrative Agent and certain Existing Lenders have agreed to amend and restate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pursuant to the Amended and Restated Credit Agreement, dated as of the date hereof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the Company, the other borrowers from time to time party thereto (collectively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the financial institutions (the “</w:t>
      </w:r>
      <w:r>
        <w:rPr>
          <w:rFonts w:ascii="Arial" w:cs="Arial" w:eastAsia="Arial" w:hAnsi="Arial"/>
          <w:sz w:val="20"/>
          <w:szCs w:val="20"/>
          <w:u w:val="single" w:color="auto"/>
          <w:color w:val="auto"/>
        </w:rPr>
        <w:t>Lenders</w:t>
      </w:r>
      <w:r>
        <w:rPr>
          <w:rFonts w:ascii="Arial" w:cs="Arial" w:eastAsia="Arial" w:hAnsi="Arial"/>
          <w:sz w:val="20"/>
          <w:szCs w:val="20"/>
          <w:color w:val="auto"/>
        </w:rPr>
        <w:t>”) from time to time party thereto and the Administrative Agent; and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it is a condition precedent to the obligation of the Lenders to make their respective Extensions of Credit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under the Credit Agreement that the Pledgors shall have executed and delivered this Pledge Agreement to the Administrative Agent, for the ratable benefit of itself and holders of the Obligations;</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premises and to induce the Administrative Agent and the Secured Parties to</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and make available Extensions of Credit pursuant to the Credit Agreement, the Pledgors hereby agree with the Administrative Agent, for the ratable benefit of itself and the holders of the Obligations, as follows:</w:t>
      </w:r>
    </w:p>
    <w:p>
      <w:pPr>
        <w:spacing w:after="0" w:line="21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010000"/>
        </w:rPr>
        <w:t>SECTION 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1" w:lineRule="exact"/>
        <w:rPr>
          <w:sz w:val="20"/>
          <w:szCs w:val="20"/>
          <w:color w:val="auto"/>
        </w:rPr>
      </w:pPr>
    </w:p>
    <w:p>
      <w:pPr>
        <w:ind w:left="1080" w:hanging="424"/>
        <w:spacing w:after="0"/>
        <w:tabs>
          <w:tab w:leader="none" w:pos="1080" w:val="left"/>
        </w:tabs>
        <w:numPr>
          <w:ilvl w:val="0"/>
          <w:numId w:val="270"/>
        </w:numPr>
        <w:rPr>
          <w:rFonts w:ascii="Arial" w:cs="Arial" w:eastAsia="Arial" w:hAnsi="Arial"/>
          <w:sz w:val="20"/>
          <w:szCs w:val="20"/>
          <w:color w:val="010000"/>
        </w:rPr>
      </w:pPr>
      <w:r>
        <w:rPr>
          <w:rFonts w:ascii="Arial" w:cs="Arial" w:eastAsia="Arial" w:hAnsi="Arial"/>
          <w:sz w:val="20"/>
          <w:szCs w:val="20"/>
          <w:color w:val="auto"/>
        </w:rPr>
        <w:t>The following terms shall have the following meanings:</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xml:space="preserve">” means the Uniform Commercial Code as in effect in the State of New York (as amended or otherwise modified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by reason of mandatory provisions of law, the perfection or the effect of perfection or non-perfection of the Security Interests in any Collateral is governed by the Uniform Commercial Code as in effect in a jurisdiction other than the State of New York, “Code” means the Uniform Commercial Code as in effect in such other jurisdiction for purposes of the provisions hereof relating to such perfection or effect of perfection or non-perfection.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50" w:right="339" w:bottom="1440" w:gutter="0" w:footer="0" w:header="0"/>
        </w:sectPr>
      </w:pPr>
    </w:p>
    <w:bookmarkStart w:id="292" w:name="page293"/>
    <w:bookmarkEnd w:id="292"/>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means the Stock Collateral and the Partnership/LLC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“Collateral” shall not include any Excluded Capital Stock.</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Capital Stock</w:t>
      </w:r>
      <w:r>
        <w:rPr>
          <w:rFonts w:ascii="Arial" w:cs="Arial" w:eastAsia="Arial" w:hAnsi="Arial"/>
          <w:sz w:val="18"/>
          <w:szCs w:val="18"/>
          <w:color w:val="auto"/>
        </w:rPr>
        <w:t>” means (a) any Capital Stock in any Foreign Subsidiary that is not a First Tier Foreign Subsidiary,</w:t>
      </w:r>
    </w:p>
    <w:p>
      <w:pPr>
        <w:spacing w:after="0" w:line="39" w:lineRule="exact"/>
        <w:rPr>
          <w:sz w:val="20"/>
          <w:szCs w:val="20"/>
          <w:color w:val="auto"/>
        </w:rPr>
      </w:pPr>
    </w:p>
    <w:p>
      <w:pPr>
        <w:jc w:val="both"/>
        <w:ind w:firstLine="8"/>
        <w:spacing w:after="0" w:line="266" w:lineRule="auto"/>
        <w:tabs>
          <w:tab w:leader="none" w:pos="28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Capital Stock in any Foreign Subsidiary (including for the avoidance of doubt any Excluded Domestic Subsidiary) in excess of 65% of the total outstanding voting Capital Stock in such Foreign Subsidiary, (c) any Capital Stock in any Unrestricted Subsidiary, (d) pledges of, and security interests in, certain assets, which are prohibited by Applicable Law; provided, that (i) any such limitation described in this clause</w:t>
      </w:r>
    </w:p>
    <w:p>
      <w:pPr>
        <w:jc w:val="both"/>
        <w:ind w:firstLine="8"/>
        <w:spacing w:after="0" w:line="271" w:lineRule="auto"/>
        <w:tabs>
          <w:tab w:leader="none" w:pos="30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on the security interests granted hereunder shall only apply to the extent that any such prohibition would not be rendered ineffective pursuant to the Uniform Commercial Code (assuming a customary UCC financing statement has been filed) or could not be rendered ineffective pursuant to any other Applicable Law and (ii) in the event of the termination or elimination of any such prohibition contained in any Applicable Law, a security interest in such assets shall be automatically and simultaneously granted hereunder and shall be included as Collateral and (e) any Capital Stock in any joint venture or any non-wholly-owned Subsidiaries to the extent the articles or certificate of incorporation, bylaws or other governing documents or other customary agreements with other equity holders do not permit the pledge of such Capital Stock or require the consent of a Person other than the Company or any of its Subsidiaries.</w:t>
      </w:r>
    </w:p>
    <w:p>
      <w:pPr>
        <w:spacing w:after="0" w:line="1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Tier Foreign Subsidiary</w:t>
      </w:r>
      <w:r>
        <w:rPr>
          <w:rFonts w:ascii="Arial" w:cs="Arial" w:eastAsia="Arial" w:hAnsi="Arial"/>
          <w:sz w:val="20"/>
          <w:szCs w:val="20"/>
          <w:color w:val="auto"/>
        </w:rPr>
        <w:t>” means each Foreign Subsidiary with respect to which any one or more of the Company, any other Pledgor or their respective Domestic Subsidiaries directly owns or controls more than fifty percent (50%) of such Foreign Subsidiary’s issued and outstanding shares of Capital Stock.</w:t>
      </w:r>
    </w:p>
    <w:p>
      <w:pPr>
        <w:spacing w:after="0" w:line="21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Issuers</w:t>
      </w:r>
      <w:r>
        <w:rPr>
          <w:rFonts w:ascii="Arial" w:cs="Arial" w:eastAsia="Arial" w:hAnsi="Arial"/>
          <w:sz w:val="20"/>
          <w:szCs w:val="20"/>
          <w:color w:val="auto"/>
        </w:rPr>
        <w:t xml:space="preserve">” means the corporations that have issued the shares of Pledged Stock as set forth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(as such schedule may be amended, restated, supplemented or modified from time to time).</w:t>
      </w:r>
    </w:p>
    <w:p>
      <w:pPr>
        <w:spacing w:after="0" w:line="20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collectively, “Obligations” as defined in the Credit Agreement and “Guaranteed Obligations” as defined in the Guaranty Agreement.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Partnership/LLC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Partnership/LLC Collateral</w:t>
      </w:r>
      <w:r>
        <w:rPr>
          <w:rFonts w:ascii="Arial" w:cs="Arial" w:eastAsia="Arial" w:hAnsi="Arial"/>
          <w:sz w:val="20"/>
          <w:szCs w:val="20"/>
          <w:color w:val="auto"/>
        </w:rPr>
        <w:t>” means the Partnership/LLC Interests and all Proceeds therefrom.</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Partnership/LLC Interests</w:t>
      </w:r>
      <w:r>
        <w:rPr>
          <w:rFonts w:ascii="Arial" w:cs="Arial" w:eastAsia="Arial" w:hAnsi="Arial"/>
          <w:sz w:val="18"/>
          <w:szCs w:val="18"/>
          <w:color w:val="auto"/>
        </w:rPr>
        <w:t>” means the entire partnership or membership interest of the Pledgors in each Partnership/LLC</w:t>
      </w:r>
    </w:p>
    <w:p>
      <w:pPr>
        <w:spacing w:after="0" w:line="39" w:lineRule="exact"/>
        <w:rPr>
          <w:sz w:val="20"/>
          <w:szCs w:val="20"/>
          <w:color w:val="auto"/>
        </w:rPr>
      </w:pPr>
    </w:p>
    <w:p>
      <w:pPr>
        <w:jc w:val="both"/>
        <w:ind w:firstLine="8"/>
        <w:spacing w:after="0" w:line="255" w:lineRule="auto"/>
        <w:tabs>
          <w:tab w:leader="none" w:pos="269"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(as such schedule may be amended, restated, supplemented or modified from time to time) and (b) now owned or existing or owned, acquired, or arising hereafter, in each case including, without limitation, the Pledgors’ capital accounts, their interest as partners or members in the net cash flow, net profit and net loss, and items of income, gain, loss, deduction and credit of the Partnerships/LLCs, their interests in all distributions made or to be made by the Partnerships/LLCs to the Pledgors and all of the other economic rights, titles and interests of the Pledgors as partners or members of the Partnerships/LLCs, whether set forth in the partnership agreement or membership agreement of the Partnerships/LLCs, by separate agreement or otherwise.</w:t>
      </w:r>
    </w:p>
    <w:p>
      <w:pPr>
        <w:spacing w:after="0" w:line="211"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Partnership/LLCs</w:t>
      </w:r>
      <w:r>
        <w:rPr>
          <w:rFonts w:ascii="Arial" w:cs="Arial" w:eastAsia="Arial" w:hAnsi="Arial"/>
          <w:sz w:val="19"/>
          <w:szCs w:val="19"/>
          <w:color w:val="auto"/>
        </w:rPr>
        <w:t xml:space="preserve">” means the partnership and limited liability companies that have issued the Partnership/LLC Interests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(as such schedule may be amended, restated, supplemented or modified from time to time).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293" w:name="page294"/>
    <w:bookmarkEnd w:id="293"/>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Stock</w:t>
      </w:r>
      <w:r>
        <w:rPr>
          <w:rFonts w:ascii="Arial" w:cs="Arial" w:eastAsia="Arial" w:hAnsi="Arial"/>
          <w:sz w:val="20"/>
          <w:szCs w:val="20"/>
          <w:color w:val="auto"/>
        </w:rPr>
        <w:t xml:space="preserve">” means the shares of capital stock of each Issuer (a)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(as such schedule may be amended, restated, supplemented or modified from time to time) and (b) now owned or existing or owned, acquired, or arising hereafter, together with all stock certificates, options or rights of any nature whatsoever that may be issued or granted by such Issuer to the Pledgors while this Pledge Agreement is in effect (including, without limitation, all of the other economic rights, titles and interests of any Pledgor as a shareholder or owner of such Issuer, whether set forth in the articles, bylaws or other governing document of such Issuer, by separate agreement or otherwise).</w:t>
      </w:r>
    </w:p>
    <w:p>
      <w:pPr>
        <w:spacing w:after="0" w:line="22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rPr>
        <w:t>” means all “Proceeds” as such term is defined in Section 9-102(64) of the Code on the date hereof and, in any event, shall include, without limitation, all dividends or other income from the Pledged Stock and the Partnership/LLC Interests, collections thereon, proceeds of sale thereof or distributions with respect thereto.</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the holders of the Obligations and “Secured Party” means any one of them.</w:t>
      </w:r>
    </w:p>
    <w:p>
      <w:pPr>
        <w:spacing w:after="0" w:line="24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Interests</w:t>
      </w:r>
      <w:r>
        <w:rPr>
          <w:rFonts w:ascii="Arial" w:cs="Arial" w:eastAsia="Arial" w:hAnsi="Arial"/>
          <w:sz w:val="20"/>
          <w:szCs w:val="20"/>
          <w:color w:val="auto"/>
        </w:rPr>
        <w:t xml:space="preserve">” means the security interests granted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as well as all other security interests created or assigned as additional security for the Obligations pursuant to the provisions of the Credit Agreement.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Collateral</w:t>
      </w:r>
      <w:r>
        <w:rPr>
          <w:rFonts w:ascii="Arial" w:cs="Arial" w:eastAsia="Arial" w:hAnsi="Arial"/>
          <w:sz w:val="20"/>
          <w:szCs w:val="20"/>
          <w:color w:val="auto"/>
        </w:rPr>
        <w:t>” means the Pledged Stock and all Proceeds therefrom.</w:t>
      </w:r>
    </w:p>
    <w:p>
      <w:pPr>
        <w:spacing w:after="0" w:line="243" w:lineRule="exact"/>
        <w:rPr>
          <w:sz w:val="20"/>
          <w:szCs w:val="20"/>
          <w:color w:val="auto"/>
        </w:rPr>
      </w:pPr>
    </w:p>
    <w:p>
      <w:pPr>
        <w:jc w:val="both"/>
        <w:ind w:firstLine="656"/>
        <w:spacing w:after="0" w:line="246" w:lineRule="auto"/>
        <w:tabs>
          <w:tab w:leader="none" w:pos="1090" w:val="left"/>
        </w:tabs>
        <w:numPr>
          <w:ilvl w:val="0"/>
          <w:numId w:val="274"/>
        </w:numPr>
        <w:rPr>
          <w:rFonts w:ascii="Arial" w:cs="Arial" w:eastAsia="Arial" w:hAnsi="Arial"/>
          <w:sz w:val="20"/>
          <w:szCs w:val="20"/>
          <w:color w:val="010000"/>
        </w:rPr>
      </w:pPr>
      <w:r>
        <w:rPr>
          <w:rFonts w:ascii="Arial" w:cs="Arial" w:eastAsia="Arial" w:hAnsi="Arial"/>
          <w:sz w:val="20"/>
          <w:szCs w:val="20"/>
          <w:color w:val="auto"/>
        </w:rPr>
        <w:t>Capitalized terms defined in the Credit Agreement and not otherwise defined herein shall have the meaning assigned thereto in the Credit Agreement. Where the context requires, terms relating to the Collateral or any part thereof, when used in relation to a Pledgor, shall refer to such Pledgor’s Collateral or the relevant part thereof. Capitalized terms defined in the Code and not otherwise defined herein shall have the meaning assigned thereto in the Code.</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19"/>
          <w:szCs w:val="19"/>
          <w:u w:val="single" w:color="auto"/>
          <w:color w:val="000000"/>
        </w:rPr>
        <w:t>Pledge and Grant of Security Interest</w:t>
      </w:r>
      <w:r>
        <w:rPr>
          <w:rFonts w:ascii="Arial" w:cs="Arial" w:eastAsia="Arial" w:hAnsi="Arial"/>
          <w:sz w:val="19"/>
          <w:szCs w:val="19"/>
          <w:color w:val="000000"/>
        </w:rPr>
        <w:t>. The Pledgors hereby deliver to the Administrative Agent, for the ratable</w:t>
      </w:r>
      <w:r>
        <w:rPr>
          <w:rFonts w:ascii="Arial" w:cs="Arial" w:eastAsia="Arial" w:hAnsi="Arial"/>
          <w:sz w:val="22"/>
          <w:szCs w:val="22"/>
          <w:color w:val="010000"/>
        </w:rPr>
        <w:t xml:space="preserve"> </w:t>
      </w:r>
      <w:r>
        <w:rPr>
          <w:rFonts w:ascii="Arial" w:cs="Arial" w:eastAsia="Arial" w:hAnsi="Arial"/>
          <w:sz w:val="19"/>
          <w:szCs w:val="19"/>
          <w:color w:val="000000"/>
        </w:rPr>
        <w:t xml:space="preserve">benefit of the Administrative Agent and the Secured Parties, all certificates representing the Pledged Stock and Partnership/LLC Interests and hereby grant to the Administrative Agent, for the ratable benefit of the Administrative Agent and the Secured Parties, a security interest in the Pledged Stock, Partnership/LLC Interests and all other Collateral, as collateral security for the prompt and complete payment and performance when due (whether at the stated maturity, by acceleration or otherwise) of the Obligations;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Security Interest in any Collateral constituting Pledged Stock or Partnership/LLC Interests issued by any Issuer or Partnership/LLC that is (a) an Excluded Domestic Subsidiary or (b) which is not organized under the laws of any political subdivision of the United States shall be limited to sixty-five percent (65%) of all issued and outstanding shares of all classes of voting Capital Stock of such Issuer or Partnership/LLC and one hundred percent (100%) of all issued and outstanding shares of all classes of non-voting Capital Stock of such Issuer or Partnership/LLC; </w:t>
      </w:r>
      <w:r>
        <w:rPr>
          <w:rFonts w:ascii="Arial" w:cs="Arial" w:eastAsia="Arial" w:hAnsi="Arial"/>
          <w:sz w:val="19"/>
          <w:szCs w:val="19"/>
          <w:u w:val="single" w:color="auto"/>
          <w:color w:val="000000"/>
        </w:rPr>
        <w:t>provided</w:t>
      </w:r>
      <w:r>
        <w:rPr>
          <w:rFonts w:ascii="Arial" w:cs="Arial" w:eastAsia="Arial" w:hAnsi="Arial"/>
          <w:sz w:val="19"/>
          <w:szCs w:val="19"/>
          <w:color w:val="000000"/>
        </w:rPr>
        <w:t>, further that notwithstanding the foregoing, such pledge and grant of Security Interest hereunder shall not include any Excluded Capital Stock.</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Without limiting the generality of the foregoing, it is hereby specifically understood and agreed that a Pledgor may from time to time hereafter pledge and deliver additional shares of capital stock and/or partnership and membership interests to the Administrative Agent as collateral security for the Obligations. Upon such pledge and delivery to the Administrative Agent, such additional shares of capital stock and/or partnership and membership interests shall be deemed to be part of the Pledged Stock and/or Partnership/LLC Interests, as applicable, of such Pledgor and shall be subject to the terms of this Pledge Agreement whether or not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has been amended to refer to such additional shares as required by </w:t>
      </w:r>
      <w:r>
        <w:rPr>
          <w:rFonts w:ascii="Arial" w:cs="Arial" w:eastAsia="Arial" w:hAnsi="Arial"/>
          <w:sz w:val="20"/>
          <w:szCs w:val="20"/>
          <w:u w:val="single" w:color="auto"/>
          <w:color w:val="auto"/>
        </w:rPr>
        <w:t>Section 7(i)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294" w:name="page295"/>
    <w:bookmarkEnd w:id="294"/>
    <w:p>
      <w:pPr>
        <w:jc w:val="both"/>
        <w:ind w:firstLine="648"/>
        <w:spacing w:after="0" w:line="241" w:lineRule="auto"/>
        <w:rPr>
          <w:sz w:val="20"/>
          <w:szCs w:val="20"/>
          <w:color w:val="auto"/>
        </w:rPr>
      </w:pPr>
      <w:r>
        <w:rPr>
          <w:rFonts w:ascii="Arial" w:cs="Arial" w:eastAsia="Arial" w:hAnsi="Arial"/>
          <w:sz w:val="22"/>
          <w:szCs w:val="22"/>
          <w:color w:val="010000"/>
        </w:rPr>
        <w:t xml:space="preserve">SECTION 3. </w:t>
      </w:r>
      <w:r>
        <w:rPr>
          <w:rFonts w:ascii="Arial" w:cs="Arial" w:eastAsia="Arial" w:hAnsi="Arial"/>
          <w:sz w:val="19"/>
          <w:szCs w:val="19"/>
          <w:u w:val="single" w:color="auto"/>
          <w:color w:val="000000"/>
        </w:rPr>
        <w:t>Stock Powers; Register of Pledge</w:t>
      </w:r>
      <w:r>
        <w:rPr>
          <w:rFonts w:ascii="Arial" w:cs="Arial" w:eastAsia="Arial" w:hAnsi="Arial"/>
          <w:sz w:val="19"/>
          <w:szCs w:val="19"/>
          <w:color w:val="000000"/>
        </w:rPr>
        <w:t>. Concurrently with the delivery to the Administrative Agent of each certificate</w:t>
      </w:r>
      <w:r>
        <w:rPr>
          <w:rFonts w:ascii="Arial" w:cs="Arial" w:eastAsia="Arial" w:hAnsi="Arial"/>
          <w:sz w:val="22"/>
          <w:szCs w:val="22"/>
          <w:color w:val="010000"/>
        </w:rPr>
        <w:t xml:space="preserve"> </w:t>
      </w:r>
      <w:r>
        <w:rPr>
          <w:rFonts w:ascii="Arial" w:cs="Arial" w:eastAsia="Arial" w:hAnsi="Arial"/>
          <w:sz w:val="19"/>
          <w:szCs w:val="19"/>
          <w:color w:val="000000"/>
        </w:rPr>
        <w:t>representing one or more shares of Pledged Stock, the Pledgors shall deliver an undated stock power covering such certificate, duly executed in blank by the applicable Pledgor.</w:t>
      </w:r>
    </w:p>
    <w:p>
      <w:pPr>
        <w:spacing w:after="0" w:line="23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010000"/>
        </w:rPr>
        <w:t>SECTION 4.</w:t>
      </w:r>
      <w:r>
        <w:rPr>
          <w:sz w:val="20"/>
          <w:szCs w:val="20"/>
          <w:color w:val="auto"/>
        </w:rPr>
        <w:tab/>
      </w:r>
      <w:r>
        <w:rPr>
          <w:rFonts w:ascii="Arial" w:cs="Arial" w:eastAsia="Arial" w:hAnsi="Arial"/>
          <w:sz w:val="18"/>
          <w:szCs w:val="18"/>
          <w:u w:val="single" w:color="auto"/>
          <w:color w:val="auto"/>
        </w:rPr>
        <w:t>Partnership/LLC Interests</w:t>
      </w:r>
      <w:r>
        <w:rPr>
          <w:rFonts w:ascii="Arial" w:cs="Arial" w:eastAsia="Arial" w:hAnsi="Arial"/>
          <w:sz w:val="18"/>
          <w:szCs w:val="18"/>
          <w:color w:val="auto"/>
        </w:rPr>
        <w:t>.</w:t>
      </w:r>
    </w:p>
    <w:p>
      <w:pPr>
        <w:spacing w:after="0" w:line="211" w:lineRule="exact"/>
        <w:rPr>
          <w:sz w:val="20"/>
          <w:szCs w:val="20"/>
          <w:color w:val="auto"/>
        </w:rPr>
      </w:pPr>
    </w:p>
    <w:p>
      <w:pPr>
        <w:jc w:val="both"/>
        <w:ind w:firstLine="656"/>
        <w:spacing w:after="0" w:line="259" w:lineRule="auto"/>
        <w:tabs>
          <w:tab w:leader="none" w:pos="1200" w:val="left"/>
        </w:tabs>
        <w:numPr>
          <w:ilvl w:val="0"/>
          <w:numId w:val="275"/>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any limited liability agreement, operating agreement, membership agreement, partnership agreement or similar agreement relating to any Partnership/LLC Interests (as amended, restated, supplemented or otherwise modified from time to time, a “</w:t>
      </w:r>
      <w:r>
        <w:rPr>
          <w:rFonts w:ascii="Arial" w:cs="Arial" w:eastAsia="Arial" w:hAnsi="Arial"/>
          <w:sz w:val="19"/>
          <w:szCs w:val="19"/>
          <w:u w:val="single" w:color="auto"/>
          <w:color w:val="auto"/>
        </w:rPr>
        <w:t>Partnership/LLC Agreement</w:t>
      </w:r>
      <w:r>
        <w:rPr>
          <w:rFonts w:ascii="Arial" w:cs="Arial" w:eastAsia="Arial" w:hAnsi="Arial"/>
          <w:sz w:val="19"/>
          <w:szCs w:val="19"/>
          <w:color w:val="auto"/>
        </w:rPr>
        <w:t>”), each member, manager and partner shall be entitled to pledge its Partnership/LLC Interests to, and grant and collaterally assign to, the Administrative Agent, for the ratable benefit of itself and the Secured Parties, a lien and security interest in its Partnership/LLC Interests without any further consent, approval or action by any other party, including, without limitation, any other party to any Partnership/LLC Agreement or otherwise.</w:t>
      </w:r>
    </w:p>
    <w:p>
      <w:pPr>
        <w:spacing w:after="0" w:line="178" w:lineRule="exact"/>
        <w:rPr>
          <w:rFonts w:ascii="Arial" w:cs="Arial" w:eastAsia="Arial" w:hAnsi="Arial"/>
          <w:sz w:val="19"/>
          <w:szCs w:val="19"/>
          <w:color w:val="010000"/>
        </w:rPr>
      </w:pPr>
    </w:p>
    <w:p>
      <w:pPr>
        <w:jc w:val="both"/>
        <w:ind w:firstLine="656"/>
        <w:spacing w:after="0" w:line="241" w:lineRule="auto"/>
        <w:tabs>
          <w:tab w:leader="none" w:pos="1076" w:val="left"/>
        </w:tabs>
        <w:numPr>
          <w:ilvl w:val="0"/>
          <w:numId w:val="275"/>
        </w:numPr>
        <w:rPr>
          <w:rFonts w:ascii="Arial" w:cs="Arial" w:eastAsia="Arial" w:hAnsi="Arial"/>
          <w:sz w:val="20"/>
          <w:szCs w:val="20"/>
          <w:color w:val="010000"/>
        </w:rPr>
      </w:pPr>
      <w:r>
        <w:rPr>
          <w:rFonts w:ascii="Arial" w:cs="Arial" w:eastAsia="Arial" w:hAnsi="Arial"/>
          <w:sz w:val="20"/>
          <w:szCs w:val="20"/>
          <w:color w:val="auto"/>
        </w:rPr>
        <w:t>Upon the occurrence and during the continuance of an Event of Default, the Administrative Agent or its designee shall have the right (but not the obligation) to be substituted for the applicable Pledgor as a member, manager or partner under the applicable Partnership/LLC Agreement and the Administrative Agent or its designee shall have all rights, powers and benefits as a member, manager or partner, as applicable, under such Partnership/LLC Agreement. For avoidance of doubt, such rights, powers and benefits of a substituted member shall include all voting and other rights and not merely the rights of an economic interest holder. So long as this Pledge Agreement remains in effect, no further consent, approval or action by any other party including, without limitation, any other party to the Partnership/LLC Agreement or otherwise shall be necessary to permit the Administrative Agent or its designee to be substituted as a member, manager or partner pursuant to this paragraph. The rights, powers and benefits granted pursuant to this paragraph shall inure to the benefit of the Administrative Agent and the Secured Parties and their respective successors, assigns and designated agents, as intended third party beneficiaries.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18"/>
          <w:szCs w:val="18"/>
          <w:u w:val="single" w:color="auto"/>
          <w:color w:val="000000"/>
        </w:rPr>
        <w:t>Pledgors Remain Liable</w:t>
      </w:r>
      <w:r>
        <w:rPr>
          <w:rFonts w:ascii="Arial" w:cs="Arial" w:eastAsia="Arial" w:hAnsi="Arial"/>
          <w:sz w:val="18"/>
          <w:szCs w:val="18"/>
          <w:color w:val="000000"/>
        </w:rPr>
        <w:t>. Anything herein to the contrary notwithstanding: (a) each Pledgor shall remain liable</w:t>
      </w:r>
      <w:r>
        <w:rPr>
          <w:rFonts w:ascii="Arial" w:cs="Arial" w:eastAsia="Arial" w:hAnsi="Arial"/>
          <w:sz w:val="21"/>
          <w:szCs w:val="21"/>
          <w:color w:val="010000"/>
        </w:rPr>
        <w:t xml:space="preserve"> </w:t>
      </w:r>
      <w:r>
        <w:rPr>
          <w:rFonts w:ascii="Arial" w:cs="Arial" w:eastAsia="Arial" w:hAnsi="Arial"/>
          <w:sz w:val="18"/>
          <w:szCs w:val="18"/>
          <w:color w:val="000000"/>
        </w:rPr>
        <w:t>under the contracts and agreements included in the Collateral to the extent set forth therein to perform all of its duties and obligations thereunder (including, without limitation, all of its obligations as a partner or member of any Partnership/LLC, if applicable) to the same extent as if this Pledge Agreement had not been executed, (b) the exercise by the Administrative Agent or any Secured Party of any of their respective rights hereunder shall not release any Pledgor from any of its duties or obligations under the contracts and agreements included in the Collateral (including, without limitation, all of its obligations as a partner or member of any Partnership/LLC, if applicable), (c) neither the Administrative Agent nor any Secured Party shall have any obligation or liability under the contracts and agreements included in the Collateral by reason of this Pledge Agreement (including, without limitation, any obligations or liabilities as a partner or member of any Partnership/LLC), nor shall the Administrative Agent or any Secured Party be obligated to perform any of the obligations or duties of any Pledgor thereunder or to take any action to collect or enforce any claim for payment assigned hereunder, and (d) neither the Administrative Agent nor any Secured Party shall have any liability in contract or tort for any Pledgor’s acts or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66" w:right="339" w:bottom="1440" w:gutter="0" w:footer="0" w:header="0"/>
        </w:sectPr>
      </w:pPr>
    </w:p>
    <w:bookmarkStart w:id="295" w:name="page296"/>
    <w:bookmarkEnd w:id="295"/>
    <w:p>
      <w:pPr>
        <w:jc w:val="both"/>
        <w:ind w:firstLine="648"/>
        <w:spacing w:after="0" w:line="241" w:lineRule="auto"/>
        <w:rPr>
          <w:sz w:val="20"/>
          <w:szCs w:val="20"/>
          <w:color w:val="auto"/>
        </w:rPr>
      </w:pPr>
      <w:r>
        <w:rPr>
          <w:rFonts w:ascii="Arial" w:cs="Arial" w:eastAsia="Arial" w:hAnsi="Arial"/>
          <w:sz w:val="22"/>
          <w:szCs w:val="22"/>
          <w:color w:val="010000"/>
        </w:rPr>
        <w:t xml:space="preserve">SECTION 6. </w:t>
      </w:r>
      <w:r>
        <w:rPr>
          <w:rFonts w:ascii="Arial" w:cs="Arial" w:eastAsia="Arial" w:hAnsi="Arial"/>
          <w:sz w:val="19"/>
          <w:szCs w:val="19"/>
          <w:u w:val="single" w:color="auto"/>
          <w:color w:val="000000"/>
        </w:rPr>
        <w:t>Representations and Warranties</w:t>
      </w:r>
      <w:r>
        <w:rPr>
          <w:rFonts w:ascii="Arial" w:cs="Arial" w:eastAsia="Arial" w:hAnsi="Arial"/>
          <w:sz w:val="19"/>
          <w:szCs w:val="19"/>
          <w:color w:val="000000"/>
        </w:rPr>
        <w:t>. To induce the Administrative Agent and the Secured Parties to execute the Credit</w:t>
      </w:r>
      <w:r>
        <w:rPr>
          <w:rFonts w:ascii="Arial" w:cs="Arial" w:eastAsia="Arial" w:hAnsi="Arial"/>
          <w:sz w:val="22"/>
          <w:szCs w:val="22"/>
          <w:color w:val="010000"/>
        </w:rPr>
        <w:t xml:space="preserve"> </w:t>
      </w:r>
      <w:r>
        <w:rPr>
          <w:rFonts w:ascii="Arial" w:cs="Arial" w:eastAsia="Arial" w:hAnsi="Arial"/>
          <w:sz w:val="19"/>
          <w:szCs w:val="19"/>
          <w:color w:val="000000"/>
        </w:rPr>
        <w:t>Agreement and make any Extensions of Credit and to accept the security contemplated hereby, each Pledgor hereby represents and warrants that:</w:t>
      </w:r>
    </w:p>
    <w:p>
      <w:pPr>
        <w:spacing w:after="0" w:line="195" w:lineRule="exact"/>
        <w:rPr>
          <w:sz w:val="20"/>
          <w:szCs w:val="20"/>
          <w:color w:val="auto"/>
        </w:rPr>
      </w:pPr>
    </w:p>
    <w:p>
      <w:pPr>
        <w:jc w:val="both"/>
        <w:ind w:firstLine="656"/>
        <w:spacing w:after="0" w:line="244" w:lineRule="auto"/>
        <w:tabs>
          <w:tab w:leader="none" w:pos="1092" w:val="left"/>
        </w:tabs>
        <w:numPr>
          <w:ilvl w:val="1"/>
          <w:numId w:val="276"/>
        </w:numPr>
        <w:rPr>
          <w:rFonts w:ascii="Arial" w:cs="Arial" w:eastAsia="Arial" w:hAnsi="Arial"/>
          <w:sz w:val="20"/>
          <w:szCs w:val="20"/>
          <w:color w:val="010000"/>
        </w:rPr>
      </w:pPr>
      <w:r>
        <w:rPr>
          <w:rFonts w:ascii="Arial" w:cs="Arial" w:eastAsia="Arial" w:hAnsi="Arial"/>
          <w:sz w:val="20"/>
          <w:szCs w:val="20"/>
          <w:color w:val="auto"/>
        </w:rPr>
        <w:t>Such Pledgor (i) is duly organized, validly existing and in good standing under the laws of the jurisdiction of its incorporation or formation, as applicable; (ii) has the power and authority to own its properties and to carry on its business as now being and hereafter proposed to be conducted and (iii) is duly qualified and is authorized to do business in each jurisdiction in which the character of its properties or the nature of its business requires such qualification and authorization except where the failure to be so qualified would not reasonably be expected to result in a Material Adverse Effect.</w:t>
      </w:r>
    </w:p>
    <w:p>
      <w:pPr>
        <w:spacing w:after="0" w:line="194" w:lineRule="exact"/>
        <w:rPr>
          <w:rFonts w:ascii="Arial" w:cs="Arial" w:eastAsia="Arial" w:hAnsi="Arial"/>
          <w:sz w:val="20"/>
          <w:szCs w:val="20"/>
          <w:color w:val="010000"/>
        </w:rPr>
      </w:pPr>
    </w:p>
    <w:p>
      <w:pPr>
        <w:jc w:val="both"/>
        <w:ind w:firstLine="656"/>
        <w:spacing w:after="0" w:line="267" w:lineRule="auto"/>
        <w:tabs>
          <w:tab w:leader="none" w:pos="1144" w:val="left"/>
        </w:tabs>
        <w:numPr>
          <w:ilvl w:val="1"/>
          <w:numId w:val="276"/>
        </w:numPr>
        <w:rPr>
          <w:rFonts w:ascii="Arial" w:cs="Arial" w:eastAsia="Arial" w:hAnsi="Arial"/>
          <w:sz w:val="18"/>
          <w:szCs w:val="18"/>
          <w:color w:val="010000"/>
        </w:rPr>
      </w:pPr>
      <w:r>
        <w:rPr>
          <w:rFonts w:ascii="Arial" w:cs="Arial" w:eastAsia="Arial" w:hAnsi="Arial"/>
          <w:sz w:val="18"/>
          <w:szCs w:val="18"/>
          <w:color w:val="auto"/>
        </w:rPr>
        <w:t>The execution, delivery and performance by such Pledgor of this Pledge Agreement (i) have all been duly authorized by all necessary action; (ii) are within the power and authority of such Pledgor; (iii) do not and will not require any material Governmental Approval except any approval previously or concurrently received or violate any material Applicable Law, in each case relating to such Pledgor or any of its Subsidiaries; (iv) do not and will not conflict with, result in a breach of or constitute a default under the articles of incorporation, bylaws or other organization documents of such Pledgor; (v) do not and will not conflict with, result in breach of or constitute a default under any indenture, agreement or other instrument in an aggregate principal amount of at least $40,000,000 or under which amounts payable or receivable are at least $40,000,000 to which such Pledgor or any of its Subsidiaries is a party or by which any of its properties may be bound; (vi) do not and will not result in the creation or imposition of any Lien upon or with respect to any property now owned or hereafter acquired by such Pledgor other than Liens arising under the Loan Documents or (vi) do not and will not require any consent or authorization of, filing with, or other act in respect of, any arbitrator or Governmental Authority, and no consent of any other Person is required in connection with the execution, delivery, performance, validity or enforceability of this Pledge Agreement, other than</w:t>
      </w:r>
    </w:p>
    <w:p>
      <w:pPr>
        <w:spacing w:after="0" w:line="7" w:lineRule="exact"/>
        <w:rPr>
          <w:rFonts w:ascii="Arial" w:cs="Arial" w:eastAsia="Arial" w:hAnsi="Arial"/>
          <w:sz w:val="18"/>
          <w:szCs w:val="18"/>
          <w:color w:val="010000"/>
        </w:rPr>
      </w:pPr>
    </w:p>
    <w:p>
      <w:pPr>
        <w:jc w:val="both"/>
        <w:ind w:firstLine="8"/>
        <w:spacing w:after="0" w:line="241" w:lineRule="auto"/>
        <w:tabs>
          <w:tab w:leader="none" w:pos="328" w:val="left"/>
        </w:tabs>
        <w:numPr>
          <w:ilvl w:val="0"/>
          <w:numId w:val="277"/>
        </w:numPr>
        <w:rPr>
          <w:rFonts w:ascii="Arial" w:cs="Arial" w:eastAsia="Arial" w:hAnsi="Arial"/>
          <w:sz w:val="20"/>
          <w:szCs w:val="20"/>
          <w:color w:val="auto"/>
        </w:rPr>
      </w:pPr>
      <w:r>
        <w:rPr>
          <w:rFonts w:ascii="Arial" w:cs="Arial" w:eastAsia="Arial" w:hAnsi="Arial"/>
          <w:sz w:val="20"/>
          <w:szCs w:val="20"/>
          <w:color w:val="auto"/>
        </w:rPr>
        <w:t>consents, authorizations, filings or other acts or consents obtained or for which the failure to obtain or make would not individually or in the aggregate, reasonably be expected to have a Material Adverse Effect, (B) consents, authorizations, filings or other actions taken on or before the date hereof and (C) consents or filings, if any, under the UCC.</w:t>
      </w:r>
    </w:p>
    <w:p>
      <w:pPr>
        <w:spacing w:after="0" w:line="195" w:lineRule="exact"/>
        <w:rPr>
          <w:rFonts w:ascii="Arial" w:cs="Arial" w:eastAsia="Arial" w:hAnsi="Arial"/>
          <w:sz w:val="20"/>
          <w:szCs w:val="20"/>
          <w:color w:val="auto"/>
        </w:rPr>
      </w:pPr>
    </w:p>
    <w:p>
      <w:pPr>
        <w:jc w:val="both"/>
        <w:ind w:firstLine="656"/>
        <w:spacing w:after="0" w:line="246" w:lineRule="auto"/>
        <w:tabs>
          <w:tab w:leader="none" w:pos="1106" w:val="left"/>
        </w:tabs>
        <w:numPr>
          <w:ilvl w:val="1"/>
          <w:numId w:val="277"/>
        </w:numPr>
        <w:rPr>
          <w:rFonts w:ascii="Arial" w:cs="Arial" w:eastAsia="Arial" w:hAnsi="Arial"/>
          <w:sz w:val="20"/>
          <w:szCs w:val="20"/>
          <w:color w:val="010000"/>
        </w:rPr>
      </w:pPr>
      <w:r>
        <w:rPr>
          <w:rFonts w:ascii="Arial" w:cs="Arial" w:eastAsia="Arial" w:hAnsi="Arial"/>
          <w:sz w:val="20"/>
          <w:szCs w:val="20"/>
          <w:color w:val="auto"/>
        </w:rPr>
        <w:t>This Pledge Agreement (i) has been duly executed and delivered by the duly authorized officers of each of the Pledgors party hereto and (ii) is a legal, valid and binding obligation of such Pledgor, enforceable in accordance with its terms, except as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91" w:lineRule="exact"/>
        <w:rPr>
          <w:rFonts w:ascii="Arial" w:cs="Arial" w:eastAsia="Arial" w:hAnsi="Arial"/>
          <w:sz w:val="20"/>
          <w:szCs w:val="20"/>
          <w:color w:val="010000"/>
        </w:rPr>
      </w:pPr>
    </w:p>
    <w:p>
      <w:pPr>
        <w:jc w:val="both"/>
        <w:ind w:firstLine="656"/>
        <w:spacing w:after="0" w:line="250" w:lineRule="auto"/>
        <w:tabs>
          <w:tab w:leader="none" w:pos="1076" w:val="left"/>
        </w:tabs>
        <w:numPr>
          <w:ilvl w:val="1"/>
          <w:numId w:val="277"/>
        </w:numPr>
        <w:rPr>
          <w:rFonts w:ascii="Arial" w:cs="Arial" w:eastAsia="Arial" w:hAnsi="Arial"/>
          <w:sz w:val="20"/>
          <w:szCs w:val="20"/>
          <w:color w:val="010000"/>
        </w:rPr>
      </w:pPr>
      <w:r>
        <w:rPr>
          <w:rFonts w:ascii="Arial" w:cs="Arial" w:eastAsia="Arial" w:hAnsi="Arial"/>
          <w:sz w:val="20"/>
          <w:szCs w:val="20"/>
          <w:color w:val="auto"/>
        </w:rPr>
        <w:t>All necessary and material permits, registrations and consents relating to such Pledgor for such making and performance of this Pledge Agreement by the Pledgors have been obtained (including, without limitation, the consent of any stockholder or creditor of any Pledgor or any Issuer or any general or limited partner or member of any Partnership/LLC).</w:t>
      </w:r>
    </w:p>
    <w:p>
      <w:pPr>
        <w:spacing w:after="0" w:line="185" w:lineRule="exact"/>
        <w:rPr>
          <w:rFonts w:ascii="Arial" w:cs="Arial" w:eastAsia="Arial" w:hAnsi="Arial"/>
          <w:sz w:val="20"/>
          <w:szCs w:val="20"/>
          <w:color w:val="010000"/>
        </w:rPr>
      </w:pPr>
    </w:p>
    <w:p>
      <w:pPr>
        <w:ind w:left="1080" w:hanging="424"/>
        <w:spacing w:after="0"/>
        <w:tabs>
          <w:tab w:leader="none" w:pos="1080" w:val="left"/>
        </w:tabs>
        <w:numPr>
          <w:ilvl w:val="1"/>
          <w:numId w:val="277"/>
        </w:numPr>
        <w:rPr>
          <w:rFonts w:ascii="Arial" w:cs="Arial" w:eastAsia="Arial" w:hAnsi="Arial"/>
          <w:sz w:val="20"/>
          <w:szCs w:val="20"/>
          <w:color w:val="010000"/>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010000"/>
        </w:rPr>
      </w:pPr>
    </w:p>
    <w:p>
      <w:pPr>
        <w:jc w:val="both"/>
        <w:ind w:firstLine="656"/>
        <w:spacing w:after="0" w:line="244" w:lineRule="auto"/>
        <w:tabs>
          <w:tab w:leader="none" w:pos="1044" w:val="left"/>
        </w:tabs>
        <w:numPr>
          <w:ilvl w:val="1"/>
          <w:numId w:val="277"/>
        </w:numPr>
        <w:rPr>
          <w:rFonts w:ascii="Arial" w:cs="Arial" w:eastAsia="Arial" w:hAnsi="Arial"/>
          <w:sz w:val="20"/>
          <w:szCs w:val="20"/>
          <w:color w:val="010000"/>
        </w:rPr>
      </w:pPr>
      <w:r>
        <w:rPr>
          <w:rFonts w:ascii="Arial" w:cs="Arial" w:eastAsia="Arial" w:hAnsi="Arial"/>
          <w:sz w:val="20"/>
          <w:szCs w:val="20"/>
          <w:color w:val="auto"/>
        </w:rPr>
        <w:t xml:space="preserve">Each financing statement or financing statement amendment naming such Pledgor as a debtor and attached hereto as </w:t>
      </w:r>
      <w:r>
        <w:rPr>
          <w:rFonts w:ascii="Arial" w:cs="Arial" w:eastAsia="Arial" w:hAnsi="Arial"/>
          <w:sz w:val="20"/>
          <w:szCs w:val="20"/>
          <w:u w:val="single" w:color="auto"/>
          <w:color w:val="auto"/>
        </w:rPr>
        <w:t>Addendum</w:t>
      </w:r>
      <w:r>
        <w:rPr>
          <w:rFonts w:ascii="Arial" w:cs="Arial" w:eastAsia="Arial" w:hAnsi="Arial"/>
          <w:sz w:val="20"/>
          <w:szCs w:val="20"/>
          <w:color w:val="auto"/>
        </w:rPr>
        <w:t xml:space="preserve"> </w:t>
      </w:r>
      <w:r>
        <w:rPr>
          <w:rFonts w:ascii="Arial" w:cs="Arial" w:eastAsia="Arial" w:hAnsi="Arial"/>
          <w:sz w:val="20"/>
          <w:szCs w:val="20"/>
          <w:u w:val="single" w:color="auto"/>
          <w:color w:val="auto"/>
        </w:rPr>
        <w:t>A</w:t>
      </w:r>
      <w:r>
        <w:rPr>
          <w:rFonts w:ascii="Arial" w:cs="Arial" w:eastAsia="Arial" w:hAnsi="Arial"/>
          <w:sz w:val="20"/>
          <w:szCs w:val="20"/>
          <w:color w:val="auto"/>
        </w:rPr>
        <w:t xml:space="preserve"> is in appropriate form for filing in the appropriate filing offices of the states specified on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and, upon the filing of appropriate financing statements or financing statement amendments in such filing offices, the Security Interests will constitute a valid, perfected first Lien (subject to Permitted Liens arising by operation of law) to the extent such Security Interests can be perfected by the filing of financing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66" w:right="339" w:bottom="1440" w:gutter="0" w:footer="0" w:header="0"/>
        </w:sectPr>
      </w:pPr>
    </w:p>
    <w:bookmarkStart w:id="296" w:name="page297"/>
    <w:bookmarkEnd w:id="296"/>
    <w:p>
      <w:pPr>
        <w:jc w:val="both"/>
        <w:ind w:firstLine="656"/>
        <w:spacing w:after="0" w:line="269" w:lineRule="auto"/>
        <w:tabs>
          <w:tab w:leader="none" w:pos="1211" w:val="left"/>
        </w:tabs>
        <w:numPr>
          <w:ilvl w:val="1"/>
          <w:numId w:val="278"/>
        </w:numPr>
        <w:rPr>
          <w:rFonts w:ascii="Arial" w:cs="Arial" w:eastAsia="Arial" w:hAnsi="Arial"/>
          <w:sz w:val="18"/>
          <w:szCs w:val="18"/>
          <w:color w:val="010000"/>
        </w:rPr>
      </w:pPr>
      <w:r>
        <w:rPr>
          <w:rFonts w:ascii="Arial" w:cs="Arial" w:eastAsia="Arial" w:hAnsi="Arial"/>
          <w:sz w:val="18"/>
          <w:szCs w:val="18"/>
          <w:color w:val="auto"/>
        </w:rPr>
        <w:t xml:space="preserve">As of the Closing Date and upon each date a Pledgor becomes a party to this Pledge Agreement pursuant to a Pledge Agreement Supplement (after giving effect to supplements to each of the Schedules hereto with respect to such subsequent Pledgor as attached to such Pledge Agreement Supplement), (A) the shares of Pledged Stock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constitute (i) all of the issued and outstanding shares of all classes of the Capital Stock (other than Excluded Capital Stock) of each Issuer that is a Domestic Subsidiary (other than an Excluded Domestic Subsidiary), (ii) sixty-five percent (65%) of all issued and outstanding shares of all classes of voting Capital Stock (other than Excluded Capital Stock) of each Issuer that is a First Tier Foreign Subsidiary or an Excluded Domestic Subsidiary and</w:t>
      </w:r>
    </w:p>
    <w:p>
      <w:pPr>
        <w:spacing w:after="0" w:line="1" w:lineRule="exact"/>
        <w:rPr>
          <w:rFonts w:ascii="Arial" w:cs="Arial" w:eastAsia="Arial" w:hAnsi="Arial"/>
          <w:sz w:val="18"/>
          <w:szCs w:val="18"/>
          <w:color w:val="010000"/>
        </w:rPr>
      </w:pPr>
    </w:p>
    <w:p>
      <w:pPr>
        <w:jc w:val="both"/>
        <w:ind w:firstLine="8"/>
        <w:spacing w:after="0" w:line="276" w:lineRule="auto"/>
        <w:tabs>
          <w:tab w:leader="none" w:pos="35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one hundred percent (100%) of all issued and outstanding shares of all classes of non-voting Capital Stock (other than Excluded Capital Stock) of each Issuer that is a First Tier Foreign Subsidiary, in each case, that constitutes Collateral; and (B) there are no outstanding stock purchase warrants, subscriptions, options, securities, instruments or other rights of any type or nature whatsoever, which are convertible into, exchangeable for or otherwise provide for or permit the issuance of Capital Stock of the Issuers, except as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211" w:val="left"/>
        </w:tabs>
        <w:numPr>
          <w:ilvl w:val="1"/>
          <w:numId w:val="279"/>
        </w:numPr>
        <w:rPr>
          <w:rFonts w:ascii="Arial" w:cs="Arial" w:eastAsia="Arial" w:hAnsi="Arial"/>
          <w:sz w:val="18"/>
          <w:szCs w:val="18"/>
          <w:color w:val="010000"/>
        </w:rPr>
      </w:pPr>
      <w:r>
        <w:rPr>
          <w:rFonts w:ascii="Arial" w:cs="Arial" w:eastAsia="Arial" w:hAnsi="Arial"/>
          <w:sz w:val="18"/>
          <w:szCs w:val="18"/>
          <w:color w:val="auto"/>
        </w:rPr>
        <w:t xml:space="preserve">As of the Closing Date and upon each date a Pledgor becomes a party to this Pledge Agreement pursuant to a Pledge Agreement Supplement (after giving effect to supplements to each of the Schedules hereto with respect to such subsequent Pledgor as attached to such Pledge Agreement Supplement), (A) the Partnership/LLC Interests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constitute (i) all of the outstanding ownership interests (other than Excluded Capital Stock) in which each Pledgor has any right, title or interest in each Partnership/LLC which is a Domestic Subsidiary (other than an Excluded Domestic Subsidiary), (ii) sixty-five percent (65%) of the outstanding voting ownership interests (other than Excluded Capital Stock) in which each Pledgor has any right, title and interest in each Partnership/LLC which is a First Tier Foreign Subsidiary or Excluded Domestic Subsidiary and (iii) one hundred percent (100%) of all issued and outstanding shares of all classes of non-voting ownership interests (other than Excluded Capital Stock) of each Partnership/LLC that is a First Tier Foreign Subsidiary or Excluded Domestic Subsidiary; and (B) there are no outstanding stock purchase warrants, subscriptions, options, securities, instruments or other rights of any type or nature whatsoever, which are convertible into, exchangeable for or otherwise provide for or permit the issuance of Capital Stock of the Partnerships/LLCs, except as described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69" w:lineRule="exact"/>
        <w:rPr>
          <w:rFonts w:ascii="Arial" w:cs="Arial" w:eastAsia="Arial" w:hAnsi="Arial"/>
          <w:sz w:val="18"/>
          <w:szCs w:val="18"/>
          <w:color w:val="010000"/>
        </w:rPr>
      </w:pPr>
    </w:p>
    <w:p>
      <w:pPr>
        <w:ind w:firstLine="656"/>
        <w:spacing w:after="0" w:line="260" w:lineRule="auto"/>
        <w:tabs>
          <w:tab w:leader="none" w:pos="1033" w:val="left"/>
        </w:tabs>
        <w:numPr>
          <w:ilvl w:val="1"/>
          <w:numId w:val="279"/>
        </w:numPr>
        <w:rPr>
          <w:rFonts w:ascii="Arial" w:cs="Arial" w:eastAsia="Arial" w:hAnsi="Arial"/>
          <w:sz w:val="20"/>
          <w:szCs w:val="20"/>
          <w:color w:val="010000"/>
        </w:rPr>
      </w:pPr>
      <w:r>
        <w:rPr>
          <w:rFonts w:ascii="Arial" w:cs="Arial" w:eastAsia="Arial" w:hAnsi="Arial"/>
          <w:sz w:val="20"/>
          <w:szCs w:val="20"/>
          <w:color w:val="auto"/>
        </w:rPr>
        <w:t>The Pledged Stock has been duly authorized and validly issued and is fully paid and nonassessable (to the extent such concept is applicable) and all of the Partnership/LLC Interests have been duly authorized and validly issued.</w:t>
      </w:r>
    </w:p>
    <w:p>
      <w:pPr>
        <w:spacing w:after="0" w:line="176" w:lineRule="exact"/>
        <w:rPr>
          <w:rFonts w:ascii="Arial" w:cs="Arial" w:eastAsia="Arial" w:hAnsi="Arial"/>
          <w:sz w:val="20"/>
          <w:szCs w:val="20"/>
          <w:color w:val="010000"/>
        </w:rPr>
      </w:pPr>
    </w:p>
    <w:p>
      <w:pPr>
        <w:jc w:val="both"/>
        <w:ind w:firstLine="656"/>
        <w:spacing w:after="0" w:line="260" w:lineRule="auto"/>
        <w:tabs>
          <w:tab w:leader="none" w:pos="1033" w:val="left"/>
        </w:tabs>
        <w:numPr>
          <w:ilvl w:val="1"/>
          <w:numId w:val="279"/>
        </w:numPr>
        <w:rPr>
          <w:rFonts w:ascii="Arial" w:cs="Arial" w:eastAsia="Arial" w:hAnsi="Arial"/>
          <w:sz w:val="19"/>
          <w:szCs w:val="19"/>
          <w:color w:val="010000"/>
        </w:rPr>
      </w:pPr>
      <w:r>
        <w:rPr>
          <w:rFonts w:ascii="Arial" w:cs="Arial" w:eastAsia="Arial" w:hAnsi="Arial"/>
          <w:sz w:val="19"/>
          <w:szCs w:val="19"/>
          <w:color w:val="auto"/>
        </w:rPr>
        <w:t xml:space="preserve">As of the Closing Date and upon each date a Pledgor becomes a party to this Pledge Agreement pursuant to a Pledge Agreement Supplement (after giving effect to supplements to each of the Schedules hereto with respect to such subsequent Pledgor as attached to such Pledge Agreement Supplement), such Pledgor is the record and beneficial owner of, and has good and marketable title to, the Pledged Stock and Partnership/LLC Interests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free of any and all Liens or options in favor of, or claims of, any other Person, except the Lien created by this Pledge Agreement and Permitted Liens.</w:t>
      </w:r>
    </w:p>
    <w:p>
      <w:pPr>
        <w:spacing w:after="0" w:line="180" w:lineRule="exact"/>
        <w:rPr>
          <w:rFonts w:ascii="Arial" w:cs="Arial" w:eastAsia="Arial" w:hAnsi="Arial"/>
          <w:sz w:val="19"/>
          <w:szCs w:val="19"/>
          <w:color w:val="010000"/>
        </w:rPr>
      </w:pPr>
    </w:p>
    <w:p>
      <w:pPr>
        <w:jc w:val="both"/>
        <w:ind w:firstLine="656"/>
        <w:spacing w:after="0" w:line="272" w:lineRule="auto"/>
        <w:tabs>
          <w:tab w:leader="none" w:pos="1211" w:val="left"/>
        </w:tabs>
        <w:numPr>
          <w:ilvl w:val="1"/>
          <w:numId w:val="279"/>
        </w:numPr>
        <w:rPr>
          <w:rFonts w:ascii="Arial" w:cs="Arial" w:eastAsia="Arial" w:hAnsi="Arial"/>
          <w:sz w:val="18"/>
          <w:szCs w:val="18"/>
          <w:color w:val="010000"/>
        </w:rPr>
      </w:pPr>
      <w:r>
        <w:rPr>
          <w:rFonts w:ascii="Arial" w:cs="Arial" w:eastAsia="Arial" w:hAnsi="Arial"/>
          <w:sz w:val="18"/>
          <w:szCs w:val="18"/>
          <w:color w:val="auto"/>
        </w:rPr>
        <w:t xml:space="preserve">As of the Closing Date and upon each date a Pledgor becomes a party to this Pledge Agreement pursuant to a Pledge Agreement Supplement (after giving effect to supplements to each of the Schedules hereto with respect to such subsequent Pledgor as attached to such Pledge Agreement Supplement), (i) such Pledgor is organized under the laws of the jurisdiction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jc w:val="both"/>
        <w:ind w:firstLine="8"/>
        <w:spacing w:after="0" w:line="281" w:lineRule="auto"/>
        <w:tabs>
          <w:tab w:leader="none" w:pos="29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taxpayer identification number and Registered Organization number of such Pledgor is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(iii) the chief place of business or chief executive office of such Pledgor is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and (iv) such Pledgor does no material business nor has done any material business during the past five years under any trade name or fictitious business name except as disclosed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297" w:name="page298"/>
    <w:bookmarkEnd w:id="297"/>
    <w:p>
      <w:pPr>
        <w:jc w:val="both"/>
        <w:ind w:firstLine="656"/>
        <w:spacing w:after="0" w:line="274" w:lineRule="auto"/>
        <w:tabs>
          <w:tab w:leader="none" w:pos="1033" w:val="left"/>
        </w:tabs>
        <w:numPr>
          <w:ilvl w:val="0"/>
          <w:numId w:val="281"/>
        </w:numPr>
        <w:rPr>
          <w:rFonts w:ascii="Arial" w:cs="Arial" w:eastAsia="Arial" w:hAnsi="Arial"/>
          <w:sz w:val="18"/>
          <w:szCs w:val="18"/>
          <w:color w:val="010000"/>
        </w:rPr>
      </w:pPr>
      <w:r>
        <w:rPr>
          <w:rFonts w:ascii="Arial" w:cs="Arial" w:eastAsia="Arial" w:hAnsi="Arial"/>
          <w:sz w:val="18"/>
          <w:szCs w:val="18"/>
          <w:color w:val="auto"/>
        </w:rPr>
        <w:t>With the delivery to and continued possession by the Administrative Agent, pursuant to the Existing Credit Agreement, of the (i) stock certificates evidencing the Pledged Stock and (ii) Certificated Securities representing Partnership/LLC Interests that are Securities governed by Article 8 of the Code, the Lien granted pursuant to this Pledge Agreement continues to constitute a valid, perfected first priority Lien on the Collateral (subject to Permitted Liens arising by operation of law). Upon delivery, pursuant to the Credit Agreement, to the Administrative Agent of any additional (x) stock certificates evidencing the Pledged Stock and (y) Certificated Securities representing Partnership/LLC Interests that are Securities governed by Article 8 of the Code, the Lien granted pursuant to this Pledge Agreement will constitute a valid, perfected first priority Lien on the Collateral (subject to Permitted Liens arising by operation of law).</w:t>
      </w:r>
    </w:p>
    <w:p>
      <w:pPr>
        <w:spacing w:after="0" w:line="168" w:lineRule="exact"/>
        <w:rPr>
          <w:rFonts w:ascii="Arial" w:cs="Arial" w:eastAsia="Arial" w:hAnsi="Arial"/>
          <w:sz w:val="18"/>
          <w:szCs w:val="18"/>
          <w:color w:val="010000"/>
        </w:rPr>
      </w:pPr>
    </w:p>
    <w:p>
      <w:pPr>
        <w:jc w:val="both"/>
        <w:ind w:firstLine="656"/>
        <w:spacing w:after="0" w:line="278" w:lineRule="auto"/>
        <w:tabs>
          <w:tab w:leader="none" w:pos="1239" w:val="left"/>
        </w:tabs>
        <w:numPr>
          <w:ilvl w:val="0"/>
          <w:numId w:val="281"/>
        </w:numPr>
        <w:rPr>
          <w:rFonts w:ascii="Arial" w:cs="Arial" w:eastAsia="Arial" w:hAnsi="Arial"/>
          <w:sz w:val="18"/>
          <w:szCs w:val="18"/>
          <w:color w:val="010000"/>
        </w:rPr>
      </w:pPr>
      <w:r>
        <w:rPr>
          <w:rFonts w:ascii="Arial" w:cs="Arial" w:eastAsia="Arial" w:hAnsi="Arial"/>
          <w:sz w:val="18"/>
          <w:szCs w:val="18"/>
          <w:color w:val="auto"/>
        </w:rPr>
        <w:t xml:space="preserve">None of the Partnership/LLC Interests (i) are traded on a Securities exchange or in Securities markets, (ii) are Securities governed by Article 8 of the Code (except to the extent the applicable Pledgor has complied with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hereto and delivered, or has made arrangements for the delivery of, the certificate representing such Partnership/LLC Interests), whether by their terms expressly or pursuant to a Partnership/LLC Agreement that provides that such Partnership/LLC Interests are Securities, (iii) are Investment Company Securities (as defined in the Code) or (iv) are held or maintained in the form of a Securities Entitlement or credited to any Securities Account.</w:t>
      </w:r>
    </w:p>
    <w:p>
      <w:pPr>
        <w:spacing w:after="0" w:line="164" w:lineRule="exact"/>
        <w:rPr>
          <w:rFonts w:ascii="Arial" w:cs="Arial" w:eastAsia="Arial" w:hAnsi="Arial"/>
          <w:sz w:val="18"/>
          <w:szCs w:val="18"/>
          <w:color w:val="010000"/>
        </w:rPr>
      </w:pPr>
    </w:p>
    <w:p>
      <w:pPr>
        <w:jc w:val="both"/>
        <w:ind w:firstLine="656"/>
        <w:spacing w:after="0" w:line="250" w:lineRule="auto"/>
        <w:tabs>
          <w:tab w:leader="none" w:pos="1090" w:val="left"/>
        </w:tabs>
        <w:numPr>
          <w:ilvl w:val="0"/>
          <w:numId w:val="281"/>
        </w:numPr>
        <w:rPr>
          <w:rFonts w:ascii="Arial" w:cs="Arial" w:eastAsia="Arial" w:hAnsi="Arial"/>
          <w:sz w:val="20"/>
          <w:szCs w:val="20"/>
          <w:color w:val="010000"/>
        </w:rPr>
      </w:pPr>
      <w:r>
        <w:rPr>
          <w:rFonts w:ascii="Arial" w:cs="Arial" w:eastAsia="Arial" w:hAnsi="Arial"/>
          <w:sz w:val="20"/>
          <w:szCs w:val="20"/>
          <w:color w:val="auto"/>
        </w:rPr>
        <w:t>Upon the written request of the Administrative Agent, the Pledgors shall deliver or make available to the Administrative Agent true and complete copies of the partnership agreements and operating agreements, as applicable, for each of the Partnerships/LLCs, which partnership agreements and operating agreements shall be in full force and effect.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SECTION 7. </w:t>
      </w:r>
      <w:r>
        <w:rPr>
          <w:rFonts w:ascii="Arial" w:cs="Arial" w:eastAsia="Arial" w:hAnsi="Arial"/>
          <w:sz w:val="18"/>
          <w:szCs w:val="18"/>
          <w:u w:val="single" w:color="auto"/>
          <w:color w:val="000000"/>
        </w:rPr>
        <w:t>Certain Covenants</w:t>
      </w:r>
      <w:r>
        <w:rPr>
          <w:rFonts w:ascii="Arial" w:cs="Arial" w:eastAsia="Arial" w:hAnsi="Arial"/>
          <w:sz w:val="18"/>
          <w:szCs w:val="18"/>
          <w:color w:val="000000"/>
        </w:rPr>
        <w:t>. The Pledgors covenant and agree with the Administrative Agent, for the ratable benefit of the</w:t>
      </w:r>
      <w:r>
        <w:rPr>
          <w:rFonts w:ascii="Arial" w:cs="Arial" w:eastAsia="Arial" w:hAnsi="Arial"/>
          <w:sz w:val="21"/>
          <w:szCs w:val="21"/>
          <w:color w:val="010000"/>
        </w:rPr>
        <w:t xml:space="preserve"> </w:t>
      </w:r>
      <w:r>
        <w:rPr>
          <w:rFonts w:ascii="Arial" w:cs="Arial" w:eastAsia="Arial" w:hAnsi="Arial"/>
          <w:sz w:val="18"/>
          <w:szCs w:val="18"/>
          <w:color w:val="000000"/>
        </w:rPr>
        <w:t>Administrative Agent and the Secured Parties, that, from and after the date of this Pledge Agreement until the Obligations (other than contingent indemnification obligations not yet due and Bank Product Debt) are paid in full (or, in the case of Letters of Credit, Cash Collateralized or other arrangements made in accordance with the terms of the Credit Agreement) and the Commitments are terminated:</w:t>
      </w:r>
    </w:p>
    <w:p>
      <w:pPr>
        <w:spacing w:after="0" w:line="180" w:lineRule="exact"/>
        <w:rPr>
          <w:sz w:val="20"/>
          <w:szCs w:val="20"/>
          <w:color w:val="auto"/>
        </w:rPr>
      </w:pPr>
    </w:p>
    <w:p>
      <w:pPr>
        <w:jc w:val="both"/>
        <w:ind w:firstLine="656"/>
        <w:spacing w:after="0" w:line="270" w:lineRule="auto"/>
        <w:tabs>
          <w:tab w:leader="none" w:pos="1079" w:val="left"/>
        </w:tabs>
        <w:numPr>
          <w:ilvl w:val="1"/>
          <w:numId w:val="282"/>
        </w:numPr>
        <w:rPr>
          <w:rFonts w:ascii="Arial" w:cs="Arial" w:eastAsia="Arial" w:hAnsi="Arial"/>
          <w:sz w:val="18"/>
          <w:szCs w:val="18"/>
          <w:color w:val="010000"/>
        </w:rPr>
      </w:pPr>
      <w:r>
        <w:rPr>
          <w:rFonts w:ascii="Arial" w:cs="Arial" w:eastAsia="Arial" w:hAnsi="Arial"/>
          <w:sz w:val="18"/>
          <w:szCs w:val="18"/>
          <w:color w:val="auto"/>
        </w:rPr>
        <w:t>Each Pledgor shall promptly notify the Administrative Agent, in writing, upon obtaining knowledge of (i) any Lien (other than the Lien created by this Pledge Agreement or Permitted Liens) on any of the Collateral which would adversely affect the ability of the Administrative Agent to exercise any of its remedies hereunder or (b) the acquisition or ownership by such Pledgor of any Collateral after the date hereof. At the request of the Administrative Agent or the Required Lenders, each Pledgor shall promptly (and in any event within ten</w:t>
      </w:r>
    </w:p>
    <w:p>
      <w:pPr>
        <w:spacing w:after="0" w:line="2" w:lineRule="exact"/>
        <w:rPr>
          <w:rFonts w:ascii="Arial" w:cs="Arial" w:eastAsia="Arial" w:hAnsi="Arial"/>
          <w:sz w:val="18"/>
          <w:szCs w:val="18"/>
          <w:color w:val="010000"/>
        </w:rPr>
      </w:pPr>
    </w:p>
    <w:p>
      <w:pPr>
        <w:ind w:firstLine="8"/>
        <w:spacing w:after="0" w:line="244" w:lineRule="auto"/>
        <w:tabs>
          <w:tab w:leader="none" w:pos="408" w:val="left"/>
        </w:tabs>
        <w:numPr>
          <w:ilvl w:val="0"/>
          <w:numId w:val="283"/>
        </w:numPr>
        <w:rPr>
          <w:rFonts w:ascii="Arial" w:cs="Arial" w:eastAsia="Arial" w:hAnsi="Arial"/>
          <w:sz w:val="20"/>
          <w:szCs w:val="20"/>
          <w:color w:val="auto"/>
        </w:rPr>
      </w:pPr>
      <w:r>
        <w:rPr>
          <w:rFonts w:ascii="Arial" w:cs="Arial" w:eastAsia="Arial" w:hAnsi="Arial"/>
          <w:sz w:val="20"/>
          <w:szCs w:val="20"/>
          <w:color w:val="auto"/>
        </w:rPr>
        <w:t>Business Days after such request or such later date as agreed to by the Administrative Agent) deliver to the Administrative Agent updated Schedules to this Pledge Agreement.</w:t>
      </w:r>
    </w:p>
    <w:p>
      <w:pPr>
        <w:spacing w:after="0" w:line="191" w:lineRule="exact"/>
        <w:rPr>
          <w:rFonts w:ascii="Arial" w:cs="Arial" w:eastAsia="Arial" w:hAnsi="Arial"/>
          <w:sz w:val="20"/>
          <w:szCs w:val="20"/>
          <w:color w:val="auto"/>
        </w:rPr>
      </w:pPr>
    </w:p>
    <w:p>
      <w:pPr>
        <w:jc w:val="both"/>
        <w:ind w:firstLine="656"/>
        <w:spacing w:after="0" w:line="282" w:lineRule="auto"/>
        <w:tabs>
          <w:tab w:leader="none" w:pos="1117" w:val="left"/>
        </w:tabs>
        <w:numPr>
          <w:ilvl w:val="1"/>
          <w:numId w:val="283"/>
        </w:numPr>
        <w:rPr>
          <w:rFonts w:ascii="Arial" w:cs="Arial" w:eastAsia="Arial" w:hAnsi="Arial"/>
          <w:sz w:val="18"/>
          <w:szCs w:val="18"/>
          <w:color w:val="010000"/>
        </w:rPr>
      </w:pPr>
      <w:r>
        <w:rPr>
          <w:rFonts w:ascii="Arial" w:cs="Arial" w:eastAsia="Arial" w:hAnsi="Arial"/>
          <w:sz w:val="18"/>
          <w:szCs w:val="18"/>
          <w:color w:val="auto"/>
        </w:rPr>
        <w:t>The Pledgors agree that as partners or members in the Partnerships/LLCs they will abide by, perform and discharge each and every material obligation, material covenant and material agreement to be abided by, performed or discharged by the Pledgors under the terms of the partnership agreements and operating agreements, as applicable, of the Partnerships/LLCs to the extent such failure would reasonably be expected to result in a Material Adverse Effect, at no cost or expense to the Administrative Agent and the Secured Parties.</w:t>
      </w:r>
    </w:p>
    <w:p>
      <w:pPr>
        <w:spacing w:after="0" w:line="161" w:lineRule="exact"/>
        <w:rPr>
          <w:rFonts w:ascii="Arial" w:cs="Arial" w:eastAsia="Arial" w:hAnsi="Arial"/>
          <w:sz w:val="18"/>
          <w:szCs w:val="18"/>
          <w:color w:val="010000"/>
        </w:rPr>
      </w:pPr>
    </w:p>
    <w:p>
      <w:pPr>
        <w:jc w:val="both"/>
        <w:ind w:firstLine="656"/>
        <w:spacing w:after="0" w:line="269" w:lineRule="auto"/>
        <w:tabs>
          <w:tab w:leader="none" w:pos="1106" w:val="left"/>
        </w:tabs>
        <w:numPr>
          <w:ilvl w:val="1"/>
          <w:numId w:val="283"/>
        </w:numPr>
        <w:rPr>
          <w:rFonts w:ascii="Arial" w:cs="Arial" w:eastAsia="Arial" w:hAnsi="Arial"/>
          <w:sz w:val="19"/>
          <w:szCs w:val="19"/>
          <w:color w:val="010000"/>
        </w:rPr>
      </w:pPr>
      <w:r>
        <w:rPr>
          <w:rFonts w:ascii="Arial" w:cs="Arial" w:eastAsia="Arial" w:hAnsi="Arial"/>
          <w:sz w:val="19"/>
          <w:szCs w:val="19"/>
          <w:color w:val="auto"/>
        </w:rPr>
        <w:t>If any Pledgor shall, as a result of its ownership of the Collateral, become entitled to receive or shall receive any Certificated Securities (including, without limitation, any certificate representing a stock dividend or a distribution in connection with any reclassification, increase or reduction of capital or any certificate issued in connection with any reorganization), option or rights,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298" w:name="page299"/>
    <w:bookmarkEnd w:id="298"/>
    <w:p>
      <w:pPr>
        <w:jc w:val="both"/>
        <w:spacing w:after="0" w:line="273" w:lineRule="auto"/>
        <w:rPr>
          <w:sz w:val="20"/>
          <w:szCs w:val="20"/>
          <w:color w:val="auto"/>
        </w:rPr>
      </w:pPr>
      <w:r>
        <w:rPr>
          <w:rFonts w:ascii="Arial" w:cs="Arial" w:eastAsia="Arial" w:hAnsi="Arial"/>
          <w:sz w:val="18"/>
          <w:szCs w:val="18"/>
          <w:color w:val="auto"/>
        </w:rPr>
        <w:t xml:space="preserve">whether in addition to, in substitution of, as a conversion of, or in exchange for any of the Collateral, or otherwise in respect thereof, such Pledgor shall, to the extent constituting Collateral, accept the same as the agent of the Administrative Agent, hold the same in trust for the Administrative Agent and deliver the same forthwith to the Administrative Agent in the exact form received, duly indorsed by such Pledgor to the Administrative Agent, if required, together with an undated stock power covering such certificate duly executed in blank by such Pledgor, to be held by the Administrative Agent, subject to the terms hereof, as additional collateral security for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at no time shall the Pledged Stock or Partnership/LLC Interests of any Issuer or Partnership/LLC that is a First Tier Foreign Subsidiary or an Excluded Domestic Subsidiary exceed sixty-five percent (65%) of the voting Pledged Stock or voting Partnership/LLC Interests of such Subsidiary and one hundred percent (100%) of the non-voting Pledged Stock or non-voting Partnership/LLC Interests of such Subsidiary.</w:t>
      </w:r>
    </w:p>
    <w:p>
      <w:pPr>
        <w:spacing w:after="0" w:line="168" w:lineRule="exact"/>
        <w:rPr>
          <w:sz w:val="20"/>
          <w:szCs w:val="20"/>
          <w:color w:val="auto"/>
        </w:rPr>
      </w:pPr>
    </w:p>
    <w:p>
      <w:pPr>
        <w:jc w:val="both"/>
        <w:ind w:firstLine="656"/>
        <w:spacing w:after="0" w:line="269" w:lineRule="auto"/>
        <w:tabs>
          <w:tab w:leader="none" w:pos="1130"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Without the prior written consent of the Administrative Agent, no Pledgor will (i) vote to enable, or take any other action to permit, any Issuer or Partnership/LLC to issue any stock, partnership interests, limited liability company interests or other equity securities of any nature or to issue any other securities convertible into or granting the right to purchase or exchange for any stock, partnership interests, limited liability company interests or other equity securities of any nature of such Issuer or Partnership/LLC except for additional Pledged Stock or Partnership/LLC Interests that will be subject to the Security Interest granted herein, (ii) consent to any modification, extension or alteration of the terms of any partnership agreement or operating agreement of the Partnerships/LLCs that is materially adverse to the interests of the Administrative Agent under the Loan Documents, (iii) except as expressly provided to the contrary herein or in the Credit Agreement, (A) accept a surrender of any partnership agreement or operating agreement of any of the Partnerships/LLCs or (B) to the extent such action is materially adverse to the interests of the Administrative Agent under the Loan Documents, waive any breach of or default under any partnership agreement or operating agreement of any of the Partnerships/LLCs by any other party thereto, (iv) except as expressly permitted pursuant to the terms of the Credit Agreement, sell, assign, transfer, exchange, or otherwise dispose of, or grant any option with respect to, the Collateral, or (v) create, incur or permit to exist any Lien or option in favor of, or any claim of any Person with respect to, any of the Collateral, or any interest therein, except the Lien created by this Pledge Agreement or Permitted Liens. The Pledgors will defend the right, title and interest of the Administrative Agent in and to the Collateral against the claims and demands of all Persons whomsoever other than with respect to Permitted Liens.</w:t>
      </w:r>
    </w:p>
    <w:p>
      <w:pPr>
        <w:spacing w:after="0" w:line="178" w:lineRule="exact"/>
        <w:rPr>
          <w:rFonts w:ascii="Arial" w:cs="Arial" w:eastAsia="Arial" w:hAnsi="Arial"/>
          <w:sz w:val="18"/>
          <w:szCs w:val="18"/>
          <w:color w:val="010000"/>
        </w:rPr>
      </w:pPr>
    </w:p>
    <w:p>
      <w:pPr>
        <w:jc w:val="both"/>
        <w:ind w:firstLine="656"/>
        <w:spacing w:after="0" w:line="291" w:lineRule="auto"/>
        <w:tabs>
          <w:tab w:leader="none" w:pos="1079" w:val="left"/>
        </w:tabs>
        <w:numPr>
          <w:ilvl w:val="0"/>
          <w:numId w:val="284"/>
        </w:numPr>
        <w:rPr>
          <w:rFonts w:ascii="Arial" w:cs="Arial" w:eastAsia="Arial" w:hAnsi="Arial"/>
          <w:sz w:val="18"/>
          <w:szCs w:val="18"/>
          <w:color w:val="010000"/>
        </w:rPr>
      </w:pPr>
      <w:r>
        <w:rPr>
          <w:rFonts w:ascii="Arial" w:cs="Arial" w:eastAsia="Arial" w:hAnsi="Arial"/>
          <w:sz w:val="18"/>
          <w:szCs w:val="18"/>
          <w:color w:val="auto"/>
        </w:rPr>
        <w:t>Each Pledgor shall maintain the Security Interest created by this Pledge Agreement as a perfected first priority Security Interest (to the extent required to do so hereunder) (subject to Permitted Liens) and shall defend such Security Interest against the claims and demands of all Persons whomsoever (in each case, other than with respect to Permitted Liens arising under operation of law).</w:t>
      </w:r>
    </w:p>
    <w:p>
      <w:pPr>
        <w:spacing w:after="0" w:line="151" w:lineRule="exact"/>
        <w:rPr>
          <w:rFonts w:ascii="Arial" w:cs="Arial" w:eastAsia="Arial" w:hAnsi="Arial"/>
          <w:sz w:val="18"/>
          <w:szCs w:val="18"/>
          <w:color w:val="010000"/>
        </w:rPr>
      </w:pPr>
    </w:p>
    <w:p>
      <w:pPr>
        <w:jc w:val="both"/>
        <w:ind w:firstLine="656"/>
        <w:spacing w:after="0" w:line="246" w:lineRule="auto"/>
        <w:tabs>
          <w:tab w:leader="none" w:pos="1084" w:val="left"/>
        </w:tabs>
        <w:numPr>
          <w:ilvl w:val="0"/>
          <w:numId w:val="284"/>
        </w:numPr>
        <w:rPr>
          <w:rFonts w:ascii="Arial" w:cs="Arial" w:eastAsia="Arial" w:hAnsi="Arial"/>
          <w:sz w:val="20"/>
          <w:szCs w:val="20"/>
          <w:color w:val="010000"/>
        </w:rPr>
      </w:pPr>
      <w:r>
        <w:rPr>
          <w:rFonts w:ascii="Arial" w:cs="Arial" w:eastAsia="Arial" w:hAnsi="Arial"/>
          <w:sz w:val="20"/>
          <w:szCs w:val="20"/>
          <w:color w:val="auto"/>
        </w:rPr>
        <w:t>No Pledgor will, except upon prior written notice to the Administrative Agent and delivery to the Administrative Agent of all additional financing statements (executed if necessary for any particular filing jurisdiction) and other instruments and documents reasonably requested by the Administrative Agent to maintain the validity, perfection and priority of the Security Interests and, if applicable, a written supplement to the Schedules to this Pledge Agreement:</w:t>
      </w:r>
    </w:p>
    <w:p>
      <w:pPr>
        <w:spacing w:after="0" w:line="218" w:lineRule="exact"/>
        <w:rPr>
          <w:rFonts w:ascii="Arial" w:cs="Arial" w:eastAsia="Arial" w:hAnsi="Arial"/>
          <w:sz w:val="20"/>
          <w:szCs w:val="20"/>
          <w:color w:val="010000"/>
        </w:rPr>
      </w:pPr>
    </w:p>
    <w:p>
      <w:pPr>
        <w:ind w:left="1720" w:hanging="416"/>
        <w:spacing w:after="0"/>
        <w:tabs>
          <w:tab w:leader="none" w:pos="1720" w:val="left"/>
        </w:tabs>
        <w:numPr>
          <w:ilvl w:val="1"/>
          <w:numId w:val="284"/>
        </w:numPr>
        <w:rPr>
          <w:rFonts w:ascii="Arial" w:cs="Arial" w:eastAsia="Arial" w:hAnsi="Arial"/>
          <w:sz w:val="19"/>
          <w:szCs w:val="19"/>
          <w:color w:val="010000"/>
        </w:rPr>
      </w:pPr>
      <w:r>
        <w:rPr>
          <w:rFonts w:ascii="Arial" w:cs="Arial" w:eastAsia="Arial" w:hAnsi="Arial"/>
          <w:sz w:val="18"/>
          <w:szCs w:val="18"/>
          <w:color w:val="auto"/>
        </w:rPr>
        <w:t xml:space="preserve">change its jurisdiction of organization or the location of its chief executive office from that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254" w:lineRule="exact"/>
        <w:rPr>
          <w:rFonts w:ascii="Arial" w:cs="Arial" w:eastAsia="Arial" w:hAnsi="Arial"/>
          <w:sz w:val="19"/>
          <w:szCs w:val="19"/>
          <w:color w:val="010000"/>
        </w:rPr>
      </w:pPr>
    </w:p>
    <w:p>
      <w:pPr>
        <w:ind w:left="660" w:firstLine="644"/>
        <w:spacing w:after="0" w:line="238" w:lineRule="auto"/>
        <w:tabs>
          <w:tab w:leader="none" w:pos="1788" w:val="left"/>
        </w:tabs>
        <w:numPr>
          <w:ilvl w:val="1"/>
          <w:numId w:val="284"/>
        </w:numPr>
        <w:rPr>
          <w:rFonts w:ascii="Arial" w:cs="Arial" w:eastAsia="Arial" w:hAnsi="Arial"/>
          <w:sz w:val="22"/>
          <w:szCs w:val="22"/>
          <w:color w:val="010000"/>
        </w:rPr>
      </w:pPr>
      <w:r>
        <w:rPr>
          <w:rFonts w:ascii="Arial" w:cs="Arial" w:eastAsia="Arial" w:hAnsi="Arial"/>
          <w:sz w:val="20"/>
          <w:szCs w:val="20"/>
          <w:color w:val="auto"/>
        </w:rPr>
        <w:t>change its name, identity or corporate or organizational structure to such an extent that any financing statement filed by the Administrative Agent in connection with this Pledge Agreement would become misleading;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299" w:name="page300"/>
    <w:bookmarkEnd w:id="299"/>
    <w:p>
      <w:pPr>
        <w:jc w:val="both"/>
        <w:ind w:left="660" w:firstLine="644"/>
        <w:spacing w:after="0" w:line="238" w:lineRule="auto"/>
        <w:tabs>
          <w:tab w:leader="none" w:pos="1875" w:val="left"/>
        </w:tabs>
        <w:numPr>
          <w:ilvl w:val="1"/>
          <w:numId w:val="285"/>
        </w:numPr>
        <w:rPr>
          <w:rFonts w:ascii="Arial" w:cs="Arial" w:eastAsia="Arial" w:hAnsi="Arial"/>
          <w:sz w:val="22"/>
          <w:szCs w:val="22"/>
          <w:color w:val="010000"/>
        </w:rPr>
      </w:pPr>
      <w:r>
        <w:rPr>
          <w:rFonts w:ascii="Arial" w:cs="Arial" w:eastAsia="Arial" w:hAnsi="Arial"/>
          <w:sz w:val="20"/>
          <w:szCs w:val="20"/>
          <w:color w:val="auto"/>
        </w:rPr>
        <w:t xml:space="preserve">permit any Collateral (other than Certificated Securities delivered to the Administrative Agent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to be held by any Securities Intermediary, held or maintained in the form of a Securities Entitlement or credited to any Securities Account.</w:t>
      </w:r>
    </w:p>
    <w:p>
      <w:pPr>
        <w:spacing w:after="0" w:line="197" w:lineRule="exact"/>
        <w:rPr>
          <w:rFonts w:ascii="Arial" w:cs="Arial" w:eastAsia="Arial" w:hAnsi="Arial"/>
          <w:sz w:val="22"/>
          <w:szCs w:val="22"/>
          <w:color w:val="010000"/>
        </w:rPr>
      </w:pPr>
    </w:p>
    <w:p>
      <w:pPr>
        <w:jc w:val="both"/>
        <w:ind w:firstLine="656"/>
        <w:spacing w:after="0" w:line="243" w:lineRule="auto"/>
        <w:tabs>
          <w:tab w:leader="none" w:pos="1090" w:val="left"/>
        </w:tabs>
        <w:numPr>
          <w:ilvl w:val="0"/>
          <w:numId w:val="286"/>
        </w:numPr>
        <w:rPr>
          <w:rFonts w:ascii="Arial" w:cs="Arial" w:eastAsia="Arial" w:hAnsi="Arial"/>
          <w:sz w:val="20"/>
          <w:szCs w:val="20"/>
          <w:color w:val="010000"/>
        </w:rPr>
      </w:pPr>
      <w:r>
        <w:rPr>
          <w:rFonts w:ascii="Arial" w:cs="Arial" w:eastAsia="Arial" w:hAnsi="Arial"/>
          <w:sz w:val="20"/>
          <w:szCs w:val="20"/>
          <w:color w:val="auto"/>
        </w:rPr>
        <w:t>Pursuant to Section 9-509 of the Code and any other Applicable Law, each Pledgor authorizes the Administrative Agent to file or record financing statements, financing statement amendments and other filing or recording documents or instruments with respect to the Collateral without the signature of such Pledgor in such form and in such offices as the Administrative Agent determines appropriate to perfect the Security Interests of the Administrative Agent under this Pledge Agreement. Such financing statements may describe the Collateral in the same manner as described herein or may contain an indication or description of Collateral that describes such property in any other manner as the Administrative Agent may reasonably determine, in its sole discretion, is necessary, advisable or prudent to ensure the perfection of the Security Interest.</w:t>
      </w:r>
    </w:p>
    <w:p>
      <w:pPr>
        <w:spacing w:after="0" w:line="192" w:lineRule="exact"/>
        <w:rPr>
          <w:rFonts w:ascii="Arial" w:cs="Arial" w:eastAsia="Arial" w:hAnsi="Arial"/>
          <w:sz w:val="20"/>
          <w:szCs w:val="20"/>
          <w:color w:val="010000"/>
        </w:rPr>
      </w:pPr>
    </w:p>
    <w:p>
      <w:pPr>
        <w:jc w:val="both"/>
        <w:ind w:firstLine="656"/>
        <w:spacing w:after="0" w:line="243" w:lineRule="auto"/>
        <w:tabs>
          <w:tab w:leader="none" w:pos="1184" w:val="left"/>
        </w:tabs>
        <w:numPr>
          <w:ilvl w:val="0"/>
          <w:numId w:val="286"/>
        </w:numPr>
        <w:rPr>
          <w:rFonts w:ascii="Arial" w:cs="Arial" w:eastAsia="Arial" w:hAnsi="Arial"/>
          <w:sz w:val="20"/>
          <w:szCs w:val="20"/>
          <w:color w:val="010000"/>
        </w:rPr>
      </w:pPr>
      <w:r>
        <w:rPr>
          <w:rFonts w:ascii="Arial" w:cs="Arial" w:eastAsia="Arial" w:hAnsi="Arial"/>
          <w:sz w:val="20"/>
          <w:szCs w:val="20"/>
          <w:color w:val="auto"/>
        </w:rPr>
        <w:t>At any time and from time to time, upon the written request of the Administrative Agent, and at the sole expense of the Pledgors, the Pledgors will promptly and duly execute and deliver such further instruments and documents and take such further actions as the Administrative Agent may reasonably request for the purposes of obtaining or preserving the full benefits of this Pledge Agreement and of the rights and powers herein granted. If any amount payable under or in connection with any of the Collateral shall be or become evidenced by any promissory note, other instrument or chattel paper, such note, instrument or chattel paper shall be promptly delivered to the Administrative Agent, duly endorsed in a manner satisfactory to the Administrative Agent, to be held as Collateral pursuant to this Pledge Agreement.</w:t>
      </w:r>
    </w:p>
    <w:p>
      <w:pPr>
        <w:spacing w:after="0" w:line="192" w:lineRule="exact"/>
        <w:rPr>
          <w:rFonts w:ascii="Arial" w:cs="Arial" w:eastAsia="Arial" w:hAnsi="Arial"/>
          <w:sz w:val="20"/>
          <w:szCs w:val="20"/>
          <w:color w:val="010000"/>
        </w:rPr>
      </w:pPr>
    </w:p>
    <w:p>
      <w:pPr>
        <w:jc w:val="both"/>
        <w:ind w:firstLine="656"/>
        <w:spacing w:after="0" w:line="246" w:lineRule="auto"/>
        <w:tabs>
          <w:tab w:leader="none" w:pos="1114" w:val="left"/>
        </w:tabs>
        <w:numPr>
          <w:ilvl w:val="0"/>
          <w:numId w:val="286"/>
        </w:numPr>
        <w:rPr>
          <w:rFonts w:ascii="Arial" w:cs="Arial" w:eastAsia="Arial" w:hAnsi="Arial"/>
          <w:sz w:val="20"/>
          <w:szCs w:val="20"/>
          <w:color w:val="010000"/>
        </w:rPr>
      </w:pPr>
      <w:r>
        <w:rPr>
          <w:rFonts w:ascii="Arial" w:cs="Arial" w:eastAsia="Arial" w:hAnsi="Arial"/>
          <w:sz w:val="20"/>
          <w:szCs w:val="20"/>
          <w:color w:val="auto"/>
        </w:rPr>
        <w:t xml:space="preserve">Each Pledgor shall, promptly (but in any event within thirty (30) days or such later date as agreed to by the Administrative Agent) after the acquisition of additional shares of capital stock of any Issuers or partnership and membership interests of any partnership or limited liability company since the Closing Date or since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was last updated, amend and supplement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to refer to such additional shares.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8. </w:t>
      </w:r>
      <w:r>
        <w:rPr>
          <w:rFonts w:ascii="Arial" w:cs="Arial" w:eastAsia="Arial" w:hAnsi="Arial"/>
          <w:sz w:val="19"/>
          <w:szCs w:val="19"/>
          <w:u w:val="single" w:color="auto"/>
          <w:color w:val="000000"/>
        </w:rPr>
        <w:t>Cash Dividends and Distributions; Voting Rights</w:t>
      </w:r>
      <w:r>
        <w:rPr>
          <w:rFonts w:ascii="Arial" w:cs="Arial" w:eastAsia="Arial" w:hAnsi="Arial"/>
          <w:sz w:val="19"/>
          <w:szCs w:val="19"/>
          <w:color w:val="000000"/>
        </w:rPr>
        <w:t>. Unless an Event of Default shall have occurred and be continuing</w:t>
      </w:r>
      <w:r>
        <w:rPr>
          <w:rFonts w:ascii="Arial" w:cs="Arial" w:eastAsia="Arial" w:hAnsi="Arial"/>
          <w:sz w:val="22"/>
          <w:szCs w:val="22"/>
          <w:color w:val="010000"/>
        </w:rPr>
        <w:t xml:space="preserve"> </w:t>
      </w:r>
      <w:r>
        <w:rPr>
          <w:rFonts w:ascii="Arial" w:cs="Arial" w:eastAsia="Arial" w:hAnsi="Arial"/>
          <w:sz w:val="19"/>
          <w:szCs w:val="19"/>
          <w:color w:val="000000"/>
        </w:rPr>
        <w:t xml:space="preserve">and the Administrative Agent shall have given notice to the Pledgors of the Administrative Agent’s intent to exercise its rights pursuant to </w:t>
      </w:r>
      <w:r>
        <w:rPr>
          <w:rFonts w:ascii="Arial" w:cs="Arial" w:eastAsia="Arial" w:hAnsi="Arial"/>
          <w:sz w:val="19"/>
          <w:szCs w:val="19"/>
          <w:u w:val="single" w:color="auto"/>
          <w:color w:val="000000"/>
        </w:rPr>
        <w:t>Section 9</w:t>
      </w:r>
      <w:r>
        <w:rPr>
          <w:rFonts w:ascii="Arial" w:cs="Arial" w:eastAsia="Arial" w:hAnsi="Arial"/>
          <w:sz w:val="19"/>
          <w:szCs w:val="19"/>
          <w:color w:val="000000"/>
        </w:rPr>
        <w:t xml:space="preserve"> of this Pledge Agreement, the Pledgors shall be permitted to receive all cash dividends and shareholder, partnership and membership distributions paid in accordance with the terms of the Credit Agreement in respect of the Collateral and to exercise all voting and corporate, partnership or membership rights, as applicable, with respect to the Collateral; </w:t>
      </w:r>
      <w:r>
        <w:rPr>
          <w:rFonts w:ascii="Arial" w:cs="Arial" w:eastAsia="Arial" w:hAnsi="Arial"/>
          <w:sz w:val="19"/>
          <w:szCs w:val="19"/>
          <w:u w:val="single" w:color="auto"/>
          <w:color w:val="000000"/>
        </w:rPr>
        <w:t>provided</w:t>
      </w:r>
      <w:r>
        <w:rPr>
          <w:rFonts w:ascii="Arial" w:cs="Arial" w:eastAsia="Arial" w:hAnsi="Arial"/>
          <w:sz w:val="19"/>
          <w:szCs w:val="19"/>
          <w:color w:val="000000"/>
        </w:rPr>
        <w:t>, that no vote shall be cast or corporate, partnership or membership right exercised or other action taken which, in the Administrative Agent’s reasonable judgment, would impair the Collateral or which would be inconsistent in any material respect with or result in any violation of any provision of the Credit Agreement, any other Loan Documents or this Pledge Agreement.</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010000"/>
        </w:rPr>
        <w:t>SECTION 9.</w:t>
      </w:r>
      <w:r>
        <w:rPr>
          <w:sz w:val="20"/>
          <w:szCs w:val="20"/>
          <w:color w:val="auto"/>
        </w:rPr>
        <w:tab/>
      </w:r>
      <w:r>
        <w:rPr>
          <w:rFonts w:ascii="Arial" w:cs="Arial" w:eastAsia="Arial" w:hAnsi="Arial"/>
          <w:sz w:val="18"/>
          <w:szCs w:val="18"/>
          <w:u w:val="single" w:color="auto"/>
          <w:color w:val="auto"/>
        </w:rPr>
        <w:t>Rights of the Administrative Agent</w:t>
      </w:r>
      <w:r>
        <w:rPr>
          <w:rFonts w:ascii="Arial" w:cs="Arial" w:eastAsia="Arial" w:hAnsi="Arial"/>
          <w:sz w:val="18"/>
          <w:szCs w:val="18"/>
          <w:color w:val="auto"/>
        </w:rPr>
        <w:t>.</w:t>
      </w:r>
    </w:p>
    <w:p>
      <w:pPr>
        <w:spacing w:after="0" w:line="211" w:lineRule="exact"/>
        <w:rPr>
          <w:sz w:val="20"/>
          <w:szCs w:val="20"/>
          <w:color w:val="auto"/>
        </w:rPr>
      </w:pPr>
    </w:p>
    <w:p>
      <w:pPr>
        <w:jc w:val="both"/>
        <w:ind w:firstLine="656"/>
        <w:spacing w:after="0" w:line="276" w:lineRule="auto"/>
        <w:tabs>
          <w:tab w:leader="none" w:pos="1065" w:val="left"/>
        </w:tabs>
        <w:numPr>
          <w:ilvl w:val="0"/>
          <w:numId w:val="287"/>
        </w:numPr>
        <w:rPr>
          <w:rFonts w:ascii="Arial" w:cs="Arial" w:eastAsia="Arial" w:hAnsi="Arial"/>
          <w:sz w:val="18"/>
          <w:szCs w:val="18"/>
          <w:color w:val="010000"/>
        </w:rPr>
      </w:pPr>
      <w:r>
        <w:rPr>
          <w:rFonts w:ascii="Arial" w:cs="Arial" w:eastAsia="Arial" w:hAnsi="Arial"/>
          <w:sz w:val="18"/>
          <w:szCs w:val="18"/>
          <w:color w:val="auto"/>
        </w:rPr>
        <w:t>If an Event of Default shall occur and be continuing and the Administrative Agent shall give notice of its intent to exercise such rights to the Pledgors, (i) the Administrative Agent shall have the right to receive any and all cash dividends paid in respect of the Pledged Stock and partnership or membership distributions, as applicable, in respect of the Partnership/LLC Interests and make application thereof to the Obligations in the order set forth in Section 11.4 of the Credit Agreement and (ii) all shares of the Pledged Stock and the Partnership/LLC Interests shall be registered in the name of the Administrative Agent or its nominee, and the Administrative Agent or its nominee may thereafter exercise (A) all voting, corporate, partnership, membership and other rights pertaining to such shares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84" w:right="339" w:bottom="1440" w:gutter="0" w:footer="0" w:header="0"/>
        </w:sectPr>
      </w:pPr>
    </w:p>
    <w:bookmarkStart w:id="300" w:name="page301"/>
    <w:bookmarkEnd w:id="300"/>
    <w:p>
      <w:pPr>
        <w:jc w:val="both"/>
        <w:spacing w:after="0" w:line="254" w:lineRule="auto"/>
        <w:rPr>
          <w:sz w:val="20"/>
          <w:szCs w:val="20"/>
          <w:color w:val="auto"/>
        </w:rPr>
      </w:pPr>
      <w:r>
        <w:rPr>
          <w:rFonts w:ascii="Arial" w:cs="Arial" w:eastAsia="Arial" w:hAnsi="Arial"/>
          <w:sz w:val="19"/>
          <w:szCs w:val="19"/>
          <w:color w:val="auto"/>
        </w:rPr>
        <w:t>the Pledged Stock or Partnership/LLC Interests at any meeting of shareholders, partners or members of the applicable Issuer or Partnership/LLC or otherwise and (B) any and all rights of conversion, exchange, subscription and any other rights, privileges or options pertaining to such shares of the Pledged Stock or Partnership/LLC Interests as if it were the absolute owner thereof (including, without limitation, the right to exchange at its discretion any and all of the Pledged Stock or Partnership/LLC Interests upon the merger, consolidation, reorganization, recapitalization or other fundamental change in the corporate structure of the applicable Issuer or Partnership/LLC, or upon the exercise by the Pledgors or the Administrative Agent of any right, privilege or option pertaining to such shares of the Pledged Stock or the Partnership/LLC Interests, and in connection therewith, the right to deposit and deliver any and all of the Pledged Stock or the Partnership/LLC Interests with any committee, depositary, transfer agent, registrar or other designated agency upon such terms and conditions as it may determine), all without liability except to account for property actually received by it, but the Administrative Agent shall have no duty to the Pledgors to exercise any such right, privilege or option and shall not be responsible for any failure to do so or delay in so doing. In furtherance thereof, each Pledgor hereby authorizes and instructs each Issuer or Partnership/LLC with respect to any Collateral consisting of Pledged Stock or Partnership/LLC Interests to (i) comply with any instruction received by it from the Administrative Agent in writing that (A) states that an Event of Default has occurred and is continuing and (B) is otherwise in accordance with the terms of this Pledge Agreement, without any other or further instructions from such Pledgor, and each Pledgor agrees that each Issuer or Partnership/LLC shall be fully protected in so complying, and (ii) upon and during the continuance of an Event of Default, if requested by the Administrative Agent, pay any dividends, distributions or other payments with respect to any Pledged Stock or Partnership/LLC Interests directly to the Administrative Agent.</w:t>
      </w:r>
    </w:p>
    <w:p>
      <w:pPr>
        <w:spacing w:after="0" w:line="187" w:lineRule="exact"/>
        <w:rPr>
          <w:sz w:val="20"/>
          <w:szCs w:val="20"/>
          <w:color w:val="auto"/>
        </w:rPr>
      </w:pPr>
    </w:p>
    <w:p>
      <w:pPr>
        <w:jc w:val="both"/>
        <w:ind w:firstLine="656"/>
        <w:spacing w:after="0" w:line="243" w:lineRule="auto"/>
        <w:tabs>
          <w:tab w:leader="none" w:pos="1171" w:val="left"/>
        </w:tabs>
        <w:numPr>
          <w:ilvl w:val="0"/>
          <w:numId w:val="288"/>
        </w:numPr>
        <w:rPr>
          <w:rFonts w:ascii="Arial" w:cs="Arial" w:eastAsia="Arial" w:hAnsi="Arial"/>
          <w:sz w:val="20"/>
          <w:szCs w:val="20"/>
          <w:color w:val="010000"/>
        </w:rPr>
      </w:pPr>
      <w:r>
        <w:rPr>
          <w:rFonts w:ascii="Arial" w:cs="Arial" w:eastAsia="Arial" w:hAnsi="Arial"/>
          <w:sz w:val="20"/>
          <w:szCs w:val="20"/>
          <w:color w:val="auto"/>
        </w:rPr>
        <w:t>The rights of the Administrative Agent and the Secured Parties hereunder shall not be conditioned or contingent upon the pursuit by the Administrative Agent or any Secured Party of any right or remedy against the Pledgors or against any other Person which may be or become liable in respect of all or any part of the Obligations or against any collateral security therefor, guarantee thereof or right of offset with respect thereto. Neither the Administrative Agent nor any Secured Party shall be liable for any failure to demand, collect or realize upon all or any part of the Collateral or for any delay in doing so, nor shall the Administrative Agent be under any obligation to sell or otherwise dispose of any Collateral upon the request of the Pledgors or any other Person or to take any other action whatsoever with regard to the Collateral or any part thereof.</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010000"/>
        </w:rPr>
        <w:t xml:space="preserve">SECTION 10. </w:t>
      </w:r>
      <w:r>
        <w:rPr>
          <w:rFonts w:ascii="Arial" w:cs="Arial" w:eastAsia="Arial" w:hAnsi="Arial"/>
          <w:sz w:val="18"/>
          <w:szCs w:val="18"/>
          <w:u w:val="single" w:color="auto"/>
          <w:color w:val="000000"/>
        </w:rPr>
        <w:t>Remedies</w:t>
      </w:r>
      <w:r>
        <w:rPr>
          <w:rFonts w:ascii="Arial" w:cs="Arial" w:eastAsia="Arial" w:hAnsi="Arial"/>
          <w:sz w:val="18"/>
          <w:szCs w:val="18"/>
          <w:color w:val="000000"/>
        </w:rPr>
        <w:t>. If an Event of Default shall occur and be continuing, the Administrative Agent, on behalf of the</w:t>
      </w:r>
      <w:r>
        <w:rPr>
          <w:rFonts w:ascii="Arial" w:cs="Arial" w:eastAsia="Arial" w:hAnsi="Arial"/>
          <w:sz w:val="21"/>
          <w:szCs w:val="21"/>
          <w:color w:val="010000"/>
        </w:rPr>
        <w:t xml:space="preserve"> </w:t>
      </w:r>
      <w:r>
        <w:rPr>
          <w:rFonts w:ascii="Arial" w:cs="Arial" w:eastAsia="Arial" w:hAnsi="Arial"/>
          <w:sz w:val="18"/>
          <w:szCs w:val="18"/>
          <w:color w:val="000000"/>
        </w:rPr>
        <w:t>Secured Parties, may exercise, in addition to all other rights and remedies granted to them in this Pledge Agreement and in any other instrument or agreement securing, evidencing or relating to the Obligations, all rights and remedies of a secured party under the Code or any other Applicable Law. Without limiting the generality of the foregoing with regard to the scope of the Administrative Agent’s remedies, the Administrative Agent, without demand of performance or other demand, presentment, protest, advertisement or notice of any kind (except any notice required by any Applicable Law referred to below) to or upon the Pledgors, any Issuer, any Partnership/LLC or any other Person (all and each of which demands, defenses, advertisements and notices are hereby waived), may in such circumstances forthwith collect, receive, appropriate and realize upon the Collateral, or any part thereof, and/or may forthwith sell, assign, give option or options to purchase or otherwise dispose of and deliver the Collateral or any part thereof (or contract to do any of the foregoing), in one or more parcels at public or private sale or sales, in the over-the-counter market, at any exchange, broker’s board or office of the Administrative Agent or any Secured Party or elsewhere upon such terms and conditions as it may deem advisable and at such prices as it may deem best, for cash or on credit or for future delivery without assumption of any credit risk. The Administrative Agent or any Secured Party shall have the right upon any such public sale or sales, and, to the extent permitted by any Applicable Law, upon any such private sale or sales, to purchase the whole or any part of the Collateral so sold, free of any right or equity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1" w:name="page302"/>
    <w:bookmarkEnd w:id="301"/>
    <w:p>
      <w:pPr>
        <w:jc w:val="both"/>
        <w:spacing w:after="0" w:line="243" w:lineRule="auto"/>
        <w:rPr>
          <w:sz w:val="20"/>
          <w:szCs w:val="20"/>
          <w:color w:val="auto"/>
        </w:rPr>
      </w:pPr>
      <w:r>
        <w:rPr>
          <w:rFonts w:ascii="Arial" w:cs="Arial" w:eastAsia="Arial" w:hAnsi="Arial"/>
          <w:sz w:val="20"/>
          <w:szCs w:val="20"/>
          <w:color w:val="auto"/>
        </w:rPr>
        <w:t>redemption in the Pledgors, which right or equity is hereby waived or released. To the extent permitted by any Applicable Law, the Pledgors waive all claims, damages and demands they may acquire against the Administrative Agent or any Secured Party arising out of the exercise by them of any rights hereunder, other than claims arising out of gross negligence or willful misconduct of the Administrative Agent or any Secured Party as determined by a court of competent jurisdiction by final and nonappealable judgment. If any notice of a proposed sale or other disposition of Collateral shall be required by any Applicable Law, such notice shall be deemed reasonable and proper if given at least ten (10) days before such sale or other disposition.</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10000"/>
        </w:rPr>
        <w:t xml:space="preserve">SECTION 11. </w:t>
      </w:r>
      <w:r>
        <w:rPr>
          <w:rFonts w:ascii="Arial" w:cs="Arial" w:eastAsia="Arial" w:hAnsi="Arial"/>
          <w:sz w:val="18"/>
          <w:szCs w:val="18"/>
          <w:u w:val="single" w:color="auto"/>
          <w:color w:val="000000"/>
        </w:rPr>
        <w:t>Administrative Agent’s Appointment as Attorney-In-Fact</w:t>
      </w:r>
      <w:r>
        <w:rPr>
          <w:rFonts w:ascii="Arial" w:cs="Arial" w:eastAsia="Arial" w:hAnsi="Arial"/>
          <w:sz w:val="18"/>
          <w:szCs w:val="18"/>
          <w:color w:val="000000"/>
        </w:rPr>
        <w:t>. (a) Each Pledgor hereby irrevocably constitutes and</w:t>
      </w:r>
      <w:r>
        <w:rPr>
          <w:rFonts w:ascii="Arial" w:cs="Arial" w:eastAsia="Arial" w:hAnsi="Arial"/>
          <w:sz w:val="21"/>
          <w:szCs w:val="21"/>
          <w:color w:val="010000"/>
        </w:rPr>
        <w:t xml:space="preserve"> </w:t>
      </w:r>
      <w:r>
        <w:rPr>
          <w:rFonts w:ascii="Arial" w:cs="Arial" w:eastAsia="Arial" w:hAnsi="Arial"/>
          <w:sz w:val="18"/>
          <w:szCs w:val="18"/>
          <w:color w:val="000000"/>
        </w:rPr>
        <w:t>appoints the Administrative Agent and any officer or agent thereof, with full power of substitution, as its true and lawful attorney-in-fact with full irrevocable power and authority in the place and stead of such Pledgor and in the name of such Pledgor or in its own name, for the purpose of carrying out the terms of this Pledge Agreement, to take any and all appropriate action and to execute any and all documents and instruments which may be necessary or desirable to accomplish the purposes of this Pledge Agreement, and, without limiting the generality of the foregoing, each Pledgor hereby gives the Administrative Agent the power and right, on behalf of such Pledgor, without notice to or assent by such Pledgor, to do any or all of the following upon the occurrence and continuation of an Event of Default:</w:t>
      </w:r>
    </w:p>
    <w:p>
      <w:pPr>
        <w:spacing w:after="0" w:line="202" w:lineRule="exact"/>
        <w:rPr>
          <w:sz w:val="20"/>
          <w:szCs w:val="20"/>
          <w:color w:val="auto"/>
        </w:rPr>
      </w:pPr>
    </w:p>
    <w:p>
      <w:pPr>
        <w:ind w:left="1720" w:hanging="416"/>
        <w:spacing w:after="0"/>
        <w:tabs>
          <w:tab w:leader="none" w:pos="1720" w:val="left"/>
        </w:tabs>
        <w:numPr>
          <w:ilvl w:val="1"/>
          <w:numId w:val="289"/>
        </w:numPr>
        <w:rPr>
          <w:rFonts w:ascii="Arial" w:cs="Arial" w:eastAsia="Arial" w:hAnsi="Arial"/>
          <w:sz w:val="22"/>
          <w:szCs w:val="22"/>
          <w:color w:val="010000"/>
        </w:rPr>
      </w:pPr>
      <w:r>
        <w:rPr>
          <w:rFonts w:ascii="Arial" w:cs="Arial" w:eastAsia="Arial" w:hAnsi="Arial"/>
          <w:sz w:val="20"/>
          <w:szCs w:val="20"/>
          <w:color w:val="auto"/>
        </w:rPr>
        <w:t>pay or discharge taxes and Liens levied or placed on or threatened against the Collateral;</w:t>
      </w:r>
    </w:p>
    <w:p>
      <w:pPr>
        <w:spacing w:after="0" w:line="222" w:lineRule="exact"/>
        <w:rPr>
          <w:rFonts w:ascii="Arial" w:cs="Arial" w:eastAsia="Arial" w:hAnsi="Arial"/>
          <w:sz w:val="22"/>
          <w:szCs w:val="22"/>
          <w:color w:val="010000"/>
        </w:rPr>
      </w:pPr>
    </w:p>
    <w:p>
      <w:pPr>
        <w:ind w:left="660" w:right="20" w:firstLine="644"/>
        <w:spacing w:after="0" w:line="238" w:lineRule="auto"/>
        <w:tabs>
          <w:tab w:leader="none" w:pos="1828" w:val="left"/>
        </w:tabs>
        <w:numPr>
          <w:ilvl w:val="1"/>
          <w:numId w:val="289"/>
        </w:numPr>
        <w:rPr>
          <w:rFonts w:ascii="Arial" w:cs="Arial" w:eastAsia="Arial" w:hAnsi="Arial"/>
          <w:sz w:val="22"/>
          <w:szCs w:val="22"/>
          <w:color w:val="010000"/>
        </w:rPr>
      </w:pPr>
      <w:r>
        <w:rPr>
          <w:rFonts w:ascii="Arial" w:cs="Arial" w:eastAsia="Arial" w:hAnsi="Arial"/>
          <w:sz w:val="20"/>
          <w:szCs w:val="20"/>
          <w:color w:val="auto"/>
        </w:rPr>
        <w:t>execute, in connection with any sale provided for in this Pledge Agreement, any endorsements, assignments or other instruments of conveyance or transfer with respect to the Collateral; and</w:t>
      </w:r>
    </w:p>
    <w:p>
      <w:pPr>
        <w:spacing w:after="0" w:line="223" w:lineRule="exact"/>
        <w:rPr>
          <w:rFonts w:ascii="Arial" w:cs="Arial" w:eastAsia="Arial" w:hAnsi="Arial"/>
          <w:sz w:val="22"/>
          <w:szCs w:val="22"/>
          <w:color w:val="010000"/>
        </w:rPr>
      </w:pPr>
    </w:p>
    <w:p>
      <w:pPr>
        <w:jc w:val="both"/>
        <w:ind w:left="660" w:firstLine="644"/>
        <w:spacing w:after="0" w:line="253" w:lineRule="auto"/>
        <w:tabs>
          <w:tab w:leader="none" w:pos="1996" w:val="left"/>
        </w:tabs>
        <w:numPr>
          <w:ilvl w:val="1"/>
          <w:numId w:val="289"/>
        </w:numPr>
        <w:rPr>
          <w:rFonts w:ascii="Arial" w:cs="Arial" w:eastAsia="Arial" w:hAnsi="Arial"/>
          <w:sz w:val="21"/>
          <w:szCs w:val="21"/>
          <w:color w:val="010000"/>
        </w:rPr>
      </w:pPr>
      <w:r>
        <w:rPr>
          <w:rFonts w:ascii="Arial" w:cs="Arial" w:eastAsia="Arial" w:hAnsi="Arial"/>
          <w:sz w:val="19"/>
          <w:szCs w:val="19"/>
          <w:color w:val="auto"/>
        </w:rPr>
        <w:t>(A) commence and prosecute any suits, actions or proceedings at law or in equity in any court of competent jurisdiction to collect the Collateral or any portion thereof and to enforce any other right in respect of any Collateral; (B) defend any suit, action or proceeding brought against such Pledgor with respect to any Collateral; (C) settle, compromise or adjust any such suit, action or proceeding and, in connection therewith, give such discharges or releases as the Administrative Agent may deem appropriate; and (D) generally, sell, transfer, pledge and make any agreement with respect to or otherwise deal with any of the Collateral as fully and completely as though the Administrative Agent were the absolute owner thereof for all purposes, and do, at the Administrative Agent’s option and such Pledgor’s expense, at any time, or from time to time, all acts and things which the Administrative Agent deems necessary to protect, preserve or realize upon the Collateral and the Administrative Agent’s and the Secured Parties’ Security Interests therein and to effect the intent of this Pledge Agreement, all as fully and effectively as such Pledgor might do.</w:t>
      </w:r>
    </w:p>
    <w:p>
      <w:pPr>
        <w:spacing w:after="0" w:line="183" w:lineRule="exact"/>
        <w:rPr>
          <w:rFonts w:ascii="Arial" w:cs="Arial" w:eastAsia="Arial" w:hAnsi="Arial"/>
          <w:sz w:val="21"/>
          <w:szCs w:val="21"/>
          <w:color w:val="010000"/>
        </w:rPr>
      </w:pPr>
    </w:p>
    <w:p>
      <w:pPr>
        <w:jc w:val="both"/>
        <w:ind w:firstLine="656"/>
        <w:spacing w:after="0" w:line="250" w:lineRule="auto"/>
        <w:tabs>
          <w:tab w:leader="none" w:pos="1103" w:val="left"/>
        </w:tabs>
        <w:numPr>
          <w:ilvl w:val="0"/>
          <w:numId w:val="290"/>
        </w:numPr>
        <w:rPr>
          <w:rFonts w:ascii="Arial" w:cs="Arial" w:eastAsia="Arial" w:hAnsi="Arial"/>
          <w:sz w:val="20"/>
          <w:szCs w:val="20"/>
          <w:color w:val="010000"/>
        </w:rPr>
      </w:pPr>
      <w:r>
        <w:rPr>
          <w:rFonts w:ascii="Arial" w:cs="Arial" w:eastAsia="Arial" w:hAnsi="Arial"/>
          <w:sz w:val="20"/>
          <w:szCs w:val="20"/>
          <w:color w:val="auto"/>
        </w:rPr>
        <w:t xml:space="preserve">If any Pledgor fails to perform or comply with any of its agreements contained herein, the Administrative Agent, at its option, but without any obligation so to do, upon prior written notice to the Pledgors, may perform or comply, or otherwise cause performance or compliance, with such agreement in accordance with the provisions of </w:t>
      </w:r>
      <w:r>
        <w:rPr>
          <w:rFonts w:ascii="Arial" w:cs="Arial" w:eastAsia="Arial" w:hAnsi="Arial"/>
          <w:sz w:val="20"/>
          <w:szCs w:val="20"/>
          <w:u w:val="single" w:color="auto"/>
          <w:color w:val="auto"/>
        </w:rPr>
        <w:t>Section 11(a)</w:t>
      </w:r>
      <w:r>
        <w:rPr>
          <w:rFonts w:ascii="Arial" w:cs="Arial" w:eastAsia="Arial" w:hAnsi="Arial"/>
          <w:sz w:val="20"/>
          <w:szCs w:val="20"/>
          <w:color w:val="auto"/>
        </w:rPr>
        <w:t>.</w:t>
      </w:r>
    </w:p>
    <w:p>
      <w:pPr>
        <w:spacing w:after="0" w:line="185" w:lineRule="exact"/>
        <w:rPr>
          <w:rFonts w:ascii="Arial" w:cs="Arial" w:eastAsia="Arial" w:hAnsi="Arial"/>
          <w:sz w:val="20"/>
          <w:szCs w:val="20"/>
          <w:color w:val="010000"/>
        </w:rPr>
      </w:pPr>
    </w:p>
    <w:p>
      <w:pPr>
        <w:jc w:val="both"/>
        <w:ind w:firstLine="656"/>
        <w:spacing w:after="0" w:line="250" w:lineRule="auto"/>
        <w:tabs>
          <w:tab w:leader="none" w:pos="1092" w:val="left"/>
        </w:tabs>
        <w:numPr>
          <w:ilvl w:val="0"/>
          <w:numId w:val="290"/>
        </w:numPr>
        <w:rPr>
          <w:rFonts w:ascii="Arial" w:cs="Arial" w:eastAsia="Arial" w:hAnsi="Arial"/>
          <w:sz w:val="20"/>
          <w:szCs w:val="20"/>
          <w:color w:val="010000"/>
        </w:rPr>
      </w:pPr>
      <w:r>
        <w:rPr>
          <w:rFonts w:ascii="Arial" w:cs="Arial" w:eastAsia="Arial" w:hAnsi="Arial"/>
          <w:sz w:val="20"/>
          <w:szCs w:val="20"/>
          <w:color w:val="auto"/>
        </w:rPr>
        <w:t>The documented and out of pocket expenses of the Administrative Agent incurred in connection with actions taken pursuant to the terms of this Pledge Agreement, to the extent the Company would be required to do so pursuant to Section 13.4 of the Credit Agreement, shall be payable by the Pledgors to the Administrative Agent 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2" w:name="page303"/>
    <w:bookmarkEnd w:id="302"/>
    <w:p>
      <w:pPr>
        <w:jc w:val="both"/>
        <w:ind w:firstLine="656"/>
        <w:spacing w:after="0" w:line="269" w:lineRule="auto"/>
        <w:tabs>
          <w:tab w:leader="none" w:pos="1130" w:val="left"/>
        </w:tabs>
        <w:numPr>
          <w:ilvl w:val="0"/>
          <w:numId w:val="291"/>
        </w:numPr>
        <w:rPr>
          <w:rFonts w:ascii="Arial" w:cs="Arial" w:eastAsia="Arial" w:hAnsi="Arial"/>
          <w:sz w:val="19"/>
          <w:szCs w:val="19"/>
          <w:color w:val="010000"/>
        </w:rPr>
      </w:pPr>
      <w:r>
        <w:rPr>
          <w:rFonts w:ascii="Arial" w:cs="Arial" w:eastAsia="Arial" w:hAnsi="Arial"/>
          <w:sz w:val="19"/>
          <w:szCs w:val="19"/>
          <w:color w:val="auto"/>
        </w:rPr>
        <w:t xml:space="preserve">Each Pledgor hereby ratifies all that said attorneys shall lawfully do or cause to be done by virtue hereof in accordance with </w:t>
      </w:r>
      <w:r>
        <w:rPr>
          <w:rFonts w:ascii="Arial" w:cs="Arial" w:eastAsia="Arial" w:hAnsi="Arial"/>
          <w:sz w:val="19"/>
          <w:szCs w:val="19"/>
          <w:u w:val="single" w:color="auto"/>
          <w:color w:val="auto"/>
        </w:rPr>
        <w:t>Section 11(a)</w:t>
      </w:r>
      <w:r>
        <w:rPr>
          <w:rFonts w:ascii="Arial" w:cs="Arial" w:eastAsia="Arial" w:hAnsi="Arial"/>
          <w:sz w:val="19"/>
          <w:szCs w:val="19"/>
          <w:color w:val="auto"/>
        </w:rPr>
        <w:t>. All powers, authorizations and agencies contained in this Pledge Agreement are coupled with an interest and are irrevocable until this Pledge Agreement is terminated and the Security Interests created hereby are released.</w:t>
      </w:r>
    </w:p>
    <w:p>
      <w:pPr>
        <w:spacing w:after="0" w:line="169" w:lineRule="exact"/>
        <w:rPr>
          <w:rFonts w:ascii="Arial" w:cs="Arial" w:eastAsia="Arial" w:hAnsi="Arial"/>
          <w:sz w:val="19"/>
          <w:szCs w:val="19"/>
          <w:color w:val="010000"/>
        </w:rPr>
      </w:pPr>
    </w:p>
    <w:p>
      <w:pPr>
        <w:jc w:val="both"/>
        <w:ind w:firstLine="656"/>
        <w:spacing w:after="0" w:line="274" w:lineRule="auto"/>
        <w:tabs>
          <w:tab w:leader="none" w:pos="1092"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Each Pledgor acknowledges that the rights and responsibilities of the Administrative Agent under this Pledge Agreement with respect to any action taken by the Administrative Agent or the exercise or non-exercise by the Administrative Agent of any option, voting right, request, judgment or other right or remedy provided for herein or resulting or arising out of this Pledge Agreement shall, as between the Administrative Agent and the Secured Parties, be governed by the Credit Agreement and by such other agreements with respect thereto as may exist from time to time among them, but, as between the Administrative Agent and the Pledgors, the Administrative Agent shall be conclusively presumed to be acting as agent for the Secured Parties with full and valid authority so to act or refrain from acting, and no Pledgor shall be under any obligation, or entitlement to make any inquiry respecting such authority.</w:t>
      </w:r>
    </w:p>
    <w:p>
      <w:pPr>
        <w:spacing w:after="0" w:line="17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12.</w:t>
      </w:r>
      <w:r>
        <w:rPr>
          <w:sz w:val="20"/>
          <w:szCs w:val="20"/>
          <w:color w:val="auto"/>
        </w:rPr>
        <w:tab/>
      </w:r>
      <w:r>
        <w:rPr>
          <w:rFonts w:ascii="Arial" w:cs="Arial" w:eastAsia="Arial" w:hAnsi="Arial"/>
          <w:sz w:val="16"/>
          <w:szCs w:val="16"/>
          <w:u w:val="single" w:color="auto"/>
          <w:color w:val="auto"/>
        </w:rPr>
        <w:t>Registration Rights; Private Sales</w:t>
      </w:r>
      <w:r>
        <w:rPr>
          <w:rFonts w:ascii="Arial" w:cs="Arial" w:eastAsia="Arial" w:hAnsi="Arial"/>
          <w:sz w:val="16"/>
          <w:szCs w:val="16"/>
          <w:color w:val="auto"/>
        </w:rPr>
        <w:t>.</w:t>
      </w:r>
    </w:p>
    <w:p>
      <w:pPr>
        <w:spacing w:after="0" w:line="211" w:lineRule="exact"/>
        <w:rPr>
          <w:sz w:val="20"/>
          <w:szCs w:val="20"/>
          <w:color w:val="auto"/>
        </w:rPr>
      </w:pPr>
    </w:p>
    <w:p>
      <w:pPr>
        <w:jc w:val="both"/>
        <w:ind w:firstLine="656"/>
        <w:spacing w:after="0" w:line="256" w:lineRule="auto"/>
        <w:tabs>
          <w:tab w:leader="none" w:pos="1146" w:val="left"/>
        </w:tabs>
        <w:numPr>
          <w:ilvl w:val="0"/>
          <w:numId w:val="292"/>
        </w:numPr>
        <w:rPr>
          <w:rFonts w:ascii="Arial" w:cs="Arial" w:eastAsia="Arial" w:hAnsi="Arial"/>
          <w:sz w:val="19"/>
          <w:szCs w:val="19"/>
          <w:color w:val="010000"/>
        </w:rPr>
      </w:pPr>
      <w:r>
        <w:rPr>
          <w:rFonts w:ascii="Arial" w:cs="Arial" w:eastAsia="Arial" w:hAnsi="Arial"/>
          <w:sz w:val="19"/>
          <w:szCs w:val="19"/>
          <w:color w:val="auto"/>
        </w:rPr>
        <w:t>The Pledgors recognize that the Administrative Agent may be unable to effect a public sale of any or all the Collateral,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The Pledgors acknowledge and agree that any such private sale may result in prices and other terms less favorable than if such sale were a public sale and, notwithstanding such circumstances, agree that any such private sale shall be deemed to have been made in a commercially reasonable manner. The Administrative Agent shall be under no obligation to delay a sale of any of the Collateral for the period of time necessary to permit the applicable Issuer or Partnership/LLC to register such securities for public sale under the Securities Act, or under applicable state securities laws, even if the applicable Issuer or Partnership/LLC would agree to do so.</w:t>
      </w:r>
    </w:p>
    <w:p>
      <w:pPr>
        <w:spacing w:after="0" w:line="184" w:lineRule="exact"/>
        <w:rPr>
          <w:rFonts w:ascii="Arial" w:cs="Arial" w:eastAsia="Arial" w:hAnsi="Arial"/>
          <w:sz w:val="19"/>
          <w:szCs w:val="19"/>
          <w:color w:val="010000"/>
        </w:rPr>
      </w:pPr>
    </w:p>
    <w:p>
      <w:pPr>
        <w:jc w:val="both"/>
        <w:ind w:firstLine="656"/>
        <w:spacing w:after="0" w:line="257" w:lineRule="auto"/>
        <w:tabs>
          <w:tab w:leader="none" w:pos="1090" w:val="left"/>
        </w:tabs>
        <w:numPr>
          <w:ilvl w:val="0"/>
          <w:numId w:val="292"/>
        </w:numPr>
        <w:rPr>
          <w:rFonts w:ascii="Arial" w:cs="Arial" w:eastAsia="Arial" w:hAnsi="Arial"/>
          <w:sz w:val="19"/>
          <w:szCs w:val="19"/>
          <w:color w:val="010000"/>
        </w:rPr>
      </w:pPr>
      <w:r>
        <w:rPr>
          <w:rFonts w:ascii="Arial" w:cs="Arial" w:eastAsia="Arial" w:hAnsi="Arial"/>
          <w:sz w:val="19"/>
          <w:szCs w:val="19"/>
          <w:color w:val="auto"/>
        </w:rPr>
        <w:t xml:space="preserve">The Pledgors further agree to use their commercially reasonable efforts to do or cause to be done all such other acts as may be necessary to make such sale or sales of all or any portion of the Collateral pursuant to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valid and binding and in compliance with any and all other Applicable Law. The Pledgors further agree that a breach of any of the covenants contained in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will cause irreparable injury to the Administrative Agent and the Secured Parties not compensable in damages, that the Administrative Agent and the Secured Parties have no adequate remedy at law in respect of such breach and, as a consequence, that each and every covenant contained in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shall be specifically enforceable against the Pledgors, and the Pledgors hereby waive and agree not to assert any defenses against an action for specific performance of such covenants except for a defense that no Event of Default has occurred under the Credit Agreement.</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19"/>
          <w:szCs w:val="19"/>
          <w:u w:val="single" w:color="auto"/>
          <w:color w:val="000000"/>
        </w:rPr>
        <w:t>Amendments, etc. With Respect to the Obligations</w:t>
      </w:r>
      <w:r>
        <w:rPr>
          <w:rFonts w:ascii="Arial" w:cs="Arial" w:eastAsia="Arial" w:hAnsi="Arial"/>
          <w:sz w:val="19"/>
          <w:szCs w:val="19"/>
          <w:color w:val="000000"/>
        </w:rPr>
        <w:t>. The Pledgors shall remain obligated hereunder, and the</w:t>
      </w:r>
      <w:r>
        <w:rPr>
          <w:rFonts w:ascii="Arial" w:cs="Arial" w:eastAsia="Arial" w:hAnsi="Arial"/>
          <w:sz w:val="22"/>
          <w:szCs w:val="22"/>
          <w:color w:val="010000"/>
        </w:rPr>
        <w:t xml:space="preserve"> </w:t>
      </w:r>
      <w:r>
        <w:rPr>
          <w:rFonts w:ascii="Arial" w:cs="Arial" w:eastAsia="Arial" w:hAnsi="Arial"/>
          <w:sz w:val="19"/>
          <w:szCs w:val="19"/>
          <w:color w:val="000000"/>
        </w:rPr>
        <w:t>Collateral shall remain subject to the Lien granted hereby, notwithstanding that, without any reservation of rights against the Pledgors, and without notice to or further assent by the Pledgors, any demand for payment of any of the Obligations made by the Administrative Agent or any Secured Party may be rescinded by the Administrative Agent or such Lender, and any of the Obligations continued, and the Obligations, or the liability of the Pledgors or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any other Loan Documents and any other documents executed and delivered in connection therewith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3" w:name="page304"/>
    <w:bookmarkEnd w:id="303"/>
    <w:p>
      <w:pPr>
        <w:jc w:val="both"/>
        <w:spacing w:after="0" w:line="309" w:lineRule="auto"/>
        <w:rPr>
          <w:sz w:val="20"/>
          <w:szCs w:val="20"/>
          <w:color w:val="auto"/>
        </w:rPr>
      </w:pPr>
      <w:r>
        <w:rPr>
          <w:rFonts w:ascii="Arial" w:cs="Arial" w:eastAsia="Arial" w:hAnsi="Arial"/>
          <w:sz w:val="16"/>
          <w:szCs w:val="16"/>
          <w:color w:val="auto"/>
        </w:rPr>
        <w:t>be amended, modified, supplemented or terminated, in whole or part, as the Lenders (or the Required Lenders, as the case may be) may deem advisable from time to time, and any guarantee, right of offset or other collateral security at any time held by the Administrative Agent or any Secured Party for the payment of the Obligations may be sold, exchanged, waived, surrendered or released. Neither the Administrative Agent nor any Secured Party shall have any obligation to protect, secure, perfect or insure any other Lien at any time held by it as security for the Obligations or any property subject thereto. The Pledgors waive any and all notice of the creation, renewal, extension or accrual of any of the Obligations and notice of or proof of reliance by the Administrative Agent or any Secured Party upon this Pledge Agreement; the Obligations, and any of them, shall conclusively be deemed to have been created, contracted or incurred in reliance upon this Pledge Agreement; and all dealings between the Pledgors, on the one hand, and the Administrative Agent and the Secured Parties, on the other, shall likewise be conclusively presumed to have been had or consummated in reliance upon this Pledge Agreement. The Pledgors waive diligence, presentment, protest, demand for payment and notice of default or nonpayment to or upon the Pledgors with respect to the Obligations.</w:t>
      </w:r>
    </w:p>
    <w:p>
      <w:pPr>
        <w:spacing w:after="0" w:line="3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010000"/>
        </w:rPr>
        <w:t xml:space="preserve">SECTION 14. </w:t>
      </w:r>
      <w:r>
        <w:rPr>
          <w:rFonts w:ascii="Arial" w:cs="Arial" w:eastAsia="Arial" w:hAnsi="Arial"/>
          <w:sz w:val="19"/>
          <w:szCs w:val="19"/>
          <w:u w:val="single" w:color="auto"/>
          <w:color w:val="000000"/>
        </w:rPr>
        <w:t>No Subrogation</w:t>
      </w:r>
      <w:r>
        <w:rPr>
          <w:rFonts w:ascii="Arial" w:cs="Arial" w:eastAsia="Arial" w:hAnsi="Arial"/>
          <w:sz w:val="19"/>
          <w:szCs w:val="19"/>
          <w:color w:val="000000"/>
        </w:rPr>
        <w:t>. Notwithstanding any payment or payments made by the Pledgors hereunder, or any setoff or</w:t>
      </w:r>
      <w:r>
        <w:rPr>
          <w:rFonts w:ascii="Arial" w:cs="Arial" w:eastAsia="Arial" w:hAnsi="Arial"/>
          <w:sz w:val="22"/>
          <w:szCs w:val="22"/>
          <w:color w:val="010000"/>
        </w:rPr>
        <w:t xml:space="preserve"> </w:t>
      </w:r>
      <w:r>
        <w:rPr>
          <w:rFonts w:ascii="Arial" w:cs="Arial" w:eastAsia="Arial" w:hAnsi="Arial"/>
          <w:sz w:val="19"/>
          <w:szCs w:val="19"/>
          <w:color w:val="000000"/>
        </w:rPr>
        <w:t>application of funds of the Pledgors by the Administrative Agent, or the receipt of any amounts by the Administrative Agent with respect to any of the Collateral, the Pledgors shall not be entitled to be subrogated to any of the rights of the Administrative Agent against any Borrower or any guarantor or against any other collateral security held by the Administrative Agent for the payment of the Obligations, nor shall the Pledgors seek any reimbursement from any Borrower or any guarantor in respect of payments made by the Pledgors in connection with the Collateral, or amounts realized by the Administrative Agent in connection with the Collateral, until all amounts owing to the Administrative Agent and the Secured Parties on account of the Obligations are paid in full and the Commitments terminated. If any amount shall be paid to the Pledgors on account of such subrogation rights at any time when all of the Obligations shall not have been paid in full, such amount shall be held by the Pledgors in trust for the Administrative Agent, segregated from other funds of the Pledgors, and shall, forthwith upon receipt by the Pledgors, be turned over to the Administrative Agent in the exact form received by the Pledgors (duly indorsed by the Administrative Agent, if required) to be applied against the Obligations, whether matured or unmatured, in such order as set forth in the Credit Agreement.</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010000"/>
        </w:rPr>
        <w:t xml:space="preserve">SECTION 15. </w:t>
      </w:r>
      <w:r>
        <w:rPr>
          <w:rFonts w:ascii="Arial" w:cs="Arial" w:eastAsia="Arial" w:hAnsi="Arial"/>
          <w:sz w:val="18"/>
          <w:szCs w:val="18"/>
          <w:u w:val="single" w:color="auto"/>
          <w:color w:val="000000"/>
        </w:rPr>
        <w:t>Limitation on Duties Regarding Collateral</w:t>
      </w:r>
      <w:r>
        <w:rPr>
          <w:rFonts w:ascii="Arial" w:cs="Arial" w:eastAsia="Arial" w:hAnsi="Arial"/>
          <w:sz w:val="18"/>
          <w:szCs w:val="18"/>
          <w:color w:val="000000"/>
        </w:rPr>
        <w:t>. The Administrative Agent’s sole duty with respect to the custody,</w:t>
      </w:r>
      <w:r>
        <w:rPr>
          <w:rFonts w:ascii="Arial" w:cs="Arial" w:eastAsia="Arial" w:hAnsi="Arial"/>
          <w:sz w:val="21"/>
          <w:szCs w:val="21"/>
          <w:color w:val="010000"/>
        </w:rPr>
        <w:t xml:space="preserve"> </w:t>
      </w:r>
      <w:r>
        <w:rPr>
          <w:rFonts w:ascii="Arial" w:cs="Arial" w:eastAsia="Arial" w:hAnsi="Arial"/>
          <w:sz w:val="18"/>
          <w:szCs w:val="18"/>
          <w:color w:val="000000"/>
        </w:rPr>
        <w:t>safekeeping and physical preservation of the Collateral in its possession, under Section 9-207 of the Code or otherwise, shall be to deal with it in the same manner as the Administrative Agent deals with similar securities and property for its own account. Neither the Administrative Agent, any Secured Party nor any of their respective directors, officers, employees or agents shall be liable for failure to demand, collect or realize upon any of the Collateral or for any delay in doing so or shall be under any obligation to sell or otherwise dispose of any Collateral upon the request of the Pledgors or otherwise. The powers conferred on the Administrative Agent and the Secured Parties hereunder are solely to protect the Administrative Agent and the Secured Parties’ interests in the Collateral and shall not impose any duty on the Administrative Agent or any Secured Party to exercise any such powers. Each of the Administrative Agent and each Secured Party shall be accountable only for amounts that it actually receives as a result of the exercise of such powers, and neither it nor any of its officers, directors, employees or agents shall be responsible to any Pledgor for any act or failure to act hereunder, except for its gross negligence or willful misconduct as determined by a court of competent jurisdiction by final and nonappealable judgment.</w:t>
      </w:r>
    </w:p>
    <w:p>
      <w:pPr>
        <w:spacing w:after="0" w:line="1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16. </w:t>
      </w:r>
      <w:r>
        <w:rPr>
          <w:rFonts w:ascii="Arial" w:cs="Arial" w:eastAsia="Arial" w:hAnsi="Arial"/>
          <w:sz w:val="19"/>
          <w:szCs w:val="19"/>
          <w:u w:val="single" w:color="auto"/>
          <w:color w:val="000000"/>
        </w:rPr>
        <w:t>Application of Proceeds</w:t>
      </w:r>
      <w:r>
        <w:rPr>
          <w:rFonts w:ascii="Arial" w:cs="Arial" w:eastAsia="Arial" w:hAnsi="Arial"/>
          <w:sz w:val="19"/>
          <w:szCs w:val="19"/>
          <w:color w:val="000000"/>
        </w:rPr>
        <w:t>. Upon the occurrence and during the continuance of an Event of Default, the proceeds of</w:t>
      </w:r>
      <w:r>
        <w:rPr>
          <w:rFonts w:ascii="Arial" w:cs="Arial" w:eastAsia="Arial" w:hAnsi="Arial"/>
          <w:sz w:val="22"/>
          <w:szCs w:val="22"/>
          <w:color w:val="010000"/>
        </w:rPr>
        <w:t xml:space="preserve"> </w:t>
      </w:r>
      <w:r>
        <w:rPr>
          <w:rFonts w:ascii="Arial" w:cs="Arial" w:eastAsia="Arial" w:hAnsi="Arial"/>
          <w:sz w:val="19"/>
          <w:szCs w:val="19"/>
          <w:color w:val="000000"/>
        </w:rPr>
        <w:t>any sale of, or other realization upon, all or any part of the Collateral shall be applied by the Administrative Agent in accordance with the terms of Section 11.4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4" w:name="page305"/>
    <w:bookmarkEnd w:id="304"/>
    <w:p>
      <w:pPr>
        <w:jc w:val="both"/>
        <w:spacing w:after="0" w:line="257" w:lineRule="auto"/>
        <w:rPr>
          <w:sz w:val="20"/>
          <w:szCs w:val="20"/>
          <w:color w:val="auto"/>
        </w:rPr>
      </w:pPr>
      <w:r>
        <w:rPr>
          <w:rFonts w:ascii="Arial" w:cs="Arial" w:eastAsia="Arial" w:hAnsi="Arial"/>
          <w:sz w:val="19"/>
          <w:szCs w:val="19"/>
          <w:color w:val="auto"/>
        </w:rPr>
        <w:t>Agreement. Any balance of such Proceeds remaining shall be paid over to the Company, on behalf of the Pledgors, or to whomsoever (if such Person is not a Pledgor) may be lawfully entitled to receive the same. Only after (a) payment by the Administrative Agent of any other amount required by any provision of law, including, without limitation, Section 9-608 and Section 9-615 of the Code and (b) the payment in full (or, in the case of Letters of Credit, Cash Collateralized or other arrangements made in accordance with the terms of the Credit Agreement) of the Obligations (other than contingent indemnification obligations not yet due and Bank Product Debt) and termination of the Commitments, shall the Administrative Agent account for the surplus, if any, to any Pledgor, or to whomever may be lawfully entitled to receive the same (if such Person is not a Pledgor). The Administrative Agent may make distribution hereunder in cash or in kind or, on a ratable basis, in any combination thereof.</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010000"/>
        </w:rPr>
        <w:t xml:space="preserve">SECTION 17. </w:t>
      </w:r>
      <w:r>
        <w:rPr>
          <w:rFonts w:ascii="Arial" w:cs="Arial" w:eastAsia="Arial" w:hAnsi="Arial"/>
          <w:sz w:val="18"/>
          <w:szCs w:val="18"/>
          <w:u w:val="single" w:color="auto"/>
          <w:color w:val="000000"/>
        </w:rPr>
        <w:t>Waiver, Deficiency</w:t>
      </w:r>
      <w:r>
        <w:rPr>
          <w:rFonts w:ascii="Arial" w:cs="Arial" w:eastAsia="Arial" w:hAnsi="Arial"/>
          <w:sz w:val="18"/>
          <w:szCs w:val="18"/>
          <w:color w:val="000000"/>
        </w:rPr>
        <w:t>. Each Pledgor hereby waives, to the extent permitted by Applicable Law, all rights of</w:t>
      </w:r>
      <w:r>
        <w:rPr>
          <w:rFonts w:ascii="Arial" w:cs="Arial" w:eastAsia="Arial" w:hAnsi="Arial"/>
          <w:sz w:val="21"/>
          <w:szCs w:val="21"/>
          <w:color w:val="010000"/>
        </w:rPr>
        <w:t xml:space="preserve"> </w:t>
      </w:r>
      <w:r>
        <w:rPr>
          <w:rFonts w:ascii="Arial" w:cs="Arial" w:eastAsia="Arial" w:hAnsi="Arial"/>
          <w:sz w:val="18"/>
          <w:szCs w:val="18"/>
          <w:color w:val="000000"/>
        </w:rPr>
        <w:t>redemption, appraisement, valuation, stay, extension or moratorium now or hereafter in force under any Applicable Law in order to prevent or delay the enforcement of this Pledge Agreement or the absolute sale of the Collateral or any portion thereof. Each Pledgor shall remain liable for any deficiency if the proceeds of any sale or other disposition of the Collateral are insufficient to pay its Obligations and the fees and disbursements of any attorneys employed by the Administrative Agent or any Secured Party to collect such deficiency.</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SECTION 18. </w:t>
      </w:r>
      <w:r>
        <w:rPr>
          <w:rFonts w:ascii="Arial" w:cs="Arial" w:eastAsia="Arial" w:hAnsi="Arial"/>
          <w:sz w:val="19"/>
          <w:szCs w:val="19"/>
          <w:u w:val="single" w:color="auto"/>
          <w:color w:val="000000"/>
        </w:rPr>
        <w:t>Right of Set-off</w:t>
      </w:r>
      <w:r>
        <w:rPr>
          <w:rFonts w:ascii="Arial" w:cs="Arial" w:eastAsia="Arial" w:hAnsi="Arial"/>
          <w:sz w:val="19"/>
          <w:szCs w:val="19"/>
          <w:color w:val="000000"/>
        </w:rPr>
        <w:t>. Upon the occurrence and during the continuance of any Event of Default, subject to Section 13.5</w:t>
      </w:r>
      <w:r>
        <w:rPr>
          <w:rFonts w:ascii="Arial" w:cs="Arial" w:eastAsia="Arial" w:hAnsi="Arial"/>
          <w:sz w:val="22"/>
          <w:szCs w:val="22"/>
          <w:color w:val="010000"/>
        </w:rPr>
        <w:t xml:space="preserve"> </w:t>
      </w:r>
      <w:r>
        <w:rPr>
          <w:rFonts w:ascii="Arial" w:cs="Arial" w:eastAsia="Arial" w:hAnsi="Arial"/>
          <w:sz w:val="19"/>
          <w:szCs w:val="19"/>
          <w:color w:val="000000"/>
        </w:rPr>
        <w:t xml:space="preserve">of the Credit Agreement, the Administrative Agent and each Lender and each of their respective Affiliates is hereby authorized at any time and from time to time, without notice to any Pledgor (any such notice being expressly waived by each Pledgor), to setoff and apply any and all deposits (general or special, time or demand, provisional or final, in whatever currency), other than deposits in Blackbaud Payment Services Accounts, at any time held, and other obligations (in whatever currency) at any time owing by such Lender or such Affiliate to or for the credit or the account of such Pledgor or any other Credit Party against any and all obligations of such Pledgor or such other Credit Party now or hereafter existing under the Credit Agreement or any other Loan Document to such Lender or such Affiliate, irrespective of whether or not such Lender or Affiliate shall have made any demand under the Credit Agreement or any other Loan Document and although such obligations of the Pledgor or such Credit Party may be contingent or unmatured or are owed to a branch or office of such Lender different from the branch or office holding such deposit or obligated on such indebtedness. The rights of the Administrative Agent and the Secured Parties and their respective Affiliates under this Section are in addition to other rights and remedies (including, without limitation, other rights of setoff) that the Administrative Agent or such Lender or their respective Affiliates may have. Each Lender agrees to notify the Company and the Administrative Agent promptly after any such setoff and application; </w:t>
      </w:r>
      <w:r>
        <w:rPr>
          <w:rFonts w:ascii="Arial" w:cs="Arial" w:eastAsia="Arial" w:hAnsi="Arial"/>
          <w:sz w:val="19"/>
          <w:szCs w:val="19"/>
          <w:u w:val="single" w:color="auto"/>
          <w:color w:val="000000"/>
        </w:rPr>
        <w:t>provided</w:t>
      </w:r>
      <w:r>
        <w:rPr>
          <w:rFonts w:ascii="Arial" w:cs="Arial" w:eastAsia="Arial" w:hAnsi="Arial"/>
          <w:sz w:val="19"/>
          <w:szCs w:val="19"/>
          <w:color w:val="000000"/>
        </w:rPr>
        <w:t>, that the failure to give such notice shall not affect the validity of such setoff and application.</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19. </w:t>
      </w:r>
      <w:r>
        <w:rPr>
          <w:rFonts w:ascii="Arial" w:cs="Arial" w:eastAsia="Arial" w:hAnsi="Arial"/>
          <w:sz w:val="19"/>
          <w:szCs w:val="19"/>
          <w:u w:val="single" w:color="auto"/>
          <w:color w:val="000000"/>
        </w:rPr>
        <w:t>All Powers Coupled with Interest</w:t>
      </w:r>
      <w:r>
        <w:rPr>
          <w:rFonts w:ascii="Arial" w:cs="Arial" w:eastAsia="Arial" w:hAnsi="Arial"/>
          <w:sz w:val="19"/>
          <w:szCs w:val="19"/>
          <w:color w:val="000000"/>
        </w:rPr>
        <w:t>. All powers of attorney and other authorizations granted to the Secured Parties,</w:t>
      </w:r>
      <w:r>
        <w:rPr>
          <w:rFonts w:ascii="Arial" w:cs="Arial" w:eastAsia="Arial" w:hAnsi="Arial"/>
          <w:sz w:val="22"/>
          <w:szCs w:val="22"/>
          <w:color w:val="010000"/>
        </w:rPr>
        <w:t xml:space="preserve"> </w:t>
      </w:r>
      <w:r>
        <w:rPr>
          <w:rFonts w:ascii="Arial" w:cs="Arial" w:eastAsia="Arial" w:hAnsi="Arial"/>
          <w:sz w:val="19"/>
          <w:szCs w:val="19"/>
          <w:color w:val="000000"/>
        </w:rPr>
        <w:t>the Administrative Agent and any Persons designated by the Administrative Agent or any Secured Party pursuant to any provisions of this Pledge Agreement shall be deemed coupled with an interest and shall be irrevocable so long as any of the Obligations remain unpaid or unsatisfied, any of the Commitments remain in effect or the Credit Facility has not been terminated.</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20. </w:t>
      </w:r>
      <w:r>
        <w:rPr>
          <w:rFonts w:ascii="Arial" w:cs="Arial" w:eastAsia="Arial" w:hAnsi="Arial"/>
          <w:sz w:val="19"/>
          <w:szCs w:val="19"/>
          <w:u w:val="single" w:color="auto"/>
          <w:color w:val="000000"/>
        </w:rPr>
        <w:t>Severability of Provisions</w:t>
      </w:r>
      <w:r>
        <w:rPr>
          <w:rFonts w:ascii="Arial" w:cs="Arial" w:eastAsia="Arial" w:hAnsi="Arial"/>
          <w:sz w:val="19"/>
          <w:szCs w:val="19"/>
          <w:color w:val="000000"/>
        </w:rPr>
        <w:t>. Any provision of this Pledge Agreement which is prohibited or unenforceable in any</w:t>
      </w:r>
      <w:r>
        <w:rPr>
          <w:rFonts w:ascii="Arial" w:cs="Arial" w:eastAsia="Arial" w:hAnsi="Arial"/>
          <w:sz w:val="22"/>
          <w:szCs w:val="22"/>
          <w:color w:val="010000"/>
        </w:rPr>
        <w:t xml:space="preserve"> </w:t>
      </w:r>
      <w:r>
        <w:rPr>
          <w:rFonts w:ascii="Arial" w:cs="Arial" w:eastAsia="Arial" w:hAnsi="Arial"/>
          <w:sz w:val="19"/>
          <w:szCs w:val="19"/>
          <w:color w:val="000000"/>
        </w:rPr>
        <w:t>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5" w:name="page306"/>
    <w:bookmarkEnd w:id="305"/>
    <w:p>
      <w:pPr>
        <w:jc w:val="both"/>
        <w:ind w:firstLine="648"/>
        <w:spacing w:after="0" w:line="236" w:lineRule="auto"/>
        <w:rPr>
          <w:sz w:val="20"/>
          <w:szCs w:val="20"/>
          <w:color w:val="auto"/>
        </w:rPr>
      </w:pPr>
      <w:r>
        <w:rPr>
          <w:rFonts w:ascii="Arial" w:cs="Arial" w:eastAsia="Arial" w:hAnsi="Arial"/>
          <w:sz w:val="22"/>
          <w:szCs w:val="22"/>
          <w:color w:val="010000"/>
        </w:rPr>
        <w:t xml:space="preserve">SECTION 21. </w:t>
      </w:r>
      <w:r>
        <w:rPr>
          <w:rFonts w:ascii="Arial" w:cs="Arial" w:eastAsia="Arial" w:hAnsi="Arial"/>
          <w:sz w:val="19"/>
          <w:szCs w:val="19"/>
          <w:u w:val="single" w:color="auto"/>
          <w:color w:val="000000"/>
        </w:rPr>
        <w:t>Titles and Captions</w:t>
      </w:r>
      <w:r>
        <w:rPr>
          <w:rFonts w:ascii="Arial" w:cs="Arial" w:eastAsia="Arial" w:hAnsi="Arial"/>
          <w:sz w:val="19"/>
          <w:szCs w:val="19"/>
          <w:color w:val="000000"/>
        </w:rPr>
        <w:t>. Titles and captions of Articles, Sections and subsections in, and the table of contents of, this</w:t>
      </w:r>
      <w:r>
        <w:rPr>
          <w:rFonts w:ascii="Arial" w:cs="Arial" w:eastAsia="Arial" w:hAnsi="Arial"/>
          <w:sz w:val="22"/>
          <w:szCs w:val="22"/>
          <w:color w:val="010000"/>
        </w:rPr>
        <w:t xml:space="preserve"> </w:t>
      </w:r>
      <w:r>
        <w:rPr>
          <w:rFonts w:ascii="Arial" w:cs="Arial" w:eastAsia="Arial" w:hAnsi="Arial"/>
          <w:sz w:val="19"/>
          <w:szCs w:val="19"/>
          <w:color w:val="000000"/>
        </w:rPr>
        <w:t>Pledge Agreement are for convenience only, and neither limit nor amplify the provisions of this Pledge Agreement.</w:t>
      </w:r>
    </w:p>
    <w:p>
      <w:pPr>
        <w:spacing w:after="0" w:line="2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22. </w:t>
      </w:r>
      <w:r>
        <w:rPr>
          <w:rFonts w:ascii="Arial" w:cs="Arial" w:eastAsia="Arial" w:hAnsi="Arial"/>
          <w:sz w:val="19"/>
          <w:szCs w:val="19"/>
          <w:u w:val="single" w:color="auto"/>
          <w:color w:val="000000"/>
        </w:rPr>
        <w:t>No Waiver by Course of Conduct, Cumulative Remedies</w:t>
      </w:r>
      <w:r>
        <w:rPr>
          <w:rFonts w:ascii="Arial" w:cs="Arial" w:eastAsia="Arial" w:hAnsi="Arial"/>
          <w:sz w:val="19"/>
          <w:szCs w:val="19"/>
          <w:color w:val="000000"/>
        </w:rPr>
        <w:t>. No waiver of any Default or Event of Default shall be a</w:t>
      </w:r>
      <w:r>
        <w:rPr>
          <w:rFonts w:ascii="Arial" w:cs="Arial" w:eastAsia="Arial" w:hAnsi="Arial"/>
          <w:sz w:val="22"/>
          <w:szCs w:val="22"/>
          <w:color w:val="010000"/>
        </w:rPr>
        <w:t xml:space="preserve"> </w:t>
      </w:r>
      <w:r>
        <w:rPr>
          <w:rFonts w:ascii="Arial" w:cs="Arial" w:eastAsia="Arial" w:hAnsi="Arial"/>
          <w:sz w:val="19"/>
          <w:szCs w:val="19"/>
          <w:color w:val="000000"/>
        </w:rPr>
        <w:t>waiver of any other Default or Event of Default. No failure on the part of Administrative Agent or any Secured Party to exercise and no delay in exercising, and no course of dealing with respect to, any right, power or privilege under this Pledge Agreement shall operate as a waiver thereof, nor shall any single or partial exercise of any right, power or privilege hereunder preclude any other or further exercise thereof or the exercise of any other right, power or privilege. No remedy, right or power conferred upon the Administrative Agent or any Secured Party is intended to be exclusive of any other remedy, right or power given hereunder or now or hereafter existing at law, in equity, or otherwise, and all such remedies, rights and powers shall be cumulative.</w:t>
      </w:r>
    </w:p>
    <w:p>
      <w:pPr>
        <w:spacing w:after="0" w:line="1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23. </w:t>
      </w:r>
      <w:r>
        <w:rPr>
          <w:rFonts w:ascii="Arial" w:cs="Arial" w:eastAsia="Arial" w:hAnsi="Arial"/>
          <w:sz w:val="19"/>
          <w:szCs w:val="19"/>
          <w:u w:val="single" w:color="auto"/>
          <w:color w:val="000000"/>
        </w:rPr>
        <w:t>Amendments, Waivers and Consents</w:t>
      </w:r>
      <w:r>
        <w:rPr>
          <w:rFonts w:ascii="Arial" w:cs="Arial" w:eastAsia="Arial" w:hAnsi="Arial"/>
          <w:sz w:val="19"/>
          <w:szCs w:val="19"/>
          <w:color w:val="000000"/>
        </w:rPr>
        <w:t>. No term, covenant, agreement or condition of this Pledge Agreement may be</w:t>
      </w:r>
      <w:r>
        <w:rPr>
          <w:rFonts w:ascii="Arial" w:cs="Arial" w:eastAsia="Arial" w:hAnsi="Arial"/>
          <w:sz w:val="22"/>
          <w:szCs w:val="22"/>
          <w:color w:val="010000"/>
        </w:rPr>
        <w:t xml:space="preserve"> </w:t>
      </w:r>
      <w:r>
        <w:rPr>
          <w:rFonts w:ascii="Arial" w:cs="Arial" w:eastAsia="Arial" w:hAnsi="Arial"/>
          <w:sz w:val="19"/>
          <w:szCs w:val="19"/>
          <w:color w:val="000000"/>
        </w:rPr>
        <w:t>amended or waived, nor may any consent be given, except in the manner set forth in Section 13.2 of the Credit Agreement.</w:t>
      </w:r>
    </w:p>
    <w:p>
      <w:pPr>
        <w:spacing w:after="0" w:line="20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24.</w:t>
      </w:r>
      <w:r>
        <w:rPr>
          <w:sz w:val="20"/>
          <w:szCs w:val="20"/>
          <w:color w:val="auto"/>
        </w:rPr>
        <w:tab/>
      </w:r>
      <w:r>
        <w:rPr>
          <w:rFonts w:ascii="Arial" w:cs="Arial" w:eastAsia="Arial" w:hAnsi="Arial"/>
          <w:sz w:val="18"/>
          <w:szCs w:val="18"/>
          <w:u w:val="single" w:color="auto"/>
          <w:color w:val="auto"/>
        </w:rPr>
        <w:t>Expenses and Indemnification</w:t>
      </w:r>
      <w:r>
        <w:rPr>
          <w:rFonts w:ascii="Arial" w:cs="Arial" w:eastAsia="Arial" w:hAnsi="Arial"/>
          <w:sz w:val="18"/>
          <w:szCs w:val="18"/>
          <w:color w:val="auto"/>
        </w:rPr>
        <w:t>.</w:t>
      </w:r>
    </w:p>
    <w:p>
      <w:pPr>
        <w:spacing w:after="0" w:line="211" w:lineRule="exact"/>
        <w:rPr>
          <w:sz w:val="20"/>
          <w:szCs w:val="20"/>
          <w:color w:val="auto"/>
        </w:rPr>
      </w:pPr>
    </w:p>
    <w:p>
      <w:pPr>
        <w:jc w:val="both"/>
        <w:ind w:firstLine="656"/>
        <w:spacing w:after="0" w:line="250" w:lineRule="auto"/>
        <w:tabs>
          <w:tab w:leader="none" w:pos="1133" w:val="left"/>
        </w:tabs>
        <w:numPr>
          <w:ilvl w:val="0"/>
          <w:numId w:val="293"/>
        </w:numPr>
        <w:rPr>
          <w:rFonts w:ascii="Arial" w:cs="Arial" w:eastAsia="Arial" w:hAnsi="Arial"/>
          <w:sz w:val="20"/>
          <w:szCs w:val="20"/>
          <w:color w:val="010000"/>
        </w:rPr>
      </w:pPr>
      <w:r>
        <w:rPr>
          <w:rFonts w:ascii="Arial" w:cs="Arial" w:eastAsia="Arial" w:hAnsi="Arial"/>
          <w:sz w:val="20"/>
          <w:szCs w:val="20"/>
          <w:color w:val="auto"/>
        </w:rPr>
        <w:t>The Pledgors shall, jointly and severally, pay all reasonable out-of-pocket expenses (including, without limitation, attorney’s fees and expenses) incurred by the Administrative Agent and each Secured Party to the extent the Company would be required to do so pursuant to Section 13.4 of the Credit Agreement.</w:t>
      </w:r>
    </w:p>
    <w:p>
      <w:pPr>
        <w:spacing w:after="0" w:line="185" w:lineRule="exact"/>
        <w:rPr>
          <w:rFonts w:ascii="Arial" w:cs="Arial" w:eastAsia="Arial" w:hAnsi="Arial"/>
          <w:sz w:val="20"/>
          <w:szCs w:val="20"/>
          <w:color w:val="010000"/>
        </w:rPr>
      </w:pPr>
    </w:p>
    <w:p>
      <w:pPr>
        <w:jc w:val="both"/>
        <w:ind w:firstLine="656"/>
        <w:spacing w:after="0" w:line="250" w:lineRule="auto"/>
        <w:tabs>
          <w:tab w:leader="none" w:pos="1211" w:val="left"/>
        </w:tabs>
        <w:numPr>
          <w:ilvl w:val="0"/>
          <w:numId w:val="293"/>
        </w:numPr>
        <w:rPr>
          <w:rFonts w:ascii="Arial" w:cs="Arial" w:eastAsia="Arial" w:hAnsi="Arial"/>
          <w:sz w:val="20"/>
          <w:szCs w:val="20"/>
          <w:color w:val="010000"/>
        </w:rPr>
      </w:pPr>
      <w:r>
        <w:rPr>
          <w:rFonts w:ascii="Arial" w:cs="Arial" w:eastAsia="Arial" w:hAnsi="Arial"/>
          <w:sz w:val="20"/>
          <w:szCs w:val="20"/>
          <w:color w:val="auto"/>
        </w:rPr>
        <w:t>The Pledgors shall, jointly and severally, pay and indemnify each indemnified party (which for purposes of this Pledge Agreement shall include, without limitation, all Lenders) against Indemnified Taxes and Other Taxes to the extent the Company would be required to do so pursuant to Section 4.11 of the Credit Agreement.</w:t>
      </w:r>
    </w:p>
    <w:p>
      <w:pPr>
        <w:spacing w:after="0" w:line="185" w:lineRule="exact"/>
        <w:rPr>
          <w:rFonts w:ascii="Arial" w:cs="Arial" w:eastAsia="Arial" w:hAnsi="Arial"/>
          <w:sz w:val="20"/>
          <w:szCs w:val="20"/>
          <w:color w:val="010000"/>
        </w:rPr>
      </w:pPr>
    </w:p>
    <w:p>
      <w:pPr>
        <w:ind w:firstLine="656"/>
        <w:spacing w:after="0" w:line="260" w:lineRule="auto"/>
        <w:tabs>
          <w:tab w:leader="none" w:pos="1079" w:val="left"/>
        </w:tabs>
        <w:numPr>
          <w:ilvl w:val="0"/>
          <w:numId w:val="293"/>
        </w:numPr>
        <w:rPr>
          <w:rFonts w:ascii="Arial" w:cs="Arial" w:eastAsia="Arial" w:hAnsi="Arial"/>
          <w:sz w:val="20"/>
          <w:szCs w:val="20"/>
          <w:color w:val="010000"/>
        </w:rPr>
      </w:pPr>
      <w:r>
        <w:rPr>
          <w:rFonts w:ascii="Arial" w:cs="Arial" w:eastAsia="Arial" w:hAnsi="Arial"/>
          <w:sz w:val="20"/>
          <w:szCs w:val="20"/>
          <w:color w:val="auto"/>
        </w:rPr>
        <w:t>The Pledgors shall, jointly and severally, indemnify each indemnified party to the extent the Company would be required to do so pursuant to Section 13.4 of the Credit Agreement.</w:t>
      </w:r>
    </w:p>
    <w:p>
      <w:pPr>
        <w:spacing w:after="0" w:line="176" w:lineRule="exact"/>
        <w:rPr>
          <w:rFonts w:ascii="Arial" w:cs="Arial" w:eastAsia="Arial" w:hAnsi="Arial"/>
          <w:sz w:val="20"/>
          <w:szCs w:val="20"/>
          <w:color w:val="010000"/>
        </w:rPr>
      </w:pPr>
    </w:p>
    <w:p>
      <w:pPr>
        <w:ind w:left="1080" w:hanging="424"/>
        <w:spacing w:after="0"/>
        <w:tabs>
          <w:tab w:leader="none" w:pos="1080" w:val="left"/>
        </w:tabs>
        <w:numPr>
          <w:ilvl w:val="0"/>
          <w:numId w:val="293"/>
        </w:numPr>
        <w:rPr>
          <w:rFonts w:ascii="Arial" w:cs="Arial" w:eastAsia="Arial" w:hAnsi="Arial"/>
          <w:sz w:val="20"/>
          <w:szCs w:val="20"/>
          <w:color w:val="010000"/>
        </w:rPr>
      </w:pPr>
      <w:r>
        <w:rPr>
          <w:rFonts w:ascii="Arial" w:cs="Arial" w:eastAsia="Arial" w:hAnsi="Arial"/>
          <w:sz w:val="20"/>
          <w:szCs w:val="20"/>
          <w:color w:val="auto"/>
        </w:rPr>
        <w:t>All amounts due under this Section shall be payable promptly after demand therefor.</w:t>
      </w:r>
    </w:p>
    <w:p>
      <w:pPr>
        <w:spacing w:after="0" w:line="22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25.</w:t>
      </w:r>
      <w:r>
        <w:rPr>
          <w:sz w:val="20"/>
          <w:szCs w:val="20"/>
          <w:color w:val="auto"/>
        </w:rPr>
        <w:tab/>
      </w:r>
      <w:r>
        <w:rPr>
          <w:rFonts w:ascii="Arial" w:cs="Arial" w:eastAsia="Arial" w:hAnsi="Arial"/>
          <w:sz w:val="18"/>
          <w:szCs w:val="18"/>
          <w:u w:val="single" w:color="auto"/>
          <w:color w:val="auto"/>
        </w:rPr>
        <w:t>Injunctive Relief; Punitive or Indirect Damages</w:t>
      </w:r>
      <w:r>
        <w:rPr>
          <w:rFonts w:ascii="Arial" w:cs="Arial" w:eastAsia="Arial" w:hAnsi="Arial"/>
          <w:sz w:val="18"/>
          <w:szCs w:val="18"/>
          <w:color w:val="auto"/>
        </w:rPr>
        <w:t>.</w:t>
      </w:r>
    </w:p>
    <w:p>
      <w:pPr>
        <w:spacing w:after="0" w:line="211" w:lineRule="exact"/>
        <w:rPr>
          <w:sz w:val="20"/>
          <w:szCs w:val="20"/>
          <w:color w:val="auto"/>
        </w:rPr>
      </w:pPr>
    </w:p>
    <w:p>
      <w:pPr>
        <w:jc w:val="both"/>
        <w:ind w:firstLine="656"/>
        <w:spacing w:after="0" w:line="282" w:lineRule="auto"/>
        <w:tabs>
          <w:tab w:leader="none" w:pos="1065" w:val="left"/>
        </w:tabs>
        <w:numPr>
          <w:ilvl w:val="0"/>
          <w:numId w:val="294"/>
        </w:numPr>
        <w:rPr>
          <w:rFonts w:ascii="Arial" w:cs="Arial" w:eastAsia="Arial" w:hAnsi="Arial"/>
          <w:sz w:val="18"/>
          <w:szCs w:val="18"/>
          <w:color w:val="010000"/>
        </w:rPr>
      </w:pPr>
      <w:r>
        <w:rPr>
          <w:rFonts w:ascii="Arial" w:cs="Arial" w:eastAsia="Arial" w:hAnsi="Arial"/>
          <w:sz w:val="18"/>
          <w:szCs w:val="18"/>
          <w:color w:val="auto"/>
        </w:rPr>
        <w:t>Each Pledgor recognizes that, in the event such Pledgor fails to perform, observe or discharge any of its obligations or liabilities under this Pledge Agreement, any remedy of law may prove to be inadequate relief to the Administrative Agent and the Secured Parties. Therefore, each Pledgor agrees that the Administrative Agent and the Secured Parties, at the Required Lenders’ option, shall be entitled to seek temporary and permanent injunctive relief in any such case without the necessity of proving actual damages.</w:t>
      </w:r>
    </w:p>
    <w:p>
      <w:pPr>
        <w:spacing w:after="0" w:line="161" w:lineRule="exact"/>
        <w:rPr>
          <w:rFonts w:ascii="Arial" w:cs="Arial" w:eastAsia="Arial" w:hAnsi="Arial"/>
          <w:sz w:val="18"/>
          <w:szCs w:val="18"/>
          <w:color w:val="010000"/>
        </w:rPr>
      </w:pPr>
    </w:p>
    <w:p>
      <w:pPr>
        <w:jc w:val="both"/>
        <w:ind w:firstLine="656"/>
        <w:spacing w:after="0" w:line="263" w:lineRule="auto"/>
        <w:tabs>
          <w:tab w:leader="none" w:pos="1103" w:val="left"/>
        </w:tabs>
        <w:numPr>
          <w:ilvl w:val="0"/>
          <w:numId w:val="294"/>
        </w:numPr>
        <w:rPr>
          <w:rFonts w:ascii="Arial" w:cs="Arial" w:eastAsia="Arial" w:hAnsi="Arial"/>
          <w:sz w:val="19"/>
          <w:szCs w:val="19"/>
          <w:color w:val="010000"/>
        </w:rPr>
      </w:pPr>
      <w:r>
        <w:rPr>
          <w:rFonts w:ascii="Arial" w:cs="Arial" w:eastAsia="Arial" w:hAnsi="Arial"/>
          <w:sz w:val="19"/>
          <w:szCs w:val="19"/>
          <w:color w:val="auto"/>
        </w:rPr>
        <w:t>The Administrative Agent and the Company (on behalf of itself and the other Credit Parties) hereby agree that no such Person shall have a remedy of punitive or exemplary damages against any other party to a Loan Document and each such Person hereby waives any right or claim to punitive or exemplary damages that it may now have or may arise in the future in connection with any dispute, claim or controversy arising out of, connected with or relating to this Pledge Agreement or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66" w:right="339" w:bottom="1440" w:gutter="0" w:footer="0" w:header="0"/>
        </w:sectPr>
      </w:pPr>
    </w:p>
    <w:bookmarkStart w:id="306" w:name="page307"/>
    <w:bookmarkEnd w:id="306"/>
    <w:p>
      <w:pPr>
        <w:jc w:val="both"/>
        <w:ind w:firstLine="656"/>
        <w:spacing w:after="0" w:line="278" w:lineRule="auto"/>
        <w:tabs>
          <w:tab w:leader="none" w:pos="1079"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Without limiting the generality of any provisions set forth herein relating to indemnification or reimbursement by the Company or any other Credit Party, the Administrative Agent and the Company (on behalf of itself and the other Credit Parties) hereby agree that no such Person shall have a remedy of any consequential or indirect damages against any other party to a Loan Document, and each such Person hereby waives any right or claim to consequential or indirect damages that it may now have or may arise in the future in connection with any dispute, claim or controversy arising out of, connected with or relating to this Pledge Agreement or any Loan Document.</w:t>
      </w:r>
    </w:p>
    <w:p>
      <w:pPr>
        <w:spacing w:after="0" w:line="1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010000"/>
        </w:rPr>
        <w:t xml:space="preserve">SECTION 26. </w:t>
      </w:r>
      <w:r>
        <w:rPr>
          <w:rFonts w:ascii="Arial" w:cs="Arial" w:eastAsia="Arial" w:hAnsi="Arial"/>
          <w:sz w:val="18"/>
          <w:szCs w:val="18"/>
          <w:u w:val="single" w:color="auto"/>
          <w:color w:val="000000"/>
        </w:rPr>
        <w:t>Successor and Assigns</w:t>
      </w:r>
      <w:r>
        <w:rPr>
          <w:rFonts w:ascii="Arial" w:cs="Arial" w:eastAsia="Arial" w:hAnsi="Arial"/>
          <w:sz w:val="18"/>
          <w:szCs w:val="18"/>
          <w:color w:val="000000"/>
        </w:rPr>
        <w:t>. This Pledge Agreement shall be binding upon the successors and assigns of each Pledgor</w:t>
      </w:r>
      <w:r>
        <w:rPr>
          <w:rFonts w:ascii="Arial" w:cs="Arial" w:eastAsia="Arial" w:hAnsi="Arial"/>
          <w:sz w:val="21"/>
          <w:szCs w:val="21"/>
          <w:color w:val="010000"/>
        </w:rPr>
        <w:t xml:space="preserve"> </w:t>
      </w:r>
      <w:r>
        <w:rPr>
          <w:rFonts w:ascii="Arial" w:cs="Arial" w:eastAsia="Arial" w:hAnsi="Arial"/>
          <w:sz w:val="18"/>
          <w:szCs w:val="18"/>
          <w:color w:val="000000"/>
        </w:rPr>
        <w:t xml:space="preserve">and shall inure to the benefit of each Pledgor (and shall bind all Persons who become bound as a Pledgor under this Pledge Agreement), the Administrative Agent and the Secured Parties and their successors and assigns;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Pledgor may assign, transfer or delegate any of its rights or obligations under this Pledge Agreement (other than an assignment by operation of law that is otherwise permitted under the Loan Documents) without the prior written consent of the Administrative Agent and the Required Lenders.</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27. </w:t>
      </w:r>
      <w:r>
        <w:rPr>
          <w:rFonts w:ascii="Arial" w:cs="Arial" w:eastAsia="Arial" w:hAnsi="Arial"/>
          <w:sz w:val="19"/>
          <w:szCs w:val="19"/>
          <w:u w:val="single" w:color="auto"/>
          <w:color w:val="000000"/>
        </w:rPr>
        <w:t>Governing Law; Submission to Jurisdiction; Venue</w:t>
      </w:r>
      <w:r>
        <w:rPr>
          <w:rFonts w:ascii="Arial" w:cs="Arial" w:eastAsia="Arial" w:hAnsi="Arial"/>
          <w:sz w:val="19"/>
          <w:szCs w:val="19"/>
          <w:color w:val="000000"/>
        </w:rPr>
        <w:t>. The terms of Section 13.6 of the Credit Agreement with</w:t>
      </w:r>
      <w:r>
        <w:rPr>
          <w:rFonts w:ascii="Arial" w:cs="Arial" w:eastAsia="Arial" w:hAnsi="Arial"/>
          <w:sz w:val="22"/>
          <w:szCs w:val="22"/>
          <w:color w:val="010000"/>
        </w:rPr>
        <w:t xml:space="preserve"> </w:t>
      </w:r>
      <w:r>
        <w:rPr>
          <w:rFonts w:ascii="Arial" w:cs="Arial" w:eastAsia="Arial" w:hAnsi="Arial"/>
          <w:sz w:val="19"/>
          <w:szCs w:val="19"/>
          <w:color w:val="000000"/>
        </w:rPr>
        <w:t xml:space="preserve">respect to governing law, submission to jurisdiction and venue are incorporated herein by reference, </w:t>
      </w:r>
      <w:r>
        <w:rPr>
          <w:rFonts w:ascii="Arial" w:cs="Arial" w:eastAsia="Arial" w:hAnsi="Arial"/>
          <w:sz w:val="19"/>
          <w:szCs w:val="19"/>
          <w:i w:val="1"/>
          <w:iCs w:val="1"/>
          <w:color w:val="000000"/>
        </w:rPr>
        <w:t>mutatis mutandis</w:t>
      </w:r>
      <w:r>
        <w:rPr>
          <w:rFonts w:ascii="Arial" w:cs="Arial" w:eastAsia="Arial" w:hAnsi="Arial"/>
          <w:sz w:val="19"/>
          <w:szCs w:val="19"/>
          <w:color w:val="000000"/>
        </w:rPr>
        <w:t>, and the parties hereto agree to such terms.</w:t>
      </w:r>
    </w:p>
    <w:p>
      <w:pPr>
        <w:spacing w:after="0" w:line="20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28.</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11" w:lineRule="exact"/>
        <w:rPr>
          <w:sz w:val="20"/>
          <w:szCs w:val="20"/>
          <w:color w:val="auto"/>
        </w:rPr>
      </w:pPr>
    </w:p>
    <w:p>
      <w:pPr>
        <w:ind w:right="20" w:firstLine="656"/>
        <w:spacing w:after="0" w:line="260" w:lineRule="auto"/>
        <w:tabs>
          <w:tab w:leader="none" w:pos="1119" w:val="left"/>
        </w:tabs>
        <w:numPr>
          <w:ilvl w:val="0"/>
          <w:numId w:val="296"/>
        </w:numPr>
        <w:rPr>
          <w:rFonts w:ascii="Arial" w:cs="Arial" w:eastAsia="Arial" w:hAnsi="Arial"/>
          <w:sz w:val="20"/>
          <w:szCs w:val="20"/>
          <w:color w:val="010000"/>
        </w:rPr>
      </w:pPr>
      <w:r>
        <w:rPr>
          <w:rFonts w:ascii="Arial" w:cs="Arial" w:eastAsia="Arial" w:hAnsi="Arial"/>
          <w:sz w:val="20"/>
          <w:szCs w:val="20"/>
          <w:u w:val="single" w:color="auto"/>
          <w:color w:val="auto"/>
        </w:rPr>
        <w:t>Jury Trial</w:t>
      </w:r>
      <w:r>
        <w:rPr>
          <w:rFonts w:ascii="Arial" w:cs="Arial" w:eastAsia="Arial" w:hAnsi="Arial"/>
          <w:sz w:val="20"/>
          <w:szCs w:val="20"/>
          <w:color w:val="auto"/>
        </w:rPr>
        <w:t xml:space="preserve">. The terms of Section 13.7 of the Credit Agreement with respect to waiver of jury trial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and the parties hereto agree to such terms.</w:t>
      </w:r>
    </w:p>
    <w:p>
      <w:pPr>
        <w:spacing w:after="0" w:line="176" w:lineRule="exact"/>
        <w:rPr>
          <w:rFonts w:ascii="Arial" w:cs="Arial" w:eastAsia="Arial" w:hAnsi="Arial"/>
          <w:sz w:val="20"/>
          <w:szCs w:val="20"/>
          <w:color w:val="010000"/>
        </w:rPr>
      </w:pPr>
    </w:p>
    <w:p>
      <w:pPr>
        <w:jc w:val="both"/>
        <w:ind w:firstLine="656"/>
        <w:spacing w:after="0" w:line="242" w:lineRule="auto"/>
        <w:tabs>
          <w:tab w:leader="none" w:pos="1171" w:val="left"/>
        </w:tabs>
        <w:numPr>
          <w:ilvl w:val="0"/>
          <w:numId w:val="296"/>
        </w:numPr>
        <w:rPr>
          <w:rFonts w:ascii="Arial" w:cs="Arial" w:eastAsia="Arial" w:hAnsi="Arial"/>
          <w:sz w:val="20"/>
          <w:szCs w:val="20"/>
          <w:color w:val="010000"/>
        </w:rPr>
      </w:pPr>
      <w:r>
        <w:rPr>
          <w:rFonts w:ascii="Arial" w:cs="Arial" w:eastAsia="Arial" w:hAnsi="Arial"/>
          <w:sz w:val="20"/>
          <w:szCs w:val="20"/>
          <w:u w:val="single" w:color="auto"/>
          <w:color w:val="auto"/>
        </w:rPr>
        <w:t>Preservation of Certain Remedies</w:t>
      </w:r>
      <w:r>
        <w:rPr>
          <w:rFonts w:ascii="Arial" w:cs="Arial" w:eastAsia="Arial" w:hAnsi="Arial"/>
          <w:sz w:val="20"/>
          <w:szCs w:val="20"/>
          <w:color w:val="auto"/>
        </w:rPr>
        <w:t>. The parties hereto and the other Loan Documents preserve, without diminution, certain remedies that such Persons may employ or exercise freely, either alone, in conjunction with or during any dispute, claim or controversy arising out of, connected with or relating to this Pledge Agreement or any Loan Document. Each such Person shall have and hereby reserves the right to proceed in any court of proper jurisdiction or by self help to exercise or prosecute the following remedies, as applicable: (i) all rights to foreclose against any real or personal property or other security by exercising a power of sale granted in the Loan Documents or under Applicable Law or by judicial foreclosure and sale, including a proceeding to confirm the sale, (ii) all rights of self help including peaceful occupation of property and collection of rents, set off, and peaceful possession of property and (iii) obtaining provisional or ancillary remedies including injunctive relief, sequestration, garnishment, attachment, appointment of receiver and in filing an involuntary bankruptcy proceeding.</w:t>
      </w:r>
    </w:p>
    <w:p>
      <w:pPr>
        <w:spacing w:after="0" w:line="20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29. </w:t>
      </w:r>
      <w:r>
        <w:rPr>
          <w:rFonts w:ascii="Arial" w:cs="Arial" w:eastAsia="Arial" w:hAnsi="Arial"/>
          <w:sz w:val="19"/>
          <w:szCs w:val="19"/>
          <w:u w:val="single" w:color="auto"/>
          <w:color w:val="000000"/>
        </w:rPr>
        <w:t>Notices</w:t>
      </w:r>
      <w:r>
        <w:rPr>
          <w:rFonts w:ascii="Arial" w:cs="Arial" w:eastAsia="Arial" w:hAnsi="Arial"/>
          <w:sz w:val="19"/>
          <w:szCs w:val="19"/>
          <w:color w:val="000000"/>
        </w:rPr>
        <w:t>. All notices and communications hereunder shall be given to the addresses and otherwise in accordance</w:t>
      </w:r>
      <w:r>
        <w:rPr>
          <w:rFonts w:ascii="Arial" w:cs="Arial" w:eastAsia="Arial" w:hAnsi="Arial"/>
          <w:sz w:val="22"/>
          <w:szCs w:val="22"/>
          <w:color w:val="010000"/>
        </w:rPr>
        <w:t xml:space="preserve"> </w:t>
      </w:r>
      <w:r>
        <w:rPr>
          <w:rFonts w:ascii="Arial" w:cs="Arial" w:eastAsia="Arial" w:hAnsi="Arial"/>
          <w:sz w:val="19"/>
          <w:szCs w:val="19"/>
          <w:color w:val="000000"/>
        </w:rPr>
        <w:t>with Section 13.1 of the Credit Agreement.</w:t>
      </w:r>
    </w:p>
    <w:p>
      <w:pPr>
        <w:spacing w:after="0" w:line="2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30. </w:t>
      </w:r>
      <w:r>
        <w:rPr>
          <w:rFonts w:ascii="Arial" w:cs="Arial" w:eastAsia="Arial" w:hAnsi="Arial"/>
          <w:sz w:val="19"/>
          <w:szCs w:val="19"/>
          <w:u w:val="single" w:color="auto"/>
          <w:color w:val="000000"/>
        </w:rPr>
        <w:t>Control Agreement</w:t>
      </w:r>
      <w:r>
        <w:rPr>
          <w:rFonts w:ascii="Arial" w:cs="Arial" w:eastAsia="Arial" w:hAnsi="Arial"/>
          <w:sz w:val="19"/>
          <w:szCs w:val="19"/>
          <w:color w:val="000000"/>
        </w:rPr>
        <w:t>. The Pledgors hereby authorize and instruct each Issuer and Partnership/LLC to comply, and</w:t>
      </w:r>
      <w:r>
        <w:rPr>
          <w:rFonts w:ascii="Arial" w:cs="Arial" w:eastAsia="Arial" w:hAnsi="Arial"/>
          <w:sz w:val="22"/>
          <w:szCs w:val="22"/>
          <w:color w:val="010000"/>
        </w:rPr>
        <w:t xml:space="preserve"> </w:t>
      </w:r>
      <w:r>
        <w:rPr>
          <w:rFonts w:ascii="Arial" w:cs="Arial" w:eastAsia="Arial" w:hAnsi="Arial"/>
          <w:sz w:val="19"/>
          <w:szCs w:val="19"/>
          <w:color w:val="000000"/>
        </w:rPr>
        <w:t>each Issuer and Partnership/LLC hereby agrees to so comply, with any instruction received thereby from the Administrative Agent in accordance with the terms of this Pledge Agreement with respect to the Collateral, without any consent or further instructions from the Pledgors (or other registered owner), and the Pledgors agree that such Issuer and such Partnership/LLC shall be fully protected in so complying. Each Issuer and Partnership/LLC agrees that its agreement set forth in the preceding sentence shall be sufficient to create in favor of the Administrative Agent, for the benefit of the Secured Parties, “control” of the Partnership/LLC Interests within the meaning of such term under Sections 8-106(c) and 9-106 of the Code. Notwithstanding the foregoing, nothing in this Pledge Agreement is intended or shall be construed to mean or imply that the Partnership/LLC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7" w:name="page308"/>
    <w:bookmarkEnd w:id="307"/>
    <w:p>
      <w:pPr>
        <w:jc w:val="both"/>
        <w:spacing w:after="0" w:line="246" w:lineRule="auto"/>
        <w:rPr>
          <w:sz w:val="20"/>
          <w:szCs w:val="20"/>
          <w:color w:val="auto"/>
        </w:rPr>
      </w:pPr>
      <w:r>
        <w:rPr>
          <w:rFonts w:ascii="Arial" w:cs="Arial" w:eastAsia="Arial" w:hAnsi="Arial"/>
          <w:sz w:val="20"/>
          <w:szCs w:val="20"/>
          <w:color w:val="auto"/>
        </w:rPr>
        <w:t>constitute “securities” within the meaning of such term under Section 8-102(a)(15) of the Code or otherwise to limit or modify the application of Section 8-103(c) of the Code. Rather, the Administrative Agent has requested that this provision be included in this Pledge Agreement solely out of an abundance of caution in the event the Partnership/LLC Interests are, nevertheless, deemed to constitute “securities” under the Code.</w:t>
      </w:r>
    </w:p>
    <w:p>
      <w:pPr>
        <w:spacing w:after="0" w:line="20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19"/>
          <w:szCs w:val="19"/>
          <w:u w:val="single" w:color="auto"/>
          <w:color w:val="000000"/>
        </w:rPr>
        <w:t>Concerning the Administrative Agent</w:t>
      </w:r>
      <w:r>
        <w:rPr>
          <w:rFonts w:ascii="Arial" w:cs="Arial" w:eastAsia="Arial" w:hAnsi="Arial"/>
          <w:sz w:val="19"/>
          <w:szCs w:val="19"/>
          <w:color w:val="000000"/>
        </w:rPr>
        <w:t>. The provisions of</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Article XII</w:t>
      </w:r>
      <w:r>
        <w:rPr>
          <w:rFonts w:ascii="Arial" w:cs="Arial" w:eastAsia="Arial" w:hAnsi="Arial"/>
          <w:sz w:val="22"/>
          <w:szCs w:val="22"/>
          <w:color w:val="010000"/>
        </w:rPr>
        <w:t xml:space="preserve"> </w:t>
      </w:r>
      <w:r>
        <w:rPr>
          <w:rFonts w:ascii="Arial" w:cs="Arial" w:eastAsia="Arial" w:hAnsi="Arial"/>
          <w:sz w:val="19"/>
          <w:szCs w:val="19"/>
          <w:color w:val="000000"/>
        </w:rPr>
        <w:t>of the Credit Agreement shall inure to the</w:t>
      </w:r>
      <w:r>
        <w:rPr>
          <w:rFonts w:ascii="Arial" w:cs="Arial" w:eastAsia="Arial" w:hAnsi="Arial"/>
          <w:sz w:val="22"/>
          <w:szCs w:val="22"/>
          <w:color w:val="010000"/>
        </w:rPr>
        <w:t xml:space="preserve"> </w:t>
      </w:r>
      <w:r>
        <w:rPr>
          <w:rFonts w:ascii="Arial" w:cs="Arial" w:eastAsia="Arial" w:hAnsi="Arial"/>
          <w:sz w:val="19"/>
          <w:szCs w:val="19"/>
          <w:color w:val="000000"/>
        </w:rPr>
        <w:t>benefit of the Administrative Agent in respect of this Pledge Agreement and shall be binding upon the Pledgors and the Secured Parties. In furtherance and not in derogation of the rights, privileges and immunities of the Administrative Agent therein set forth:</w:t>
      </w:r>
    </w:p>
    <w:p>
      <w:pPr>
        <w:spacing w:after="0" w:line="195" w:lineRule="exact"/>
        <w:rPr>
          <w:sz w:val="20"/>
          <w:szCs w:val="20"/>
          <w:color w:val="auto"/>
        </w:rPr>
      </w:pPr>
    </w:p>
    <w:p>
      <w:pPr>
        <w:jc w:val="both"/>
        <w:ind w:firstLine="656"/>
        <w:spacing w:after="0" w:line="244" w:lineRule="auto"/>
        <w:tabs>
          <w:tab w:leader="none" w:pos="1187"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The Administrative Agent is authorized to take all such action as is provided to be taken by it as Administrative Agent hereunder and all other action incidental thereto. As to any matters not expressly provided for herein, the Administrative Agent may request instructions from the Secured Parties and shall act or refrain from acting in accordance with written instructions from the Required Lenders (or, when expressly required by this Pledge Agreement or the Credit Agreement, all the Lenders) or, in the absence of such instructions, in accordance with its discretion.</w:t>
      </w:r>
    </w:p>
    <w:p>
      <w:pPr>
        <w:spacing w:after="0" w:line="194" w:lineRule="exact"/>
        <w:rPr>
          <w:rFonts w:ascii="Arial" w:cs="Arial" w:eastAsia="Arial" w:hAnsi="Arial"/>
          <w:sz w:val="20"/>
          <w:szCs w:val="20"/>
          <w:color w:val="010000"/>
        </w:rPr>
      </w:pPr>
    </w:p>
    <w:p>
      <w:pPr>
        <w:jc w:val="both"/>
        <w:ind w:firstLine="656"/>
        <w:spacing w:after="0" w:line="244" w:lineRule="auto"/>
        <w:tabs>
          <w:tab w:leader="none" w:pos="1130" w:val="left"/>
        </w:tabs>
        <w:numPr>
          <w:ilvl w:val="0"/>
          <w:numId w:val="297"/>
        </w:numPr>
        <w:rPr>
          <w:rFonts w:ascii="Arial" w:cs="Arial" w:eastAsia="Arial" w:hAnsi="Arial"/>
          <w:sz w:val="20"/>
          <w:szCs w:val="20"/>
          <w:color w:val="010000"/>
        </w:rPr>
      </w:pPr>
      <w:r>
        <w:rPr>
          <w:rFonts w:ascii="Arial" w:cs="Arial" w:eastAsia="Arial" w:hAnsi="Arial"/>
          <w:sz w:val="20"/>
          <w:szCs w:val="20"/>
          <w:color w:val="auto"/>
        </w:rPr>
        <w:t>The Administrative Agent shall not be responsible for the existence, genuineness or value of any of the Collateral or for the validity, perfection, priority or enforceability of the security interests therein purported to be granted by this Pledge Agreement, whether impaired by operation of law or by reason of any action or omission to act on its part (other than any such action or inaction constituting gross negligence or willful misconduct). The Administrative Agent shall have no duty to ascertain or inquire as to the performance or observance of any of the terms of this Pledge Agreement by the Pledgors.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32. </w:t>
      </w:r>
      <w:r>
        <w:rPr>
          <w:rFonts w:ascii="Arial" w:cs="Arial" w:eastAsia="Arial" w:hAnsi="Arial"/>
          <w:sz w:val="19"/>
          <w:szCs w:val="19"/>
          <w:u w:val="single" w:color="auto"/>
          <w:color w:val="000000"/>
        </w:rPr>
        <w:t>Counterparts; Integration; Effectiveness</w:t>
      </w:r>
      <w:r>
        <w:rPr>
          <w:rFonts w:ascii="Arial" w:cs="Arial" w:eastAsia="Arial" w:hAnsi="Arial"/>
          <w:sz w:val="19"/>
          <w:szCs w:val="19"/>
          <w:color w:val="000000"/>
        </w:rPr>
        <w:t>. This Pledge Agreement may be executed in any number of counterparts</w:t>
      </w:r>
      <w:r>
        <w:rPr>
          <w:rFonts w:ascii="Arial" w:cs="Arial" w:eastAsia="Arial" w:hAnsi="Arial"/>
          <w:sz w:val="22"/>
          <w:szCs w:val="22"/>
          <w:color w:val="010000"/>
        </w:rPr>
        <w:t xml:space="preserve"> </w:t>
      </w:r>
      <w:r>
        <w:rPr>
          <w:rFonts w:ascii="Arial" w:cs="Arial" w:eastAsia="Arial" w:hAnsi="Arial"/>
          <w:sz w:val="19"/>
          <w:szCs w:val="19"/>
          <w:color w:val="000000"/>
        </w:rPr>
        <w:t>and by different parties hereto in separate counterparts, each of which when so executed shall be deemed to be an original and shall be binding upon all parties, their successors and assigns, and all of which taken together shall constitute one and the same agreement. Delivery of an executed counterpart of a signature page of this Pledge Agreement by facsimile or in electronic (i.e., “.pdf” or “.tif”) format shall be effective as delivery of a manually executed counterpart of this Pledge Agreement. This Pledge Agreement, together with the other Loan Documents, comprises the complete and integrated agreement of the parties on the subject matter hereof and thereof and supersedes all prior agreements, written or oral, on such subject matter.</w:t>
      </w:r>
    </w:p>
    <w:p>
      <w:pPr>
        <w:spacing w:after="0" w:line="1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010000"/>
        </w:rPr>
        <w:t xml:space="preserve">SECTION 33. </w:t>
      </w:r>
      <w:r>
        <w:rPr>
          <w:rFonts w:ascii="Arial" w:cs="Arial" w:eastAsia="Arial" w:hAnsi="Arial"/>
          <w:sz w:val="19"/>
          <w:szCs w:val="19"/>
          <w:u w:val="single" w:color="auto"/>
          <w:color w:val="000000"/>
        </w:rPr>
        <w:t>Survival of Indemnities</w:t>
      </w:r>
      <w:r>
        <w:rPr>
          <w:rFonts w:ascii="Arial" w:cs="Arial" w:eastAsia="Arial" w:hAnsi="Arial"/>
          <w:sz w:val="19"/>
          <w:szCs w:val="19"/>
          <w:color w:val="000000"/>
        </w:rPr>
        <w:t>. Notwithstanding any termination of this Pledge Agreement, the indemnities to which the</w:t>
      </w:r>
      <w:r>
        <w:rPr>
          <w:rFonts w:ascii="Arial" w:cs="Arial" w:eastAsia="Arial" w:hAnsi="Arial"/>
          <w:sz w:val="22"/>
          <w:szCs w:val="22"/>
          <w:color w:val="010000"/>
        </w:rPr>
        <w:t xml:space="preserve"> </w:t>
      </w:r>
      <w:r>
        <w:rPr>
          <w:rFonts w:ascii="Arial" w:cs="Arial" w:eastAsia="Arial" w:hAnsi="Arial"/>
          <w:sz w:val="19"/>
          <w:szCs w:val="19"/>
          <w:color w:val="000000"/>
        </w:rPr>
        <w:t xml:space="preserve">Administrative Agent and the Secured Parties are entitled under the provisions of </w:t>
      </w:r>
      <w:r>
        <w:rPr>
          <w:rFonts w:ascii="Arial" w:cs="Arial" w:eastAsia="Arial" w:hAnsi="Arial"/>
          <w:sz w:val="19"/>
          <w:szCs w:val="19"/>
          <w:u w:val="single" w:color="auto"/>
          <w:color w:val="000000"/>
        </w:rPr>
        <w:t>Section 24</w:t>
      </w:r>
      <w:r>
        <w:rPr>
          <w:rFonts w:ascii="Arial" w:cs="Arial" w:eastAsia="Arial" w:hAnsi="Arial"/>
          <w:sz w:val="19"/>
          <w:szCs w:val="19"/>
          <w:color w:val="000000"/>
        </w:rPr>
        <w:t xml:space="preserve"> and any other provision of this Pledge Agreement and the other Loan Documents shall continue in full force and effect and shall protect the Administrative Agent and the Secured Parties against events arising after such termination as well as before.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SECTION 34. </w:t>
      </w:r>
      <w:r>
        <w:rPr>
          <w:rFonts w:ascii="Arial" w:cs="Arial" w:eastAsia="Arial" w:hAnsi="Arial"/>
          <w:sz w:val="19"/>
          <w:szCs w:val="19"/>
          <w:u w:val="single" w:color="auto"/>
          <w:color w:val="000000"/>
        </w:rPr>
        <w:t>Advice of Counsel, No Strict Construction</w:t>
      </w:r>
      <w:r>
        <w:rPr>
          <w:rFonts w:ascii="Arial" w:cs="Arial" w:eastAsia="Arial" w:hAnsi="Arial"/>
          <w:sz w:val="19"/>
          <w:szCs w:val="19"/>
          <w:color w:val="000000"/>
        </w:rPr>
        <w:t>. Each of the parties represents to each other party hereto that it has</w:t>
      </w:r>
      <w:r>
        <w:rPr>
          <w:rFonts w:ascii="Arial" w:cs="Arial" w:eastAsia="Arial" w:hAnsi="Arial"/>
          <w:sz w:val="22"/>
          <w:szCs w:val="22"/>
          <w:color w:val="010000"/>
        </w:rPr>
        <w:t xml:space="preserve"> </w:t>
      </w:r>
      <w:r>
        <w:rPr>
          <w:rFonts w:ascii="Arial" w:cs="Arial" w:eastAsia="Arial" w:hAnsi="Arial"/>
          <w:sz w:val="19"/>
          <w:szCs w:val="19"/>
          <w:color w:val="000000"/>
        </w:rPr>
        <w:t>discussed this Pledge Agreement with its counsel. The parties hereto have participated jointly in the negotiation and drafting of this Pledge Agreement. In the event an ambiguity or question of intent or interpretation arises, this Pledge Agreement shall be construed as if drafted jointly by the parties hereto and no presumption or burden of proof shall arise favoring or disfavoring any party by virtue of the authorship of any provisions of this Pledge Agreement.</w:t>
      </w:r>
    </w:p>
    <w:p>
      <w:pPr>
        <w:spacing w:after="0" w:line="20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35.</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Pledgor hereby acknowledges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8" w:name="page309"/>
    <w:bookmarkEnd w:id="308"/>
    <w:p>
      <w:pPr>
        <w:jc w:val="both"/>
        <w:ind w:firstLine="656"/>
        <w:spacing w:after="0" w:line="246" w:lineRule="auto"/>
        <w:tabs>
          <w:tab w:leader="none" w:pos="1065" w:val="left"/>
        </w:tabs>
        <w:numPr>
          <w:ilvl w:val="0"/>
          <w:numId w:val="298"/>
        </w:numPr>
        <w:rPr>
          <w:rFonts w:ascii="Arial" w:cs="Arial" w:eastAsia="Arial" w:hAnsi="Arial"/>
          <w:sz w:val="20"/>
          <w:szCs w:val="20"/>
          <w:color w:val="010000"/>
        </w:rPr>
      </w:pPr>
      <w:r>
        <w:rPr>
          <w:rFonts w:ascii="Arial" w:cs="Arial" w:eastAsia="Arial" w:hAnsi="Arial"/>
          <w:sz w:val="20"/>
          <w:szCs w:val="20"/>
          <w:color w:val="auto"/>
        </w:rPr>
        <w:t>neither the Administrative Agent nor any Secured Party has any fiduciary relationship with or duty to any Pledgor arising out of or in connection with this Pledge Agreement or any of the other Loan Documents, and the relationship between the Pledgors, on the one hand, and the Administrative Agent and Secured Parties, on the other hand, in connection herewith or therewith is solely that of debtor and creditor; and</w:t>
      </w:r>
    </w:p>
    <w:p>
      <w:pPr>
        <w:spacing w:after="0" w:line="191" w:lineRule="exact"/>
        <w:rPr>
          <w:rFonts w:ascii="Arial" w:cs="Arial" w:eastAsia="Arial" w:hAnsi="Arial"/>
          <w:sz w:val="20"/>
          <w:szCs w:val="20"/>
          <w:color w:val="010000"/>
        </w:rPr>
      </w:pPr>
    </w:p>
    <w:p>
      <w:pPr>
        <w:ind w:right="20" w:firstLine="656"/>
        <w:spacing w:after="0" w:line="260" w:lineRule="auto"/>
        <w:tabs>
          <w:tab w:leader="none" w:pos="1265" w:val="left"/>
        </w:tabs>
        <w:numPr>
          <w:ilvl w:val="0"/>
          <w:numId w:val="298"/>
        </w:numPr>
        <w:rPr>
          <w:rFonts w:ascii="Arial" w:cs="Arial" w:eastAsia="Arial" w:hAnsi="Arial"/>
          <w:sz w:val="20"/>
          <w:szCs w:val="20"/>
          <w:color w:val="010000"/>
        </w:rPr>
      </w:pPr>
      <w:r>
        <w:rPr>
          <w:rFonts w:ascii="Arial" w:cs="Arial" w:eastAsia="Arial" w:hAnsi="Arial"/>
          <w:sz w:val="20"/>
          <w:szCs w:val="20"/>
          <w:color w:val="auto"/>
        </w:rPr>
        <w:t>no joint venture is created hereby or by the other Loan Documents or otherwise exists by virtue of the transactions contemplated hereby among the Secured Parties or among the Pledgors and the Secured Parties.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SECTION 36. </w:t>
      </w:r>
      <w:r>
        <w:rPr>
          <w:rFonts w:ascii="Arial" w:cs="Arial" w:eastAsia="Arial" w:hAnsi="Arial"/>
          <w:sz w:val="19"/>
          <w:szCs w:val="19"/>
          <w:u w:val="single" w:color="auto"/>
          <w:color w:val="000000"/>
        </w:rPr>
        <w:t>Releases</w:t>
      </w:r>
      <w:r>
        <w:rPr>
          <w:rFonts w:ascii="Arial" w:cs="Arial" w:eastAsia="Arial" w:hAnsi="Arial"/>
          <w:sz w:val="19"/>
          <w:szCs w:val="19"/>
          <w:color w:val="000000"/>
        </w:rPr>
        <w:t>. At such time as the Obligations (other than contingent indemnification obligations not yet due and Bank</w:t>
      </w:r>
      <w:r>
        <w:rPr>
          <w:rFonts w:ascii="Arial" w:cs="Arial" w:eastAsia="Arial" w:hAnsi="Arial"/>
          <w:sz w:val="22"/>
          <w:szCs w:val="22"/>
          <w:color w:val="010000"/>
        </w:rPr>
        <w:t xml:space="preserve"> </w:t>
      </w:r>
      <w:r>
        <w:rPr>
          <w:rFonts w:ascii="Arial" w:cs="Arial" w:eastAsia="Arial" w:hAnsi="Arial"/>
          <w:sz w:val="19"/>
          <w:szCs w:val="19"/>
          <w:color w:val="000000"/>
        </w:rPr>
        <w:t>Product Debt) shall have been paid in full (or, in the case of Letters of Credit, Cash Collateralized or other arrangements made in accordance with the terms of the Credit Agreement) and the Commitments have been terminated, this Pledge Agreement and all obligations (other than those expressly stated to survive such termination) of the Administrative Agent and each Pledgor hereunder shall terminate, all without delivery of any instrument or performance of any act by any party. Upon any such termination, the Administrative Agent shall execute and deliver to each Pledgor, at such Pledgor’s expense, such documents as such Pledgor shall reasonably request to evidence such termination, and such Pledgor shall be entitled to the return, upon its reasonable request, of such of the Collateral as shall not have been sold or otherwise applied pursuant to the terms hereof.</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37. </w:t>
      </w:r>
      <w:r>
        <w:rPr>
          <w:rFonts w:ascii="Arial" w:cs="Arial" w:eastAsia="Arial" w:hAnsi="Arial"/>
          <w:sz w:val="19"/>
          <w:szCs w:val="19"/>
          <w:u w:val="single" w:color="auto"/>
          <w:color w:val="000000"/>
        </w:rPr>
        <w:t>Additional Pledgors</w:t>
      </w:r>
      <w:r>
        <w:rPr>
          <w:rFonts w:ascii="Arial" w:cs="Arial" w:eastAsia="Arial" w:hAnsi="Arial"/>
          <w:sz w:val="19"/>
          <w:szCs w:val="19"/>
          <w:color w:val="000000"/>
        </w:rPr>
        <w:t>. Each Subsidiary of the Company that is required to become a party to this Pledge Agreement</w:t>
      </w:r>
      <w:r>
        <w:rPr>
          <w:rFonts w:ascii="Arial" w:cs="Arial" w:eastAsia="Arial" w:hAnsi="Arial"/>
          <w:sz w:val="22"/>
          <w:szCs w:val="22"/>
          <w:color w:val="010000"/>
        </w:rPr>
        <w:t xml:space="preserve"> </w:t>
      </w:r>
      <w:r>
        <w:rPr>
          <w:rFonts w:ascii="Arial" w:cs="Arial" w:eastAsia="Arial" w:hAnsi="Arial"/>
          <w:sz w:val="19"/>
          <w:szCs w:val="19"/>
          <w:color w:val="000000"/>
        </w:rPr>
        <w:t>pursuant to Section 8.11 of the Credit Agreement shall become a Pledgor for all purposes of this Pledge Agreement upon execution and delivery by such Subsidiary of a Pledge Agreement Supplement.</w:t>
      </w:r>
    </w:p>
    <w:p>
      <w:pPr>
        <w:spacing w:after="0" w:line="20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010000"/>
        </w:rPr>
        <w:t>SECTION 38.</w:t>
      </w:r>
      <w:r>
        <w:rPr>
          <w:sz w:val="20"/>
          <w:szCs w:val="20"/>
          <w:color w:val="auto"/>
        </w:rPr>
        <w:tab/>
      </w:r>
      <w:r>
        <w:rPr>
          <w:rFonts w:ascii="Arial" w:cs="Arial" w:eastAsia="Arial" w:hAnsi="Arial"/>
          <w:sz w:val="18"/>
          <w:szCs w:val="18"/>
          <w:u w:val="single" w:color="auto"/>
          <w:color w:val="auto"/>
        </w:rPr>
        <w:t>Release of Portions of Collateral</w:t>
      </w:r>
      <w:r>
        <w:rPr>
          <w:rFonts w:ascii="Arial" w:cs="Arial" w:eastAsia="Arial" w:hAnsi="Arial"/>
          <w:sz w:val="18"/>
          <w:szCs w:val="18"/>
          <w:color w:val="auto"/>
        </w:rPr>
        <w:t>.</w:t>
      </w:r>
    </w:p>
    <w:p>
      <w:pPr>
        <w:spacing w:after="0" w:line="211" w:lineRule="exact"/>
        <w:rPr>
          <w:sz w:val="20"/>
          <w:szCs w:val="20"/>
          <w:color w:val="auto"/>
        </w:rPr>
      </w:pPr>
    </w:p>
    <w:p>
      <w:pPr>
        <w:jc w:val="both"/>
        <w:ind w:firstLine="656"/>
        <w:spacing w:after="0" w:line="257" w:lineRule="auto"/>
        <w:tabs>
          <w:tab w:leader="none" w:pos="1079" w:val="left"/>
        </w:tabs>
        <w:numPr>
          <w:ilvl w:val="0"/>
          <w:numId w:val="299"/>
        </w:numPr>
        <w:rPr>
          <w:rFonts w:ascii="Arial" w:cs="Arial" w:eastAsia="Arial" w:hAnsi="Arial"/>
          <w:sz w:val="19"/>
          <w:szCs w:val="19"/>
          <w:color w:val="010000"/>
        </w:rPr>
      </w:pPr>
      <w:r>
        <w:rPr>
          <w:rFonts w:ascii="Arial" w:cs="Arial" w:eastAsia="Arial" w:hAnsi="Arial"/>
          <w:sz w:val="19"/>
          <w:szCs w:val="19"/>
          <w:color w:val="auto"/>
        </w:rPr>
        <w:t>So long as no Default or Event of Default is in existence or would exist after the application of proceeds as provided below, the Administrative Agent shall, at the request of a Pledgor, release any or all of the Collateral of such Pledgor, provided that (i) such release is permitted by the terms of the Credit Agreement (it being agreed for such purposes that a release will be deemed “permitted by the terms of the Credit Agreement” if the proposed transaction constitutes an exception contained in Section 10.5 or Section 10.6 of the Credit Agreement or if such assets would no longer be required to be pledged hereunder or under the Credit Agreement) or otherwise has been approved in writing by the Required Lenders (or, to the extent required by Section 13.2 of the Credit Agreement, all of the applicable Lenders) and (ii) if applicable, the proceeds of such Collateral are to be applied as required pursuant to the Credit Agreement or any consent or waiver entered into with respect thereto.</w:t>
      </w:r>
    </w:p>
    <w:p>
      <w:pPr>
        <w:spacing w:after="0" w:line="180" w:lineRule="exact"/>
        <w:rPr>
          <w:rFonts w:ascii="Arial" w:cs="Arial" w:eastAsia="Arial" w:hAnsi="Arial"/>
          <w:sz w:val="19"/>
          <w:szCs w:val="19"/>
          <w:color w:val="010000"/>
        </w:rPr>
      </w:pPr>
    </w:p>
    <w:p>
      <w:pPr>
        <w:jc w:val="both"/>
        <w:ind w:firstLine="656"/>
        <w:spacing w:after="0" w:line="282" w:lineRule="auto"/>
        <w:tabs>
          <w:tab w:leader="none" w:pos="1157" w:val="left"/>
        </w:tabs>
        <w:numPr>
          <w:ilvl w:val="0"/>
          <w:numId w:val="299"/>
        </w:numPr>
        <w:rPr>
          <w:rFonts w:ascii="Arial" w:cs="Arial" w:eastAsia="Arial" w:hAnsi="Arial"/>
          <w:sz w:val="18"/>
          <w:szCs w:val="18"/>
          <w:color w:val="010000"/>
        </w:rPr>
      </w:pPr>
      <w:r>
        <w:rPr>
          <w:rFonts w:ascii="Arial" w:cs="Arial" w:eastAsia="Arial" w:hAnsi="Arial"/>
          <w:sz w:val="18"/>
          <w:szCs w:val="18"/>
          <w:color w:val="auto"/>
        </w:rPr>
        <w:t xml:space="preserve">At any time that a Pledgor desires that the Administrative Agent take any action to give effect to any release of Collateral pursuant to the foregoing </w:t>
      </w:r>
      <w:r>
        <w:rPr>
          <w:rFonts w:ascii="Arial" w:cs="Arial" w:eastAsia="Arial" w:hAnsi="Arial"/>
          <w:sz w:val="18"/>
          <w:szCs w:val="18"/>
          <w:u w:val="single" w:color="auto"/>
          <w:color w:val="auto"/>
        </w:rPr>
        <w:t>Section 38(a)</w:t>
      </w:r>
      <w:r>
        <w:rPr>
          <w:rFonts w:ascii="Arial" w:cs="Arial" w:eastAsia="Arial" w:hAnsi="Arial"/>
          <w:sz w:val="18"/>
          <w:szCs w:val="18"/>
          <w:color w:val="auto"/>
        </w:rPr>
        <w:t>, the Administrative Agent, at the request and expense of a Pledgor, will duly release such Collateral and assign, transfer and deliver to such Pledgor such of the Collateral as is then being (or has been) so sold and as may be in the possession of the Administrative Agent and has not theretofore been released pursuant to this Pledge Agreement.</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010000"/>
        </w:rPr>
        <w:t xml:space="preserve">SECTION 39. </w:t>
      </w:r>
      <w:r>
        <w:rPr>
          <w:rFonts w:ascii="Arial" w:cs="Arial" w:eastAsia="Arial" w:hAnsi="Arial"/>
          <w:sz w:val="19"/>
          <w:szCs w:val="19"/>
          <w:u w:val="single" w:color="auto"/>
          <w:color w:val="000000"/>
        </w:rPr>
        <w:t>Acknowledgement Regarding Any Supported QFCs</w:t>
      </w:r>
      <w:r>
        <w:rPr>
          <w:rFonts w:ascii="Arial" w:cs="Arial" w:eastAsia="Arial" w:hAnsi="Arial"/>
          <w:sz w:val="19"/>
          <w:szCs w:val="19"/>
          <w:color w:val="000000"/>
        </w:rPr>
        <w:t>. The terms of Section 13.26 of the Credit Agreement with</w:t>
      </w:r>
      <w:r>
        <w:rPr>
          <w:rFonts w:ascii="Arial" w:cs="Arial" w:eastAsia="Arial" w:hAnsi="Arial"/>
          <w:sz w:val="22"/>
          <w:szCs w:val="22"/>
          <w:color w:val="010000"/>
        </w:rPr>
        <w:t xml:space="preserve"> </w:t>
      </w:r>
      <w:r>
        <w:rPr>
          <w:rFonts w:ascii="Arial" w:cs="Arial" w:eastAsia="Arial" w:hAnsi="Arial"/>
          <w:sz w:val="19"/>
          <w:szCs w:val="19"/>
          <w:color w:val="000000"/>
        </w:rPr>
        <w:t xml:space="preserve">respect to acknowledgement regarding any Supported QFCs are incorporated herein by reference, </w:t>
      </w:r>
      <w:r>
        <w:rPr>
          <w:rFonts w:ascii="Arial" w:cs="Arial" w:eastAsia="Arial" w:hAnsi="Arial"/>
          <w:sz w:val="19"/>
          <w:szCs w:val="19"/>
          <w:i w:val="1"/>
          <w:iCs w:val="1"/>
          <w:color w:val="000000"/>
        </w:rPr>
        <w:t>mutatis mutandis</w:t>
      </w:r>
      <w:r>
        <w:rPr>
          <w:rFonts w:ascii="Arial" w:cs="Arial" w:eastAsia="Arial" w:hAnsi="Arial"/>
          <w:sz w:val="19"/>
          <w:szCs w:val="19"/>
          <w:color w:val="000000"/>
        </w:rPr>
        <w:t>, and the parties hereto agree to such terms.</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40. </w:t>
      </w:r>
      <w:r>
        <w:rPr>
          <w:rFonts w:ascii="Arial" w:cs="Arial" w:eastAsia="Arial" w:hAnsi="Arial"/>
          <w:sz w:val="19"/>
          <w:szCs w:val="19"/>
          <w:u w:val="single" w:color="auto"/>
          <w:color w:val="000000"/>
        </w:rPr>
        <w:t>Amendment and Restatement of Existing Pledge Agreement.</w:t>
      </w:r>
      <w:r>
        <w:rPr>
          <w:rFonts w:ascii="Arial" w:cs="Arial" w:eastAsia="Arial" w:hAnsi="Arial"/>
          <w:sz w:val="22"/>
          <w:szCs w:val="22"/>
          <w:color w:val="010000"/>
        </w:rPr>
        <w:t xml:space="preserve"> </w:t>
      </w:r>
      <w:r>
        <w:rPr>
          <w:rFonts w:ascii="Arial" w:cs="Arial" w:eastAsia="Arial" w:hAnsi="Arial"/>
          <w:sz w:val="19"/>
          <w:szCs w:val="19"/>
          <w:color w:val="000000"/>
        </w:rPr>
        <w:t>The parties to the Existing Pledge Agreement, to the</w:t>
      </w:r>
      <w:r>
        <w:rPr>
          <w:rFonts w:ascii="Arial" w:cs="Arial" w:eastAsia="Arial" w:hAnsi="Arial"/>
          <w:sz w:val="22"/>
          <w:szCs w:val="22"/>
          <w:color w:val="010000"/>
        </w:rPr>
        <w:t xml:space="preserve"> </w:t>
      </w:r>
      <w:r>
        <w:rPr>
          <w:rFonts w:ascii="Arial" w:cs="Arial" w:eastAsia="Arial" w:hAnsi="Arial"/>
          <w:sz w:val="19"/>
          <w:szCs w:val="19"/>
          <w:color w:val="000000"/>
        </w:rPr>
        <w:t>extent party hereto, each hereby agree that the Existing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09" w:name="page310"/>
    <w:bookmarkEnd w:id="309"/>
    <w:p>
      <w:pPr>
        <w:jc w:val="both"/>
        <w:spacing w:after="0" w:line="244" w:lineRule="auto"/>
        <w:rPr>
          <w:sz w:val="20"/>
          <w:szCs w:val="20"/>
          <w:color w:val="auto"/>
        </w:rPr>
      </w:pPr>
      <w:r>
        <w:rPr>
          <w:rFonts w:ascii="Arial" w:cs="Arial" w:eastAsia="Arial" w:hAnsi="Arial"/>
          <w:sz w:val="20"/>
          <w:szCs w:val="20"/>
          <w:color w:val="auto"/>
        </w:rPr>
        <w:t>Agreement automatically shall be deemed amended and restated in its entirety by this Pledge Agreement. All indebtedness, obligations, liabilities and liens created by the Existing Pledge Agreement shall continue unimpaired and in full force and effect, as amended and restated in this Pledge Agreement. This Pledge Agreement is not a novation of the Existing Pledge Agreement, and this Pledge Agreement evidences the obligations of the Pledgors (as defined in the Existing Pledge Agreement) under the Existing Pledge Agreement as continued and amended and restated hereby.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[Signatures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32"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257" w:right="339" w:bottom="1440" w:gutter="0" w:footer="0" w:header="0"/>
        </w:sectPr>
      </w:pPr>
    </w:p>
    <w:bookmarkStart w:id="310" w:name="page311"/>
    <w:bookmarkEnd w:id="310"/>
    <w:p>
      <w:pPr>
        <w:ind w:firstLine="648"/>
        <w:spacing w:after="0" w:line="260" w:lineRule="auto"/>
        <w:rPr>
          <w:sz w:val="20"/>
          <w:szCs w:val="20"/>
          <w:color w:val="auto"/>
        </w:rPr>
      </w:pPr>
      <w:r>
        <w:rPr>
          <w:rFonts w:ascii="Arial" w:cs="Arial" w:eastAsia="Arial" w:hAnsi="Arial"/>
          <w:sz w:val="20"/>
          <w:szCs w:val="20"/>
          <w:color w:val="auto"/>
        </w:rPr>
        <w:t>IN WITNESS WHEREOF, the undersigned has caused this Pledge Agreement to be duly executed and delivered as of the date first above written.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PLEDGORS:</w:t>
      </w:r>
    </w:p>
    <w:p>
      <w:pPr>
        <w:spacing w:after="0" w:line="33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BLACKBAUD, INC.,</w:t>
      </w:r>
    </w:p>
    <w:p>
      <w:pPr>
        <w:spacing w:after="0" w:line="200" w:lineRule="exact"/>
        <w:rPr>
          <w:sz w:val="20"/>
          <w:szCs w:val="20"/>
          <w:color w:val="auto"/>
        </w:rPr>
      </w:pPr>
    </w:p>
    <w:p>
      <w:pPr>
        <w:spacing w:after="0" w:line="394" w:lineRule="exact"/>
        <w:rPr>
          <w:sz w:val="20"/>
          <w:szCs w:val="20"/>
          <w:color w:val="auto"/>
        </w:rPr>
      </w:pPr>
    </w:p>
    <w:tbl>
      <w:tblPr>
        <w:tblLayout w:type="fixed"/>
        <w:tblInd w:w="56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ind w:left="20"/>
              <w:spacing w:after="0"/>
              <w:rPr>
                <w:sz w:val="20"/>
                <w:szCs w:val="20"/>
                <w:color w:val="auto"/>
              </w:rPr>
            </w:pPr>
            <w:r>
              <w:rPr>
                <w:rFonts w:ascii="Arial" w:cs="Arial" w:eastAsia="Arial" w:hAnsi="Arial"/>
                <w:sz w:val="20"/>
                <w:szCs w:val="20"/>
                <w:color w:val="auto"/>
              </w:rPr>
              <w:t>/s/ Anthony W. Boor</w:t>
            </w:r>
          </w:p>
        </w:tc>
        <w:tc>
          <w:tcPr>
            <w:tcW w:w="0" w:type="dxa"/>
            <w:vAlign w:val="bottom"/>
          </w:tcPr>
          <w:p>
            <w:pPr>
              <w:spacing w:after="0"/>
              <w:rPr>
                <w:sz w:val="1"/>
                <w:szCs w:val="1"/>
                <w:color w:val="auto"/>
              </w:rPr>
            </w:pPr>
          </w:p>
        </w:tc>
      </w:tr>
      <w:tr>
        <w:trPr>
          <w:trHeight w:val="23"/>
        </w:trPr>
        <w:tc>
          <w:tcPr>
            <w:tcW w:w="8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40" w:type="dxa"/>
            <w:vAlign w:val="bottom"/>
            <w:vMerge w:val="continue"/>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Anthony W. Boor</w:t>
            </w:r>
          </w:p>
        </w:tc>
        <w:tc>
          <w:tcPr>
            <w:tcW w:w="0" w:type="dxa"/>
            <w:vAlign w:val="bottom"/>
          </w:tcPr>
          <w:p>
            <w:pPr>
              <w:spacing w:after="0"/>
              <w:rPr>
                <w:sz w:val="1"/>
                <w:szCs w:val="1"/>
                <w:color w:val="auto"/>
              </w:rPr>
            </w:pPr>
          </w:p>
        </w:tc>
      </w:tr>
      <w:tr>
        <w:trPr>
          <w:trHeight w:val="28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20"/>
              <w:spacing w:after="0"/>
              <w:rPr>
                <w:sz w:val="20"/>
                <w:szCs w:val="20"/>
                <w:color w:val="auto"/>
              </w:rPr>
            </w:pPr>
            <w:r>
              <w:rPr>
                <w:rFonts w:ascii="Arial" w:cs="Arial" w:eastAsia="Arial" w:hAnsi="Arial"/>
                <w:sz w:val="20"/>
                <w:szCs w:val="20"/>
                <w:color w:val="auto"/>
                <w:w w:val="92"/>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20"/>
          </w:cols>
          <w:pgMar w:left="320" w:top="1419" w:right="359" w:bottom="1440" w:gutter="0" w:footer="0" w:header="0"/>
        </w:sectPr>
      </w:pPr>
    </w:p>
    <w:bookmarkStart w:id="311" w:name="page312"/>
    <w:bookmarkEnd w:id="311"/>
    <w:p>
      <w:pPr>
        <w:spacing w:after="0" w:line="270"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ADMINISTRATIVE AGENT:</w:t>
      </w:r>
    </w:p>
    <w:p>
      <w:pPr>
        <w:spacing w:after="0" w:line="33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BANK OF AMERICA, N.A., as Administrative Agent</w:t>
      </w:r>
    </w:p>
    <w:p>
      <w:pPr>
        <w:spacing w:after="0" w:line="200" w:lineRule="exact"/>
        <w:rPr>
          <w:sz w:val="20"/>
          <w:szCs w:val="20"/>
          <w:color w:val="auto"/>
        </w:rPr>
      </w:pPr>
    </w:p>
    <w:p>
      <w:pPr>
        <w:spacing w:after="0" w:line="389" w:lineRule="exact"/>
        <w:rPr>
          <w:sz w:val="20"/>
          <w:szCs w:val="20"/>
          <w:color w:val="auto"/>
        </w:rPr>
      </w:pPr>
    </w:p>
    <w:tbl>
      <w:tblPr>
        <w:tblLayout w:type="fixed"/>
        <w:tblInd w:w="4740" w:type="dxa"/>
        <w:tblCellMar>
          <w:top w:w="0" w:type="dxa"/>
          <w:left w:w="0" w:type="dxa"/>
          <w:bottom w:w="0" w:type="dxa"/>
          <w:right w:w="0" w:type="dxa"/>
        </w:tblCellMar>
      </w:tblP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20"/>
              <w:spacing w:after="0"/>
              <w:rPr>
                <w:sz w:val="20"/>
                <w:szCs w:val="20"/>
                <w:color w:val="auto"/>
              </w:rPr>
            </w:pPr>
            <w:r>
              <w:rPr>
                <w:rFonts w:ascii="Arial" w:cs="Arial" w:eastAsia="Arial" w:hAnsi="Arial"/>
                <w:sz w:val="20"/>
                <w:szCs w:val="20"/>
                <w:color w:val="auto"/>
              </w:rPr>
              <w:t>/s/ Liliana Claar</w:t>
            </w: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60" w:type="dxa"/>
            <w:vAlign w:val="bottom"/>
            <w:vMerge w:val="continue"/>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20"/>
                <w:szCs w:val="20"/>
                <w:color w:val="auto"/>
              </w:rPr>
              <w:t>Liliana Claar</w:t>
            </w:r>
          </w:p>
        </w:tc>
        <w:tc>
          <w:tcPr>
            <w:tcW w:w="0" w:type="dxa"/>
            <w:vAlign w:val="bottom"/>
          </w:tcPr>
          <w:p>
            <w:pPr>
              <w:spacing w:after="0"/>
              <w:rPr>
                <w:sz w:val="1"/>
                <w:szCs w:val="1"/>
                <w:color w:val="auto"/>
              </w:rPr>
            </w:pPr>
          </w:p>
        </w:tc>
      </w:tr>
      <w:tr>
        <w:trPr>
          <w:trHeight w:val="284"/>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0720"/>
          </w:cols>
          <w:pgMar w:left="320" w:top="1440" w:right="859" w:bottom="1440" w:gutter="0" w:footer="0" w:header="0"/>
        </w:sectPr>
      </w:pPr>
    </w:p>
    <w:bookmarkStart w:id="312" w:name="page313"/>
    <w:bookmarkEnd w:id="312"/>
    <w:p>
      <w:pPr>
        <w:jc w:val="right"/>
        <w:spacing w:after="0"/>
        <w:rPr>
          <w:sz w:val="20"/>
          <w:szCs w:val="20"/>
          <w:color w:val="auto"/>
        </w:rPr>
      </w:pPr>
      <w:r>
        <w:rPr>
          <w:rFonts w:ascii="Arial" w:cs="Arial" w:eastAsia="Arial" w:hAnsi="Arial"/>
          <w:sz w:val="20"/>
          <w:szCs w:val="20"/>
          <w:color w:val="auto"/>
        </w:rPr>
        <w:t>SCHEDULE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 Amended and Restated Pledge</w:t>
      </w:r>
    </w:p>
    <w:p>
      <w:pPr>
        <w:jc w:val="right"/>
        <w:spacing w:after="0"/>
        <w:rPr>
          <w:sz w:val="20"/>
          <w:szCs w:val="20"/>
          <w:color w:val="auto"/>
        </w:rPr>
      </w:pPr>
      <w:r>
        <w:rPr>
          <w:rFonts w:ascii="Arial" w:cs="Arial" w:eastAsia="Arial" w:hAnsi="Arial"/>
          <w:sz w:val="20"/>
          <w:szCs w:val="20"/>
          <w:u w:val="single" w:color="auto"/>
          <w:color w:val="auto"/>
        </w:rPr>
        <w:t>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DESCRIPTION OF PLEDGED STOCK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Issuers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581"/>
        </w:trPr>
        <w:tc>
          <w:tcPr>
            <w:tcW w:w="740" w:type="dxa"/>
            <w:vAlign w:val="bottom"/>
            <w:tcBorders>
              <w:top w:val="single" w:sz="8" w:color="auto"/>
              <w:left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80" w:type="dxa"/>
            <w:vAlign w:val="bottom"/>
            <w:tcBorders>
              <w:top w:val="single" w:sz="8" w:color="auto"/>
              <w:right w:val="single" w:sz="8" w:color="auto"/>
            </w:tcBorders>
            <w:gridSpan w:val="4"/>
          </w:tcPr>
          <w:p>
            <w:pPr>
              <w:jc w:val="center"/>
              <w:ind w:right="600"/>
              <w:spacing w:after="0"/>
              <w:rPr>
                <w:sz w:val="20"/>
                <w:szCs w:val="20"/>
                <w:color w:val="auto"/>
              </w:rPr>
            </w:pPr>
            <w:r>
              <w:rPr>
                <w:rFonts w:ascii="Arial" w:cs="Arial" w:eastAsia="Arial" w:hAnsi="Arial"/>
                <w:sz w:val="20"/>
                <w:szCs w:val="20"/>
                <w:color w:val="auto"/>
                <w:w w:val="88"/>
              </w:rPr>
              <w:t>No. of Shares</w:t>
            </w: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gridSpan w:val="5"/>
          </w:tcPr>
          <w:p>
            <w:pPr>
              <w:jc w:val="center"/>
              <w:ind w:right="200"/>
              <w:spacing w:after="0"/>
              <w:rPr>
                <w:sz w:val="20"/>
                <w:szCs w:val="20"/>
                <w:color w:val="auto"/>
              </w:rPr>
            </w:pPr>
            <w:r>
              <w:rPr>
                <w:rFonts w:ascii="Arial" w:cs="Arial" w:eastAsia="Arial" w:hAnsi="Arial"/>
                <w:sz w:val="20"/>
                <w:szCs w:val="20"/>
                <w:color w:val="auto"/>
                <w:w w:val="87"/>
              </w:rPr>
              <w:t>Percentage of all</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gridSpan w:val="3"/>
            <w:vMerge w:val="restart"/>
          </w:tcPr>
          <w:p>
            <w:pPr>
              <w:ind w:left="480"/>
              <w:spacing w:after="0"/>
              <w:rPr>
                <w:sz w:val="20"/>
                <w:szCs w:val="20"/>
                <w:color w:val="auto"/>
              </w:rPr>
            </w:pPr>
            <w:r>
              <w:rPr>
                <w:rFonts w:ascii="Arial" w:cs="Arial" w:eastAsia="Arial" w:hAnsi="Arial"/>
                <w:sz w:val="20"/>
                <w:szCs w:val="20"/>
                <w:color w:val="auto"/>
              </w:rPr>
              <w:t>Pledgor</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Borders>
              <w:right w:val="single" w:sz="8" w:color="auto"/>
            </w:tcBorders>
            <w:gridSpan w:val="6"/>
          </w:tcPr>
          <w:p>
            <w:pPr>
              <w:jc w:val="center"/>
              <w:ind w:right="200"/>
              <w:spacing w:after="0" w:line="209" w:lineRule="exact"/>
              <w:rPr>
                <w:sz w:val="20"/>
                <w:szCs w:val="20"/>
                <w:color w:val="auto"/>
              </w:rPr>
            </w:pPr>
            <w:r>
              <w:rPr>
                <w:rFonts w:ascii="Arial" w:cs="Arial" w:eastAsia="Arial" w:hAnsi="Arial"/>
                <w:sz w:val="20"/>
                <w:szCs w:val="20"/>
                <w:color w:val="auto"/>
                <w:w w:val="88"/>
              </w:rPr>
              <w:t>Pledged/No. of Shares</w:t>
            </w:r>
          </w:p>
        </w:tc>
        <w:tc>
          <w:tcPr>
            <w:tcW w:w="60" w:type="dxa"/>
            <w:vAlign w:val="bottom"/>
          </w:tcPr>
          <w:p>
            <w:pPr>
              <w:spacing w:after="0"/>
              <w:rPr>
                <w:sz w:val="18"/>
                <w:szCs w:val="18"/>
                <w:color w:val="auto"/>
              </w:rPr>
            </w:pPr>
          </w:p>
        </w:tc>
        <w:tc>
          <w:tcPr>
            <w:tcW w:w="1840" w:type="dxa"/>
            <w:vAlign w:val="bottom"/>
            <w:tcBorders>
              <w:right w:val="single" w:sz="8" w:color="auto"/>
            </w:tcBorders>
            <w:gridSpan w:val="6"/>
          </w:tcPr>
          <w:p>
            <w:pPr>
              <w:jc w:val="center"/>
              <w:ind w:right="80"/>
              <w:spacing w:after="0" w:line="209" w:lineRule="exact"/>
              <w:rPr>
                <w:sz w:val="20"/>
                <w:szCs w:val="20"/>
                <w:color w:val="auto"/>
              </w:rPr>
            </w:pPr>
            <w:r>
              <w:rPr>
                <w:rFonts w:ascii="Arial" w:cs="Arial" w:eastAsia="Arial" w:hAnsi="Arial"/>
                <w:sz w:val="20"/>
                <w:szCs w:val="20"/>
                <w:color w:val="auto"/>
                <w:w w:val="88"/>
              </w:rPr>
              <w:t>Outstanding Issued</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940" w:type="dxa"/>
            <w:vAlign w:val="bottom"/>
            <w:tcBorders>
              <w:left w:val="single" w:sz="8" w:color="auto"/>
              <w:right w:val="single" w:sz="8" w:color="auto"/>
            </w:tcBorders>
            <w:gridSpan w:val="3"/>
            <w:vMerge w:val="restart"/>
          </w:tcPr>
          <w:p>
            <w:pPr>
              <w:ind w:left="740"/>
              <w:spacing w:after="0" w:line="209" w:lineRule="exact"/>
              <w:rPr>
                <w:sz w:val="20"/>
                <w:szCs w:val="20"/>
                <w:color w:val="auto"/>
              </w:rPr>
            </w:pPr>
            <w:r>
              <w:rPr>
                <w:rFonts w:ascii="Arial" w:cs="Arial" w:eastAsia="Arial" w:hAnsi="Arial"/>
                <w:sz w:val="20"/>
                <w:szCs w:val="20"/>
                <w:color w:val="auto"/>
              </w:rPr>
              <w:t>Issuer</w:t>
            </w:r>
          </w:p>
        </w:tc>
        <w:tc>
          <w:tcPr>
            <w:tcW w:w="1620" w:type="dxa"/>
            <w:vAlign w:val="bottom"/>
            <w:tcBorders>
              <w:right w:val="single" w:sz="8" w:color="auto"/>
            </w:tcBorders>
            <w:gridSpan w:val="3"/>
            <w:vMerge w:val="continue"/>
          </w:tcPr>
          <w:p>
            <w:pPr>
              <w:spacing w:after="0"/>
              <w:rPr>
                <w:sz w:val="8"/>
                <w:szCs w:val="8"/>
                <w:color w:val="auto"/>
              </w:rPr>
            </w:pPr>
          </w:p>
        </w:tc>
        <w:tc>
          <w:tcPr>
            <w:tcW w:w="1660" w:type="dxa"/>
            <w:vAlign w:val="bottom"/>
            <w:tcBorders>
              <w:right w:val="single" w:sz="8" w:color="auto"/>
            </w:tcBorders>
            <w:gridSpan w:val="3"/>
            <w:vMerge w:val="restart"/>
          </w:tcPr>
          <w:p>
            <w:pPr>
              <w:jc w:val="center"/>
              <w:ind w:right="40"/>
              <w:spacing w:after="0" w:line="209" w:lineRule="exact"/>
              <w:rPr>
                <w:sz w:val="20"/>
                <w:szCs w:val="20"/>
                <w:color w:val="auto"/>
              </w:rPr>
            </w:pPr>
            <w:r>
              <w:rPr>
                <w:rFonts w:ascii="Arial" w:cs="Arial" w:eastAsia="Arial" w:hAnsi="Arial"/>
                <w:sz w:val="20"/>
                <w:szCs w:val="20"/>
                <w:color w:val="auto"/>
                <w:w w:val="89"/>
              </w:rPr>
              <w:t>Class of Stock</w:t>
            </w:r>
          </w:p>
        </w:tc>
        <w:tc>
          <w:tcPr>
            <w:tcW w:w="1660" w:type="dxa"/>
            <w:vAlign w:val="bottom"/>
            <w:tcBorders>
              <w:right w:val="single" w:sz="8" w:color="auto"/>
            </w:tcBorders>
            <w:gridSpan w:val="3"/>
            <w:vMerge w:val="restart"/>
          </w:tcPr>
          <w:p>
            <w:pPr>
              <w:jc w:val="center"/>
              <w:ind w:right="40"/>
              <w:spacing w:after="0" w:line="209" w:lineRule="exact"/>
              <w:rPr>
                <w:sz w:val="20"/>
                <w:szCs w:val="20"/>
                <w:color w:val="auto"/>
              </w:rPr>
            </w:pPr>
            <w:r>
              <w:rPr>
                <w:rFonts w:ascii="Arial" w:cs="Arial" w:eastAsia="Arial" w:hAnsi="Arial"/>
                <w:sz w:val="20"/>
                <w:szCs w:val="20"/>
                <w:color w:val="auto"/>
                <w:w w:val="93"/>
              </w:rPr>
              <w:t>Certificate No.</w:t>
            </w:r>
          </w:p>
        </w:tc>
        <w:tc>
          <w:tcPr>
            <w:tcW w:w="180" w:type="dxa"/>
            <w:vAlign w:val="bottom"/>
          </w:tcPr>
          <w:p>
            <w:pPr>
              <w:spacing w:after="0"/>
              <w:rPr>
                <w:sz w:val="8"/>
                <w:szCs w:val="8"/>
                <w:color w:val="auto"/>
              </w:rPr>
            </w:pPr>
          </w:p>
        </w:tc>
        <w:tc>
          <w:tcPr>
            <w:tcW w:w="2060" w:type="dxa"/>
            <w:vAlign w:val="bottom"/>
            <w:tcBorders>
              <w:right w:val="single" w:sz="8" w:color="auto"/>
            </w:tcBorders>
            <w:gridSpan w:val="6"/>
            <w:vMerge w:val="restart"/>
          </w:tcPr>
          <w:p>
            <w:pPr>
              <w:jc w:val="center"/>
              <w:ind w:right="200"/>
              <w:spacing w:after="0" w:line="209" w:lineRule="exact"/>
              <w:rPr>
                <w:sz w:val="20"/>
                <w:szCs w:val="20"/>
                <w:color w:val="auto"/>
              </w:rPr>
            </w:pPr>
            <w:r>
              <w:rPr>
                <w:rFonts w:ascii="Arial" w:cs="Arial" w:eastAsia="Arial" w:hAnsi="Arial"/>
                <w:sz w:val="20"/>
                <w:szCs w:val="20"/>
                <w:color w:val="auto"/>
                <w:w w:val="88"/>
              </w:rPr>
              <w:t>Issued and Outstanding</w:t>
            </w:r>
          </w:p>
        </w:tc>
        <w:tc>
          <w:tcPr>
            <w:tcW w:w="60" w:type="dxa"/>
            <w:vAlign w:val="bottom"/>
          </w:tcPr>
          <w:p>
            <w:pPr>
              <w:spacing w:after="0"/>
              <w:rPr>
                <w:sz w:val="8"/>
                <w:szCs w:val="8"/>
                <w:color w:val="auto"/>
              </w:rPr>
            </w:pPr>
          </w:p>
        </w:tc>
        <w:tc>
          <w:tcPr>
            <w:tcW w:w="1840" w:type="dxa"/>
            <w:vAlign w:val="bottom"/>
            <w:tcBorders>
              <w:right w:val="single" w:sz="8" w:color="auto"/>
            </w:tcBorders>
            <w:gridSpan w:val="6"/>
            <w:vMerge w:val="restart"/>
          </w:tcPr>
          <w:p>
            <w:pPr>
              <w:jc w:val="center"/>
              <w:ind w:right="80"/>
              <w:spacing w:after="0" w:line="209" w:lineRule="exact"/>
              <w:rPr>
                <w:sz w:val="20"/>
                <w:szCs w:val="20"/>
                <w:color w:val="auto"/>
              </w:rPr>
            </w:pPr>
            <w:r>
              <w:rPr>
                <w:rFonts w:ascii="Arial" w:cs="Arial" w:eastAsia="Arial" w:hAnsi="Arial"/>
                <w:sz w:val="20"/>
                <w:szCs w:val="20"/>
                <w:color w:val="auto"/>
                <w:w w:val="89"/>
              </w:rPr>
              <w:t>Capital Stock Pledged</w:t>
            </w:r>
          </w:p>
        </w:tc>
        <w:tc>
          <w:tcPr>
            <w:tcW w:w="0" w:type="dxa"/>
            <w:vAlign w:val="bottom"/>
          </w:tcPr>
          <w:p>
            <w:pPr>
              <w:spacing w:after="0"/>
              <w:rPr>
                <w:sz w:val="1"/>
                <w:szCs w:val="1"/>
                <w:color w:val="auto"/>
              </w:rPr>
            </w:pPr>
          </w:p>
        </w:tc>
      </w:tr>
      <w:tr>
        <w:trPr>
          <w:trHeight w:val="88"/>
        </w:trPr>
        <w:tc>
          <w:tcPr>
            <w:tcW w:w="1940" w:type="dxa"/>
            <w:vAlign w:val="bottom"/>
            <w:tcBorders>
              <w:left w:val="single" w:sz="8" w:color="auto"/>
              <w:right w:val="single" w:sz="8" w:color="auto"/>
            </w:tcBorders>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gridSpan w:val="3"/>
            <w:vMerge w:val="continue"/>
          </w:tcPr>
          <w:p>
            <w:pPr>
              <w:spacing w:after="0"/>
              <w:rPr>
                <w:sz w:val="7"/>
                <w:szCs w:val="7"/>
                <w:color w:val="auto"/>
              </w:rPr>
            </w:pPr>
          </w:p>
        </w:tc>
        <w:tc>
          <w:tcPr>
            <w:tcW w:w="1660" w:type="dxa"/>
            <w:vAlign w:val="bottom"/>
            <w:tcBorders>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060" w:type="dxa"/>
            <w:vAlign w:val="bottom"/>
            <w:tcBorders>
              <w:right w:val="single" w:sz="8" w:color="auto"/>
            </w:tcBorders>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184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JG US, Inc.*</w:t>
            </w:r>
          </w:p>
        </w:tc>
        <w:tc>
          <w:tcPr>
            <w:tcW w:w="16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Blackbaud, Inc.</w:t>
            </w:r>
          </w:p>
        </w:tc>
        <w:tc>
          <w:tcPr>
            <w:tcW w:w="240" w:type="dxa"/>
            <w:vAlign w:val="bottom"/>
          </w:tcPr>
          <w:p>
            <w:pPr>
              <w:spacing w:after="0"/>
              <w:rPr>
                <w:sz w:val="22"/>
                <w:szCs w:val="22"/>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Common</w:t>
            </w:r>
          </w:p>
        </w:tc>
        <w:tc>
          <w:tcPr>
            <w:tcW w:w="1400" w:type="dxa"/>
            <w:vAlign w:val="bottom"/>
            <w:gridSpan w:val="2"/>
          </w:tcPr>
          <w:p>
            <w:pPr>
              <w:jc w:val="center"/>
              <w:ind w:left="141"/>
              <w:spacing w:after="0"/>
              <w:rPr>
                <w:sz w:val="20"/>
                <w:szCs w:val="20"/>
                <w:color w:val="auto"/>
              </w:rPr>
            </w:pPr>
            <w:r>
              <w:rPr>
                <w:rFonts w:ascii="Arial" w:cs="Arial" w:eastAsia="Arial" w:hAnsi="Arial"/>
                <w:sz w:val="20"/>
                <w:szCs w:val="20"/>
                <w:color w:val="auto"/>
                <w:w w:val="95"/>
              </w:rPr>
              <w:t>[__]</w:t>
            </w:r>
          </w:p>
        </w:tc>
        <w:tc>
          <w:tcPr>
            <w:tcW w:w="260" w:type="dxa"/>
            <w:vAlign w:val="bottom"/>
            <w:tcBorders>
              <w:right w:val="single" w:sz="8" w:color="auto"/>
            </w:tcBorders>
          </w:tcPr>
          <w:p>
            <w:pPr>
              <w:spacing w:after="0"/>
              <w:rPr>
                <w:sz w:val="22"/>
                <w:szCs w:val="22"/>
                <w:color w:val="auto"/>
              </w:rPr>
            </w:pPr>
          </w:p>
        </w:tc>
        <w:tc>
          <w:tcPr>
            <w:tcW w:w="1640" w:type="dxa"/>
            <w:vAlign w:val="bottom"/>
            <w:gridSpan w:val="4"/>
          </w:tcPr>
          <w:p>
            <w:pPr>
              <w:jc w:val="center"/>
              <w:ind w:left="481"/>
              <w:spacing w:after="0"/>
              <w:rPr>
                <w:sz w:val="20"/>
                <w:szCs w:val="20"/>
                <w:color w:val="auto"/>
              </w:rPr>
            </w:pPr>
            <w:r>
              <w:rPr>
                <w:rFonts w:ascii="Arial" w:cs="Arial" w:eastAsia="Arial" w:hAnsi="Arial"/>
                <w:sz w:val="20"/>
                <w:szCs w:val="20"/>
                <w:color w:val="auto"/>
              </w:rPr>
              <w:t>[__]</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0" w:type="dxa"/>
            <w:vAlign w:val="bottom"/>
            <w:gridSpan w:val="4"/>
          </w:tcPr>
          <w:p>
            <w:pPr>
              <w:jc w:val="center"/>
              <w:ind w:left="161"/>
              <w:spacing w:after="0"/>
              <w:rPr>
                <w:sz w:val="20"/>
                <w:szCs w:val="20"/>
                <w:color w:val="auto"/>
              </w:rPr>
            </w:pPr>
            <w:r>
              <w:rPr>
                <w:rFonts w:ascii="Arial" w:cs="Arial" w:eastAsia="Arial" w:hAnsi="Arial"/>
                <w:sz w:val="20"/>
                <w:szCs w:val="20"/>
                <w:color w:val="auto"/>
                <w:w w:val="89"/>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Blackbaud Latin</w:t>
            </w:r>
          </w:p>
        </w:tc>
        <w:tc>
          <w:tcPr>
            <w:tcW w:w="16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Blackbaud, Inc.</w:t>
            </w:r>
          </w:p>
        </w:tc>
        <w:tc>
          <w:tcPr>
            <w:tcW w:w="1380" w:type="dxa"/>
            <w:vAlign w:val="bottom"/>
            <w:gridSpan w:val="2"/>
          </w:tcPr>
          <w:p>
            <w:pPr>
              <w:jc w:val="center"/>
              <w:ind w:left="161"/>
              <w:spacing w:after="0"/>
              <w:rPr>
                <w:sz w:val="20"/>
                <w:szCs w:val="20"/>
                <w:color w:val="auto"/>
              </w:rPr>
            </w:pPr>
            <w:r>
              <w:rPr>
                <w:rFonts w:ascii="Arial" w:cs="Arial" w:eastAsia="Arial" w:hAnsi="Arial"/>
                <w:sz w:val="20"/>
                <w:szCs w:val="20"/>
                <w:color w:val="auto"/>
                <w:w w:val="95"/>
              </w:rPr>
              <w:t>[__]</w:t>
            </w:r>
          </w:p>
        </w:tc>
        <w:tc>
          <w:tcPr>
            <w:tcW w:w="280" w:type="dxa"/>
            <w:vAlign w:val="bottom"/>
            <w:tcBorders>
              <w:right w:val="single" w:sz="8" w:color="auto"/>
            </w:tcBorders>
          </w:tcPr>
          <w:p>
            <w:pPr>
              <w:spacing w:after="0"/>
              <w:rPr>
                <w:sz w:val="20"/>
                <w:szCs w:val="20"/>
                <w:color w:val="auto"/>
              </w:rPr>
            </w:pPr>
          </w:p>
        </w:tc>
        <w:tc>
          <w:tcPr>
            <w:tcW w:w="1400" w:type="dxa"/>
            <w:vAlign w:val="bottom"/>
            <w:gridSpan w:val="2"/>
          </w:tcPr>
          <w:p>
            <w:pPr>
              <w:jc w:val="center"/>
              <w:ind w:left="141"/>
              <w:spacing w:after="0"/>
              <w:rPr>
                <w:sz w:val="20"/>
                <w:szCs w:val="20"/>
                <w:color w:val="auto"/>
              </w:rPr>
            </w:pPr>
            <w:r>
              <w:rPr>
                <w:rFonts w:ascii="Arial" w:cs="Arial" w:eastAsia="Arial" w:hAnsi="Arial"/>
                <w:sz w:val="20"/>
                <w:szCs w:val="20"/>
                <w:color w:val="auto"/>
                <w:w w:val="95"/>
              </w:rPr>
              <w:t>[__]</w:t>
            </w:r>
          </w:p>
        </w:tc>
        <w:tc>
          <w:tcPr>
            <w:tcW w:w="260" w:type="dxa"/>
            <w:vAlign w:val="bottom"/>
            <w:tcBorders>
              <w:right w:val="single" w:sz="8" w:color="auto"/>
            </w:tcBorders>
          </w:tcPr>
          <w:p>
            <w:pPr>
              <w:spacing w:after="0"/>
              <w:rPr>
                <w:sz w:val="20"/>
                <w:szCs w:val="20"/>
                <w:color w:val="auto"/>
              </w:rPr>
            </w:pPr>
          </w:p>
        </w:tc>
        <w:tc>
          <w:tcPr>
            <w:tcW w:w="1640" w:type="dxa"/>
            <w:vAlign w:val="bottom"/>
            <w:gridSpan w:val="4"/>
          </w:tcPr>
          <w:p>
            <w:pPr>
              <w:jc w:val="center"/>
              <w:ind w:left="481"/>
              <w:spacing w:after="0"/>
              <w:rPr>
                <w:sz w:val="20"/>
                <w:szCs w:val="20"/>
                <w:color w:val="auto"/>
              </w:rPr>
            </w:pPr>
            <w:r>
              <w:rPr>
                <w:rFonts w:ascii="Arial" w:cs="Arial" w:eastAsia="Arial" w:hAnsi="Arial"/>
                <w:sz w:val="20"/>
                <w:szCs w:val="20"/>
                <w:color w:val="auto"/>
              </w:rPr>
              <w:t>[__]</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America S.R.L.*</w:t>
            </w: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Blackbaud Canada,</w:t>
            </w:r>
          </w:p>
        </w:tc>
        <w:tc>
          <w:tcPr>
            <w:tcW w:w="16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Blackbaud, Inc.</w:t>
            </w:r>
          </w:p>
        </w:tc>
        <w:tc>
          <w:tcPr>
            <w:tcW w:w="240" w:type="dxa"/>
            <w:vAlign w:val="bottom"/>
          </w:tcPr>
          <w:p>
            <w:pPr>
              <w:spacing w:after="0"/>
              <w:rPr>
                <w:sz w:val="20"/>
                <w:szCs w:val="20"/>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Common</w:t>
            </w:r>
          </w:p>
        </w:tc>
        <w:tc>
          <w:tcPr>
            <w:tcW w:w="220" w:type="dxa"/>
            <w:vAlign w:val="bottom"/>
          </w:tcPr>
          <w:p>
            <w:pPr>
              <w:spacing w:after="0"/>
              <w:rPr>
                <w:sz w:val="20"/>
                <w:szCs w:val="20"/>
                <w:color w:val="auto"/>
              </w:rPr>
            </w:pPr>
          </w:p>
        </w:tc>
        <w:tc>
          <w:tcPr>
            <w:tcW w:w="14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20"/>
                <w:szCs w:val="20"/>
                <w:color w:val="auto"/>
                <w:w w:val="91"/>
              </w:rPr>
              <w:t>C-2017-2</w:t>
            </w:r>
          </w:p>
        </w:tc>
        <w:tc>
          <w:tcPr>
            <w:tcW w:w="1640" w:type="dxa"/>
            <w:vAlign w:val="bottom"/>
            <w:gridSpan w:val="4"/>
          </w:tcPr>
          <w:p>
            <w:pPr>
              <w:jc w:val="center"/>
              <w:ind w:left="481"/>
              <w:spacing w:after="0"/>
              <w:rPr>
                <w:sz w:val="20"/>
                <w:szCs w:val="20"/>
                <w:color w:val="auto"/>
              </w:rPr>
            </w:pPr>
            <w:r>
              <w:rPr>
                <w:rFonts w:ascii="Arial" w:cs="Arial" w:eastAsia="Arial" w:hAnsi="Arial"/>
                <w:sz w:val="20"/>
                <w:szCs w:val="20"/>
                <w:color w:val="auto"/>
                <w:w w:val="88"/>
              </w:rPr>
              <w:t>65/100</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Inc.</w:t>
            </w: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MyCharity Ltd.</w:t>
            </w:r>
          </w:p>
        </w:tc>
        <w:tc>
          <w:tcPr>
            <w:tcW w:w="16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Blackbaud, Inc.</w:t>
            </w:r>
          </w:p>
        </w:tc>
        <w:tc>
          <w:tcPr>
            <w:tcW w:w="240" w:type="dxa"/>
            <w:vAlign w:val="bottom"/>
          </w:tcPr>
          <w:p>
            <w:pPr>
              <w:spacing w:after="0"/>
              <w:rPr>
                <w:sz w:val="22"/>
                <w:szCs w:val="22"/>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Common</w:t>
            </w:r>
          </w:p>
        </w:tc>
        <w:tc>
          <w:tcPr>
            <w:tcW w:w="220" w:type="dxa"/>
            <w:vAlign w:val="bottom"/>
          </w:tcPr>
          <w:p>
            <w:pPr>
              <w:spacing w:after="0"/>
              <w:rPr>
                <w:sz w:val="22"/>
                <w:szCs w:val="22"/>
                <w:color w:val="auto"/>
              </w:rPr>
            </w:pPr>
          </w:p>
        </w:tc>
        <w:tc>
          <w:tcPr>
            <w:tcW w:w="14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20"/>
                <w:szCs w:val="20"/>
                <w:color w:val="auto"/>
              </w:rPr>
              <w:t>N/A</w:t>
            </w:r>
          </w:p>
        </w:tc>
        <w:tc>
          <w:tcPr>
            <w:tcW w:w="1640" w:type="dxa"/>
            <w:vAlign w:val="bottom"/>
            <w:gridSpan w:val="4"/>
          </w:tcPr>
          <w:p>
            <w:pPr>
              <w:jc w:val="center"/>
              <w:ind w:left="461"/>
              <w:spacing w:after="0"/>
              <w:rPr>
                <w:sz w:val="20"/>
                <w:szCs w:val="20"/>
                <w:color w:val="auto"/>
              </w:rPr>
            </w:pPr>
            <w:r>
              <w:rPr>
                <w:rFonts w:ascii="Arial" w:cs="Arial" w:eastAsia="Arial" w:hAnsi="Arial"/>
                <w:sz w:val="20"/>
                <w:szCs w:val="20"/>
                <w:color w:val="auto"/>
                <w:w w:val="89"/>
              </w:rPr>
              <w:t>763/1,174</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w w:val="95"/>
              </w:rPr>
              <w:t>Blackbaud Global Ltd.</w:t>
            </w:r>
          </w:p>
        </w:tc>
        <w:tc>
          <w:tcPr>
            <w:tcW w:w="16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Blackbaud, Inc.</w:t>
            </w:r>
          </w:p>
        </w:tc>
        <w:tc>
          <w:tcPr>
            <w:tcW w:w="240" w:type="dxa"/>
            <w:vAlign w:val="bottom"/>
          </w:tcPr>
          <w:p>
            <w:pPr>
              <w:spacing w:after="0"/>
              <w:rPr>
                <w:sz w:val="22"/>
                <w:szCs w:val="22"/>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20"/>
                <w:szCs w:val="20"/>
                <w:color w:val="auto"/>
                <w:w w:val="91"/>
              </w:rPr>
              <w:t>Common</w:t>
            </w:r>
          </w:p>
        </w:tc>
        <w:tc>
          <w:tcPr>
            <w:tcW w:w="140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3</w:t>
            </w:r>
          </w:p>
        </w:tc>
        <w:tc>
          <w:tcPr>
            <w:tcW w:w="260" w:type="dxa"/>
            <w:vAlign w:val="bottom"/>
            <w:tcBorders>
              <w:right w:val="single" w:sz="8" w:color="auto"/>
            </w:tcBorders>
          </w:tcPr>
          <w:p>
            <w:pPr>
              <w:spacing w:after="0"/>
              <w:rPr>
                <w:sz w:val="22"/>
                <w:szCs w:val="22"/>
                <w:color w:val="auto"/>
              </w:rPr>
            </w:pPr>
          </w:p>
        </w:tc>
        <w:tc>
          <w:tcPr>
            <w:tcW w:w="1640" w:type="dxa"/>
            <w:vAlign w:val="bottom"/>
            <w:gridSpan w:val="4"/>
          </w:tcPr>
          <w:p>
            <w:pPr>
              <w:jc w:val="center"/>
              <w:ind w:left="481"/>
              <w:spacing w:after="0"/>
              <w:rPr>
                <w:sz w:val="20"/>
                <w:szCs w:val="20"/>
                <w:color w:val="auto"/>
              </w:rPr>
            </w:pPr>
            <w:r>
              <w:rPr>
                <w:rFonts w:ascii="Arial" w:cs="Arial" w:eastAsia="Arial" w:hAnsi="Arial"/>
                <w:sz w:val="20"/>
                <w:szCs w:val="20"/>
                <w:color w:val="auto"/>
                <w:w w:val="91"/>
              </w:rPr>
              <w:t>65/1000</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600" w:type="dxa"/>
            <w:vAlign w:val="bottom"/>
            <w:gridSpan w:val="4"/>
          </w:tcPr>
          <w:p>
            <w:pPr>
              <w:jc w:val="center"/>
              <w:ind w:left="181"/>
              <w:spacing w:after="0"/>
              <w:rPr>
                <w:sz w:val="20"/>
                <w:szCs w:val="20"/>
                <w:color w:val="auto"/>
              </w:rPr>
            </w:pPr>
            <w:r>
              <w:rPr>
                <w:rFonts w:ascii="Arial" w:cs="Arial" w:eastAsia="Arial" w:hAnsi="Arial"/>
                <w:sz w:val="20"/>
                <w:szCs w:val="20"/>
                <w:color w:val="auto"/>
                <w:w w:val="89"/>
              </w:rPr>
              <w:t>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40" w:type="dxa"/>
            <w:vAlign w:val="bottom"/>
            <w:tcBorders>
              <w:lef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400" w:type="dxa"/>
            <w:vAlign w:val="bottom"/>
            <w:gridSpan w:val="2"/>
          </w:tcPr>
          <w:p>
            <w:pPr>
              <w:jc w:val="center"/>
              <w:ind w:left="121"/>
              <w:spacing w:after="0"/>
              <w:rPr>
                <w:sz w:val="20"/>
                <w:szCs w:val="20"/>
                <w:color w:val="auto"/>
              </w:rPr>
            </w:pPr>
            <w:r>
              <w:rPr>
                <w:rFonts w:ascii="Arial" w:cs="Arial" w:eastAsia="Arial" w:hAnsi="Arial"/>
                <w:sz w:val="20"/>
                <w:szCs w:val="20"/>
                <w:color w:val="auto"/>
                <w:w w:val="89"/>
              </w:rPr>
              <w:t>5</w:t>
            </w:r>
          </w:p>
        </w:tc>
        <w:tc>
          <w:tcPr>
            <w:tcW w:w="260" w:type="dxa"/>
            <w:vAlign w:val="bottom"/>
            <w:tcBorders>
              <w:right w:val="single" w:sz="8" w:color="auto"/>
            </w:tcBorders>
          </w:tcPr>
          <w:p>
            <w:pPr>
              <w:spacing w:after="0"/>
              <w:rPr>
                <w:sz w:val="22"/>
                <w:szCs w:val="22"/>
                <w:color w:val="auto"/>
              </w:rPr>
            </w:pPr>
          </w:p>
        </w:tc>
        <w:tc>
          <w:tcPr>
            <w:tcW w:w="1640" w:type="dxa"/>
            <w:vAlign w:val="bottom"/>
            <w:gridSpan w:val="4"/>
          </w:tcPr>
          <w:p>
            <w:pPr>
              <w:jc w:val="center"/>
              <w:ind w:left="481"/>
              <w:spacing w:after="0"/>
              <w:rPr>
                <w:sz w:val="20"/>
                <w:szCs w:val="20"/>
                <w:color w:val="auto"/>
              </w:rPr>
            </w:pPr>
            <w:r>
              <w:rPr>
                <w:rFonts w:ascii="Arial" w:cs="Arial" w:eastAsia="Arial" w:hAnsi="Arial"/>
                <w:sz w:val="20"/>
                <w:szCs w:val="20"/>
                <w:color w:val="auto"/>
                <w:w w:val="88"/>
              </w:rPr>
              <w:t>585/1000</w:t>
            </w: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8"/>
        <w:spacing w:after="0" w:line="260" w:lineRule="auto"/>
        <w:tabs>
          <w:tab w:leader="none" w:pos="148" w:val="left"/>
        </w:tabs>
        <w:numPr>
          <w:ilvl w:val="0"/>
          <w:numId w:val="300"/>
        </w:numPr>
        <w:rPr>
          <w:rFonts w:ascii="Arial" w:cs="Arial" w:eastAsia="Arial" w:hAnsi="Arial"/>
          <w:sz w:val="20"/>
          <w:szCs w:val="20"/>
          <w:color w:val="auto"/>
        </w:rPr>
      </w:pPr>
      <w:r>
        <w:rPr>
          <w:rFonts w:ascii="Arial" w:cs="Arial" w:eastAsia="Arial" w:hAnsi="Arial"/>
          <w:sz w:val="20"/>
          <w:szCs w:val="20"/>
          <w:color w:val="auto"/>
        </w:rPr>
        <w:t>Indicates stock certificate to be delivered after the Closing Date (as defined in the Credit Agreement) in accordance with Section 8.17 of the Credit Agreement.</w:t>
      </w: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280" w:type="dxa"/>
            <w:vAlign w:val="bottom"/>
            <w:gridSpan w:val="7"/>
          </w:tcPr>
          <w:p>
            <w:pPr>
              <w:jc w:val="center"/>
              <w:ind w:right="1800"/>
              <w:spacing w:after="0"/>
              <w:rPr>
                <w:sz w:val="20"/>
                <w:szCs w:val="20"/>
                <w:color w:val="auto"/>
              </w:rPr>
            </w:pPr>
            <w:r>
              <w:rPr>
                <w:rFonts w:ascii="Arial" w:cs="Arial" w:eastAsia="Arial" w:hAnsi="Arial"/>
                <w:sz w:val="20"/>
                <w:szCs w:val="20"/>
                <w:color w:val="auto"/>
                <w:w w:val="93"/>
              </w:rPr>
              <w:t>DESCRIPTION OF PARTNERSHIP/LLC INTEREST</w:t>
            </w:r>
          </w:p>
        </w:tc>
      </w:tr>
      <w:tr>
        <w:trPr>
          <w:trHeight w:val="401"/>
        </w:trPr>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20" w:type="dxa"/>
            <w:vAlign w:val="bottom"/>
            <w:gridSpan w:val="4"/>
          </w:tcPr>
          <w:p>
            <w:pPr>
              <w:jc w:val="center"/>
              <w:ind w:right="1340"/>
              <w:spacing w:after="0"/>
              <w:rPr>
                <w:sz w:val="20"/>
                <w:szCs w:val="20"/>
                <w:color w:val="auto"/>
              </w:rPr>
            </w:pPr>
            <w:r>
              <w:rPr>
                <w:rFonts w:ascii="Arial" w:cs="Arial" w:eastAsia="Arial" w:hAnsi="Arial"/>
                <w:sz w:val="20"/>
                <w:szCs w:val="20"/>
                <w:color w:val="auto"/>
                <w:w w:val="89"/>
              </w:rPr>
              <w:t>Partnerships/LLCs</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9"/>
        </w:trPr>
        <w:tc>
          <w:tcPr>
            <w:tcW w:w="2860" w:type="dxa"/>
            <w:vAlign w:val="bottom"/>
            <w:gridSpan w:val="2"/>
          </w:tcPr>
          <w:p>
            <w:pPr>
              <w:spacing w:after="0"/>
              <w:rPr>
                <w:sz w:val="20"/>
                <w:szCs w:val="20"/>
                <w:color w:val="auto"/>
              </w:rPr>
            </w:pPr>
            <w:r>
              <w:rPr>
                <w:rFonts w:ascii="Arial" w:cs="Arial" w:eastAsia="Arial" w:hAnsi="Arial"/>
                <w:sz w:val="20"/>
                <w:szCs w:val="20"/>
                <w:color w:val="auto"/>
              </w:rPr>
              <w:t>Partnership/LLC</w:t>
            </w:r>
          </w:p>
        </w:tc>
        <w:tc>
          <w:tcPr>
            <w:tcW w:w="20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Pledgor</w:t>
            </w:r>
          </w:p>
        </w:tc>
        <w:tc>
          <w:tcPr>
            <w:tcW w:w="13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0"/>
                <w:szCs w:val="20"/>
                <w:color w:val="auto"/>
                <w:w w:val="88"/>
              </w:rPr>
              <w:t>Percentage of Partnership/LLC</w:t>
            </w:r>
          </w:p>
        </w:tc>
      </w:tr>
      <w:tr>
        <w:trPr>
          <w:trHeight w:val="210"/>
        </w:trPr>
        <w:tc>
          <w:tcPr>
            <w:tcW w:w="1340" w:type="dxa"/>
            <w:vAlign w:val="bottom"/>
            <w:tcBorders>
              <w:top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60" w:type="dxa"/>
            <w:vAlign w:val="bottom"/>
            <w:tcBorders>
              <w:top w:val="single" w:sz="8" w:color="auto"/>
            </w:tcBorders>
            <w:gridSpan w:val="2"/>
          </w:tcPr>
          <w:p>
            <w:pPr>
              <w:spacing w:after="0" w:line="209" w:lineRule="exact"/>
              <w:rPr>
                <w:sz w:val="20"/>
                <w:szCs w:val="20"/>
                <w:color w:val="auto"/>
              </w:rPr>
            </w:pPr>
            <w:r>
              <w:rPr>
                <w:rFonts w:ascii="Arial" w:cs="Arial" w:eastAsia="Arial" w:hAnsi="Arial"/>
                <w:sz w:val="20"/>
                <w:szCs w:val="20"/>
                <w:color w:val="auto"/>
              </w:rPr>
              <w:t>Interest Pledged</w:t>
            </w:r>
          </w:p>
        </w:tc>
      </w:tr>
      <w:tr>
        <w:trPr>
          <w:trHeight w:val="578"/>
        </w:trPr>
        <w:tc>
          <w:tcPr>
            <w:tcW w:w="2860" w:type="dxa"/>
            <w:vAlign w:val="bottom"/>
            <w:gridSpan w:val="2"/>
          </w:tcPr>
          <w:p>
            <w:pPr>
              <w:spacing w:after="0"/>
              <w:rPr>
                <w:sz w:val="20"/>
                <w:szCs w:val="20"/>
                <w:color w:val="auto"/>
              </w:rPr>
            </w:pPr>
            <w:r>
              <w:rPr>
                <w:rFonts w:ascii="Arial" w:cs="Arial" w:eastAsia="Arial" w:hAnsi="Arial"/>
                <w:sz w:val="20"/>
                <w:szCs w:val="20"/>
                <w:color w:val="auto"/>
              </w:rPr>
              <w:t>Smart, LLC</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3"/>
          </w:tcPr>
          <w:p>
            <w:pPr>
              <w:jc w:val="center"/>
              <w:ind w:right="1440"/>
              <w:spacing w:after="0"/>
              <w:rPr>
                <w:sz w:val="20"/>
                <w:szCs w:val="20"/>
                <w:color w:val="auto"/>
              </w:rPr>
            </w:pPr>
            <w:r>
              <w:rPr>
                <w:rFonts w:ascii="Arial" w:cs="Arial" w:eastAsia="Arial" w:hAnsi="Arial"/>
                <w:sz w:val="20"/>
                <w:szCs w:val="20"/>
                <w:color w:val="auto"/>
                <w:w w:val="90"/>
              </w:rPr>
              <w:t>Blackbaud, Inc.</w:t>
            </w: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100%</w:t>
            </w:r>
          </w:p>
        </w:tc>
        <w:tc>
          <w:tcPr>
            <w:tcW w:w="1180" w:type="dxa"/>
            <w:vAlign w:val="bottom"/>
          </w:tcPr>
          <w:p>
            <w:pPr>
              <w:spacing w:after="0"/>
              <w:rPr>
                <w:sz w:val="24"/>
                <w:szCs w:val="24"/>
                <w:color w:val="auto"/>
              </w:rPr>
            </w:pPr>
          </w:p>
        </w:tc>
      </w:tr>
      <w:tr>
        <w:trPr>
          <w:trHeight w:val="283"/>
        </w:trPr>
        <w:tc>
          <w:tcPr>
            <w:tcW w:w="2860" w:type="dxa"/>
            <w:vAlign w:val="bottom"/>
            <w:gridSpan w:val="2"/>
          </w:tcPr>
          <w:p>
            <w:pPr>
              <w:spacing w:after="0"/>
              <w:rPr>
                <w:sz w:val="20"/>
                <w:szCs w:val="20"/>
                <w:color w:val="auto"/>
              </w:rPr>
            </w:pPr>
            <w:r>
              <w:rPr>
                <w:rFonts w:ascii="Arial" w:cs="Arial" w:eastAsia="Arial" w:hAnsi="Arial"/>
                <w:sz w:val="20"/>
                <w:szCs w:val="20"/>
                <w:color w:val="auto"/>
              </w:rPr>
              <w:t>YC Blocker 1, LLC</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3"/>
          </w:tcPr>
          <w:p>
            <w:pPr>
              <w:jc w:val="center"/>
              <w:ind w:right="1440"/>
              <w:spacing w:after="0"/>
              <w:rPr>
                <w:sz w:val="20"/>
                <w:szCs w:val="20"/>
                <w:color w:val="auto"/>
              </w:rPr>
            </w:pPr>
            <w:r>
              <w:rPr>
                <w:rFonts w:ascii="Arial" w:cs="Arial" w:eastAsia="Arial" w:hAnsi="Arial"/>
                <w:sz w:val="20"/>
                <w:szCs w:val="20"/>
                <w:color w:val="auto"/>
                <w:w w:val="90"/>
              </w:rPr>
              <w:t>Blackbaud, Inc.</w:t>
            </w:r>
          </w:p>
        </w:tc>
        <w:tc>
          <w:tcPr>
            <w:tcW w:w="1280" w:type="dxa"/>
            <w:vAlign w:val="bottom"/>
          </w:tcPr>
          <w:p>
            <w:pPr>
              <w:spacing w:after="0"/>
              <w:rPr>
                <w:sz w:val="20"/>
                <w:szCs w:val="20"/>
                <w:color w:val="auto"/>
              </w:rPr>
            </w:pPr>
            <w:r>
              <w:rPr>
                <w:rFonts w:ascii="Arial" w:cs="Arial" w:eastAsia="Arial" w:hAnsi="Arial"/>
                <w:sz w:val="20"/>
                <w:szCs w:val="20"/>
                <w:color w:val="auto"/>
              </w:rPr>
              <w:t>100%</w:t>
            </w:r>
          </w:p>
        </w:tc>
        <w:tc>
          <w:tcPr>
            <w:tcW w:w="1180" w:type="dxa"/>
            <w:vAlign w:val="bottom"/>
          </w:tcPr>
          <w:p>
            <w:pPr>
              <w:spacing w:after="0"/>
              <w:rPr>
                <w:sz w:val="24"/>
                <w:szCs w:val="24"/>
                <w:color w:val="auto"/>
              </w:rPr>
            </w:pPr>
          </w:p>
        </w:tc>
      </w:tr>
      <w:tr>
        <w:trPr>
          <w:trHeight w:val="284"/>
        </w:trPr>
        <w:tc>
          <w:tcPr>
            <w:tcW w:w="2860" w:type="dxa"/>
            <w:vAlign w:val="bottom"/>
            <w:gridSpan w:val="2"/>
          </w:tcPr>
          <w:p>
            <w:pPr>
              <w:spacing w:after="0"/>
              <w:rPr>
                <w:sz w:val="20"/>
                <w:szCs w:val="20"/>
                <w:color w:val="auto"/>
              </w:rPr>
            </w:pPr>
            <w:r>
              <w:rPr>
                <w:rFonts w:ascii="Arial" w:cs="Arial" w:eastAsia="Arial" w:hAnsi="Arial"/>
                <w:sz w:val="20"/>
                <w:szCs w:val="20"/>
                <w:color w:val="auto"/>
              </w:rPr>
              <w:t>JGCrowdfunding USA, LLC</w:t>
            </w: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3"/>
          </w:tcPr>
          <w:p>
            <w:pPr>
              <w:jc w:val="center"/>
              <w:ind w:right="1440"/>
              <w:spacing w:after="0"/>
              <w:rPr>
                <w:sz w:val="20"/>
                <w:szCs w:val="20"/>
                <w:color w:val="auto"/>
              </w:rPr>
            </w:pPr>
            <w:r>
              <w:rPr>
                <w:rFonts w:ascii="Arial" w:cs="Arial" w:eastAsia="Arial" w:hAnsi="Arial"/>
                <w:sz w:val="20"/>
                <w:szCs w:val="20"/>
                <w:color w:val="auto"/>
                <w:w w:val="90"/>
              </w:rPr>
              <w:t>Blackbaud, Inc.</w:t>
            </w:r>
          </w:p>
        </w:tc>
        <w:tc>
          <w:tcPr>
            <w:tcW w:w="1280" w:type="dxa"/>
            <w:vAlign w:val="bottom"/>
          </w:tcPr>
          <w:p>
            <w:pPr>
              <w:spacing w:after="0"/>
              <w:rPr>
                <w:sz w:val="20"/>
                <w:szCs w:val="20"/>
                <w:color w:val="auto"/>
              </w:rPr>
            </w:pPr>
            <w:r>
              <w:rPr>
                <w:rFonts w:ascii="Arial" w:cs="Arial" w:eastAsia="Arial" w:hAnsi="Arial"/>
                <w:sz w:val="20"/>
                <w:szCs w:val="20"/>
                <w:color w:val="auto"/>
              </w:rPr>
              <w:t>100%</w:t>
            </w: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w:t>
      </w:r>
    </w:p>
    <w:p>
      <w:pPr>
        <w:spacing w:after="0" w:line="224" w:lineRule="auto"/>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419" w:right="339" w:bottom="1440" w:gutter="0" w:footer="0" w:header="0"/>
        </w:sectPr>
      </w:pPr>
    </w:p>
    <w:bookmarkStart w:id="313" w:name="page314"/>
    <w:bookmarkEnd w:id="313"/>
    <w:p>
      <w:pPr>
        <w:ind w:left="10020"/>
        <w:spacing w:after="0"/>
        <w:rPr>
          <w:sz w:val="20"/>
          <w:szCs w:val="20"/>
          <w:color w:val="auto"/>
        </w:rPr>
      </w:pPr>
      <w:r>
        <w:rPr>
          <w:rFonts w:ascii="Arial" w:cs="Arial" w:eastAsia="Arial" w:hAnsi="Arial"/>
          <w:sz w:val="19"/>
          <w:szCs w:val="19"/>
          <w:color w:val="auto"/>
        </w:rPr>
        <w:t>SCHEDULE II</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To Amended and Restated Pledge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Agreement</w:t>
      </w:r>
    </w:p>
    <w:p>
      <w:pPr>
        <w:spacing w:after="0" w:line="227" w:lineRule="exact"/>
        <w:rPr>
          <w:sz w:val="20"/>
          <w:szCs w:val="20"/>
          <w:color w:val="auto"/>
        </w:rPr>
      </w:pPr>
    </w:p>
    <w:p>
      <w:pPr>
        <w:jc w:val="center"/>
        <w:ind w:right="20"/>
        <w:spacing w:after="0" w:line="260" w:lineRule="auto"/>
        <w:rPr>
          <w:sz w:val="20"/>
          <w:szCs w:val="20"/>
          <w:color w:val="auto"/>
        </w:rPr>
      </w:pPr>
      <w:r>
        <w:rPr>
          <w:rFonts w:ascii="Arial" w:cs="Arial" w:eastAsia="Arial" w:hAnsi="Arial"/>
          <w:sz w:val="20"/>
          <w:szCs w:val="20"/>
          <w:color w:val="auto"/>
        </w:rPr>
        <w:t>FILING OFFICES; JURISDICTION OF ORGANIZATION; TAXPAYER IDENTIFICATION NUMBER; REGISTERED ORGANIZATION NUMBER; CHIEF EXECUTIVE OFFICE AND DBAS OR FICTITIOUS NAMES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620" w:type="dxa"/>
            <w:vAlign w:val="bottom"/>
            <w:tcBorders>
              <w:top w:val="single" w:sz="8" w:color="auto"/>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gridSpan w:val="2"/>
            <w:vMerge w:val="restart"/>
          </w:tcPr>
          <w:p>
            <w:pPr>
              <w:jc w:val="center"/>
              <w:ind w:right="180"/>
              <w:spacing w:after="0"/>
              <w:rPr>
                <w:sz w:val="20"/>
                <w:szCs w:val="20"/>
                <w:color w:val="auto"/>
              </w:rPr>
            </w:pPr>
            <w:r>
              <w:rPr>
                <w:rFonts w:ascii="Arial" w:cs="Arial" w:eastAsia="Arial" w:hAnsi="Arial"/>
                <w:sz w:val="20"/>
                <w:szCs w:val="20"/>
                <w:color w:val="auto"/>
                <w:w w:val="96"/>
              </w:rPr>
              <w:t>Filing Office</w:t>
            </w: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gridSpan w:val="3"/>
          </w:tcPr>
          <w:p>
            <w:pPr>
              <w:jc w:val="center"/>
              <w:ind w:right="440"/>
              <w:spacing w:after="0"/>
              <w:rPr>
                <w:sz w:val="20"/>
                <w:szCs w:val="20"/>
                <w:color w:val="auto"/>
              </w:rPr>
            </w:pPr>
            <w:r>
              <w:rPr>
                <w:rFonts w:ascii="Arial" w:cs="Arial" w:eastAsia="Arial" w:hAnsi="Arial"/>
                <w:sz w:val="20"/>
                <w:szCs w:val="20"/>
                <w:color w:val="auto"/>
                <w:w w:val="81"/>
              </w:rPr>
              <w:t>Taxpayer</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right w:val="single" w:sz="8" w:color="auto"/>
            </w:tcBorders>
            <w:gridSpan w:val="5"/>
          </w:tcPr>
          <w:p>
            <w:pPr>
              <w:jc w:val="center"/>
              <w:ind w:right="360"/>
              <w:spacing w:after="0"/>
              <w:rPr>
                <w:sz w:val="20"/>
                <w:szCs w:val="20"/>
                <w:color w:val="auto"/>
              </w:rPr>
            </w:pPr>
            <w:r>
              <w:rPr>
                <w:rFonts w:ascii="Arial" w:cs="Arial" w:eastAsia="Arial" w:hAnsi="Arial"/>
                <w:sz w:val="20"/>
                <w:szCs w:val="20"/>
                <w:color w:val="auto"/>
                <w:w w:val="86"/>
              </w:rPr>
              <w:t>Registered</w:t>
            </w: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1760" w:type="dxa"/>
            <w:vAlign w:val="bottom"/>
            <w:tcBorders>
              <w:top w:val="single" w:sz="8" w:color="auto"/>
              <w:right w:val="single" w:sz="8" w:color="auto"/>
            </w:tcBorders>
            <w:gridSpan w:val="5"/>
            <w:vMerge w:val="restart"/>
          </w:tcPr>
          <w:p>
            <w:pPr>
              <w:jc w:val="center"/>
              <w:ind w:right="40"/>
              <w:spacing w:after="0"/>
              <w:rPr>
                <w:sz w:val="20"/>
                <w:szCs w:val="20"/>
                <w:color w:val="auto"/>
              </w:rPr>
            </w:pPr>
            <w:r>
              <w:rPr>
                <w:rFonts w:ascii="Arial" w:cs="Arial" w:eastAsia="Arial" w:hAnsi="Arial"/>
                <w:sz w:val="20"/>
                <w:szCs w:val="20"/>
                <w:color w:val="auto"/>
                <w:w w:val="95"/>
              </w:rPr>
              <w:t>DBAs or Fictitious</w:t>
            </w: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right w:val="single" w:sz="8" w:color="auto"/>
            </w:tcBorders>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760" w:type="dxa"/>
            <w:vAlign w:val="bottom"/>
            <w:tcBorders>
              <w:right w:val="single" w:sz="8" w:color="auto"/>
            </w:tcBorders>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right w:val="single" w:sz="8" w:color="auto"/>
            </w:tcBorders>
            <w:gridSpan w:val="2"/>
            <w:vMerge w:val="continue"/>
          </w:tcPr>
          <w:p>
            <w:pPr>
              <w:spacing w:after="0"/>
              <w:rPr>
                <w:sz w:val="8"/>
                <w:szCs w:val="8"/>
                <w:color w:val="auto"/>
              </w:rPr>
            </w:pPr>
          </w:p>
        </w:tc>
        <w:tc>
          <w:tcPr>
            <w:tcW w:w="1560" w:type="dxa"/>
            <w:vAlign w:val="bottom"/>
            <w:tcBorders>
              <w:right w:val="single" w:sz="8" w:color="auto"/>
            </w:tcBorders>
            <w:gridSpan w:val="5"/>
            <w:vMerge w:val="restart"/>
          </w:tcPr>
          <w:p>
            <w:pPr>
              <w:jc w:val="center"/>
              <w:ind w:right="20"/>
              <w:spacing w:after="0" w:line="209" w:lineRule="exact"/>
              <w:rPr>
                <w:sz w:val="20"/>
                <w:szCs w:val="20"/>
                <w:color w:val="auto"/>
              </w:rPr>
            </w:pPr>
            <w:r>
              <w:rPr>
                <w:rFonts w:ascii="Arial" w:cs="Arial" w:eastAsia="Arial" w:hAnsi="Arial"/>
                <w:sz w:val="20"/>
                <w:szCs w:val="20"/>
                <w:color w:val="auto"/>
                <w:w w:val="93"/>
              </w:rPr>
              <w:t>Jurisdiction of</w:t>
            </w:r>
          </w:p>
        </w:tc>
        <w:tc>
          <w:tcPr>
            <w:tcW w:w="220" w:type="dxa"/>
            <w:vAlign w:val="bottom"/>
          </w:tcPr>
          <w:p>
            <w:pPr>
              <w:spacing w:after="0"/>
              <w:rPr>
                <w:sz w:val="8"/>
                <w:szCs w:val="8"/>
                <w:color w:val="auto"/>
              </w:rPr>
            </w:pPr>
          </w:p>
        </w:tc>
        <w:tc>
          <w:tcPr>
            <w:tcW w:w="1340" w:type="dxa"/>
            <w:vAlign w:val="bottom"/>
            <w:tcBorders>
              <w:right w:val="single" w:sz="8" w:color="auto"/>
            </w:tcBorders>
            <w:gridSpan w:val="4"/>
            <w:vMerge w:val="restart"/>
          </w:tcPr>
          <w:p>
            <w:pPr>
              <w:jc w:val="center"/>
              <w:ind w:right="260"/>
              <w:spacing w:after="0" w:line="209" w:lineRule="exact"/>
              <w:rPr>
                <w:sz w:val="20"/>
                <w:szCs w:val="20"/>
                <w:color w:val="auto"/>
              </w:rPr>
            </w:pPr>
            <w:r>
              <w:rPr>
                <w:rFonts w:ascii="Arial" w:cs="Arial" w:eastAsia="Arial" w:hAnsi="Arial"/>
                <w:sz w:val="20"/>
                <w:szCs w:val="20"/>
                <w:color w:val="auto"/>
                <w:w w:val="96"/>
              </w:rPr>
              <w:t>Identification</w:t>
            </w:r>
          </w:p>
        </w:tc>
        <w:tc>
          <w:tcPr>
            <w:tcW w:w="1540" w:type="dxa"/>
            <w:vAlign w:val="bottom"/>
            <w:tcBorders>
              <w:right w:val="single" w:sz="8" w:color="auto"/>
            </w:tcBorders>
            <w:gridSpan w:val="7"/>
            <w:vMerge w:val="restart"/>
          </w:tcPr>
          <w:p>
            <w:pPr>
              <w:jc w:val="center"/>
              <w:ind w:right="40"/>
              <w:spacing w:after="0" w:line="209" w:lineRule="exact"/>
              <w:rPr>
                <w:sz w:val="20"/>
                <w:szCs w:val="20"/>
                <w:color w:val="auto"/>
              </w:rPr>
            </w:pPr>
            <w:r>
              <w:rPr>
                <w:rFonts w:ascii="Arial" w:cs="Arial" w:eastAsia="Arial" w:hAnsi="Arial"/>
                <w:sz w:val="20"/>
                <w:szCs w:val="20"/>
                <w:color w:val="auto"/>
                <w:w w:val="89"/>
              </w:rPr>
              <w:t>Organization</w:t>
            </w:r>
          </w:p>
        </w:tc>
        <w:tc>
          <w:tcPr>
            <w:tcW w:w="1780" w:type="dxa"/>
            <w:vAlign w:val="bottom"/>
            <w:tcBorders>
              <w:right w:val="single" w:sz="8" w:color="auto"/>
            </w:tcBorders>
            <w:gridSpan w:val="5"/>
            <w:vMerge w:val="restart"/>
          </w:tcPr>
          <w:p>
            <w:pPr>
              <w:jc w:val="center"/>
              <w:ind w:right="20"/>
              <w:spacing w:after="0" w:line="209" w:lineRule="exact"/>
              <w:rPr>
                <w:sz w:val="20"/>
                <w:szCs w:val="20"/>
                <w:color w:val="auto"/>
              </w:rPr>
            </w:pPr>
            <w:r>
              <w:rPr>
                <w:rFonts w:ascii="Arial" w:cs="Arial" w:eastAsia="Arial" w:hAnsi="Arial"/>
                <w:sz w:val="20"/>
                <w:szCs w:val="20"/>
                <w:color w:val="auto"/>
                <w:w w:val="92"/>
              </w:rPr>
              <w:t>Chief Executive</w:t>
            </w:r>
          </w:p>
        </w:tc>
        <w:tc>
          <w:tcPr>
            <w:tcW w:w="176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Borders>
              <w:right w:val="single" w:sz="8" w:color="auto"/>
            </w:tcBorders>
            <w:gridSpan w:val="4"/>
            <w:vMerge w:val="continue"/>
          </w:tcPr>
          <w:p>
            <w:pPr>
              <w:spacing w:after="0"/>
              <w:rPr>
                <w:sz w:val="7"/>
                <w:szCs w:val="7"/>
                <w:color w:val="auto"/>
              </w:rPr>
            </w:pPr>
          </w:p>
        </w:tc>
        <w:tc>
          <w:tcPr>
            <w:tcW w:w="1540" w:type="dxa"/>
            <w:vAlign w:val="bottom"/>
            <w:tcBorders>
              <w:right w:val="single" w:sz="8" w:color="auto"/>
            </w:tcBorders>
            <w:gridSpan w:val="7"/>
            <w:vMerge w:val="continue"/>
          </w:tcPr>
          <w:p>
            <w:pPr>
              <w:spacing w:after="0"/>
              <w:rPr>
                <w:sz w:val="7"/>
                <w:szCs w:val="7"/>
                <w:color w:val="auto"/>
              </w:rPr>
            </w:pPr>
          </w:p>
        </w:tc>
        <w:tc>
          <w:tcPr>
            <w:tcW w:w="1780" w:type="dxa"/>
            <w:vAlign w:val="bottom"/>
            <w:tcBorders>
              <w:right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top w:val="single" w:sz="8" w:color="auto"/>
            </w:tcBorders>
            <w:gridSpan w:val="3"/>
            <w:vMerge w:val="restart"/>
          </w:tcPr>
          <w:p>
            <w:pPr>
              <w:jc w:val="center"/>
              <w:spacing w:after="0" w:line="209" w:lineRule="exact"/>
              <w:rPr>
                <w:sz w:val="20"/>
                <w:szCs w:val="20"/>
                <w:color w:val="auto"/>
              </w:rPr>
            </w:pPr>
            <w:r>
              <w:rPr>
                <w:rFonts w:ascii="Arial" w:cs="Arial" w:eastAsia="Arial" w:hAnsi="Arial"/>
                <w:sz w:val="20"/>
                <w:szCs w:val="20"/>
                <w:color w:val="auto"/>
                <w:w w:val="88"/>
              </w:rPr>
              <w:t>Names</w:t>
            </w:r>
          </w:p>
        </w:tc>
        <w:tc>
          <w:tcPr>
            <w:tcW w:w="14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tcBorders>
          </w:tcPr>
          <w:p>
            <w:pPr>
              <w:spacing w:after="0"/>
              <w:rPr>
                <w:sz w:val="8"/>
                <w:szCs w:val="8"/>
                <w:color w:val="auto"/>
              </w:rPr>
            </w:pPr>
          </w:p>
        </w:tc>
        <w:tc>
          <w:tcPr>
            <w:tcW w:w="1100" w:type="dxa"/>
            <w:vAlign w:val="bottom"/>
            <w:tcBorders>
              <w:right w:val="single" w:sz="8" w:color="auto"/>
            </w:tcBorders>
            <w:gridSpan w:val="2"/>
            <w:vMerge w:val="restart"/>
          </w:tcPr>
          <w:p>
            <w:pPr>
              <w:spacing w:after="0" w:line="209" w:lineRule="exact"/>
              <w:rPr>
                <w:sz w:val="20"/>
                <w:szCs w:val="20"/>
                <w:color w:val="auto"/>
              </w:rPr>
            </w:pPr>
            <w:r>
              <w:rPr>
                <w:rFonts w:ascii="Arial" w:cs="Arial" w:eastAsia="Arial" w:hAnsi="Arial"/>
                <w:sz w:val="20"/>
                <w:szCs w:val="20"/>
                <w:color w:val="auto"/>
              </w:rPr>
              <w:t>Entity</w:t>
            </w: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top w:val="single" w:sz="8" w:color="auto"/>
            </w:tcBorders>
            <w:gridSpan w:val="3"/>
            <w:vMerge w:val="restart"/>
          </w:tcPr>
          <w:p>
            <w:pPr>
              <w:jc w:val="center"/>
              <w:spacing w:after="0" w:line="209" w:lineRule="exact"/>
              <w:rPr>
                <w:sz w:val="20"/>
                <w:szCs w:val="20"/>
                <w:color w:val="auto"/>
              </w:rPr>
            </w:pPr>
            <w:r>
              <w:rPr>
                <w:rFonts w:ascii="Arial" w:cs="Arial" w:eastAsia="Arial" w:hAnsi="Arial"/>
                <w:sz w:val="20"/>
                <w:szCs w:val="20"/>
                <w:color w:val="auto"/>
                <w:w w:val="89"/>
              </w:rPr>
              <w:t>Organization</w:t>
            </w:r>
          </w:p>
        </w:tc>
        <w:tc>
          <w:tcPr>
            <w:tcW w:w="220" w:type="dxa"/>
            <w:vAlign w:val="bottom"/>
            <w:tcBorders>
              <w:right w:val="single" w:sz="8" w:color="auto"/>
            </w:tcBorders>
            <w:vMerge w:val="restart"/>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jc w:val="center"/>
              <w:ind w:right="220"/>
              <w:spacing w:after="0" w:line="209" w:lineRule="exact"/>
              <w:rPr>
                <w:sz w:val="20"/>
                <w:szCs w:val="20"/>
                <w:color w:val="auto"/>
              </w:rPr>
            </w:pPr>
            <w:r>
              <w:rPr>
                <w:rFonts w:ascii="Arial" w:cs="Arial" w:eastAsia="Arial" w:hAnsi="Arial"/>
                <w:sz w:val="20"/>
                <w:szCs w:val="20"/>
                <w:color w:val="auto"/>
                <w:w w:val="89"/>
              </w:rPr>
              <w:t>Number</w:t>
            </w:r>
          </w:p>
        </w:tc>
        <w:tc>
          <w:tcPr>
            <w:tcW w:w="260" w:type="dxa"/>
            <w:vAlign w:val="bottom"/>
            <w:tcBorders>
              <w:right w:val="single" w:sz="8" w:color="auto"/>
            </w:tcBorders>
            <w:vMerge w:val="restart"/>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4"/>
            <w:vMerge w:val="restart"/>
          </w:tcPr>
          <w:p>
            <w:pPr>
              <w:jc w:val="center"/>
              <w:ind w:right="100"/>
              <w:spacing w:after="0" w:line="209" w:lineRule="exact"/>
              <w:rPr>
                <w:sz w:val="20"/>
                <w:szCs w:val="20"/>
                <w:color w:val="auto"/>
              </w:rPr>
            </w:pPr>
            <w:r>
              <w:rPr>
                <w:rFonts w:ascii="Arial" w:cs="Arial" w:eastAsia="Arial" w:hAnsi="Arial"/>
                <w:sz w:val="20"/>
                <w:szCs w:val="20"/>
                <w:color w:val="auto"/>
                <w:w w:val="92"/>
              </w:rPr>
              <w:t>Number</w:t>
            </w:r>
          </w:p>
        </w:tc>
        <w:tc>
          <w:tcPr>
            <w:tcW w:w="280" w:type="dxa"/>
            <w:vAlign w:val="bottom"/>
            <w:tcBorders>
              <w:right w:val="single" w:sz="8" w:color="auto"/>
            </w:tcBorders>
            <w:vMerge w:val="restart"/>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vMerge w:val="restart"/>
          </w:tcPr>
          <w:p>
            <w:pPr>
              <w:jc w:val="center"/>
              <w:ind w:right="400"/>
              <w:spacing w:after="0" w:line="209" w:lineRule="exact"/>
              <w:rPr>
                <w:sz w:val="20"/>
                <w:szCs w:val="20"/>
                <w:color w:val="auto"/>
              </w:rPr>
            </w:pPr>
            <w:r>
              <w:rPr>
                <w:rFonts w:ascii="Arial" w:cs="Arial" w:eastAsia="Arial" w:hAnsi="Arial"/>
                <w:sz w:val="20"/>
                <w:szCs w:val="20"/>
                <w:color w:val="auto"/>
                <w:w w:val="95"/>
              </w:rPr>
              <w:t>Office</w:t>
            </w:r>
          </w:p>
        </w:tc>
        <w:tc>
          <w:tcPr>
            <w:tcW w:w="260" w:type="dxa"/>
            <w:vAlign w:val="bottom"/>
            <w:tcBorders>
              <w:right w:val="single" w:sz="8" w:color="auto"/>
            </w:tcBorders>
            <w:vMerge w:val="restart"/>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top w:val="single" w:sz="8" w:color="auto"/>
            </w:tcBorders>
            <w:gridSpan w:val="3"/>
            <w:vMerge w:val="continue"/>
          </w:tcPr>
          <w:p>
            <w:pPr>
              <w:spacing w:after="0"/>
              <w:rPr>
                <w:sz w:val="8"/>
                <w:szCs w:val="8"/>
                <w:color w:val="auto"/>
              </w:rPr>
            </w:pPr>
          </w:p>
        </w:tc>
        <w:tc>
          <w:tcPr>
            <w:tcW w:w="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auto"/>
            </w:tcBorders>
          </w:tcPr>
          <w:p>
            <w:pPr>
              <w:spacing w:after="0"/>
              <w:rPr>
                <w:sz w:val="7"/>
                <w:szCs w:val="7"/>
                <w:color w:val="auto"/>
              </w:rPr>
            </w:pPr>
          </w:p>
        </w:tc>
        <w:tc>
          <w:tcPr>
            <w:tcW w:w="1100" w:type="dxa"/>
            <w:vAlign w:val="bottom"/>
            <w:tcBorders>
              <w:right w:val="single" w:sz="8" w:color="auto"/>
            </w:tcBorders>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top w:val="single" w:sz="8" w:color="auto"/>
            </w:tcBorders>
            <w:gridSpan w:val="3"/>
            <w:vMerge w:val="continue"/>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Borders>
              <w:top w:val="single" w:sz="8" w:color="auto"/>
            </w:tcBorders>
            <w:gridSpan w:val="2"/>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top w:val="single" w:sz="8" w:color="auto"/>
            </w:tcBorders>
            <w:gridSpan w:val="4"/>
            <w:vMerge w:val="continue"/>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Borders>
              <w:top w:val="single" w:sz="8" w:color="auto"/>
            </w:tcBorders>
            <w:gridSpan w:val="2"/>
            <w:vMerge w:val="continue"/>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2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Blackbaud, Inc.</w:t>
            </w:r>
          </w:p>
        </w:tc>
        <w:tc>
          <w:tcPr>
            <w:tcW w:w="140" w:type="dxa"/>
            <w:vAlign w:val="bottom"/>
          </w:tcPr>
          <w:p>
            <w:pPr>
              <w:spacing w:after="0"/>
              <w:rPr>
                <w:sz w:val="20"/>
                <w:szCs w:val="20"/>
                <w:color w:val="auto"/>
              </w:rPr>
            </w:pPr>
          </w:p>
        </w:tc>
        <w:tc>
          <w:tcPr>
            <w:tcW w:w="12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9"/>
              </w:rPr>
              <w:t>Delaware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20"/>
                <w:szCs w:val="20"/>
                <w:color w:val="auto"/>
                <w:w w:val="89"/>
              </w:rPr>
              <w:t>Delaware</w:t>
            </w:r>
          </w:p>
        </w:tc>
        <w:tc>
          <w:tcPr>
            <w:tcW w:w="1300" w:type="dxa"/>
            <w:vAlign w:val="bottom"/>
            <w:gridSpan w:val="4"/>
          </w:tcPr>
          <w:p>
            <w:pPr>
              <w:jc w:val="center"/>
              <w:ind w:left="121"/>
              <w:spacing w:after="0"/>
              <w:rPr>
                <w:sz w:val="20"/>
                <w:szCs w:val="20"/>
                <w:color w:val="auto"/>
              </w:rPr>
            </w:pPr>
            <w:r>
              <w:rPr>
                <w:rFonts w:ascii="Arial" w:cs="Arial" w:eastAsia="Arial" w:hAnsi="Arial"/>
                <w:sz w:val="20"/>
                <w:szCs w:val="20"/>
                <w:color w:val="auto"/>
                <w:w w:val="89"/>
              </w:rPr>
              <w:t>11-2617163</w:t>
            </w:r>
          </w:p>
        </w:tc>
        <w:tc>
          <w:tcPr>
            <w:tcW w:w="260" w:type="dxa"/>
            <w:vAlign w:val="bottom"/>
            <w:tcBorders>
              <w:right w:val="single" w:sz="8" w:color="auto"/>
            </w:tcBorders>
          </w:tcPr>
          <w:p>
            <w:pPr>
              <w:spacing w:after="0"/>
              <w:rPr>
                <w:sz w:val="20"/>
                <w:szCs w:val="20"/>
                <w:color w:val="auto"/>
              </w:rPr>
            </w:pPr>
          </w:p>
        </w:tc>
        <w:tc>
          <w:tcPr>
            <w:tcW w:w="1180" w:type="dxa"/>
            <w:vAlign w:val="bottom"/>
            <w:gridSpan w:val="5"/>
          </w:tcPr>
          <w:p>
            <w:pPr>
              <w:jc w:val="center"/>
              <w:ind w:left="221"/>
              <w:spacing w:after="0"/>
              <w:rPr>
                <w:sz w:val="20"/>
                <w:szCs w:val="20"/>
                <w:color w:val="auto"/>
              </w:rPr>
            </w:pPr>
            <w:r>
              <w:rPr>
                <w:rFonts w:ascii="Arial" w:cs="Arial" w:eastAsia="Arial" w:hAnsi="Arial"/>
                <w:sz w:val="20"/>
                <w:szCs w:val="20"/>
                <w:color w:val="auto"/>
                <w:w w:val="89"/>
              </w:rPr>
              <w:t>3761397</w:t>
            </w:r>
          </w:p>
        </w:tc>
        <w:tc>
          <w:tcPr>
            <w:tcW w:w="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65 Fairchild Street</w:t>
            </w: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w w:val="92"/>
              </w:rPr>
              <w:t>Target Software, Inc.</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Secretary of</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gridSpan w:val="5"/>
          </w:tcPr>
          <w:p>
            <w:pPr>
              <w:ind w:left="20"/>
              <w:spacing w:after="0"/>
              <w:rPr>
                <w:sz w:val="20"/>
                <w:szCs w:val="20"/>
                <w:color w:val="auto"/>
              </w:rPr>
            </w:pPr>
            <w:r>
              <w:rPr>
                <w:rFonts w:ascii="Arial" w:cs="Arial" w:eastAsia="Arial" w:hAnsi="Arial"/>
                <w:sz w:val="20"/>
                <w:szCs w:val="20"/>
                <w:color w:val="auto"/>
              </w:rPr>
              <w:t>Charleston, SC</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5"/>
              </w:rPr>
              <w:t>State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20"/>
                <w:szCs w:val="20"/>
                <w:color w:val="auto"/>
              </w:rPr>
              <w:t>29492</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rPr>
              <w:t>Target Analysis</w:t>
            </w: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rPr>
              <w:t>Group, Inc.</w:t>
            </w:r>
          </w:p>
        </w:tc>
        <w:tc>
          <w:tcPr>
            <w:tcW w:w="0" w:type="dxa"/>
            <w:vAlign w:val="bottom"/>
          </w:tcPr>
          <w:p>
            <w:pPr>
              <w:spacing w:after="0"/>
              <w:rPr>
                <w:sz w:val="1"/>
                <w:szCs w:val="1"/>
                <w:color w:val="auto"/>
              </w:rPr>
            </w:pPr>
          </w:p>
        </w:tc>
      </w:tr>
      <w:tr>
        <w:trPr>
          <w:trHeight w:val="473"/>
        </w:trPr>
        <w:tc>
          <w:tcPr>
            <w:tcW w:w="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rPr>
              <w:t>eTapestry.com</w:t>
            </w:r>
          </w:p>
        </w:tc>
        <w:tc>
          <w:tcPr>
            <w:tcW w:w="0" w:type="dxa"/>
            <w:vAlign w:val="bottom"/>
          </w:tcPr>
          <w:p>
            <w:pPr>
              <w:spacing w:after="0"/>
              <w:rPr>
                <w:sz w:val="1"/>
                <w:szCs w:val="1"/>
                <w:color w:val="auto"/>
              </w:rPr>
            </w:pPr>
          </w:p>
        </w:tc>
      </w:tr>
      <w:tr>
        <w:trPr>
          <w:trHeight w:val="473"/>
        </w:trPr>
        <w:tc>
          <w:tcPr>
            <w:tcW w:w="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rPr>
              <w:t>eTapestry</w:t>
            </w:r>
          </w:p>
        </w:tc>
        <w:tc>
          <w:tcPr>
            <w:tcW w:w="0" w:type="dxa"/>
            <w:vAlign w:val="bottom"/>
          </w:tcPr>
          <w:p>
            <w:pPr>
              <w:spacing w:after="0"/>
              <w:rPr>
                <w:sz w:val="1"/>
                <w:szCs w:val="1"/>
                <w:color w:val="auto"/>
              </w:rPr>
            </w:pPr>
          </w:p>
        </w:tc>
      </w:tr>
      <w:tr>
        <w:trPr>
          <w:trHeight w:val="472"/>
        </w:trPr>
        <w:tc>
          <w:tcPr>
            <w:tcW w:w="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rPr>
              <w:t>Kintera</w:t>
            </w:r>
          </w:p>
        </w:tc>
        <w:tc>
          <w:tcPr>
            <w:tcW w:w="0" w:type="dxa"/>
            <w:vAlign w:val="bottom"/>
          </w:tcPr>
          <w:p>
            <w:pPr>
              <w:spacing w:after="0"/>
              <w:rPr>
                <w:sz w:val="1"/>
                <w:szCs w:val="1"/>
                <w:color w:val="auto"/>
              </w:rPr>
            </w:pPr>
          </w:p>
        </w:tc>
      </w:tr>
      <w:tr>
        <w:trPr>
          <w:trHeight w:val="473"/>
        </w:trPr>
        <w:tc>
          <w:tcPr>
            <w:tcW w:w="6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760" w:type="dxa"/>
            <w:vAlign w:val="bottom"/>
            <w:tcBorders>
              <w:right w:val="single" w:sz="8" w:color="auto"/>
            </w:tcBorders>
            <w:gridSpan w:val="5"/>
          </w:tcPr>
          <w:p>
            <w:pPr>
              <w:spacing w:after="0"/>
              <w:rPr>
                <w:sz w:val="20"/>
                <w:szCs w:val="20"/>
                <w:color w:val="auto"/>
              </w:rPr>
            </w:pPr>
            <w:r>
              <w:rPr>
                <w:rFonts w:ascii="Arial" w:cs="Arial" w:eastAsia="Arial" w:hAnsi="Arial"/>
                <w:sz w:val="20"/>
                <w:szCs w:val="20"/>
                <w:color w:val="auto"/>
                <w:w w:val="96"/>
              </w:rPr>
              <w:t>American Fundware</w:t>
            </w:r>
          </w:p>
        </w:tc>
        <w:tc>
          <w:tcPr>
            <w:tcW w:w="0" w:type="dxa"/>
            <w:vAlign w:val="bottom"/>
          </w:tcPr>
          <w:p>
            <w:pPr>
              <w:spacing w:after="0"/>
              <w:rPr>
                <w:sz w:val="1"/>
                <w:szCs w:val="1"/>
                <w:color w:val="auto"/>
              </w:rPr>
            </w:pPr>
          </w:p>
        </w:tc>
      </w:tr>
      <w:tr>
        <w:trPr>
          <w:trHeight w:val="266"/>
        </w:trPr>
        <w:tc>
          <w:tcPr>
            <w:tcW w:w="62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II</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60"/>
          </w:cols>
          <w:pgMar w:left="320" w:top="1419" w:right="319" w:bottom="1440" w:gutter="0" w:footer="0" w:header="0"/>
        </w:sectPr>
      </w:pPr>
    </w:p>
    <w:bookmarkStart w:id="314" w:name="page315"/>
    <w:bookmarkEnd w:id="314"/>
    <w:p>
      <w:pPr>
        <w:jc w:val="center"/>
        <w:spacing w:after="0"/>
        <w:rPr>
          <w:sz w:val="20"/>
          <w:szCs w:val="20"/>
          <w:color w:val="auto"/>
        </w:rPr>
      </w:pPr>
      <w:r>
        <w:rPr>
          <w:rFonts w:ascii="Arial" w:cs="Arial" w:eastAsia="Arial" w:hAnsi="Arial"/>
          <w:sz w:val="20"/>
          <w:szCs w:val="20"/>
          <w:u w:val="single" w:color="auto"/>
          <w:color w:val="auto"/>
        </w:rPr>
        <w:t>ANNEX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jc w:val="center"/>
        <w:spacing w:after="0"/>
        <w:rPr>
          <w:sz w:val="20"/>
          <w:szCs w:val="20"/>
          <w:color w:val="auto"/>
        </w:rPr>
      </w:pPr>
      <w:r>
        <w:rPr>
          <w:rFonts w:ascii="Arial" w:cs="Arial" w:eastAsia="Arial" w:hAnsi="Arial"/>
          <w:sz w:val="20"/>
          <w:szCs w:val="20"/>
          <w:color w:val="auto"/>
        </w:rPr>
        <w:t>AMENDED AND RESTATED PLEDGE AGREEMENT</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Reference is hereby made to the Amended and Restated Pledge Agreement (as amended,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30, 2020, made by each of BLACKBAUD,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any Domestic Credit Party, including the undersigned, which become parties thereto by executing a Supplement in substantially the form hereof, the “</w:t>
      </w:r>
      <w:r>
        <w:rPr>
          <w:rFonts w:ascii="Arial" w:cs="Arial" w:eastAsia="Arial" w:hAnsi="Arial"/>
          <w:sz w:val="18"/>
          <w:szCs w:val="18"/>
          <w:u w:val="single" w:color="auto"/>
          <w:color w:val="auto"/>
        </w:rPr>
        <w:t>Pledgors</w:t>
      </w:r>
      <w:r>
        <w:rPr>
          <w:rFonts w:ascii="Arial" w:cs="Arial" w:eastAsia="Arial" w:hAnsi="Arial"/>
          <w:sz w:val="18"/>
          <w:szCs w:val="18"/>
          <w:color w:val="auto"/>
        </w:rPr>
        <w:t>”), in favor of the Administrative Agent. Capitalized terms used herein and not defined herein shall have the meanings given to them in the Agreement. By its execution below, the undersigned, [NAME OF NEW PLEDGOR], a [__________________________] [corporation/limited liability company] agrees to become, and does hereby become, a [Pledgor] under the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Agreement and agrees to be bound by such Agreement as if originally a party thereto. By its execution below, the undersigned Pledgor represents and warrants as to itself that, after giving effect to this supplement and the Schedules attached hereto, all of the representations and warranties contained in the Agreement are true and correct in all material respects (without duplication with respect to any materiality qualifications set forth in any individual representation and warranty) as of the date hereof. [NAME OF NEW PLEDGOR] represents and warrants that, as of the date hereof, the supplements to the Schedules to the Agreement attached hereto are true and correct in all material respects and such supplements set forth all information required to be scheduled under the Agreement. [NAME OF NEW PLEDGOR] shall take all steps necessary to perfect, in favor of the Administrative Agent, a first-priority security interest in and Lien against [NAME OF NEW PLEDGOR]’s Collateral (subject to Permitted Liens), including, without limitation, delivering all Certificated Securities together with an undated stock power covering such certificate duly executed in blank by such Pledgor to the Administrative Agent, and taking all steps necessary to properly perfect the Administrative Agent’s interest in any uncertificated equity or membership interests.</w:t>
      </w:r>
    </w:p>
    <w:p>
      <w:pPr>
        <w:spacing w:after="0" w:line="20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IN WITNESS WHEREOF, the undersigned has caused this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counterpart to the Agreement to be duly executed and delivered as of this ___________ day of ____________, ____.</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NEW PLEDGOR]</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CHAR1\1756506v3</w:t>
      </w:r>
    </w:p>
    <w:p>
      <w:pPr>
        <w:spacing w:after="0"/>
        <w:rPr>
          <w:sz w:val="20"/>
          <w:szCs w:val="20"/>
          <w:color w:val="auto"/>
        </w:rPr>
      </w:pPr>
      <w:r>
        <w:rPr>
          <w:rFonts w:ascii="Arial" w:cs="Arial" w:eastAsia="Arial" w:hAnsi="Arial"/>
          <w:sz w:val="14"/>
          <w:szCs w:val="14"/>
          <w:color w:val="auto"/>
        </w:rPr>
        <w:t>NAI-1514813940v3</w:t>
      </w:r>
    </w:p>
    <w:p>
      <w:pPr>
        <w:sectPr>
          <w:pgSz w:w="11900" w:h="16838" w:orient="portrait"/>
          <w:cols w:equalWidth="0" w:num="1">
            <w:col w:w="11240"/>
          </w:cols>
          <w:pgMar w:left="320" w:top="1419" w:right="339" w:bottom="1440" w:gutter="0" w:footer="0" w:header="0"/>
        </w:sectPr>
      </w:pPr>
    </w:p>
    <w:bookmarkStart w:id="315" w:name="page316"/>
    <w:bookmarkEnd w:id="315"/>
    <w:p>
      <w:pPr>
        <w:jc w:val="center"/>
        <w:ind w:right="-1100"/>
        <w:spacing w:after="0"/>
        <w:rPr>
          <w:sz w:val="20"/>
          <w:szCs w:val="20"/>
          <w:color w:val="auto"/>
        </w:rPr>
      </w:pPr>
      <w:r>
        <w:rPr>
          <w:rFonts w:ascii="Arial" w:cs="Arial" w:eastAsia="Arial" w:hAnsi="Arial"/>
          <w:sz w:val="20"/>
          <w:szCs w:val="20"/>
          <w:u w:val="single" w:color="auto"/>
          <w:color w:val="auto"/>
        </w:rPr>
        <w:t>Addendum A</w:t>
      </w:r>
    </w:p>
    <w:p>
      <w:pPr>
        <w:spacing w:after="0" w:line="243" w:lineRule="exact"/>
        <w:rPr>
          <w:sz w:val="20"/>
          <w:szCs w:val="20"/>
          <w:color w:val="auto"/>
        </w:rPr>
      </w:pPr>
    </w:p>
    <w:p>
      <w:pPr>
        <w:jc w:val="right"/>
        <w:ind w:right="3659"/>
        <w:spacing w:after="0"/>
        <w:rPr>
          <w:sz w:val="20"/>
          <w:szCs w:val="20"/>
          <w:color w:val="auto"/>
        </w:rPr>
      </w:pPr>
      <w:r>
        <w:rPr>
          <w:rFonts w:ascii="Arial" w:cs="Arial" w:eastAsia="Arial" w:hAnsi="Arial"/>
          <w:sz w:val="20"/>
          <w:szCs w:val="20"/>
          <w:u w:val="single" w:color="auto"/>
          <w:color w:val="auto"/>
        </w:rPr>
        <w:t>Financing Statements</w:t>
      </w: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Addendum 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CHAR1\1756506v4</w:t>
      </w:r>
    </w:p>
    <w:p>
      <w:pPr>
        <w:sectPr>
          <w:pgSz w:w="11900" w:h="16838" w:orient="portrait"/>
          <w:cols w:equalWidth="0" w:num="1">
            <w:col w:w="10139"/>
          </w:cols>
          <w:pgMar w:left="320" w:top="1419"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3, 2020</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Michael P. Gianoni</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3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3, 2020</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Anthony W. Boor</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2020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3, 2020</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Michael P. Gianoni</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2020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3, 2020</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Anthony W. Boor</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
      <w:numFmt w:val="bullet"/>
      <w:start w:val="1"/>
    </w:lvl>
  </w:abstractNum>
  <w:abstractNum w:abstractNumId="2">
    <w:nsid w:val="14D53685"/>
    <w:multiLevelType w:val="hybridMultilevel"/>
    <w:lvl w:ilvl="0">
      <w:lvlJc w:val="left"/>
      <w:lvlText w:val="•"/>
      <w:numFmt w:val="bullet"/>
      <w:start w:val="1"/>
    </w:lvl>
  </w:abstractNum>
  <w:abstractNum w:abstractNumId="3">
    <w:nsid w:val="230F856C"/>
    <w:multiLevelType w:val="hybridMultilevel"/>
    <w:lvl w:ilvl="0">
      <w:lvlJc w:val="left"/>
      <w:lvlText w:val="(%1)"/>
      <w:numFmt w:val="decimal"/>
      <w:start w:val="1"/>
    </w:lvl>
  </w:abstractNum>
  <w:abstractNum w:abstractNumId="4">
    <w:nsid w:val="6EAA85FB"/>
    <w:multiLevelType w:val="hybridMultilevel"/>
    <w:lvl w:ilvl="0">
      <w:lvlJc w:val="left"/>
      <w:lvlText w:val="(%1)"/>
      <w:numFmt w:val="decimal"/>
      <w:start w:val="1"/>
    </w:lvl>
    <w:lvl w:ilvl="1">
      <w:lvlJc w:val="left"/>
      <w:lvlText w:val="%2."/>
      <w:numFmt w:val="decimal"/>
      <w:start w:val="3"/>
    </w:lvl>
  </w:abstractNum>
  <w:abstractNum w:abstractNumId="5">
    <w:nsid w:val="3F06ECB2"/>
    <w:multiLevelType w:val="hybridMultilevel"/>
    <w:lvl w:ilvl="0">
      <w:lvlJc w:val="left"/>
      <w:lvlText w:val="$"/>
      <w:numFmt w:val="bullet"/>
      <w:start w:val="1"/>
    </w:lvl>
  </w:abstractNum>
  <w:abstractNum w:abstractNumId="6">
    <w:nsid w:val="3B594807"/>
    <w:multiLevelType w:val="hybridMultilevel"/>
    <w:lvl w:ilvl="0">
      <w:lvlJc w:val="left"/>
      <w:lvlText w:val="$"/>
      <w:numFmt w:val="bullet"/>
      <w:start w:val="1"/>
    </w:lvl>
  </w:abstractNum>
  <w:abstractNum w:abstractNumId="7">
    <w:nsid w:val="6CAA2304"/>
    <w:multiLevelType w:val="hybridMultilevel"/>
    <w:lvl w:ilvl="0">
      <w:lvlJc w:val="left"/>
      <w:lvlText w:val="•"/>
      <w:numFmt w:val="bullet"/>
      <w:start w:val="1"/>
    </w:lvl>
  </w:abstractNum>
  <w:abstractNum w:abstractNumId="8">
    <w:nsid w:val="3F7C2FF4"/>
    <w:multiLevelType w:val="hybridMultilevel"/>
    <w:lvl w:ilvl="0">
      <w:lvlJc w:val="left"/>
      <w:lvlText w:val="(%1)"/>
      <w:numFmt w:val="decimal"/>
      <w:start w:val="1"/>
    </w:lvl>
  </w:abstractNum>
  <w:abstractNum w:abstractNumId="9">
    <w:nsid w:val="25413BEC"/>
    <w:multiLevelType w:val="hybridMultilevel"/>
    <w:lvl w:ilvl="0">
      <w:lvlJc w:val="left"/>
      <w:lvlText w:val="(%1)"/>
      <w:numFmt w:val="decimal"/>
      <w:start w:val="1"/>
    </w:lvl>
  </w:abstractNum>
  <w:abstractNum w:abstractNumId="10">
    <w:nsid w:val="17180B0B"/>
    <w:multiLevelType w:val="hybridMultilevel"/>
    <w:lvl w:ilvl="0">
      <w:lvlJc w:val="left"/>
      <w:lvlText w:val="(%1)"/>
      <w:numFmt w:val="decimal"/>
      <w:start w:val="1"/>
    </w:lvl>
  </w:abstractNum>
  <w:abstractNum w:abstractNumId="11">
    <w:nsid w:val="579328B9"/>
    <w:multiLevelType w:val="hybridMultilevel"/>
    <w:lvl w:ilvl="0">
      <w:lvlJc w:val="left"/>
      <w:lvlText w:val="•"/>
      <w:numFmt w:val="bullet"/>
      <w:start w:val="1"/>
    </w:lvl>
  </w:abstractNum>
  <w:abstractNum w:abstractNumId="12">
    <w:nsid w:val="5D205E20"/>
    <w:multiLevelType w:val="hybridMultilevel"/>
    <w:lvl w:ilvl="0">
      <w:lvlJc w:val="left"/>
      <w:lvlText w:val="%1."/>
      <w:numFmt w:val="decimal"/>
    </w:lvl>
    <w:lvl w:ilvl="1">
      <w:lvlJc w:val="left"/>
      <w:lvlText w:val="1"/>
      <w:numFmt w:val="bullet"/>
      <w:start w:val="1"/>
    </w:lvl>
  </w:abstractNum>
  <w:abstractNum w:abstractNumId="13">
    <w:nsid w:val="11CCA8BA"/>
    <w:multiLevelType w:val="hybridMultilevel"/>
    <w:lvl w:ilvl="0">
      <w:lvlJc w:val="left"/>
      <w:lvlText w:val="-"/>
      <w:numFmt w:val="bullet"/>
      <w:start w:val="1"/>
    </w:lvl>
  </w:abstractNum>
  <w:abstractNum w:abstractNumId="14">
    <w:nsid w:val="4D32AB86"/>
    <w:multiLevelType w:val="hybridMultilevel"/>
    <w:lvl w:ilvl="0">
      <w:lvlJc w:val="left"/>
      <w:lvlText w:val="+"/>
      <w:numFmt w:val="bullet"/>
      <w:start w:val="1"/>
    </w:lvl>
  </w:abstractNum>
  <w:abstractNum w:abstractNumId="15">
    <w:nsid w:val="3F07ACC3"/>
    <w:multiLevelType w:val="hybridMultilevel"/>
    <w:lvl w:ilvl="0">
      <w:lvlJc w:val="left"/>
      <w:lvlText w:val="-"/>
      <w:numFmt w:val="bullet"/>
      <w:start w:val="1"/>
    </w:lvl>
  </w:abstractNum>
  <w:abstractNum w:abstractNumId="16">
    <w:nsid w:val="6B47F63E"/>
    <w:multiLevelType w:val="hybridMultilevel"/>
    <w:lvl w:ilvl="0">
      <w:lvlJc w:val="left"/>
      <w:lvlText w:val="+"/>
      <w:numFmt w:val="bullet"/>
      <w:start w:val="1"/>
    </w:lvl>
  </w:abstractNum>
  <w:abstractNum w:abstractNumId="17">
    <w:nsid w:val="5CB44A05"/>
    <w:multiLevelType w:val="hybridMultilevel"/>
    <w:lvl w:ilvl="0">
      <w:lvlJc w:val="left"/>
      <w:lvlText w:val="-"/>
      <w:numFmt w:val="bullet"/>
      <w:start w:val="1"/>
    </w:lvl>
  </w:abstractNum>
  <w:abstractNum w:abstractNumId="18">
    <w:nsid w:val="16CF80F1"/>
    <w:multiLevelType w:val="hybridMultilevel"/>
    <w:lvl w:ilvl="0">
      <w:lvlJc w:val="left"/>
      <w:lvlText w:val="+"/>
      <w:numFmt w:val="bullet"/>
      <w:start w:val="1"/>
    </w:lvl>
  </w:abstractNum>
  <w:abstractNum w:abstractNumId="19">
    <w:nsid w:val="1C695DEC"/>
    <w:multiLevelType w:val="hybridMultilevel"/>
    <w:lvl w:ilvl="0">
      <w:lvlJc w:val="left"/>
      <w:lvlText w:val="-"/>
      <w:numFmt w:val="bullet"/>
      <w:start w:val="1"/>
    </w:lvl>
  </w:abstractNum>
  <w:abstractNum w:abstractNumId="20">
    <w:nsid w:val="3FCFAED9"/>
    <w:multiLevelType w:val="hybridMultilevel"/>
    <w:lvl w:ilvl="0">
      <w:lvlJc w:val="left"/>
      <w:lvlText w:val="%1."/>
      <w:numFmt w:val="decimal"/>
      <w:start w:val="1"/>
    </w:lvl>
  </w:abstractNum>
  <w:abstractNum w:abstractNumId="21">
    <w:nsid w:val="F856867"/>
    <w:multiLevelType w:val="hybridMultilevel"/>
    <w:lvl w:ilvl="0">
      <w:lvlJc w:val="left"/>
      <w:lvlText w:val="%1."/>
      <w:numFmt w:val="decimal"/>
      <w:start w:val="3"/>
    </w:lvl>
  </w:abstractNum>
  <w:abstractNum w:abstractNumId="22">
    <w:nsid w:val="11B1CC33"/>
    <w:multiLevelType w:val="hybridMultilevel"/>
    <w:lvl w:ilvl="0">
      <w:lvlJc w:val="left"/>
      <w:lvlText w:val="-"/>
      <w:numFmt w:val="bullet"/>
      <w:start w:val="1"/>
    </w:lvl>
  </w:abstractNum>
  <w:abstractNum w:abstractNumId="23">
    <w:nsid w:val="2E22FBB7"/>
    <w:multiLevelType w:val="hybridMultilevel"/>
    <w:lvl w:ilvl="0">
      <w:lvlJc w:val="left"/>
      <w:lvlText w:val="+"/>
      <w:numFmt w:val="bullet"/>
      <w:start w:val="1"/>
    </w:lvl>
  </w:abstractNum>
  <w:abstractNum w:abstractNumId="24">
    <w:nsid w:val="29934699"/>
    <w:multiLevelType w:val="hybridMultilevel"/>
    <w:lvl w:ilvl="0">
      <w:lvlJc w:val="left"/>
      <w:lvlText w:val="+"/>
      <w:numFmt w:val="bullet"/>
      <w:start w:val="1"/>
    </w:lvl>
  </w:abstractNum>
  <w:abstractNum w:abstractNumId="25">
    <w:nsid w:val="77485850"/>
    <w:multiLevelType w:val="hybridMultilevel"/>
    <w:lvl w:ilvl="0">
      <w:lvlJc w:val="left"/>
      <w:lvlText w:val="-"/>
      <w:numFmt w:val="bullet"/>
      <w:start w:val="1"/>
    </w:lvl>
  </w:abstractNum>
  <w:abstractNum w:abstractNumId="26">
    <w:nsid w:val="744939A3"/>
    <w:multiLevelType w:val="hybridMultilevel"/>
    <w:lvl w:ilvl="0">
      <w:lvlJc w:val="left"/>
      <w:lvlText w:val="+"/>
      <w:numFmt w:val="bullet"/>
      <w:start w:val="1"/>
    </w:lvl>
  </w:abstractNum>
  <w:abstractNum w:abstractNumId="27">
    <w:nsid w:val="4FA0D2E3"/>
    <w:multiLevelType w:val="hybridMultilevel"/>
    <w:lvl w:ilvl="0">
      <w:lvlJc w:val="left"/>
      <w:lvlText w:val="-"/>
      <w:numFmt w:val="bullet"/>
      <w:start w:val="1"/>
    </w:lvl>
  </w:abstractNum>
  <w:abstractNum w:abstractNumId="28">
    <w:nsid w:val="6B1D2C14"/>
    <w:multiLevelType w:val="hybridMultilevel"/>
    <w:lvl w:ilvl="0">
      <w:lvlJc w:val="left"/>
      <w:lvlText w:val="+"/>
      <w:numFmt w:val="bullet"/>
      <w:start w:val="1"/>
    </w:lvl>
  </w:abstractNum>
  <w:abstractNum w:abstractNumId="29">
    <w:nsid w:val="68B867D3"/>
    <w:multiLevelType w:val="hybridMultilevel"/>
    <w:lvl w:ilvl="0">
      <w:lvlJc w:val="left"/>
      <w:lvlText w:val="-"/>
      <w:numFmt w:val="bullet"/>
      <w:start w:val="1"/>
    </w:lvl>
  </w:abstractNum>
  <w:abstractNum w:abstractNumId="30">
    <w:nsid w:val="3F7F5DD9"/>
    <w:multiLevelType w:val="hybridMultilevel"/>
    <w:lvl w:ilvl="0">
      <w:lvlJc w:val="left"/>
      <w:lvlText w:val="+"/>
      <w:numFmt w:val="bullet"/>
      <w:start w:val="1"/>
    </w:lvl>
  </w:abstractNum>
  <w:abstractNum w:abstractNumId="31">
    <w:nsid w:val="2AE05A34"/>
    <w:multiLevelType w:val="hybridMultilevel"/>
    <w:lvl w:ilvl="0">
      <w:lvlJc w:val="left"/>
      <w:lvlText w:val="-"/>
      <w:numFmt w:val="bullet"/>
      <w:start w:val="1"/>
    </w:lvl>
  </w:abstractNum>
  <w:abstractNum w:abstractNumId="32">
    <w:nsid w:val="32794FF7"/>
    <w:multiLevelType w:val="hybridMultilevel"/>
    <w:lvl w:ilvl="0">
      <w:lvlJc w:val="left"/>
      <w:lvlText w:val="-"/>
      <w:numFmt w:val="bullet"/>
      <w:start w:val="1"/>
    </w:lvl>
  </w:abstractNum>
  <w:abstractNum w:abstractNumId="33">
    <w:nsid w:val="5454945E"/>
    <w:multiLevelType w:val="hybridMultilevel"/>
    <w:lvl w:ilvl="0">
      <w:lvlJc w:val="left"/>
      <w:lvlText w:val="+"/>
      <w:numFmt w:val="bullet"/>
      <w:start w:val="1"/>
    </w:lvl>
  </w:abstractNum>
  <w:abstractNum w:abstractNumId="34">
    <w:nsid w:val="4DEFDFA0"/>
    <w:multiLevelType w:val="hybridMultilevel"/>
    <w:lvl w:ilvl="0">
      <w:lvlJc w:val="left"/>
      <w:lvlText w:val="-"/>
      <w:numFmt w:val="bullet"/>
      <w:start w:val="1"/>
    </w:lvl>
  </w:abstractNum>
  <w:abstractNum w:abstractNumId="35">
    <w:nsid w:val="2123D5F2"/>
    <w:multiLevelType w:val="hybridMultilevel"/>
    <w:lvl w:ilvl="0">
      <w:lvlJc w:val="left"/>
      <w:lvlText w:val="(%1)"/>
      <w:numFmt w:val="decimal"/>
      <w:start w:val="1"/>
    </w:lvl>
  </w:abstractNum>
  <w:abstractNum w:abstractNumId="36">
    <w:nsid w:val="135B8110"/>
    <w:multiLevelType w:val="hybridMultilevel"/>
    <w:lvl w:ilvl="0">
      <w:lvlJc w:val="left"/>
      <w:lvlText w:val="(%1)"/>
      <w:numFmt w:val="decimal"/>
      <w:start w:val="1"/>
    </w:lvl>
  </w:abstractNum>
  <w:abstractNum w:abstractNumId="37">
    <w:nsid w:val="94927A8"/>
    <w:multiLevelType w:val="hybridMultilevel"/>
    <w:lvl w:ilvl="0">
      <w:lvlJc w:val="left"/>
      <w:lvlText w:val="(%1)"/>
      <w:numFmt w:val="decimal"/>
      <w:start w:val="1"/>
    </w:lvl>
  </w:abstractNum>
  <w:abstractNum w:abstractNumId="38">
    <w:nsid w:val="DCDF8F6"/>
    <w:multiLevelType w:val="hybridMultilevel"/>
    <w:lvl w:ilvl="0">
      <w:lvlJc w:val="left"/>
      <w:lvlText w:val="(%1)"/>
      <w:numFmt w:val="decimal"/>
      <w:start w:val="1"/>
    </w:lvl>
  </w:abstractNum>
  <w:abstractNum w:abstractNumId="39">
    <w:nsid w:val="52D7B105"/>
    <w:multiLevelType w:val="hybridMultilevel"/>
    <w:lvl w:ilvl="0">
      <w:lvlJc w:val="left"/>
      <w:lvlText w:val="•"/>
      <w:numFmt w:val="bullet"/>
      <w:start w:val="1"/>
    </w:lvl>
  </w:abstractNum>
  <w:abstractNum w:abstractNumId="40">
    <w:nsid w:val="2E8A6394"/>
    <w:multiLevelType w:val="hybridMultilevel"/>
    <w:lvl w:ilvl="0">
      <w:lvlJc w:val="left"/>
      <w:lvlText w:val="•"/>
      <w:numFmt w:val="bullet"/>
      <w:start w:val="1"/>
    </w:lvl>
  </w:abstractNum>
  <w:abstractNum w:abstractNumId="41">
    <w:nsid w:val="24E60401"/>
    <w:multiLevelType w:val="hybridMultilevel"/>
    <w:lvl w:ilvl="0">
      <w:lvlJc w:val="left"/>
      <w:lvlText w:val="(%1)"/>
      <w:numFmt w:val="decimal"/>
      <w:start w:val="1"/>
    </w:lvl>
  </w:abstractNum>
  <w:abstractNum w:abstractNumId="42">
    <w:nsid w:val="2A6AD9BE"/>
    <w:multiLevelType w:val="hybridMultilevel"/>
    <w:lvl w:ilvl="0">
      <w:lvlJc w:val="left"/>
      <w:lvlText w:val="•"/>
      <w:numFmt w:val="bullet"/>
      <w:start w:val="1"/>
    </w:lvl>
  </w:abstractNum>
  <w:abstractNum w:abstractNumId="43">
    <w:nsid w:val="BAAC1B4"/>
    <w:multiLevelType w:val="hybridMultilevel"/>
    <w:lvl w:ilvl="0">
      <w:lvlJc w:val="left"/>
      <w:lvlText w:val="•"/>
      <w:numFmt w:val="bullet"/>
      <w:start w:val="1"/>
    </w:lvl>
  </w:abstractNum>
  <w:abstractNum w:abstractNumId="44">
    <w:nsid w:val="36B2ACBC"/>
    <w:multiLevelType w:val="hybridMultilevel"/>
    <w:lvl w:ilvl="0">
      <w:lvlJc w:val="left"/>
      <w:lvlText w:val="•"/>
      <w:numFmt w:val="bullet"/>
      <w:start w:val="1"/>
    </w:lvl>
  </w:abstractNum>
  <w:abstractNum w:abstractNumId="45">
    <w:nsid w:val="779D8544"/>
    <w:multiLevelType w:val="hybridMultilevel"/>
    <w:lvl w:ilvl="0">
      <w:lvlJc w:val="left"/>
      <w:lvlText w:val="(%1)"/>
      <w:numFmt w:val="decimal"/>
      <w:start w:val="1"/>
    </w:lvl>
  </w:abstractNum>
  <w:abstractNum w:abstractNumId="46">
    <w:nsid w:val="4AB26E78"/>
    <w:multiLevelType w:val="hybridMultilevel"/>
    <w:lvl w:ilvl="0">
      <w:lvlJc w:val="left"/>
      <w:lvlText w:val="%1."/>
      <w:numFmt w:val="decimal"/>
      <w:start w:val="1"/>
    </w:lvl>
  </w:abstractNum>
  <w:abstractNum w:abstractNumId="47">
    <w:nsid w:val="21FAA2FA"/>
    <w:multiLevelType w:val="hybridMultilevel"/>
    <w:lvl w:ilvl="0">
      <w:lvlJc w:val="left"/>
      <w:lvlText w:val="%1."/>
      <w:numFmt w:val="decimal"/>
      <w:start w:val="1"/>
    </w:lvl>
  </w:abstractNum>
  <w:abstractNum w:abstractNumId="48">
    <w:nsid w:val="5451CF49"/>
    <w:multiLevelType w:val="hybridMultilevel"/>
    <w:lvl w:ilvl="0">
      <w:lvlJc w:val="left"/>
      <w:lvlText w:val="%1."/>
      <w:numFmt w:val="upperLetter"/>
      <w:start w:val="1"/>
    </w:lvl>
  </w:abstractNum>
  <w:abstractNum w:abstractNumId="49">
    <w:nsid w:val="6181EF69"/>
    <w:multiLevelType w:val="hybridMultilevel"/>
    <w:lvl w:ilvl="0">
      <w:lvlJc w:val="left"/>
      <w:lvlText w:val="%1."/>
      <w:numFmt w:val="decimal"/>
      <w:start w:val="1"/>
    </w:lvl>
  </w:abstractNum>
  <w:abstractNum w:abstractNumId="50">
    <w:nsid w:val="3E6400E6"/>
    <w:multiLevelType w:val="hybridMultilevel"/>
    <w:lvl w:ilvl="0">
      <w:lvlJc w:val="left"/>
      <w:lvlText w:val="(%1)"/>
      <w:numFmt w:val="lowerLetter"/>
      <w:start w:val="1"/>
    </w:lvl>
  </w:abstractNum>
  <w:abstractNum w:abstractNumId="51">
    <w:nsid w:val="14217E23"/>
    <w:multiLevelType w:val="hybridMultilevel"/>
    <w:lvl w:ilvl="0">
      <w:lvlJc w:val="left"/>
      <w:lvlText w:val="(%1)"/>
      <w:numFmt w:val="lowerLetter"/>
      <w:start w:val="2"/>
    </w:lvl>
  </w:abstractNum>
  <w:abstractNum w:abstractNumId="52">
    <w:nsid w:val="710757D0"/>
    <w:multiLevelType w:val="hybridMultilevel"/>
    <w:lvl w:ilvl="0">
      <w:lvlJc w:val="left"/>
      <w:lvlText w:val="(%1)"/>
      <w:numFmt w:val="lowerLetter"/>
      <w:start w:val="1"/>
    </w:lvl>
  </w:abstractNum>
  <w:abstractNum w:abstractNumId="53">
    <w:nsid w:val="5015CD1A"/>
    <w:multiLevelType w:val="hybridMultilevel"/>
    <w:lvl w:ilvl="0">
      <w:lvlJc w:val="left"/>
      <w:lvlText w:val="(%1)"/>
      <w:numFmt w:val="lowerRoman"/>
      <w:start w:val="1"/>
    </w:lvl>
  </w:abstractNum>
  <w:abstractNum w:abstractNumId="54">
    <w:nsid w:val="424479DA"/>
    <w:multiLevelType w:val="hybridMultilevel"/>
    <w:lvl w:ilvl="0">
      <w:lvlJc w:val="left"/>
      <w:lvlText w:val="(%1)"/>
      <w:numFmt w:val="lowerLetter"/>
      <w:start w:val="1"/>
    </w:lvl>
    <w:lvl w:ilvl="1">
      <w:lvlJc w:val="left"/>
      <w:lvlText w:val="(%2)"/>
      <w:numFmt w:val="lowerLetter"/>
      <w:start w:val="9"/>
    </w:lvl>
  </w:abstractNum>
  <w:abstractNum w:abstractNumId="55">
    <w:nsid w:val="1A9A9E69"/>
    <w:multiLevelType w:val="hybridMultilevel"/>
    <w:lvl w:ilvl="0">
      <w:lvlJc w:val="left"/>
      <w:lvlText w:val="(%1)"/>
      <w:numFmt w:val="lowerRoman"/>
      <w:start w:val="2"/>
    </w:lvl>
  </w:abstractNum>
  <w:abstractNum w:abstractNumId="56">
    <w:nsid w:val="475E256A"/>
    <w:multiLevelType w:val="hybridMultilevel"/>
    <w:lvl w:ilvl="0">
      <w:lvlJc w:val="left"/>
      <w:lvlText w:val="(%1)"/>
      <w:numFmt w:val="lowerLetter"/>
      <w:start w:val="2"/>
    </w:lvl>
  </w:abstractNum>
  <w:abstractNum w:abstractNumId="57">
    <w:nsid w:val="368DB37E"/>
    <w:multiLevelType w:val="hybridMultilevel"/>
    <w:lvl w:ilvl="0">
      <w:lvlJc w:val="left"/>
      <w:lvlText w:val="(%1)"/>
      <w:numFmt w:val="lowerRoman"/>
      <w:start w:val="2"/>
    </w:lvl>
  </w:abstractNum>
  <w:abstractNum w:abstractNumId="58">
    <w:nsid w:val="6A3B714C"/>
    <w:multiLevelType w:val="hybridMultilevel"/>
    <w:lvl w:ilvl="0">
      <w:lvlJc w:val="left"/>
      <w:lvlText w:val="(%1)"/>
      <w:numFmt w:val="lowerLetter"/>
      <w:start w:val="1"/>
    </w:lvl>
  </w:abstractNum>
  <w:abstractNum w:abstractNumId="59">
    <w:nsid w:val="327B517E"/>
    <w:multiLevelType w:val="hybridMultilevel"/>
    <w:lvl w:ilvl="0">
      <w:lvlJc w:val="left"/>
      <w:lvlText w:val="(%1)"/>
      <w:numFmt w:val="lowerLetter"/>
      <w:start w:val="2"/>
    </w:lvl>
  </w:abstractNum>
  <w:abstractNum w:abstractNumId="60">
    <w:nsid w:val="1F461B51"/>
    <w:multiLevelType w:val="hybridMultilevel"/>
    <w:lvl w:ilvl="0">
      <w:lvlJc w:val="left"/>
      <w:lvlText w:val="(%1)"/>
      <w:numFmt w:val="lowerLetter"/>
      <w:start w:val="1"/>
    </w:lvl>
  </w:abstractNum>
  <w:abstractNum w:abstractNumId="61">
    <w:nsid w:val="29BACF25"/>
    <w:multiLevelType w:val="hybridMultilevel"/>
    <w:lvl w:ilvl="0">
      <w:lvlJc w:val="left"/>
      <w:lvlText w:val="(%1)"/>
      <w:numFmt w:val="lowerRoman"/>
      <w:start w:val="1"/>
    </w:lvl>
  </w:abstractNum>
  <w:abstractNum w:abstractNumId="62">
    <w:nsid w:val="5D5BABB3"/>
    <w:multiLevelType w:val="hybridMultilevel"/>
    <w:lvl w:ilvl="0">
      <w:lvlJc w:val="left"/>
      <w:lvlText w:val="(%1)"/>
      <w:numFmt w:val="lowerLetter"/>
      <w:start w:val="3"/>
    </w:lvl>
  </w:abstractNum>
  <w:abstractNum w:abstractNumId="63">
    <w:nsid w:val="51BF6B48"/>
    <w:multiLevelType w:val="hybridMultilevel"/>
    <w:lvl w:ilvl="0">
      <w:lvlJc w:val="left"/>
      <w:lvlText w:val="(%1)"/>
      <w:numFmt w:val="lowerLetter"/>
      <w:start w:val="1"/>
    </w:lvl>
  </w:abstractNum>
  <w:abstractNum w:abstractNumId="64">
    <w:nsid w:val="7E0F6384"/>
    <w:multiLevelType w:val="hybridMultilevel"/>
    <w:lvl w:ilvl="0">
      <w:lvlJc w:val="left"/>
      <w:lvlText w:val="(%1)"/>
      <w:numFmt w:val="lowerLetter"/>
      <w:start w:val="1"/>
    </w:lvl>
  </w:abstractNum>
  <w:abstractNum w:abstractNumId="65">
    <w:nsid w:val="2B4B8B53"/>
    <w:multiLevelType w:val="hybridMultilevel"/>
    <w:lvl w:ilvl="0">
      <w:lvlJc w:val="left"/>
      <w:lvlText w:val="(%1)"/>
      <w:numFmt w:val="lowerLetter"/>
      <w:start w:val="1"/>
    </w:lvl>
  </w:abstractNum>
  <w:abstractNum w:abstractNumId="66">
    <w:nsid w:val="72E3413A"/>
    <w:multiLevelType w:val="hybridMultilevel"/>
    <w:lvl w:ilvl="0">
      <w:lvlJc w:val="left"/>
      <w:lvlText w:val="%1"/>
      <w:numFmt w:val="lowerLetter"/>
      <w:start w:val="1"/>
    </w:lvl>
    <w:lvl w:ilvl="1">
      <w:lvlJc w:val="left"/>
      <w:lvlText w:val="(%2)"/>
      <w:numFmt w:val="lowerLetter"/>
      <w:start w:val="2"/>
    </w:lvl>
  </w:abstractNum>
  <w:abstractNum w:abstractNumId="67">
    <w:nsid w:val="116AE494"/>
    <w:multiLevelType w:val="hybridMultilevel"/>
    <w:lvl w:ilvl="0">
      <w:lvlJc w:val="left"/>
      <w:lvlText w:val="(%1)"/>
      <w:numFmt w:val="lowerLetter"/>
      <w:start w:val="35"/>
    </w:lvl>
    <w:lvl w:ilvl="1">
      <w:lvlJc w:val="left"/>
      <w:lvlText w:val="%2"/>
      <w:numFmt w:val="lowerLetter"/>
      <w:start w:val="1"/>
    </w:lvl>
  </w:abstractNum>
  <w:abstractNum w:abstractNumId="68">
    <w:nsid w:val="3494B2FB"/>
    <w:multiLevelType w:val="hybridMultilevel"/>
    <w:lvl w:ilvl="0">
      <w:lvlJc w:val="left"/>
      <w:lvlText w:val="(%1)"/>
      <w:numFmt w:val="lowerLetter"/>
      <w:start w:val="1"/>
    </w:lvl>
  </w:abstractNum>
  <w:abstractNum w:abstractNumId="69">
    <w:nsid w:val="B13A31"/>
    <w:multiLevelType w:val="hybridMultilevel"/>
    <w:lvl w:ilvl="0">
      <w:lvlJc w:val="left"/>
      <w:lvlText w:val="(%1)"/>
      <w:numFmt w:val="lowerLetter"/>
      <w:start w:val="1"/>
    </w:lvl>
  </w:abstractNum>
  <w:abstractNum w:abstractNumId="70">
    <w:nsid w:val="64429599"/>
    <w:multiLevelType w:val="hybridMultilevel"/>
    <w:lvl w:ilvl="0">
      <w:lvlJc w:val="left"/>
      <w:lvlText w:val="(%1)"/>
      <w:numFmt w:val="lowerLetter"/>
      <w:start w:val="3"/>
    </w:lvl>
  </w:abstractNum>
  <w:abstractNum w:abstractNumId="71">
    <w:nsid w:val="631F1690"/>
    <w:multiLevelType w:val="hybridMultilevel"/>
    <w:lvl w:ilvl="0">
      <w:lvlJc w:val="left"/>
      <w:lvlText w:val="(%1)"/>
      <w:numFmt w:val="lowerLetter"/>
      <w:start w:val="1"/>
    </w:lvl>
  </w:abstractNum>
  <w:abstractNum w:abstractNumId="72">
    <w:nsid w:val="25973E32"/>
    <w:multiLevelType w:val="hybridMultilevel"/>
    <w:lvl w:ilvl="0">
      <w:lvlJc w:val="left"/>
      <w:lvlText w:val="(%1)"/>
      <w:numFmt w:val="lowerLetter"/>
      <w:start w:val="3"/>
    </w:lvl>
  </w:abstractNum>
  <w:abstractNum w:abstractNumId="73">
    <w:nsid w:val="EAD6F57"/>
    <w:multiLevelType w:val="hybridMultilevel"/>
    <w:lvl w:ilvl="0">
      <w:lvlJc w:val="left"/>
      <w:lvlText w:val="(%1)"/>
      <w:numFmt w:val="lowerLetter"/>
      <w:start w:val="1"/>
    </w:lvl>
  </w:abstractNum>
  <w:abstractNum w:abstractNumId="74">
    <w:nsid w:val="6EC9D844"/>
    <w:multiLevelType w:val="hybridMultilevel"/>
    <w:lvl w:ilvl="0">
      <w:lvlJc w:val="left"/>
      <w:lvlText w:val="(%1)"/>
      <w:numFmt w:val="lowerLetter"/>
      <w:start w:val="2"/>
    </w:lvl>
  </w:abstractNum>
  <w:abstractNum w:abstractNumId="75">
    <w:nsid w:val="5C49EAEE"/>
    <w:multiLevelType w:val="hybridMultilevel"/>
    <w:lvl w:ilvl="0">
      <w:lvlJc w:val="left"/>
      <w:lvlText w:val="(%1)"/>
      <w:numFmt w:val="lowerLetter"/>
      <w:start w:val="1"/>
    </w:lvl>
  </w:abstractNum>
  <w:abstractNum w:abstractNumId="76">
    <w:nsid w:val="64AF49B"/>
    <w:multiLevelType w:val="hybridMultilevel"/>
    <w:lvl w:ilvl="0">
      <w:lvlJc w:val="left"/>
      <w:lvlText w:val="(%1)"/>
      <w:numFmt w:val="lowerLetter"/>
      <w:start w:val="3"/>
    </w:lvl>
  </w:abstractNum>
  <w:abstractNum w:abstractNumId="77">
    <w:nsid w:val="397C46BC"/>
    <w:multiLevelType w:val="hybridMultilevel"/>
    <w:lvl w:ilvl="0">
      <w:lvlJc w:val="left"/>
      <w:lvlText w:val="(%1)"/>
      <w:numFmt w:val="lowerLetter"/>
      <w:start w:val="1"/>
    </w:lvl>
    <w:lvl w:ilvl="1">
      <w:lvlJc w:val="left"/>
      <w:lvlText w:val="(%2)"/>
      <w:numFmt w:val="lowerLetter"/>
      <w:start w:val="9"/>
    </w:lvl>
  </w:abstractNum>
  <w:abstractNum w:abstractNumId="78">
    <w:nsid w:val="7E448DE9"/>
    <w:multiLevelType w:val="hybridMultilevel"/>
    <w:lvl w:ilvl="0">
      <w:lvlJc w:val="left"/>
      <w:lvlText w:val="(%1)"/>
      <w:numFmt w:val="lowerRoman"/>
      <w:start w:val="10"/>
    </w:lvl>
    <w:lvl w:ilvl="1">
      <w:lvlJc w:val="left"/>
      <w:lvlText w:val="(%2)"/>
      <w:numFmt w:val="lowerRoman"/>
      <w:start w:val="2"/>
    </w:lvl>
    <w:lvl w:ilvl="2">
      <w:lvlJc w:val="left"/>
      <w:lvlText w:val="(%3)"/>
      <w:numFmt w:val="upperLetter"/>
      <w:start w:val="1"/>
    </w:lvl>
  </w:abstractNum>
  <w:abstractNum w:abstractNumId="79">
    <w:nsid w:val="5A9CC3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0">
    <w:nsid w:val="1AFE362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1">
    <w:nsid w:val="3CA88E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6EBE4208"/>
    <w:multiLevelType w:val="hybridMultilevel"/>
    <w:lvl w:ilvl="0">
      <w:lvlJc w:val="left"/>
      <w:lvlText w:val="(%1)"/>
      <w:numFmt w:val="lowerRoman"/>
      <w:start w:val="2"/>
    </w:lvl>
  </w:abstractNum>
  <w:abstractNum w:abstractNumId="83">
    <w:nsid w:val="C058DF5"/>
    <w:multiLevelType w:val="hybridMultilevel"/>
    <w:lvl w:ilvl="0">
      <w:lvlJc w:val="left"/>
      <w:lvlText w:val="(%1)"/>
      <w:numFmt w:val="lowerRoman"/>
      <w:start w:val="5"/>
    </w:lvl>
  </w:abstractNum>
  <w:abstractNum w:abstractNumId="84">
    <w:nsid w:val="CBE5BE9"/>
    <w:multiLevelType w:val="hybridMultilevel"/>
    <w:lvl w:ilvl="0">
      <w:lvlJc w:val="left"/>
      <w:lvlText w:val="(%1)"/>
      <w:numFmt w:val="lowerLetter"/>
      <w:start w:val="3"/>
    </w:lvl>
    <w:lvl w:ilvl="1">
      <w:lvlJc w:val="left"/>
      <w:lvlText w:val="(%2)"/>
      <w:numFmt w:val="lowerRoman"/>
      <w:start w:val="1"/>
    </w:lvl>
  </w:abstractNum>
  <w:abstractNum w:abstractNumId="85">
    <w:nsid w:val="3102BBE2"/>
    <w:multiLevelType w:val="hybridMultilevel"/>
    <w:lvl w:ilvl="0">
      <w:lvlJc w:val="left"/>
      <w:lvlText w:val="(%1)"/>
      <w:numFmt w:val="lowerRoman"/>
      <w:start w:val="3"/>
    </w:lvl>
  </w:abstractNum>
  <w:abstractNum w:abstractNumId="86">
    <w:nsid w:val="26A02C5E"/>
    <w:multiLevelType w:val="hybridMultilevel"/>
    <w:lvl w:ilvl="0">
      <w:lvlJc w:val="left"/>
      <w:lvlText w:val="(%1)"/>
      <w:numFmt w:val="lowerLetter"/>
      <w:start w:val="4"/>
    </w:lvl>
    <w:lvl w:ilvl="1">
      <w:lvlJc w:val="left"/>
      <w:lvlText w:val="(%2)"/>
      <w:numFmt w:val="lowerRoman"/>
      <w:start w:val="1"/>
    </w:lvl>
  </w:abstractNum>
  <w:abstractNum w:abstractNumId="87">
    <w:nsid w:val="541C8153"/>
    <w:multiLevelType w:val="hybridMultilevel"/>
    <w:lvl w:ilvl="0">
      <w:lvlJc w:val="left"/>
      <w:lvlText w:val="(%1)"/>
      <w:numFmt w:val="lowerRoman"/>
      <w:start w:val="4"/>
    </w:lvl>
  </w:abstractNum>
  <w:abstractNum w:abstractNumId="88">
    <w:nsid w:val="67906F60"/>
    <w:multiLevelType w:val="hybridMultilevel"/>
    <w:lvl w:ilvl="0">
      <w:lvlJc w:val="left"/>
      <w:lvlText w:val="%1"/>
      <w:numFmt w:val="lowerLetter"/>
      <w:start w:val="1"/>
    </w:lvl>
    <w:lvl w:ilvl="1">
      <w:lvlJc w:val="left"/>
      <w:lvlText w:val="(%2)"/>
      <w:numFmt w:val="lowerLetter"/>
      <w:start w:val="6"/>
    </w:lvl>
  </w:abstractNum>
  <w:abstractNum w:abstractNumId="89">
    <w:nsid w:val="10DB9DAA"/>
    <w:multiLevelType w:val="hybridMultilevel"/>
    <w:lvl w:ilvl="0">
      <w:lvlJc w:val="left"/>
      <w:lvlText w:val="(%1)"/>
      <w:numFmt w:val="lowerLetter"/>
      <w:start w:val="9"/>
    </w:lvl>
    <w:lvl w:ilvl="1">
      <w:lvlJc w:val="left"/>
      <w:lvlText w:val="%2"/>
      <w:numFmt w:val="lowerLetter"/>
      <w:start w:val="1"/>
    </w:lvl>
  </w:abstractNum>
  <w:abstractNum w:abstractNumId="90">
    <w:nsid w:val="697D2D2"/>
    <w:multiLevelType w:val="hybridMultilevel"/>
    <w:lvl w:ilvl="0">
      <w:lvlJc w:val="left"/>
      <w:lvlText w:val="%1"/>
      <w:numFmt w:val="decimal"/>
      <w:start w:val="1"/>
    </w:lvl>
    <w:lvl w:ilvl="1">
      <w:lvlJc w:val="left"/>
      <w:lvlText w:val="(%2)"/>
      <w:numFmt w:val="lowerLetter"/>
      <w:start w:val="7"/>
    </w:lvl>
  </w:abstractNum>
  <w:abstractNum w:abstractNumId="91">
    <w:nsid w:val="6D68AB2"/>
    <w:multiLevelType w:val="hybridMultilevel"/>
    <w:lvl w:ilvl="0">
      <w:lvlJc w:val="left"/>
      <w:lvlText w:val="(%1)"/>
      <w:numFmt w:val="decimal"/>
      <w:start w:val="10"/>
    </w:lvl>
    <w:lvl w:ilvl="1">
      <w:lvlJc w:val="left"/>
      <w:lvlText w:val="%2"/>
      <w:numFmt w:val="lowerLetter"/>
      <w:start w:val="1"/>
    </w:lvl>
  </w:abstractNum>
  <w:abstractNum w:abstractNumId="92">
    <w:nsid w:val="3A966CD0"/>
    <w:multiLevelType w:val="hybridMultilevel"/>
    <w:lvl w:ilvl="0">
      <w:lvlJc w:val="left"/>
      <w:lvlText w:val="(%1)"/>
      <w:numFmt w:val="lowerLetter"/>
      <w:start w:val="10"/>
    </w:lvl>
    <w:lvl w:ilvl="1">
      <w:lvlJc w:val="left"/>
      <w:lvlText w:val="(%2)"/>
      <w:numFmt w:val="lowerRoman"/>
      <w:start w:val="1"/>
    </w:lvl>
  </w:abstractNum>
  <w:abstractNum w:abstractNumId="93">
    <w:nsid w:val="63F37E85"/>
    <w:multiLevelType w:val="hybridMultilevel"/>
    <w:lvl w:ilvl="0">
      <w:lvlJc w:val="left"/>
      <w:lvlText w:val="(%1)"/>
      <w:numFmt w:val="lowerLetter"/>
      <w:start w:val="1"/>
    </w:lvl>
  </w:abstractNum>
  <w:abstractNum w:abstractNumId="94">
    <w:nsid w:val="5895F5FA"/>
    <w:multiLevelType w:val="hybridMultilevel"/>
    <w:lvl w:ilvl="0">
      <w:lvlJc w:val="left"/>
      <w:lvlText w:val="(%1)"/>
      <w:numFmt w:val="lowerLetter"/>
      <w:start w:val="3"/>
    </w:lvl>
    <w:lvl w:ilvl="1">
      <w:lvlJc w:val="left"/>
      <w:lvlText w:val="(%2)"/>
      <w:numFmt w:val="lowerRoman"/>
      <w:start w:val="1"/>
    </w:lvl>
  </w:abstractNum>
  <w:abstractNum w:abstractNumId="95">
    <w:nsid w:val="38A5D054"/>
    <w:multiLevelType w:val="hybridMultilevel"/>
    <w:lvl w:ilvl="0">
      <w:lvlJc w:val="left"/>
      <w:lvlText w:val="%1"/>
      <w:numFmt w:val="lowerLetter"/>
      <w:start w:val="1"/>
    </w:lvl>
    <w:lvl w:ilvl="1">
      <w:lvlJc w:val="left"/>
      <w:lvlText w:val="(%2)"/>
      <w:numFmt w:val="lowerRoman"/>
      <w:start w:val="4"/>
    </w:lvl>
  </w:abstractNum>
  <w:abstractNum w:abstractNumId="96">
    <w:nsid w:val="F3F09D8"/>
    <w:multiLevelType w:val="hybridMultilevel"/>
    <w:lvl w:ilvl="0">
      <w:lvlJc w:val="left"/>
      <w:lvlText w:val="(%1)"/>
      <w:numFmt w:val="lowerLetter"/>
      <w:start w:val="4"/>
    </w:lvl>
    <w:lvl w:ilvl="1">
      <w:lvlJc w:val="left"/>
      <w:lvlText w:val="(%2)"/>
      <w:numFmt w:val="lowerRoman"/>
      <w:start w:val="1"/>
    </w:lvl>
  </w:abstractNum>
  <w:abstractNum w:abstractNumId="97">
    <w:nsid w:val="4B793735"/>
    <w:multiLevelType w:val="hybridMultilevel"/>
    <w:lvl w:ilvl="0">
      <w:lvlJc w:val="left"/>
      <w:lvlText w:val="(%1)"/>
      <w:numFmt w:val="lowerLetter"/>
      <w:start w:val="1"/>
    </w:lvl>
    <w:lvl w:ilvl="1">
      <w:lvlJc w:val="left"/>
      <w:lvlText w:val="(%2)"/>
      <w:numFmt w:val="lowerLetter"/>
      <w:start w:val="9"/>
    </w:lvl>
  </w:abstractNum>
  <w:abstractNum w:abstractNumId="98">
    <w:nsid w:val="4A10B4E8"/>
    <w:multiLevelType w:val="hybridMultilevel"/>
    <w:lvl w:ilvl="0">
      <w:lvlJc w:val="left"/>
      <w:lvlText w:val="(%1)"/>
      <w:numFmt w:val="lowerRoman"/>
      <w:start w:val="2"/>
    </w:lvl>
  </w:abstractNum>
  <w:abstractNum w:abstractNumId="99">
    <w:nsid w:val="43D3BCD4"/>
    <w:multiLevelType w:val="hybridMultilevel"/>
    <w:lvl w:ilvl="0">
      <w:lvlJc w:val="left"/>
      <w:lvlText w:val="(%1)"/>
      <w:numFmt w:val="lowerLetter"/>
      <w:start w:val="2"/>
    </w:lvl>
  </w:abstractNum>
  <w:abstractNum w:abstractNumId="100">
    <w:nsid w:val="4C2A7166"/>
    <w:multiLevelType w:val="hybridMultilevel"/>
    <w:lvl w:ilvl="0">
      <w:lvlJc w:val="left"/>
      <w:lvlText w:val="(%1)"/>
      <w:numFmt w:val="lowerLetter"/>
      <w:start w:val="1"/>
    </w:lvl>
  </w:abstractNum>
  <w:abstractNum w:abstractNumId="101">
    <w:nsid w:val="2E534A82"/>
    <w:multiLevelType w:val="hybridMultilevel"/>
    <w:lvl w:ilvl="0">
      <w:lvlJc w:val="left"/>
      <w:lvlText w:val="(%1)"/>
      <w:numFmt w:val="lowerLetter"/>
      <w:start w:val="2"/>
    </w:lvl>
  </w:abstractNum>
  <w:abstractNum w:abstractNumId="102">
    <w:nsid w:val="26F2D364"/>
    <w:multiLevelType w:val="hybridMultilevel"/>
    <w:lvl w:ilvl="0">
      <w:lvlJc w:val="left"/>
      <w:lvlText w:val="%1"/>
      <w:numFmt w:val="upperLetter"/>
      <w:start w:val="1"/>
    </w:lvl>
    <w:lvl w:ilvl="1">
      <w:lvlJc w:val="left"/>
      <w:lvlText w:val="(%2)"/>
      <w:numFmt w:val="lowerLetter"/>
      <w:start w:val="1"/>
    </w:lvl>
  </w:abstractNum>
  <w:abstractNum w:abstractNumId="103">
    <w:nsid w:val="71C1AF98"/>
    <w:multiLevelType w:val="hybridMultilevel"/>
    <w:lvl w:ilvl="0">
      <w:lvlJc w:val="left"/>
      <w:lvlText w:val="(%1)"/>
      <w:numFmt w:val="upperLetter"/>
      <w:start w:val="2"/>
    </w:lvl>
    <w:lvl w:ilvl="1">
      <w:lvlJc w:val="left"/>
      <w:lvlText w:val="%2"/>
      <w:numFmt w:val="lowerLetter"/>
      <w:start w:val="1"/>
    </w:lvl>
  </w:abstractNum>
  <w:abstractNum w:abstractNumId="104">
    <w:nsid w:val="3D00B9D9"/>
    <w:multiLevelType w:val="hybridMultilevel"/>
    <w:lvl w:ilvl="0">
      <w:lvlJc w:val="left"/>
      <w:lvlText w:val="(%1)"/>
      <w:numFmt w:val="lowerLetter"/>
      <w:start w:val="2"/>
    </w:lvl>
  </w:abstractNum>
  <w:abstractNum w:abstractNumId="105">
    <w:nsid w:val="15BCABA8"/>
    <w:multiLevelType w:val="hybridMultilevel"/>
    <w:lvl w:ilvl="0">
      <w:lvlJc w:val="left"/>
      <w:lvlText w:val="(%1)"/>
      <w:numFmt w:val="lowerLetter"/>
      <w:start w:val="1"/>
    </w:lvl>
    <w:lvl w:ilvl="1">
      <w:lvlJc w:val="left"/>
      <w:lvlText w:val="(%2)"/>
      <w:numFmt w:val="lowerRoman"/>
      <w:start w:val="1"/>
    </w:lvl>
  </w:abstractNum>
  <w:abstractNum w:abstractNumId="106">
    <w:nsid w:val="4E0B9A87"/>
    <w:multiLevelType w:val="hybridMultilevel"/>
    <w:lvl w:ilvl="0">
      <w:lvlJc w:val="left"/>
      <w:lvlText w:val="%1"/>
      <w:numFmt w:val="lowerLetter"/>
      <w:start w:val="1"/>
    </w:lvl>
    <w:lvl w:ilvl="1">
      <w:lvlJc w:val="left"/>
      <w:lvlText w:val="(%2)"/>
      <w:numFmt w:val="lowerRoman"/>
      <w:start w:val="4"/>
    </w:lvl>
  </w:abstractNum>
  <w:abstractNum w:abstractNumId="107">
    <w:nsid w:val="434BAE75"/>
    <w:multiLevelType w:val="hybridMultilevel"/>
    <w:lvl w:ilvl="0">
      <w:lvlJc w:val="left"/>
      <w:lvlText w:val="(%1)"/>
      <w:numFmt w:val="lowerLetter"/>
      <w:start w:val="4"/>
    </w:lvl>
    <w:lvl w:ilvl="1">
      <w:lvlJc w:val="left"/>
      <w:lvlText w:val="%2"/>
      <w:numFmt w:val="lowerRoman"/>
      <w:start w:val="1"/>
    </w:lvl>
  </w:abstractNum>
  <w:abstractNum w:abstractNumId="108">
    <w:nsid w:val="4F38F265"/>
    <w:multiLevelType w:val="hybridMultilevel"/>
    <w:lvl w:ilvl="0">
      <w:lvlJc w:val="left"/>
      <w:lvlText w:val="(%1)"/>
      <w:numFmt w:val="lowerLetter"/>
      <w:start w:val="5"/>
    </w:lvl>
  </w:abstractNum>
  <w:abstractNum w:abstractNumId="109">
    <w:nsid w:val="4C502870"/>
    <w:multiLevelType w:val="hybridMultilevel"/>
    <w:lvl w:ilvl="0">
      <w:lvlJc w:val="left"/>
      <w:lvlText w:val="(%1)"/>
      <w:numFmt w:val="lowerLetter"/>
      <w:start w:val="1"/>
    </w:lvl>
    <w:lvl w:ilvl="1">
      <w:lvlJc w:val="left"/>
      <w:lvlText w:val="(%2)"/>
      <w:numFmt w:val="lowerLetter"/>
      <w:start w:val="9"/>
    </w:lvl>
  </w:abstractNum>
  <w:abstractNum w:abstractNumId="110">
    <w:nsid w:val="1DE8725A"/>
    <w:multiLevelType w:val="hybridMultilevel"/>
    <w:lvl w:ilvl="0">
      <w:lvlJc w:val="left"/>
      <w:lvlText w:val="%1"/>
      <w:numFmt w:val="upperLetter"/>
      <w:start w:val="1"/>
    </w:lvl>
    <w:lvl w:ilvl="1">
      <w:lvlJc w:val="left"/>
      <w:lvlText w:val="(%2)"/>
      <w:numFmt w:val="lowerRoman"/>
      <w:start w:val="2"/>
    </w:lvl>
  </w:abstractNum>
  <w:abstractNum w:abstractNumId="111">
    <w:nsid w:val="6A37288A"/>
    <w:multiLevelType w:val="hybridMultilevel"/>
    <w:lvl w:ilvl="0">
      <w:lvlJc w:val="left"/>
      <w:lvlText w:val="(%1)"/>
      <w:numFmt w:val="upperLetter"/>
      <w:start w:val="2"/>
    </w:lvl>
    <w:lvl w:ilvl="1">
      <w:lvlJc w:val="left"/>
      <w:lvlText w:val="%2"/>
      <w:numFmt w:val="lowerRoman"/>
      <w:start w:val="1"/>
    </w:lvl>
  </w:abstractNum>
  <w:abstractNum w:abstractNumId="112">
    <w:nsid w:val="8F8B73F"/>
    <w:multiLevelType w:val="hybridMultilevel"/>
    <w:lvl w:ilvl="0">
      <w:lvlJc w:val="left"/>
      <w:lvlText w:val="%1"/>
      <w:numFmt w:val="lowerLetter"/>
      <w:start w:val="1"/>
    </w:lvl>
    <w:lvl w:ilvl="1">
      <w:lvlJc w:val="left"/>
      <w:lvlText w:val="(%2)"/>
      <w:numFmt w:val="lowerRoman"/>
      <w:start w:val="8"/>
    </w:lvl>
  </w:abstractNum>
  <w:abstractNum w:abstractNumId="113">
    <w:nsid w:val="CA6B462"/>
    <w:multiLevelType w:val="hybridMultilevel"/>
    <w:lvl w:ilvl="0">
      <w:lvlJc w:val="left"/>
      <w:lvlText w:val="(%1)"/>
      <w:numFmt w:val="lowerLetter"/>
      <w:start w:val="4"/>
    </w:lvl>
    <w:lvl w:ilvl="1">
      <w:lvlJc w:val="left"/>
      <w:lvlText w:val="%2"/>
      <w:numFmt w:val="lowerRoman"/>
      <w:start w:val="1"/>
    </w:lvl>
  </w:abstractNum>
  <w:abstractNum w:abstractNumId="114">
    <w:nsid w:val="763CB680"/>
    <w:multiLevelType w:val="hybridMultilevel"/>
    <w:lvl w:ilvl="0">
      <w:lvlJc w:val="left"/>
      <w:lvlText w:val="(%1)"/>
      <w:numFmt w:val="lowerLetter"/>
      <w:start w:val="1"/>
    </w:lvl>
  </w:abstractNum>
  <w:abstractNum w:abstractNumId="115">
    <w:nsid w:val="15B71329"/>
    <w:multiLevelType w:val="hybridMultilevel"/>
    <w:lvl w:ilvl="0">
      <w:lvlJc w:val="left"/>
      <w:lvlText w:val="(%1)"/>
      <w:numFmt w:val="lowerLetter"/>
      <w:start w:val="2"/>
    </w:lvl>
  </w:abstractNum>
  <w:abstractNum w:abstractNumId="116">
    <w:nsid w:val="3DA97044"/>
    <w:multiLevelType w:val="hybridMultilevel"/>
    <w:lvl w:ilvl="0">
      <w:lvlJc w:val="left"/>
      <w:lvlText w:val="(%1)"/>
      <w:numFmt w:val="lowerLetter"/>
      <w:start w:val="1"/>
    </w:lvl>
    <w:lvl w:ilvl="1">
      <w:lvlJc w:val="left"/>
      <w:lvlText w:val="(%2)"/>
      <w:numFmt w:val="lowerRoman"/>
      <w:start w:val="1"/>
    </w:lvl>
  </w:abstractNum>
  <w:abstractNum w:abstractNumId="117">
    <w:nsid w:val="1CDCE2DE"/>
    <w:multiLevelType w:val="hybridMultilevel"/>
    <w:lvl w:ilvl="0">
      <w:lvlJc w:val="left"/>
      <w:lvlText w:val="(%1)"/>
      <w:numFmt w:val="lowerLetter"/>
      <w:start w:val="1"/>
    </w:lvl>
  </w:abstractNum>
  <w:abstractNum w:abstractNumId="118">
    <w:nsid w:val="69D3947C"/>
    <w:multiLevelType w:val="hybridMultilevel"/>
    <w:lvl w:ilvl="0">
      <w:lvlJc w:val="left"/>
      <w:lvlText w:val="(%1)"/>
      <w:numFmt w:val="lowerLetter"/>
      <w:start w:val="1"/>
    </w:lvl>
  </w:abstractNum>
  <w:abstractNum w:abstractNumId="119">
    <w:nsid w:val="2539DFA5"/>
    <w:multiLevelType w:val="hybridMultilevel"/>
    <w:lvl w:ilvl="0">
      <w:lvlJc w:val="left"/>
      <w:lvlText w:val="(%1)"/>
      <w:numFmt w:val="lowerLetter"/>
      <w:start w:val="1"/>
    </w:lvl>
  </w:abstractNum>
  <w:abstractNum w:abstractNumId="120">
    <w:nsid w:val="2DB88089"/>
    <w:multiLevelType w:val="hybridMultilevel"/>
    <w:lvl w:ilvl="0">
      <w:lvlJc w:val="left"/>
      <w:lvlText w:val="(%1)"/>
      <w:numFmt w:val="lowerLetter"/>
      <w:start w:val="2"/>
    </w:lvl>
    <w:lvl w:ilvl="1">
      <w:lvlJc w:val="left"/>
      <w:lvlText w:val="(%2)"/>
      <w:numFmt w:val="lowerLetter"/>
      <w:start w:val="35"/>
    </w:lvl>
  </w:abstractNum>
  <w:abstractNum w:abstractNumId="121">
    <w:nsid w:val="706B674E"/>
    <w:multiLevelType w:val="hybridMultilevel"/>
    <w:lvl w:ilvl="0">
      <w:lvlJc w:val="left"/>
      <w:lvlText w:val="(%1)"/>
      <w:numFmt w:val="lowerLetter"/>
      <w:start w:val="3"/>
    </w:lvl>
  </w:abstractNum>
  <w:abstractNum w:abstractNumId="122">
    <w:nsid w:val="2C106A57"/>
    <w:multiLevelType w:val="hybridMultilevel"/>
    <w:lvl w:ilvl="0">
      <w:lvlJc w:val="left"/>
      <w:lvlText w:val="(%1)"/>
      <w:numFmt w:val="lowerLetter"/>
      <w:start w:val="4"/>
    </w:lvl>
  </w:abstractNum>
  <w:abstractNum w:abstractNumId="123">
    <w:nsid w:val="684EED59"/>
    <w:multiLevelType w:val="hybridMultilevel"/>
    <w:lvl w:ilvl="0">
      <w:lvlJc w:val="left"/>
      <w:lvlText w:val="(%1)"/>
      <w:numFmt w:val="lowerLetter"/>
      <w:start w:val="1"/>
    </w:lvl>
  </w:abstractNum>
  <w:abstractNum w:abstractNumId="124">
    <w:nsid w:val="545EE5D3"/>
    <w:multiLevelType w:val="hybridMultilevel"/>
    <w:lvl w:ilvl="0">
      <w:lvlJc w:val="left"/>
      <w:lvlText w:val="(%1)"/>
      <w:numFmt w:val="lowerLetter"/>
      <w:start w:val="2"/>
    </w:lvl>
  </w:abstractNum>
  <w:abstractNum w:abstractNumId="125">
    <w:nsid w:val="4A66051"/>
    <w:multiLevelType w:val="hybridMultilevel"/>
    <w:lvl w:ilvl="0">
      <w:lvlJc w:val="left"/>
      <w:lvlText w:val="(%1)"/>
      <w:numFmt w:val="upperLetter"/>
      <w:start w:val="2"/>
    </w:lvl>
    <w:lvl w:ilvl="1">
      <w:lvlJc w:val="left"/>
      <w:lvlText w:val="(%2)"/>
      <w:numFmt w:val="upperLetter"/>
      <w:start w:val="9"/>
    </w:lvl>
  </w:abstractNum>
  <w:abstractNum w:abstractNumId="126">
    <w:nsid w:val="20F4BDAD"/>
    <w:multiLevelType w:val="hybridMultilevel"/>
    <w:lvl w:ilvl="0">
      <w:lvlJc w:val="left"/>
      <w:lvlText w:val="(%1)"/>
      <w:numFmt w:val="upperLetter"/>
      <w:start w:val="35"/>
    </w:lvl>
  </w:abstractNum>
  <w:abstractNum w:abstractNumId="127">
    <w:nsid w:val="639DEFAC"/>
    <w:multiLevelType w:val="hybridMultilevel"/>
    <w:lvl w:ilvl="0">
      <w:lvlJc w:val="left"/>
      <w:lvlText w:val="(%1)"/>
      <w:numFmt w:val="lowerLetter"/>
      <w:start w:val="1"/>
    </w:lvl>
  </w:abstractNum>
  <w:abstractNum w:abstractNumId="128">
    <w:nsid w:val="501F9786"/>
    <w:multiLevelType w:val="hybridMultilevel"/>
    <w:lvl w:ilvl="0">
      <w:lvlJc w:val="left"/>
      <w:lvlText w:val="(%1)"/>
      <w:numFmt w:val="lowerLetter"/>
      <w:start w:val="1"/>
    </w:lvl>
  </w:abstractNum>
  <w:abstractNum w:abstractNumId="129">
    <w:nsid w:val="6B057295"/>
    <w:multiLevelType w:val="hybridMultilevel"/>
    <w:lvl w:ilvl="0">
      <w:lvlJc w:val="left"/>
      <w:lvlText w:val="(%1)"/>
      <w:numFmt w:val="lowerLetter"/>
      <w:start w:val="3"/>
    </w:lvl>
    <w:lvl w:ilvl="1">
      <w:lvlJc w:val="left"/>
      <w:lvlText w:val="(%2)"/>
      <w:numFmt w:val="lowerRoman"/>
      <w:start w:val="1"/>
    </w:lvl>
  </w:abstractNum>
  <w:abstractNum w:abstractNumId="130">
    <w:nsid w:val="2771AC80"/>
    <w:multiLevelType w:val="hybridMultilevel"/>
    <w:lvl w:ilvl="0">
      <w:lvlJc w:val="left"/>
      <w:lvlText w:val="(%1)"/>
      <w:numFmt w:val="lowerRoman"/>
      <w:start w:val="10"/>
    </w:lvl>
  </w:abstractNum>
  <w:abstractNum w:abstractNumId="131">
    <w:nsid w:val="1C4A08EC"/>
    <w:multiLevelType w:val="hybridMultilevel"/>
    <w:lvl w:ilvl="0">
      <w:lvlJc w:val="left"/>
      <w:lvlText w:val="(%1)"/>
      <w:numFmt w:val="lowerLetter"/>
      <w:start w:val="25"/>
    </w:lvl>
  </w:abstractNum>
  <w:abstractNum w:abstractNumId="132">
    <w:nsid w:val="1958BD17"/>
    <w:multiLevelType w:val="hybridMultilevel"/>
    <w:lvl w:ilvl="0">
      <w:lvlJc w:val="left"/>
      <w:lvlText w:val="%1"/>
      <w:numFmt w:val="lowerLetter"/>
      <w:start w:val="1"/>
    </w:lvl>
    <w:lvl w:ilvl="1">
      <w:lvlJc w:val="left"/>
      <w:lvlText w:val="(%2)"/>
      <w:numFmt w:val="lowerLetter"/>
      <w:start w:val="4"/>
    </w:lvl>
  </w:abstractNum>
  <w:abstractNum w:abstractNumId="133">
    <w:nsid w:val="4E647FE4"/>
    <w:multiLevelType w:val="hybridMultilevel"/>
    <w:lvl w:ilvl="0">
      <w:lvlJc w:val="left"/>
      <w:lvlText w:val="(%1)"/>
      <w:numFmt w:val="lowerLetter"/>
      <w:start w:val="9"/>
    </w:lvl>
    <w:lvl w:ilvl="1">
      <w:lvlJc w:val="left"/>
      <w:lvlText w:val="%2"/>
      <w:numFmt w:val="lowerLetter"/>
      <w:start w:val="1"/>
    </w:lvl>
  </w:abstractNum>
  <w:abstractNum w:abstractNumId="134">
    <w:nsid w:val="E0BB885"/>
    <w:multiLevelType w:val="hybridMultilevel"/>
    <w:lvl w:ilvl="0">
      <w:lvlJc w:val="left"/>
      <w:lvlText w:val="(%1)"/>
      <w:numFmt w:val="lowerLetter"/>
      <w:start w:val="5"/>
    </w:lvl>
  </w:abstractNum>
  <w:abstractNum w:abstractNumId="135">
    <w:nsid w:val="565976F1"/>
    <w:multiLevelType w:val="hybridMultilevel"/>
    <w:lvl w:ilvl="0">
      <w:lvlJc w:val="left"/>
      <w:lvlText w:val="(%1)"/>
      <w:numFmt w:val="lowerLetter"/>
      <w:start w:val="1"/>
    </w:lvl>
    <w:lvl w:ilvl="1">
      <w:lvlJc w:val="left"/>
      <w:lvlText w:val="(%2)"/>
      <w:numFmt w:val="lowerLetter"/>
      <w:start w:val="9"/>
    </w:lvl>
  </w:abstractNum>
  <w:abstractNum w:abstractNumId="136">
    <w:nsid w:val="64212B8C"/>
    <w:multiLevelType w:val="hybridMultilevel"/>
    <w:lvl w:ilvl="0">
      <w:lvlJc w:val="left"/>
      <w:lvlText w:val="(%1)"/>
      <w:numFmt w:val="lowerRoman"/>
      <w:start w:val="2"/>
    </w:lvl>
  </w:abstractNum>
  <w:abstractNum w:abstractNumId="137">
    <w:nsid w:val="5C17530C"/>
    <w:multiLevelType w:val="hybridMultilevel"/>
    <w:lvl w:ilvl="0">
      <w:lvlJc w:val="left"/>
      <w:lvlText w:val="(%1)"/>
      <w:numFmt w:val="lowerLetter"/>
      <w:start w:val="2"/>
    </w:lvl>
  </w:abstractNum>
  <w:abstractNum w:abstractNumId="138">
    <w:nsid w:val="19A52566"/>
    <w:multiLevelType w:val="hybridMultilevel"/>
    <w:lvl w:ilvl="0">
      <w:lvlJc w:val="left"/>
      <w:lvlText w:val="(%1)"/>
      <w:numFmt w:val="lowerLetter"/>
      <w:start w:val="5"/>
    </w:lvl>
  </w:abstractNum>
  <w:abstractNum w:abstractNumId="139">
    <w:nsid w:val="335A1DF1"/>
    <w:multiLevelType w:val="hybridMultilevel"/>
    <w:lvl w:ilvl="0">
      <w:lvlJc w:val="left"/>
      <w:lvlText w:val="(%1)"/>
      <w:numFmt w:val="lowerLetter"/>
      <w:start w:val="1"/>
    </w:lvl>
    <w:lvl w:ilvl="1">
      <w:lvlJc w:val="left"/>
      <w:lvlText w:val="(%2)"/>
      <w:numFmt w:val="lowerRoman"/>
      <w:start w:val="1"/>
    </w:lvl>
  </w:abstractNum>
  <w:abstractNum w:abstractNumId="140">
    <w:nsid w:val="28677B7C"/>
    <w:multiLevelType w:val="hybridMultilevel"/>
    <w:lvl w:ilvl="0">
      <w:lvlJc w:val="left"/>
      <w:lvlText w:val="(%1)"/>
      <w:numFmt w:val="lowerLetter"/>
      <w:start w:val="2"/>
    </w:lvl>
    <w:lvl w:ilvl="1">
      <w:lvlJc w:val="left"/>
      <w:lvlText w:val="(%2)"/>
      <w:numFmt w:val="lowerRoman"/>
      <w:start w:val="1"/>
    </w:lvl>
  </w:abstractNum>
  <w:abstractNum w:abstractNumId="141">
    <w:nsid w:val="378D97C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2">
    <w:nsid w:val="1D91467C"/>
    <w:multiLevelType w:val="hybridMultilevel"/>
    <w:lvl w:ilvl="0">
      <w:lvlJc w:val="left"/>
      <w:lvlText w:val="%1"/>
      <w:numFmt w:val="upperLetter"/>
      <w:start w:val="1"/>
    </w:lvl>
    <w:lvl w:ilvl="1">
      <w:lvlJc w:val="left"/>
      <w:lvlText w:val="(%2)"/>
      <w:numFmt w:val="decimal"/>
      <w:start w:val="2"/>
    </w:lvl>
  </w:abstractNum>
  <w:abstractNum w:abstractNumId="143">
    <w:nsid w:val="316032BB"/>
    <w:multiLevelType w:val="hybridMultilevel"/>
    <w:lvl w:ilvl="0">
      <w:lvlJc w:val="left"/>
      <w:lvlText w:val="(%1)"/>
      <w:numFmt w:val="upperLetter"/>
      <w:start w:val="3"/>
    </w:lvl>
    <w:lvl w:ilvl="1">
      <w:lvlJc w:val="left"/>
      <w:lvlText w:val="%2"/>
      <w:numFmt w:val="decimal"/>
      <w:start w:val="1"/>
    </w:lvl>
  </w:abstractNum>
  <w:abstractNum w:abstractNumId="144">
    <w:nsid w:val="44344C22"/>
    <w:multiLevelType w:val="hybridMultilevel"/>
    <w:lvl w:ilvl="0">
      <w:lvlJc w:val="left"/>
      <w:lvlText w:val="%1"/>
      <w:numFmt w:val="lowerLetter"/>
      <w:start w:val="1"/>
    </w:lvl>
    <w:lvl w:ilvl="1">
      <w:lvlJc w:val="left"/>
      <w:lvlText w:val="(%2)"/>
      <w:numFmt w:val="lowerLetter"/>
      <w:start w:val="61"/>
    </w:lvl>
  </w:abstractNum>
  <w:abstractNum w:abstractNumId="145">
    <w:nsid w:val="13CDFCFC"/>
    <w:multiLevelType w:val="hybridMultilevel"/>
    <w:lvl w:ilvl="0">
      <w:lvlJc w:val="left"/>
      <w:lvlText w:val="(%1)"/>
      <w:numFmt w:val="lowerLetter"/>
      <w:start w:val="6"/>
    </w:lvl>
    <w:lvl w:ilvl="1">
      <w:lvlJc w:val="left"/>
      <w:lvlText w:val="%2"/>
      <w:numFmt w:val="lowerLetter"/>
      <w:start w:val="1"/>
    </w:lvl>
  </w:abstractNum>
  <w:abstractNum w:abstractNumId="146">
    <w:nsid w:val="471745E4"/>
    <w:multiLevelType w:val="hybridMultilevel"/>
    <w:lvl w:ilvl="0">
      <w:lvlJc w:val="left"/>
      <w:lvlText w:val="(%1)"/>
      <w:numFmt w:val="lowerLetter"/>
      <w:start w:val="1"/>
    </w:lvl>
  </w:abstractNum>
  <w:abstractNum w:abstractNumId="147">
    <w:nsid w:val="1DDBC66"/>
    <w:multiLevelType w:val="hybridMultilevel"/>
    <w:lvl w:ilvl="0">
      <w:lvlJc w:val="left"/>
      <w:lvlText w:val="(%1)"/>
      <w:numFmt w:val="lowerLetter"/>
      <w:start w:val="2"/>
    </w:lvl>
    <w:lvl w:ilvl="1">
      <w:lvlJc w:val="left"/>
      <w:lvlText w:val="(%2)"/>
      <w:numFmt w:val="lowerRoman"/>
      <w:start w:val="1"/>
    </w:lvl>
  </w:abstractNum>
  <w:abstractNum w:abstractNumId="148">
    <w:nsid w:val="30AADFDA"/>
    <w:multiLevelType w:val="hybridMultilevel"/>
    <w:lvl w:ilvl="0">
      <w:lvlJc w:val="left"/>
      <w:lvlText w:val="(%1)"/>
      <w:numFmt w:val="lowerLetter"/>
      <w:start w:val="1"/>
    </w:lvl>
  </w:abstractNum>
  <w:abstractNum w:abstractNumId="149">
    <w:nsid w:val="30EADA61"/>
    <w:multiLevelType w:val="hybridMultilevel"/>
    <w:lvl w:ilvl="0">
      <w:lvlJc w:val="left"/>
      <w:lvlText w:val="(%1)"/>
      <w:numFmt w:val="lowerLetter"/>
      <w:start w:val="3"/>
    </w:lvl>
  </w:abstractNum>
  <w:abstractNum w:abstractNumId="150">
    <w:nsid w:val="27179C0B"/>
    <w:multiLevelType w:val="hybridMultilevel"/>
    <w:lvl w:ilvl="0">
      <w:lvlJc w:val="left"/>
      <w:lvlText w:val="(%1)"/>
      <w:numFmt w:val="lowerLetter"/>
      <w:start w:val="1"/>
    </w:lvl>
    <w:lvl w:ilvl="1">
      <w:lvlJc w:val="left"/>
      <w:lvlText w:val="(%2)"/>
      <w:numFmt w:val="lowerRoman"/>
      <w:start w:val="1"/>
    </w:lvl>
  </w:abstractNum>
  <w:abstractNum w:abstractNumId="151">
    <w:nsid w:val="5E636063"/>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52">
    <w:nsid w:val="215641AF"/>
    <w:multiLevelType w:val="hybridMultilevel"/>
    <w:lvl w:ilvl="0">
      <w:lvlJc w:val="left"/>
      <w:lvlText w:val="%1"/>
      <w:numFmt w:val="lowerLetter"/>
      <w:start w:val="1"/>
    </w:lvl>
    <w:lvl w:ilvl="1">
      <w:lvlJc w:val="left"/>
      <w:lvlText w:val="(%2)"/>
      <w:numFmt w:val="lowerRoman"/>
      <w:start w:val="4"/>
    </w:lvl>
  </w:abstractNum>
  <w:abstractNum w:abstractNumId="153">
    <w:nsid w:val="53280662"/>
    <w:multiLevelType w:val="hybridMultilevel"/>
    <w:lvl w:ilvl="0">
      <w:lvlJc w:val="left"/>
      <w:lvlText w:val="(%1)"/>
      <w:numFmt w:val="lowerLetter"/>
      <w:start w:val="2"/>
    </w:lvl>
    <w:lvl w:ilvl="1">
      <w:lvlJc w:val="left"/>
      <w:lvlText w:val="%2"/>
      <w:numFmt w:val="lowerRoman"/>
      <w:start w:val="1"/>
    </w:lvl>
  </w:abstractNum>
  <w:abstractNum w:abstractNumId="154">
    <w:nsid w:val="46B24DBC"/>
    <w:multiLevelType w:val="hybridMultilevel"/>
    <w:lvl w:ilvl="0">
      <w:lvlJc w:val="left"/>
      <w:lvlText w:val="(%1)"/>
      <w:numFmt w:val="lowerLetter"/>
      <w:start w:val="1"/>
    </w:lvl>
    <w:lvl w:ilvl="1">
      <w:lvlJc w:val="left"/>
      <w:lvlText w:val="(%2)"/>
      <w:numFmt w:val="lowerRoman"/>
      <w:start w:val="1"/>
    </w:lvl>
  </w:abstractNum>
  <w:abstractNum w:abstractNumId="155">
    <w:nsid w:val="75B52783"/>
    <w:multiLevelType w:val="hybridMultilevel"/>
    <w:lvl w:ilvl="0">
      <w:lvlJc w:val="left"/>
      <w:lvlText w:val="%1"/>
      <w:numFmt w:val="lowerLetter"/>
      <w:start w:val="1"/>
    </w:lvl>
    <w:lvl w:ilvl="1">
      <w:lvlJc w:val="left"/>
      <w:lvlText w:val="(%2)"/>
      <w:numFmt w:val="lowerRoman"/>
      <w:start w:val="1"/>
    </w:lvl>
  </w:abstractNum>
  <w:abstractNum w:abstractNumId="156">
    <w:nsid w:val="57CE66B4"/>
    <w:multiLevelType w:val="hybridMultilevel"/>
    <w:lvl w:ilvl="0">
      <w:lvlJc w:val="left"/>
      <w:lvlText w:val="(%1)"/>
      <w:numFmt w:val="lowerLetter"/>
      <w:start w:val="5"/>
    </w:lvl>
    <w:lvl w:ilvl="1">
      <w:lvlJc w:val="left"/>
      <w:lvlText w:val="%2"/>
      <w:numFmt w:val="lowerRoman"/>
      <w:start w:val="1"/>
    </w:lvl>
  </w:abstractNum>
  <w:abstractNum w:abstractNumId="157">
    <w:nsid w:val="67A70B69"/>
    <w:multiLevelType w:val="hybridMultilevel"/>
    <w:lvl w:ilvl="0">
      <w:lvlJc w:val="left"/>
      <w:lvlText w:val="%1"/>
      <w:numFmt w:val="lowerLetter"/>
      <w:start w:val="1"/>
    </w:lvl>
    <w:lvl w:ilvl="1">
      <w:lvlJc w:val="left"/>
      <w:lvlText w:val="(%2)"/>
      <w:numFmt w:val="lowerRoman"/>
      <w:start w:val="1"/>
    </w:lvl>
  </w:abstractNum>
  <w:abstractNum w:abstractNumId="158">
    <w:nsid w:val="5953172F"/>
    <w:multiLevelType w:val="hybridMultilevel"/>
    <w:lvl w:ilvl="0">
      <w:lvlJc w:val="left"/>
      <w:lvlText w:val="(%1)"/>
      <w:numFmt w:val="lowerLetter"/>
      <w:start w:val="6"/>
    </w:lvl>
    <w:lvl w:ilvl="1">
      <w:lvlJc w:val="left"/>
      <w:lvlText w:val="(%2)"/>
      <w:numFmt w:val="lowerRoman"/>
      <w:start w:val="1"/>
    </w:lvl>
  </w:abstractNum>
  <w:abstractNum w:abstractNumId="159">
    <w:nsid w:val="27EDFE3A"/>
    <w:multiLevelType w:val="hybridMultilevel"/>
    <w:lvl w:ilvl="0">
      <w:lvlJc w:val="left"/>
      <w:lvlText w:val="(%1)"/>
      <w:numFmt w:val="lowerLetter"/>
      <w:start w:val="1"/>
    </w:lvl>
  </w:abstractNum>
  <w:abstractNum w:abstractNumId="160">
    <w:nsid w:val="52AC7DFF"/>
    <w:multiLevelType w:val="hybridMultilevel"/>
    <w:lvl w:ilvl="0">
      <w:lvlJc w:val="left"/>
      <w:lvlText w:val="(%1)"/>
      <w:numFmt w:val="lowerLetter"/>
      <w:start w:val="1"/>
    </w:lvl>
  </w:abstractNum>
  <w:abstractNum w:abstractNumId="161">
    <w:nsid w:val="C4C3AF"/>
    <w:multiLevelType w:val="hybridMultilevel"/>
    <w:lvl w:ilvl="0">
      <w:lvlJc w:val="left"/>
      <w:lvlText w:val="(%1)"/>
      <w:numFmt w:val="lowerLetter"/>
      <w:start w:val="5"/>
    </w:lvl>
  </w:abstractNum>
  <w:abstractNum w:abstractNumId="162">
    <w:nsid w:val="44380727"/>
    <w:multiLevelType w:val="hybridMultilevel"/>
    <w:lvl w:ilvl="0">
      <w:lvlJc w:val="left"/>
      <w:lvlText w:val="(%1)"/>
      <w:numFmt w:val="lowerLetter"/>
      <w:start w:val="8"/>
    </w:lvl>
    <w:lvl w:ilvl="1">
      <w:lvlJc w:val="left"/>
      <w:lvlText w:val="(%2)"/>
      <w:numFmt w:val="lowerRoman"/>
      <w:start w:val="1"/>
    </w:lvl>
  </w:abstractNum>
  <w:abstractNum w:abstractNumId="163">
    <w:nsid w:val="6C053B16"/>
    <w:multiLevelType w:val="hybridMultilevel"/>
    <w:lvl w:ilvl="0">
      <w:lvlJc w:val="left"/>
      <w:lvlText w:val="%1"/>
      <w:numFmt w:val="lowerLetter"/>
      <w:start w:val="1"/>
    </w:lvl>
    <w:lvl w:ilvl="1">
      <w:lvlJc w:val="left"/>
      <w:lvlText w:val="(%2)"/>
      <w:numFmt w:val="lowerRoman"/>
      <w:start w:val="3"/>
    </w:lvl>
  </w:abstractNum>
  <w:abstractNum w:abstractNumId="164">
    <w:nsid w:val="4F294393"/>
    <w:multiLevelType w:val="hybridMultilevel"/>
    <w:lvl w:ilvl="0">
      <w:lvlJc w:val="left"/>
      <w:lvlText w:val="(%1)"/>
      <w:numFmt w:val="lowerLetter"/>
      <w:start w:val="10"/>
    </w:lvl>
    <w:lvl w:ilvl="1">
      <w:lvlJc w:val="left"/>
      <w:lvlText w:val="%2"/>
      <w:numFmt w:val="lowerRoman"/>
      <w:start w:val="1"/>
    </w:lvl>
  </w:abstractNum>
  <w:abstractNum w:abstractNumId="165">
    <w:nsid w:val="5243BFAC"/>
    <w:multiLevelType w:val="hybridMultilevel"/>
    <w:lvl w:ilvl="0">
      <w:lvlJc w:val="left"/>
      <w:lvlText w:val="(%1)"/>
      <w:numFmt w:val="lowerLetter"/>
      <w:start w:val="11"/>
    </w:lvl>
  </w:abstractNum>
  <w:abstractNum w:abstractNumId="166">
    <w:nsid w:val="425EB207"/>
    <w:multiLevelType w:val="hybridMultilevel"/>
    <w:lvl w:ilvl="0">
      <w:lvlJc w:val="left"/>
      <w:lvlText w:val="%1"/>
      <w:numFmt w:val="lowerLetter"/>
      <w:start w:val="1"/>
    </w:lvl>
    <w:lvl w:ilvl="1">
      <w:lvlJc w:val="left"/>
      <w:lvlText w:val="(%2)"/>
      <w:numFmt w:val="lowerLetter"/>
      <w:start w:val="21"/>
    </w:lvl>
  </w:abstractNum>
  <w:abstractNum w:abstractNumId="167">
    <w:nsid w:val="334A6F1F"/>
    <w:multiLevelType w:val="hybridMultilevel"/>
    <w:lvl w:ilvl="0">
      <w:lvlJc w:val="left"/>
      <w:lvlText w:val="(%1)"/>
      <w:numFmt w:val="lowerLetter"/>
      <w:start w:val="61"/>
    </w:lvl>
    <w:lvl w:ilvl="1">
      <w:lvlJc w:val="left"/>
      <w:lvlText w:val="(%2)"/>
      <w:numFmt w:val="lowerLetter"/>
      <w:start w:val="23"/>
    </w:lvl>
  </w:abstractNum>
  <w:abstractNum w:abstractNumId="168">
    <w:nsid w:val="2E5B12B8"/>
    <w:multiLevelType w:val="hybridMultilevel"/>
    <w:lvl w:ilvl="0">
      <w:lvlJc w:val="left"/>
      <w:lvlText w:val="(%1)"/>
      <w:numFmt w:val="lowerLetter"/>
      <w:start w:val="27"/>
    </w:lvl>
    <w:lvl w:ilvl="1">
      <w:lvlJc w:val="left"/>
      <w:lvlText w:val="(%2)"/>
      <w:numFmt w:val="lowerRoman"/>
      <w:start w:val="1"/>
    </w:lvl>
  </w:abstractNum>
  <w:abstractNum w:abstractNumId="169">
    <w:nsid w:val="5C03D76D"/>
    <w:multiLevelType w:val="hybridMultilevel"/>
    <w:lvl w:ilvl="0">
      <w:lvlJc w:val="left"/>
      <w:lvlText w:val="(%1)"/>
      <w:numFmt w:val="lowerLetter"/>
      <w:start w:val="9"/>
    </w:lvl>
    <w:lvl w:ilvl="1">
      <w:lvlJc w:val="left"/>
      <w:lvlText w:val="(%2)"/>
      <w:numFmt w:val="lowerRoman"/>
      <w:start w:val="3"/>
    </w:lvl>
  </w:abstractNum>
  <w:abstractNum w:abstractNumId="170">
    <w:nsid w:val="66A48D11"/>
    <w:multiLevelType w:val="hybridMultilevel"/>
    <w:lvl w:ilvl="0">
      <w:lvlJc w:val="left"/>
      <w:lvlText w:val="(%1)"/>
      <w:numFmt w:val="lowerLetter"/>
      <w:start w:val="25"/>
    </w:lvl>
    <w:lvl w:ilvl="1">
      <w:lvlJc w:val="left"/>
      <w:lvlText w:val="%2"/>
      <w:numFmt w:val="lowerRoman"/>
      <w:start w:val="1"/>
    </w:lvl>
  </w:abstractNum>
  <w:abstractNum w:abstractNumId="171">
    <w:nsid w:val="56C28E34"/>
    <w:multiLevelType w:val="hybridMultilevel"/>
    <w:lvl w:ilvl="0">
      <w:lvlJc w:val="left"/>
      <w:lvlText w:val="(%1)"/>
      <w:numFmt w:val="lowerLetter"/>
      <w:start w:val="25"/>
    </w:lvl>
    <w:lvl w:ilvl="1">
      <w:lvlJc w:val="left"/>
      <w:lvlText w:val="%2"/>
      <w:numFmt w:val="lowerRoman"/>
      <w:start w:val="1"/>
    </w:lvl>
  </w:abstractNum>
  <w:abstractNum w:abstractNumId="172">
    <w:nsid w:val="13916F2D"/>
    <w:multiLevelType w:val="hybridMultilevel"/>
    <w:lvl w:ilvl="0">
      <w:lvlJc w:val="left"/>
      <w:lvlText w:val="(%1)"/>
      <w:numFmt w:val="lowerLetter"/>
      <w:start w:val="1"/>
    </w:lvl>
  </w:abstractNum>
  <w:abstractNum w:abstractNumId="173">
    <w:nsid w:val="435D38D"/>
    <w:multiLevelType w:val="hybridMultilevel"/>
    <w:lvl w:ilvl="0">
      <w:lvlJc w:val="left"/>
      <w:lvlText w:val="(%1)"/>
      <w:numFmt w:val="lowerLetter"/>
      <w:start w:val="3"/>
    </w:lvl>
  </w:abstractNum>
  <w:abstractNum w:abstractNumId="174">
    <w:nsid w:val="822C0EF"/>
    <w:multiLevelType w:val="hybridMultilevel"/>
    <w:lvl w:ilvl="0">
      <w:lvlJc w:val="left"/>
      <w:lvlText w:val="(%1)"/>
      <w:numFmt w:val="lowerLetter"/>
      <w:start w:val="1"/>
    </w:lvl>
  </w:abstractNum>
  <w:abstractNum w:abstractNumId="175">
    <w:nsid w:val="57C5BB4F"/>
    <w:multiLevelType w:val="hybridMultilevel"/>
    <w:lvl w:ilvl="0">
      <w:lvlJc w:val="left"/>
      <w:lvlText w:val="(%1)"/>
      <w:numFmt w:val="lowerLetter"/>
      <w:start w:val="1"/>
    </w:lvl>
  </w:abstractNum>
  <w:abstractNum w:abstractNumId="176">
    <w:nsid w:val="1803D089"/>
    <w:multiLevelType w:val="hybridMultilevel"/>
    <w:lvl w:ilvl="0">
      <w:lvlJc w:val="left"/>
      <w:lvlText w:val="(%1)"/>
      <w:numFmt w:val="lowerLetter"/>
      <w:start w:val="1"/>
    </w:lvl>
  </w:abstractNum>
  <w:abstractNum w:abstractNumId="177">
    <w:nsid w:val="4F3A06D4"/>
    <w:multiLevelType w:val="hybridMultilevel"/>
    <w:lvl w:ilvl="0">
      <w:lvlJc w:val="left"/>
      <w:lvlText w:val="%1"/>
      <w:numFmt w:val="lowerLetter"/>
      <w:start w:val="1"/>
    </w:lvl>
    <w:lvl w:ilvl="1">
      <w:lvlJc w:val="left"/>
      <w:lvlText w:val="(%2)"/>
      <w:numFmt w:val="lowerLetter"/>
      <w:start w:val="2"/>
    </w:lvl>
  </w:abstractNum>
  <w:abstractNum w:abstractNumId="178">
    <w:nsid w:val="59A377B6"/>
    <w:multiLevelType w:val="hybridMultilevel"/>
    <w:lvl w:ilvl="0">
      <w:lvlJc w:val="left"/>
      <w:lvlText w:val="(%1)"/>
      <w:numFmt w:val="lowerLetter"/>
      <w:start w:val="61"/>
    </w:lvl>
    <w:lvl w:ilvl="1">
      <w:lvlJc w:val="left"/>
      <w:lvlText w:val="(%2)"/>
      <w:numFmt w:val="lowerLetter"/>
      <w:start w:val="3"/>
    </w:lvl>
  </w:abstractNum>
  <w:abstractNum w:abstractNumId="179">
    <w:nsid w:val="48AEB063"/>
    <w:multiLevelType w:val="hybridMultilevel"/>
    <w:lvl w:ilvl="0">
      <w:lvlJc w:val="left"/>
      <w:lvlText w:val="(%1)"/>
      <w:numFmt w:val="lowerLetter"/>
      <w:start w:val="1"/>
    </w:lvl>
  </w:abstractNum>
  <w:abstractNum w:abstractNumId="180">
    <w:nsid w:val="24E135"/>
    <w:multiLevelType w:val="hybridMultilevel"/>
    <w:lvl w:ilvl="0">
      <w:lvlJc w:val="left"/>
      <w:lvlText w:val="(%1)"/>
      <w:numFmt w:val="lowerLetter"/>
      <w:start w:val="1"/>
    </w:lvl>
  </w:abstractNum>
  <w:abstractNum w:abstractNumId="181">
    <w:nsid w:val="BB13C1"/>
    <w:multiLevelType w:val="hybridMultilevel"/>
    <w:lvl w:ilvl="0">
      <w:lvlJc w:val="left"/>
      <w:lvlText w:val="(%1)"/>
      <w:numFmt w:val="lowerLetter"/>
      <w:start w:val="2"/>
    </w:lvl>
  </w:abstractNum>
  <w:abstractNum w:abstractNumId="182">
    <w:nsid w:val="271210C7"/>
    <w:multiLevelType w:val="hybridMultilevel"/>
    <w:lvl w:ilvl="0">
      <w:lvlJc w:val="left"/>
      <w:lvlText w:val="(%1)"/>
      <w:numFmt w:val="lowerLetter"/>
      <w:start w:val="1"/>
    </w:lvl>
  </w:abstractNum>
  <w:abstractNum w:abstractNumId="183">
    <w:nsid w:val="217B22E4"/>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6"/>
    </w:lvl>
  </w:abstractNum>
  <w:abstractNum w:abstractNumId="184">
    <w:nsid w:val="53E31A2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7"/>
    </w:lvl>
  </w:abstractNum>
  <w:abstractNum w:abstractNumId="185">
    <w:nsid w:val="6DC45E83"/>
    <w:multiLevelType w:val="hybridMultilevel"/>
    <w:lvl w:ilvl="0">
      <w:lvlJc w:val="left"/>
      <w:lvlText w:val="(%1)"/>
      <w:numFmt w:val="lowerLetter"/>
      <w:start w:val="13"/>
    </w:lvl>
  </w:abstractNum>
  <w:abstractNum w:abstractNumId="186">
    <w:nsid w:val="17304A67"/>
    <w:multiLevelType w:val="hybridMultilevel"/>
    <w:lvl w:ilvl="0">
      <w:lvlJc w:val="left"/>
      <w:lvlText w:val="(%1)"/>
      <w:numFmt w:val="lowerLetter"/>
      <w:start w:val="1"/>
    </w:lvl>
  </w:abstractNum>
  <w:abstractNum w:abstractNumId="187">
    <w:nsid w:val="2BB180D8"/>
    <w:multiLevelType w:val="hybridMultilevel"/>
    <w:lvl w:ilvl="0">
      <w:lvlJc w:val="left"/>
      <w:lvlText w:val="(%1)"/>
      <w:numFmt w:val="lowerLetter"/>
      <w:start w:val="8"/>
    </w:lvl>
  </w:abstractNum>
  <w:abstractNum w:abstractNumId="188">
    <w:nsid w:val="556B69ED"/>
    <w:multiLevelType w:val="hybridMultilevel"/>
    <w:lvl w:ilvl="0">
      <w:lvlJc w:val="left"/>
      <w:lvlText w:val="(%1)"/>
      <w:numFmt w:val="lowerLetter"/>
      <w:start w:val="1"/>
    </w:lvl>
    <w:lvl w:ilvl="1">
      <w:lvlJc w:val="left"/>
      <w:lvlText w:val="(%2)"/>
      <w:numFmt w:val="lowerRoman"/>
      <w:start w:val="1"/>
    </w:lvl>
  </w:abstractNum>
  <w:abstractNum w:abstractNumId="189">
    <w:nsid w:val="70836196"/>
    <w:multiLevelType w:val="hybridMultilevel"/>
    <w:lvl w:ilvl="0">
      <w:lvlJc w:val="left"/>
      <w:lvlText w:val="%1"/>
      <w:numFmt w:val="lowerLetter"/>
      <w:start w:val="1"/>
    </w:lvl>
    <w:lvl w:ilvl="1">
      <w:lvlJc w:val="left"/>
      <w:lvlText w:val="(%2)"/>
      <w:numFmt w:val="lowerRoman"/>
      <w:start w:val="10"/>
    </w:lvl>
  </w:abstractNum>
  <w:abstractNum w:abstractNumId="190">
    <w:nsid w:val="539F7F12"/>
    <w:multiLevelType w:val="hybridMultilevel"/>
    <w:lvl w:ilvl="0">
      <w:lvlJc w:val="left"/>
      <w:lvlText w:val="(%1)"/>
      <w:numFmt w:val="lowerLetter"/>
      <w:start w:val="2"/>
    </w:lvl>
    <w:lvl w:ilvl="1">
      <w:lvlJc w:val="left"/>
      <w:lvlText w:val="(%2)"/>
      <w:numFmt w:val="lowerRoman"/>
      <w:start w:val="1"/>
    </w:lvl>
  </w:abstractNum>
  <w:abstractNum w:abstractNumId="191">
    <w:nsid w:val="2817E7EC"/>
    <w:multiLevelType w:val="hybridMultilevel"/>
    <w:lvl w:ilvl="0">
      <w:lvlJc w:val="left"/>
      <w:lvlText w:val="%1"/>
      <w:numFmt w:val="lowerLetter"/>
      <w:start w:val="1"/>
    </w:lvl>
    <w:lvl w:ilvl="1">
      <w:lvlJc w:val="left"/>
      <w:lvlText w:val="(%2)"/>
      <w:numFmt w:val="lowerRoman"/>
      <w:start w:val="3"/>
    </w:lvl>
  </w:abstractNum>
  <w:abstractNum w:abstractNumId="192">
    <w:nsid w:val="71482545"/>
    <w:multiLevelType w:val="hybridMultilevel"/>
    <w:lvl w:ilvl="0">
      <w:lvlJc w:val="left"/>
      <w:lvlText w:val="(%1)"/>
      <w:numFmt w:val="lowerLetter"/>
      <w:start w:val="8"/>
    </w:lvl>
    <w:lvl w:ilvl="1">
      <w:lvlJc w:val="left"/>
      <w:lvlText w:val="%2"/>
      <w:numFmt w:val="lowerRoman"/>
      <w:start w:val="1"/>
    </w:lvl>
  </w:abstractNum>
  <w:abstractNum w:abstractNumId="193">
    <w:nsid w:val="17D78639"/>
    <w:multiLevelType w:val="hybridMultilevel"/>
    <w:lvl w:ilvl="0">
      <w:lvlJc w:val="left"/>
      <w:lvlText w:val="(%1)"/>
      <w:numFmt w:val="lowerLetter"/>
      <w:start w:val="10"/>
    </w:lvl>
  </w:abstractNum>
  <w:abstractNum w:abstractNumId="194">
    <w:nsid w:val="141D2302"/>
    <w:multiLevelType w:val="hybridMultilevel"/>
    <w:lvl w:ilvl="0">
      <w:lvlJc w:val="left"/>
      <w:lvlText w:val="(%1)"/>
      <w:numFmt w:val="lowerLetter"/>
      <w:start w:val="1"/>
    </w:lvl>
  </w:abstractNum>
  <w:abstractNum w:abstractNumId="195">
    <w:nsid w:val="407168D8"/>
    <w:multiLevelType w:val="hybridMultilevel"/>
    <w:lvl w:ilvl="0">
      <w:lvlJc w:val="left"/>
      <w:lvlText w:val="(%1)"/>
      <w:numFmt w:val="lowerLetter"/>
      <w:start w:val="1"/>
    </w:lvl>
  </w:abstractNum>
  <w:abstractNum w:abstractNumId="196">
    <w:nsid w:val="6A1B45E5"/>
    <w:multiLevelType w:val="hybridMultilevel"/>
    <w:lvl w:ilvl="0">
      <w:lvlJc w:val="left"/>
      <w:lvlText w:val="(%1)"/>
      <w:numFmt w:val="lowerLetter"/>
      <w:start w:val="4"/>
    </w:lvl>
  </w:abstractNum>
  <w:abstractNum w:abstractNumId="197">
    <w:nsid w:val="567BD50A"/>
    <w:multiLevelType w:val="hybridMultilevel"/>
    <w:lvl w:ilvl="0">
      <w:lvlJc w:val="left"/>
      <w:lvlText w:val="(%1)"/>
      <w:numFmt w:val="lowerLetter"/>
      <w:start w:val="1"/>
    </w:lvl>
  </w:abstractNum>
  <w:abstractNum w:abstractNumId="198">
    <w:nsid w:val="73BBD7F8"/>
    <w:multiLevelType w:val="hybridMultilevel"/>
    <w:lvl w:ilvl="0">
      <w:lvlJc w:val="left"/>
      <w:lvlText w:val="(%1)"/>
      <w:numFmt w:val="lowerLetter"/>
      <w:start w:val="1"/>
    </w:lvl>
  </w:abstractNum>
  <w:abstractNum w:abstractNumId="199">
    <w:nsid w:val="1876589D"/>
    <w:multiLevelType w:val="hybridMultilevel"/>
    <w:lvl w:ilvl="0">
      <w:lvlJc w:val="left"/>
      <w:lvlText w:val="(%1)"/>
      <w:numFmt w:val="lowerRoman"/>
      <w:start w:val="5"/>
    </w:lvl>
  </w:abstractNum>
  <w:abstractNum w:abstractNumId="200">
    <w:nsid w:val="327FAC77"/>
    <w:multiLevelType w:val="hybridMultilevel"/>
    <w:lvl w:ilvl="0">
      <w:lvlJc w:val="left"/>
      <w:lvlText w:val="(%1)"/>
      <w:numFmt w:val="lowerLetter"/>
      <w:start w:val="1"/>
    </w:lvl>
  </w:abstractNum>
  <w:abstractNum w:abstractNumId="201">
    <w:nsid w:val="5A606509"/>
    <w:multiLevelType w:val="hybridMultilevel"/>
    <w:lvl w:ilvl="0">
      <w:lvlJc w:val="left"/>
      <w:lvlText w:val="(%1)"/>
      <w:numFmt w:val="lowerLetter"/>
      <w:start w:val="2"/>
    </w:lvl>
  </w:abstractNum>
  <w:abstractNum w:abstractNumId="202">
    <w:nsid w:val="6F38E6D1"/>
    <w:multiLevelType w:val="hybridMultilevel"/>
    <w:lvl w:ilvl="0">
      <w:lvlJc w:val="left"/>
      <w:lvlText w:val="(%1)"/>
      <w:numFmt w:val="lowerLetter"/>
      <w:start w:val="11"/>
    </w:lvl>
  </w:abstractNum>
  <w:abstractNum w:abstractNumId="203">
    <w:nsid w:val="46111BA5"/>
    <w:multiLevelType w:val="hybridMultilevel"/>
    <w:lvl w:ilvl="0">
      <w:lvlJc w:val="left"/>
      <w:lvlText w:val="(%1)"/>
      <w:numFmt w:val="lowerLetter"/>
      <w:start w:val="14"/>
    </w:lvl>
  </w:abstractNum>
  <w:abstractNum w:abstractNumId="204">
    <w:nsid w:val="5E963896"/>
    <w:multiLevelType w:val="hybridMultilevel"/>
    <w:lvl w:ilvl="0">
      <w:lvlJc w:val="left"/>
      <w:lvlText w:val="(%1)"/>
      <w:numFmt w:val="lowerLetter"/>
      <w:start w:val="1"/>
    </w:lvl>
  </w:abstractNum>
  <w:abstractNum w:abstractNumId="205">
    <w:nsid w:val="775BA7C1"/>
    <w:multiLevelType w:val="hybridMultilevel"/>
    <w:lvl w:ilvl="0">
      <w:lvlJc w:val="left"/>
      <w:lvlText w:val="(%1)"/>
      <w:numFmt w:val="lowerLetter"/>
      <w:start w:val="1"/>
    </w:lvl>
  </w:abstractNum>
  <w:abstractNum w:abstractNumId="206">
    <w:nsid w:val="1DD6D6F4"/>
    <w:multiLevelType w:val="hybridMultilevel"/>
    <w:lvl w:ilvl="0">
      <w:lvlJc w:val="left"/>
      <w:lvlText w:val="(%1)"/>
      <w:numFmt w:val="lowerLetter"/>
      <w:start w:val="2"/>
    </w:lvl>
  </w:abstractNum>
  <w:abstractNum w:abstractNumId="207">
    <w:nsid w:val="769A091F"/>
    <w:multiLevelType w:val="hybridMultilevel"/>
    <w:lvl w:ilvl="0">
      <w:lvlJc w:val="left"/>
      <w:lvlText w:val="(%1)"/>
      <w:numFmt w:val="lowerLetter"/>
      <w:start w:val="1"/>
    </w:lvl>
    <w:lvl w:ilvl="1">
      <w:lvlJc w:val="left"/>
      <w:lvlText w:val="(%2)"/>
      <w:numFmt w:val="lowerRoman"/>
      <w:start w:val="1"/>
    </w:lvl>
  </w:abstractNum>
  <w:abstractNum w:abstractNumId="208">
    <w:nsid w:val="4695AE95"/>
    <w:multiLevelType w:val="hybridMultilevel"/>
    <w:lvl w:ilvl="0">
      <w:lvlJc w:val="left"/>
      <w:lvlText w:val="%1"/>
      <w:numFmt w:val="lowerLetter"/>
      <w:start w:val="1"/>
    </w:lvl>
    <w:lvl w:ilvl="1">
      <w:lvlJc w:val="left"/>
      <w:lvlText w:val="(%2)"/>
      <w:numFmt w:val="lowerLetter"/>
      <w:start w:val="61"/>
    </w:lvl>
  </w:abstractNum>
  <w:abstractNum w:abstractNumId="209">
    <w:nsid w:val="777A4EAA"/>
    <w:multiLevelType w:val="hybridMultilevel"/>
    <w:lvl w:ilvl="0">
      <w:lvlJc w:val="left"/>
      <w:lvlText w:val="(%1)"/>
      <w:numFmt w:val="lowerLetter"/>
      <w:start w:val="2"/>
    </w:lvl>
    <w:lvl w:ilvl="1">
      <w:lvlJc w:val="left"/>
      <w:lvlText w:val="%2"/>
      <w:numFmt w:val="lowerLetter"/>
      <w:start w:val="1"/>
    </w:lvl>
  </w:abstractNum>
  <w:abstractNum w:abstractNumId="210">
    <w:nsid w:val="3F48B982"/>
    <w:multiLevelType w:val="hybridMultilevel"/>
    <w:lvl w:ilvl="0">
      <w:lvlJc w:val="left"/>
      <w:lvlText w:val="(%1)"/>
      <w:numFmt w:val="lowerLetter"/>
      <w:start w:val="1"/>
    </w:lvl>
  </w:abstractNum>
  <w:abstractNum w:abstractNumId="211">
    <w:nsid w:val="46BA8FCA"/>
    <w:multiLevelType w:val="hybridMultilevel"/>
    <w:lvl w:ilvl="0">
      <w:lvlJc w:val="left"/>
      <w:lvlText w:val="%1"/>
      <w:numFmt w:val="lowerLetter"/>
      <w:start w:val="1"/>
    </w:lvl>
    <w:lvl w:ilvl="1">
      <w:lvlJc w:val="left"/>
      <w:lvlText w:val="(%2)"/>
      <w:numFmt w:val="lowerLetter"/>
      <w:start w:val="3"/>
    </w:lvl>
  </w:abstractNum>
  <w:abstractNum w:abstractNumId="212">
    <w:nsid w:val="7835626C"/>
    <w:multiLevelType w:val="hybridMultilevel"/>
    <w:lvl w:ilvl="0">
      <w:lvlJc w:val="left"/>
      <w:lvlText w:val="(%1)"/>
      <w:numFmt w:val="lowerLetter"/>
      <w:start w:val="9"/>
    </w:lvl>
    <w:lvl w:ilvl="1">
      <w:lvlJc w:val="left"/>
      <w:lvlText w:val="(%2)"/>
      <w:numFmt w:val="lowerLetter"/>
      <w:start w:val="4"/>
    </w:lvl>
  </w:abstractNum>
  <w:abstractNum w:abstractNumId="213">
    <w:nsid w:val="665ACA49"/>
    <w:multiLevelType w:val="hybridMultilevel"/>
    <w:lvl w:ilvl="0">
      <w:lvlJc w:val="left"/>
      <w:lvlText w:val="(%1)"/>
      <w:numFmt w:val="lowerLetter"/>
      <w:start w:val="1"/>
    </w:lvl>
  </w:abstractNum>
  <w:abstractNum w:abstractNumId="214">
    <w:nsid w:val="6835B2AE"/>
    <w:multiLevelType w:val="hybridMultilevel"/>
    <w:lvl w:ilvl="0">
      <w:lvlJc w:val="left"/>
      <w:lvlText w:val="(%1)"/>
      <w:numFmt w:val="lowerLetter"/>
      <w:start w:val="1"/>
    </w:lvl>
  </w:abstractNum>
  <w:abstractNum w:abstractNumId="215">
    <w:nsid w:val="4C187C90"/>
    <w:multiLevelType w:val="hybridMultilevel"/>
    <w:lvl w:ilvl="0">
      <w:lvlJc w:val="left"/>
      <w:lvlText w:val="(%1)"/>
      <w:numFmt w:val="lowerLetter"/>
      <w:start w:val="1"/>
    </w:lvl>
    <w:lvl w:ilvl="1">
      <w:lvlJc w:val="left"/>
      <w:lvlText w:val="(%2)"/>
      <w:numFmt w:val="lowerRoman"/>
      <w:start w:val="1"/>
    </w:lvl>
  </w:abstractNum>
  <w:abstractNum w:abstractNumId="216">
    <w:nsid w:val="541F28CD"/>
    <w:multiLevelType w:val="hybridMultilevel"/>
    <w:lvl w:ilvl="0">
      <w:lvlJc w:val="left"/>
      <w:lvlText w:val="(%1)"/>
      <w:numFmt w:val="lowerLetter"/>
      <w:start w:val="1"/>
    </w:lvl>
    <w:lvl w:ilvl="1">
      <w:lvlJc w:val="left"/>
      <w:lvlText w:val="(%2)"/>
      <w:numFmt w:val="lowerRoman"/>
      <w:start w:val="1"/>
    </w:lvl>
  </w:abstractNum>
  <w:abstractNum w:abstractNumId="217">
    <w:nsid w:val="7F65FD16"/>
    <w:multiLevelType w:val="hybridMultilevel"/>
    <w:lvl w:ilvl="0">
      <w:lvlJc w:val="left"/>
      <w:lvlText w:val="(%1)"/>
      <w:numFmt w:val="lowerLetter"/>
      <w:start w:val="2"/>
    </w:lvl>
  </w:abstractNum>
  <w:abstractNum w:abstractNumId="218">
    <w:nsid w:val="77C9FD68"/>
    <w:multiLevelType w:val="hybridMultilevel"/>
    <w:lvl w:ilvl="0">
      <w:lvlJc w:val="left"/>
      <w:lvlText w:val="(%1)"/>
      <w:numFmt w:val="lowerLetter"/>
      <w:start w:val="3"/>
    </w:lvl>
  </w:abstractNum>
  <w:abstractNum w:abstractNumId="219">
    <w:nsid w:val="298A92BA"/>
    <w:multiLevelType w:val="hybridMultilevel"/>
    <w:lvl w:ilvl="0">
      <w:lvlJc w:val="left"/>
      <w:lvlText w:val="(%1)"/>
      <w:numFmt w:val="lowerLetter"/>
      <w:start w:val="5"/>
    </w:lvl>
  </w:abstractNum>
  <w:abstractNum w:abstractNumId="220">
    <w:nsid w:val="6FE95EAC"/>
    <w:multiLevelType w:val="hybridMultilevel"/>
    <w:lvl w:ilvl="0">
      <w:lvlJc w:val="left"/>
      <w:lvlText w:val="(%1)"/>
      <w:numFmt w:val="lowerLetter"/>
      <w:start w:val="1"/>
    </w:lvl>
  </w:abstractNum>
  <w:abstractNum w:abstractNumId="221">
    <w:nsid w:val="4B697C7A"/>
    <w:multiLevelType w:val="hybridMultilevel"/>
    <w:lvl w:ilvl="0">
      <w:lvlJc w:val="left"/>
      <w:lvlText w:val="(%1)"/>
      <w:numFmt w:val="lowerLetter"/>
      <w:start w:val="7"/>
    </w:lvl>
  </w:abstractNum>
  <w:abstractNum w:abstractNumId="222">
    <w:nsid w:val="51A27AA6"/>
    <w:multiLevelType w:val="hybridMultilevel"/>
    <w:lvl w:ilvl="0">
      <w:lvlJc w:val="left"/>
      <w:lvlText w:val="(%1)"/>
      <w:numFmt w:val="lowerLetter"/>
      <w:start w:val="1"/>
    </w:lvl>
  </w:abstractNum>
  <w:abstractNum w:abstractNumId="223">
    <w:nsid w:val="613183F2"/>
    <w:multiLevelType w:val="hybridMultilevel"/>
    <w:lvl w:ilvl="0">
      <w:lvlJc w:val="left"/>
      <w:lvlText w:val="(%1)"/>
      <w:numFmt w:val="lowerLetter"/>
      <w:start w:val="3"/>
    </w:lvl>
  </w:abstractNum>
  <w:abstractNum w:abstractNumId="224">
    <w:nsid w:val="634102B4"/>
    <w:multiLevelType w:val="hybridMultilevel"/>
    <w:lvl w:ilvl="0">
      <w:lvlJc w:val="left"/>
      <w:lvlText w:val="(%1)"/>
      <w:numFmt w:val="lowerLetter"/>
      <w:start w:val="4"/>
    </w:lvl>
  </w:abstractNum>
  <w:abstractNum w:abstractNumId="225">
    <w:nsid w:val="65BF9DA8"/>
    <w:multiLevelType w:val="hybridMultilevel"/>
    <w:lvl w:ilvl="0">
      <w:lvlJc w:val="left"/>
      <w:lvlText w:val="(%1)"/>
      <w:numFmt w:val="lowerRoman"/>
      <w:start w:val="1"/>
    </w:lvl>
  </w:abstractNum>
  <w:abstractNum w:abstractNumId="226">
    <w:nsid w:val="21A2ECCA"/>
    <w:multiLevelType w:val="hybridMultilevel"/>
    <w:lvl w:ilvl="0">
      <w:lvlJc w:val="left"/>
      <w:lvlText w:val="(%1)"/>
      <w:numFmt w:val="lowerLetter"/>
      <w:start w:val="1"/>
    </w:lvl>
  </w:abstractNum>
  <w:abstractNum w:abstractNumId="227">
    <w:nsid w:val="4D5C48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8">
    <w:nsid w:val="3C3B72B2"/>
    <w:multiLevelType w:val="hybridMultilevel"/>
    <w:lvl w:ilvl="0">
      <w:lvlJc w:val="left"/>
      <w:lvlText w:val="%1"/>
      <w:numFmt w:val="lowerRoman"/>
      <w:start w:val="1"/>
    </w:lvl>
    <w:lvl w:ilvl="1">
      <w:lvlJc w:val="left"/>
      <w:lvlText w:val="(%2)"/>
      <w:numFmt w:val="upperLetter"/>
      <w:start w:val="2"/>
    </w:lvl>
  </w:abstractNum>
  <w:abstractNum w:abstractNumId="229">
    <w:nsid w:val="155EC4C2"/>
    <w:multiLevelType w:val="hybridMultilevel"/>
    <w:lvl w:ilvl="0">
      <w:lvlJc w:val="left"/>
      <w:lvlText w:val="(%1)"/>
      <w:numFmt w:val="lowerRoman"/>
      <w:start w:val="2"/>
    </w:lvl>
    <w:lvl w:ilvl="1">
      <w:lvlJc w:val="left"/>
      <w:lvlText w:val="(%2)"/>
      <w:numFmt w:val="upperLetter"/>
      <w:start w:val="1"/>
    </w:lvl>
  </w:abstractNum>
  <w:abstractNum w:abstractNumId="230">
    <w:nsid w:val="65D2A137"/>
    <w:multiLevelType w:val="hybridMultilevel"/>
    <w:lvl w:ilvl="0">
      <w:lvlJc w:val="left"/>
      <w:lvlText w:val="(%1)"/>
      <w:numFmt w:val="lowerRoman"/>
      <w:start w:val="4"/>
    </w:lvl>
  </w:abstractNum>
  <w:abstractNum w:abstractNumId="231">
    <w:nsid w:val="6EBB1F2A"/>
    <w:multiLevelType w:val="hybridMultilevel"/>
    <w:lvl w:ilvl="0">
      <w:lvlJc w:val="left"/>
      <w:lvlText w:val="(%1)"/>
      <w:numFmt w:val="lowerLetter"/>
      <w:start w:val="3"/>
    </w:lvl>
  </w:abstractNum>
  <w:abstractNum w:abstractNumId="232">
    <w:nsid w:val="6FBF29CB"/>
    <w:multiLevelType w:val="hybridMultilevel"/>
    <w:lvl w:ilvl="0">
      <w:lvlJc w:val="left"/>
      <w:lvlText w:val="(%1)"/>
      <w:numFmt w:val="lowerLetter"/>
      <w:start w:val="5"/>
    </w:lvl>
    <w:lvl w:ilvl="1">
      <w:lvlJc w:val="left"/>
      <w:lvlText w:val="(%2)"/>
      <w:numFmt w:val="lowerLetter"/>
      <w:start w:val="9"/>
    </w:lvl>
  </w:abstractNum>
  <w:abstractNum w:abstractNumId="233">
    <w:nsid w:val="550B8808"/>
    <w:multiLevelType w:val="hybridMultilevel"/>
    <w:lvl w:ilvl="0">
      <w:lvlJc w:val="left"/>
      <w:lvlText w:val="%1"/>
      <w:numFmt w:val="upperLetter"/>
      <w:start w:val="1"/>
    </w:lvl>
    <w:lvl w:ilvl="1">
      <w:lvlJc w:val="left"/>
      <w:lvlText w:val="(%2)"/>
      <w:numFmt w:val="lowerRoman"/>
      <w:start w:val="2"/>
    </w:lvl>
  </w:abstractNum>
  <w:abstractNum w:abstractNumId="234">
    <w:nsid w:val="34CC3ACF"/>
    <w:multiLevelType w:val="hybridMultilevel"/>
    <w:lvl w:ilvl="0">
      <w:lvlJc w:val="left"/>
      <w:lvlText w:val="(%1)"/>
      <w:numFmt w:val="upperLetter"/>
      <w:start w:val="2"/>
    </w:lvl>
    <w:lvl w:ilvl="1">
      <w:lvlJc w:val="left"/>
      <w:lvlText w:val="(%2)"/>
      <w:numFmt w:val="lowerRoman"/>
      <w:start w:val="3"/>
    </w:lvl>
  </w:abstractNum>
  <w:abstractNum w:abstractNumId="235">
    <w:nsid w:val="4E556261"/>
    <w:multiLevelType w:val="hybridMultilevel"/>
    <w:lvl w:ilvl="0">
      <w:lvlJc w:val="left"/>
      <w:lvlText w:val="(%1)"/>
      <w:numFmt w:val="lowerRoman"/>
      <w:start w:val="4"/>
    </w:lvl>
  </w:abstractNum>
  <w:abstractNum w:abstractNumId="236">
    <w:nsid w:val="4C672FC9"/>
    <w:multiLevelType w:val="hybridMultilevel"/>
    <w:lvl w:ilvl="0">
      <w:lvlJc w:val="left"/>
      <w:lvlText w:val="%1"/>
      <w:numFmt w:val="upperLetter"/>
      <w:start w:val="1"/>
    </w:lvl>
    <w:lvl w:ilvl="1">
      <w:lvlJc w:val="left"/>
      <w:lvlText w:val="(%2)"/>
      <w:numFmt w:val="lowerLetter"/>
      <w:start w:val="1"/>
    </w:lvl>
  </w:abstractNum>
  <w:abstractNum w:abstractNumId="237">
    <w:nsid w:val="52A311C3"/>
    <w:multiLevelType w:val="hybridMultilevel"/>
    <w:lvl w:ilvl="0">
      <w:lvlJc w:val="left"/>
      <w:lvlText w:val="(%1)"/>
      <w:numFmt w:val="upperLetter"/>
      <w:start w:val="2"/>
    </w:lvl>
    <w:lvl w:ilvl="1">
      <w:lvlJc w:val="left"/>
      <w:lvlText w:val="%2"/>
      <w:numFmt w:val="lowerLetter"/>
      <w:start w:val="1"/>
    </w:lvl>
  </w:abstractNum>
  <w:abstractNum w:abstractNumId="238">
    <w:nsid w:val="44EF6B80"/>
    <w:multiLevelType w:val="hybridMultilevel"/>
    <w:lvl w:ilvl="0">
      <w:lvlJc w:val="left"/>
      <w:lvlText w:val="%1"/>
      <w:numFmt w:val="lowerLetter"/>
      <w:start w:val="1"/>
    </w:lvl>
    <w:lvl w:ilvl="1">
      <w:lvlJc w:val="left"/>
      <w:lvlText w:val="(%2)"/>
      <w:numFmt w:val="lowerLetter"/>
      <w:start w:val="2"/>
    </w:lvl>
  </w:abstractNum>
  <w:abstractNum w:abstractNumId="239">
    <w:nsid w:val="12FCDE5E"/>
    <w:multiLevelType w:val="hybridMultilevel"/>
    <w:lvl w:ilvl="0">
      <w:lvlJc w:val="left"/>
      <w:lvlText w:val="(%1)"/>
      <w:numFmt w:val="lowerLetter"/>
      <w:start w:val="9"/>
    </w:lvl>
    <w:lvl w:ilvl="1">
      <w:lvlJc w:val="left"/>
      <w:lvlText w:val="(%2)"/>
      <w:numFmt w:val="lowerLetter"/>
      <w:start w:val="3"/>
    </w:lvl>
  </w:abstractNum>
  <w:abstractNum w:abstractNumId="240">
    <w:nsid w:val="4A1D606E"/>
    <w:multiLevelType w:val="hybridMultilevel"/>
    <w:lvl w:ilvl="0">
      <w:lvlJc w:val="left"/>
      <w:lvlText w:val="(%1)"/>
      <w:numFmt w:val="lowerLetter"/>
      <w:start w:val="1"/>
    </w:lvl>
  </w:abstractNum>
  <w:abstractNum w:abstractNumId="241">
    <w:nsid w:val="4382503"/>
    <w:multiLevelType w:val="hybridMultilevel"/>
    <w:lvl w:ilvl="0">
      <w:lvlJc w:val="left"/>
      <w:lvlText w:val="(%1)"/>
      <w:numFmt w:val="lowerLetter"/>
      <w:start w:val="1"/>
    </w:lvl>
  </w:abstractNum>
  <w:abstractNum w:abstractNumId="242">
    <w:nsid w:val="59B76E28"/>
    <w:multiLevelType w:val="hybridMultilevel"/>
    <w:lvl w:ilvl="0">
      <w:lvlJc w:val="left"/>
      <w:lvlText w:val="(%1)"/>
      <w:numFmt w:val="lowerLetter"/>
      <w:start w:val="1"/>
    </w:lvl>
    <w:lvl w:ilvl="1">
      <w:lvlJc w:val="left"/>
      <w:lvlText w:val="(%2)"/>
      <w:numFmt w:val="lowerRoman"/>
      <w:start w:val="1"/>
    </w:lvl>
  </w:abstractNum>
  <w:abstractNum w:abstractNumId="243">
    <w:nsid w:val="4252C2DA"/>
    <w:multiLevelType w:val="hybridMultilevel"/>
    <w:lvl w:ilvl="0">
      <w:lvlJc w:val="left"/>
      <w:lvlText w:val="%1."/>
      <w:numFmt w:val="decimal"/>
      <w:start w:val="2"/>
    </w:lvl>
  </w:abstractNum>
  <w:abstractNum w:abstractNumId="244">
    <w:nsid w:val="6A92EF4C"/>
    <w:multiLevelType w:val="hybridMultilevel"/>
    <w:lvl w:ilvl="0">
      <w:lvlJc w:val="left"/>
      <w:lvlText w:val="%1."/>
      <w:numFmt w:val="decimal"/>
      <w:start w:val="1"/>
    </w:lvl>
  </w:abstractNum>
  <w:abstractNum w:abstractNumId="245">
    <w:nsid w:val="41ED20D7"/>
    <w:multiLevelType w:val="hybridMultilevel"/>
    <w:lvl w:ilvl="0">
      <w:lvlJc w:val="left"/>
      <w:lvlText w:val="%1."/>
      <w:numFmt w:val="decimal"/>
      <w:start w:val="2"/>
    </w:lvl>
  </w:abstractNum>
  <w:abstractNum w:abstractNumId="246">
    <w:nsid w:val="E6B3F6A"/>
    <w:multiLevelType w:val="hybridMultilevel"/>
    <w:lvl w:ilvl="0">
      <w:lvlJc w:val="left"/>
      <w:lvlText w:val="□"/>
      <w:numFmt w:val="bullet"/>
      <w:start w:val="1"/>
    </w:lvl>
  </w:abstractNum>
  <w:abstractNum w:abstractNumId="247">
    <w:nsid w:val="3EB21819"/>
    <w:multiLevelType w:val="hybridMultilevel"/>
    <w:lvl w:ilvl="0">
      <w:lvlJc w:val="left"/>
      <w:lvlText w:val="%1."/>
      <w:numFmt w:val="decimal"/>
      <w:start w:val="1"/>
    </w:lvl>
  </w:abstractNum>
  <w:abstractNum w:abstractNumId="248">
    <w:nsid w:val="41531DED"/>
    <w:multiLevelType w:val="hybridMultilevel"/>
    <w:lvl w:ilvl="0">
      <w:lvlJc w:val="left"/>
      <w:lvlText w:val="%1."/>
      <w:numFmt w:val="decimal"/>
      <w:start w:val="5"/>
    </w:lvl>
  </w:abstractNum>
  <w:abstractNum w:abstractNumId="249">
    <w:nsid w:val="6353CD2"/>
    <w:multiLevelType w:val="hybridMultilevel"/>
    <w:lvl w:ilvl="0">
      <w:lvlJc w:val="left"/>
      <w:lvlText w:val="%1."/>
      <w:numFmt w:val="decimal"/>
      <w:start w:val="1"/>
    </w:lvl>
  </w:abstractNum>
  <w:abstractNum w:abstractNumId="250">
    <w:nsid w:val="683CAAD3"/>
    <w:multiLevelType w:val="hybridMultilevel"/>
    <w:lvl w:ilvl="0">
      <w:lvlJc w:val="left"/>
      <w:lvlText w:val="%1."/>
      <w:numFmt w:val="decimal"/>
      <w:start w:val="3"/>
    </w:lvl>
  </w:abstractNum>
  <w:abstractNum w:abstractNumId="251">
    <w:nsid w:val="313C7C99"/>
    <w:multiLevelType w:val="hybridMultilevel"/>
    <w:lvl w:ilvl="0">
      <w:lvlJc w:val="left"/>
      <w:lvlText w:val="%1."/>
      <w:numFmt w:val="decimal"/>
      <w:start w:val="4"/>
    </w:lvl>
  </w:abstractNum>
  <w:abstractNum w:abstractNumId="252">
    <w:nsid w:val="519EB94C"/>
    <w:multiLevelType w:val="hybridMultilevel"/>
    <w:lvl w:ilvl="0">
      <w:lvlJc w:val="left"/>
      <w:lvlText w:val="%1."/>
      <w:numFmt w:val="decimal"/>
      <w:start w:val="1"/>
    </w:lvl>
  </w:abstractNum>
  <w:abstractNum w:abstractNumId="253">
    <w:nsid w:val="39DF2579"/>
    <w:multiLevelType w:val="hybridMultilevel"/>
    <w:lvl w:ilvl="0">
      <w:lvlJc w:val="left"/>
      <w:lvlText w:val="%1."/>
      <w:numFmt w:val="decimal"/>
      <w:start w:val="2"/>
    </w:lvl>
  </w:abstractNum>
  <w:abstractNum w:abstractNumId="254">
    <w:nsid w:val="126E008B"/>
    <w:multiLevelType w:val="hybridMultilevel"/>
    <w:lvl w:ilvl="0">
      <w:lvlJc w:val="left"/>
      <w:lvlText w:val="%1."/>
      <w:numFmt w:val="decimal"/>
      <w:start w:val="3"/>
    </w:lvl>
  </w:abstractNum>
  <w:abstractNum w:abstractNumId="255">
    <w:nsid w:val="34DFBC00"/>
    <w:multiLevelType w:val="hybridMultilevel"/>
    <w:lvl w:ilvl="0">
      <w:lvlJc w:val="left"/>
      <w:lvlText w:val="(%1)"/>
      <w:numFmt w:val="lowerLetter"/>
      <w:start w:val="2"/>
    </w:lvl>
  </w:abstractNum>
  <w:abstractNum w:abstractNumId="256">
    <w:nsid w:val="1F9EC322"/>
    <w:multiLevelType w:val="hybridMultilevel"/>
    <w:lvl w:ilvl="0">
      <w:lvlJc w:val="left"/>
      <w:lvlText w:val="(%1)"/>
      <w:numFmt w:val="lowerRoman"/>
      <w:start w:val="1"/>
    </w:lvl>
  </w:abstractNum>
  <w:abstractNum w:abstractNumId="257">
    <w:nsid w:val="3410ED56"/>
    <w:multiLevelType w:val="hybridMultilevel"/>
    <w:lvl w:ilvl="0">
      <w:lvlJc w:val="left"/>
      <w:lvlText w:val="(%1)"/>
      <w:numFmt w:val="lowerLetter"/>
      <w:start w:val="2"/>
    </w:lvl>
  </w:abstractNum>
  <w:abstractNum w:abstractNumId="258">
    <w:nsid w:val="23C049A"/>
    <w:multiLevelType w:val="hybridMultilevel"/>
    <w:lvl w:ilvl="0">
      <w:lvlJc w:val="left"/>
      <w:lvlText w:val="(%1)"/>
      <w:numFmt w:val="lowerLetter"/>
      <w:start w:val="1"/>
    </w:lvl>
  </w:abstractNum>
  <w:abstractNum w:abstractNumId="259">
    <w:nsid w:val="5BDA35D4"/>
    <w:multiLevelType w:val="hybridMultilevel"/>
    <w:lvl w:ilvl="0">
      <w:lvlJc w:val="left"/>
      <w:lvlText w:val="(%1)"/>
      <w:numFmt w:val="lowerLetter"/>
      <w:start w:val="1"/>
    </w:lvl>
  </w:abstractNum>
  <w:abstractNum w:abstractNumId="260">
    <w:nsid w:val="496FB218"/>
    <w:multiLevelType w:val="hybridMultilevel"/>
    <w:lvl w:ilvl="0">
      <w:lvlJc w:val="left"/>
      <w:lvlText w:val="(%1)"/>
      <w:numFmt w:val="lowerLetter"/>
      <w:start w:val="4"/>
    </w:lvl>
  </w:abstractNum>
  <w:abstractNum w:abstractNumId="261">
    <w:nsid w:val="680EA5D1"/>
    <w:multiLevelType w:val="hybridMultilevel"/>
    <w:lvl w:ilvl="0">
      <w:lvlJc w:val="left"/>
      <w:lvlText w:val="(%1)"/>
      <w:numFmt w:val="lowerLetter"/>
      <w:start w:val="2"/>
    </w:lvl>
  </w:abstractNum>
  <w:abstractNum w:abstractNumId="262">
    <w:nsid w:val="4A9554FE"/>
    <w:multiLevelType w:val="hybridMultilevel"/>
    <w:lvl w:ilvl="0">
      <w:lvlJc w:val="left"/>
      <w:lvlText w:val="(%1)"/>
      <w:numFmt w:val="lowerRoman"/>
      <w:start w:val="1"/>
    </w:lvl>
  </w:abstractNum>
  <w:abstractNum w:abstractNumId="263">
    <w:nsid w:val="392EDBE4"/>
    <w:multiLevelType w:val="hybridMultilevel"/>
    <w:lvl w:ilvl="0">
      <w:lvlJc w:val="left"/>
      <w:lvlText w:val="(%1)"/>
      <w:numFmt w:val="lowerLetter"/>
      <w:start w:val="2"/>
    </w:lvl>
  </w:abstractNum>
  <w:abstractNum w:abstractNumId="264">
    <w:nsid w:val="3D1A2DD9"/>
    <w:multiLevelType w:val="hybridMultilevel"/>
    <w:lvl w:ilvl="0">
      <w:lvlJc w:val="left"/>
      <w:lvlText w:val="(%1)"/>
      <w:numFmt w:val="lowerLetter"/>
      <w:start w:val="4"/>
    </w:lvl>
  </w:abstractNum>
  <w:abstractNum w:abstractNumId="265">
    <w:nsid w:val="7F618FCD"/>
    <w:multiLevelType w:val="hybridMultilevel"/>
    <w:lvl w:ilvl="0">
      <w:lvlJc w:val="left"/>
      <w:lvlText w:val="(%1)"/>
      <w:numFmt w:val="lowerLetter"/>
      <w:start w:val="1"/>
    </w:lvl>
  </w:abstractNum>
  <w:abstractNum w:abstractNumId="266">
    <w:nsid w:val="7843E45"/>
    <w:multiLevelType w:val="hybridMultilevel"/>
    <w:lvl w:ilvl="0">
      <w:lvlJc w:val="left"/>
      <w:lvlText w:val="(%1)"/>
      <w:numFmt w:val="lowerLetter"/>
      <w:start w:val="2"/>
    </w:lvl>
  </w:abstractNum>
  <w:abstractNum w:abstractNumId="267">
    <w:nsid w:val="9815DA3"/>
    <w:multiLevelType w:val="hybridMultilevel"/>
    <w:lvl w:ilvl="0">
      <w:lvlJc w:val="left"/>
      <w:lvlText w:val="(%1)"/>
      <w:numFmt w:val="lowerLetter"/>
      <w:start w:val="1"/>
    </w:lvl>
  </w:abstractNum>
  <w:abstractNum w:abstractNumId="268">
    <w:nsid w:val="5204A191"/>
    <w:multiLevelType w:val="hybridMultilevel"/>
    <w:lvl w:ilvl="0">
      <w:lvlJc w:val="left"/>
      <w:lvlText w:val="(%1)"/>
      <w:numFmt w:val="lowerLetter"/>
      <w:start w:val="1"/>
    </w:lvl>
  </w:abstractNum>
  <w:abstractNum w:abstractNumId="269">
    <w:nsid w:val="4C73A9C6"/>
    <w:multiLevelType w:val="hybridMultilevel"/>
    <w:lvl w:ilvl="0">
      <w:lvlJc w:val="left"/>
      <w:lvlText w:val="(%1)"/>
      <w:numFmt w:val="lowerLetter"/>
      <w:start w:val="1"/>
    </w:lvl>
  </w:abstractNum>
  <w:abstractNum w:abstractNumId="270">
    <w:nsid w:val="1C7E3C01"/>
    <w:multiLevelType w:val="hybridMultilevel"/>
    <w:lvl w:ilvl="0">
      <w:lvlJc w:val="left"/>
      <w:lvlText w:val="(%1)"/>
      <w:numFmt w:val="lowerLetter"/>
      <w:start w:val="2"/>
    </w:lvl>
  </w:abstractNum>
  <w:abstractNum w:abstractNumId="271">
    <w:nsid w:val="1C2201FF"/>
    <w:multiLevelType w:val="hybridMultilevel"/>
    <w:lvl w:ilvl="0">
      <w:lvlJc w:val="left"/>
      <w:lvlText w:val="(%1)"/>
      <w:numFmt w:val="lowerLetter"/>
      <w:start w:val="4"/>
    </w:lvl>
  </w:abstractNum>
  <w:abstractNum w:abstractNumId="272">
    <w:nsid w:val="50ABCEC9"/>
    <w:multiLevelType w:val="hybridMultilevel"/>
    <w:lvl w:ilvl="0">
      <w:lvlJc w:val="left"/>
      <w:lvlText w:val="(%1)"/>
      <w:numFmt w:val="lowerLetter"/>
      <w:start w:val="1"/>
    </w:lvl>
  </w:abstractNum>
  <w:abstractNum w:abstractNumId="273">
    <w:nsid w:val="7635AA2A"/>
    <w:multiLevelType w:val="hybridMultilevel"/>
    <w:lvl w:ilvl="0">
      <w:lvlJc w:val="left"/>
      <w:lvlText w:val="(%1)"/>
      <w:numFmt w:val="lowerLetter"/>
      <w:start w:val="2"/>
    </w:lvl>
  </w:abstractNum>
  <w:abstractNum w:abstractNumId="274">
    <w:nsid w:val="5E74C4D9"/>
    <w:multiLevelType w:val="hybridMultilevel"/>
    <w:lvl w:ilvl="0">
      <w:lvlJc w:val="left"/>
      <w:lvlText w:val="(%1)"/>
      <w:numFmt w:val="lowerLetter"/>
      <w:start w:val="1"/>
    </w:lvl>
  </w:abstractNum>
  <w:abstractNum w:abstractNumId="275">
    <w:nsid w:val="3B3EBE15"/>
    <w:multiLevelType w:val="hybridMultilevel"/>
    <w:lvl w:ilvl="0">
      <w:lvlJc w:val="left"/>
      <w:lvlText w:val="%1"/>
      <w:numFmt w:val="upperLetter"/>
      <w:start w:val="1"/>
    </w:lvl>
    <w:lvl w:ilvl="1">
      <w:lvlJc w:val="left"/>
      <w:lvlText w:val="(%2)"/>
      <w:numFmt w:val="lowerLetter"/>
      <w:start w:val="1"/>
    </w:lvl>
  </w:abstractNum>
  <w:abstractNum w:abstractNumId="276">
    <w:nsid w:val="3822CB01"/>
    <w:multiLevelType w:val="hybridMultilevel"/>
    <w:lvl w:ilvl="0">
      <w:lvlJc w:val="left"/>
      <w:lvlText w:val="(%1)"/>
      <w:numFmt w:val="upperLetter"/>
      <w:start w:val="1"/>
    </w:lvl>
    <w:lvl w:ilvl="1">
      <w:lvlJc w:val="left"/>
      <w:lvlText w:val="(%2)"/>
      <w:numFmt w:val="lowerLetter"/>
      <w:start w:val="3"/>
    </w:lvl>
  </w:abstractNum>
  <w:abstractNum w:abstractNumId="277">
    <w:nsid w:val="6CE00443"/>
    <w:multiLevelType w:val="hybridMultilevel"/>
    <w:lvl w:ilvl="0">
      <w:lvlJc w:val="left"/>
      <w:lvlText w:val="%1"/>
      <w:numFmt w:val="lowerLetter"/>
      <w:start w:val="1"/>
    </w:lvl>
    <w:lvl w:ilvl="1">
      <w:lvlJc w:val="left"/>
      <w:lvlText w:val="(%2)"/>
      <w:numFmt w:val="lowerLetter"/>
      <w:start w:val="7"/>
    </w:lvl>
  </w:abstractNum>
  <w:abstractNum w:abstractNumId="278">
    <w:nsid w:val="79F0D62F"/>
    <w:multiLevelType w:val="hybridMultilevel"/>
    <w:lvl w:ilvl="0">
      <w:lvlJc w:val="left"/>
      <w:lvlText w:val="(%1)"/>
      <w:numFmt w:val="lowerLetter"/>
      <w:start w:val="61"/>
    </w:lvl>
    <w:lvl w:ilvl="1">
      <w:lvlJc w:val="left"/>
      <w:lvlText w:val="(%2)"/>
      <w:numFmt w:val="lowerLetter"/>
      <w:start w:val="8"/>
    </w:lvl>
  </w:abstractNum>
  <w:abstractNum w:abstractNumId="279">
    <w:nsid w:val="7975E8EE"/>
    <w:multiLevelType w:val="hybridMultilevel"/>
    <w:lvl w:ilvl="0">
      <w:lvlJc w:val="left"/>
      <w:lvlText w:val="(%1)"/>
      <w:numFmt w:val="lowerLetter"/>
      <w:start w:val="35"/>
    </w:lvl>
    <w:lvl w:ilvl="1">
      <w:lvlJc w:val="left"/>
      <w:lvlText w:val="%2"/>
      <w:numFmt w:val="lowerLetter"/>
      <w:start w:val="1"/>
    </w:lvl>
  </w:abstractNum>
  <w:abstractNum w:abstractNumId="280">
    <w:nsid w:val="73154115"/>
    <w:multiLevelType w:val="hybridMultilevel"/>
    <w:lvl w:ilvl="0">
      <w:lvlJc w:val="left"/>
      <w:lvlText w:val="(%1)"/>
      <w:numFmt w:val="lowerLetter"/>
      <w:start w:val="12"/>
    </w:lvl>
  </w:abstractNum>
  <w:abstractNum w:abstractNumId="281">
    <w:nsid w:val="622D8102"/>
    <w:multiLevelType w:val="hybridMultilevel"/>
    <w:lvl w:ilvl="0">
      <w:lvlJc w:val="left"/>
      <w:lvlText w:val="%1"/>
      <w:numFmt w:val="decimal"/>
      <w:start w:val="1"/>
    </w:lvl>
    <w:lvl w:ilvl="1">
      <w:lvlJc w:val="left"/>
      <w:lvlText w:val="(%2)"/>
      <w:numFmt w:val="lowerLetter"/>
      <w:start w:val="1"/>
    </w:lvl>
  </w:abstractNum>
  <w:abstractNum w:abstractNumId="282">
    <w:nsid w:val="2AB26587"/>
    <w:multiLevelType w:val="hybridMultilevel"/>
    <w:lvl w:ilvl="0">
      <w:lvlJc w:val="left"/>
      <w:lvlText w:val="(%1)"/>
      <w:numFmt w:val="decimal"/>
      <w:start w:val="10"/>
    </w:lvl>
    <w:lvl w:ilvl="1">
      <w:lvlJc w:val="left"/>
      <w:lvlText w:val="(%2)"/>
      <w:numFmt w:val="lowerLetter"/>
      <w:start w:val="2"/>
    </w:lvl>
  </w:abstractNum>
  <w:abstractNum w:abstractNumId="283">
    <w:nsid w:val="44B3FA61"/>
    <w:multiLevelType w:val="hybridMultilevel"/>
    <w:lvl w:ilvl="0">
      <w:lvlJc w:val="left"/>
      <w:lvlText w:val="(%1)"/>
      <w:numFmt w:val="lowerLetter"/>
      <w:start w:val="4"/>
    </w:lvl>
    <w:lvl w:ilvl="1">
      <w:lvlJc w:val="left"/>
      <w:lvlText w:val="(%2)"/>
      <w:numFmt w:val="lowerRoman"/>
      <w:start w:val="1"/>
    </w:lvl>
  </w:abstractNum>
  <w:abstractNum w:abstractNumId="284">
    <w:nsid w:val="1C0CA67C"/>
    <w:multiLevelType w:val="hybridMultilevel"/>
    <w:lvl w:ilvl="0">
      <w:lvlJc w:val="left"/>
      <w:lvlText w:val="%1"/>
      <w:numFmt w:val="lowerLetter"/>
      <w:start w:val="1"/>
    </w:lvl>
    <w:lvl w:ilvl="1">
      <w:lvlJc w:val="left"/>
      <w:lvlText w:val="(%2)"/>
      <w:numFmt w:val="lowerLetter"/>
      <w:start w:val="61"/>
    </w:lvl>
  </w:abstractNum>
  <w:abstractNum w:abstractNumId="285">
    <w:nsid w:val="3D206613"/>
    <w:multiLevelType w:val="hybridMultilevel"/>
    <w:lvl w:ilvl="0">
      <w:lvlJc w:val="left"/>
      <w:lvlText w:val="(%1)"/>
      <w:numFmt w:val="lowerLetter"/>
      <w:start w:val="7"/>
    </w:lvl>
    <w:lvl w:ilvl="1">
      <w:lvlJc w:val="left"/>
      <w:lvlText w:val="%2"/>
      <w:numFmt w:val="lowerLetter"/>
      <w:start w:val="1"/>
    </w:lvl>
  </w:abstractNum>
  <w:abstractNum w:abstractNumId="286">
    <w:nsid w:val="7993B662"/>
    <w:multiLevelType w:val="hybridMultilevel"/>
    <w:lvl w:ilvl="0">
      <w:lvlJc w:val="left"/>
      <w:lvlText w:val="(%1)"/>
      <w:numFmt w:val="lowerLetter"/>
      <w:start w:val="1"/>
    </w:lvl>
  </w:abstractNum>
  <w:abstractNum w:abstractNumId="287">
    <w:nsid w:val="3BAB699E"/>
    <w:multiLevelType w:val="hybridMultilevel"/>
    <w:lvl w:ilvl="0">
      <w:lvlJc w:val="left"/>
      <w:lvlText w:val="(%1)"/>
      <w:numFmt w:val="lowerLetter"/>
      <w:start w:val="2"/>
    </w:lvl>
  </w:abstractNum>
  <w:abstractNum w:abstractNumId="288">
    <w:nsid w:val="71315369"/>
    <w:multiLevelType w:val="hybridMultilevel"/>
    <w:lvl w:ilvl="0">
      <w:lvlJc w:val="left"/>
      <w:lvlText w:val="%1"/>
      <w:numFmt w:val="lowerLetter"/>
      <w:start w:val="1"/>
    </w:lvl>
    <w:lvl w:ilvl="1">
      <w:lvlJc w:val="left"/>
      <w:lvlText w:val="(%2)"/>
      <w:numFmt w:val="lowerRoman"/>
      <w:start w:val="1"/>
    </w:lvl>
  </w:abstractNum>
  <w:abstractNum w:abstractNumId="289">
    <w:nsid w:val="7BCFBAFC"/>
    <w:multiLevelType w:val="hybridMultilevel"/>
    <w:lvl w:ilvl="0">
      <w:lvlJc w:val="left"/>
      <w:lvlText w:val="(%1)"/>
      <w:numFmt w:val="lowerLetter"/>
      <w:start w:val="2"/>
    </w:lvl>
    <w:lvl w:ilvl="1">
      <w:lvlJc w:val="left"/>
      <w:lvlText w:val="%2"/>
      <w:numFmt w:val="lowerRoman"/>
      <w:start w:val="1"/>
    </w:lvl>
  </w:abstractNum>
  <w:abstractNum w:abstractNumId="290">
    <w:nsid w:val="17859F72"/>
    <w:multiLevelType w:val="hybridMultilevel"/>
    <w:lvl w:ilvl="0">
      <w:lvlJc w:val="left"/>
      <w:lvlText w:val="(%1)"/>
      <w:numFmt w:val="lowerLetter"/>
      <w:start w:val="4"/>
    </w:lvl>
  </w:abstractNum>
  <w:abstractNum w:abstractNumId="291">
    <w:nsid w:val="3AA10581"/>
    <w:multiLevelType w:val="hybridMultilevel"/>
    <w:lvl w:ilvl="0">
      <w:lvlJc w:val="left"/>
      <w:lvlText w:val="(%1)"/>
      <w:numFmt w:val="lowerLetter"/>
      <w:start w:val="1"/>
    </w:lvl>
  </w:abstractNum>
  <w:abstractNum w:abstractNumId="292">
    <w:nsid w:val="63DE60CD"/>
    <w:multiLevelType w:val="hybridMultilevel"/>
    <w:lvl w:ilvl="0">
      <w:lvlJc w:val="left"/>
      <w:lvlText w:val="(%1)"/>
      <w:numFmt w:val="lowerLetter"/>
      <w:start w:val="1"/>
    </w:lvl>
  </w:abstractNum>
  <w:abstractNum w:abstractNumId="293">
    <w:nsid w:val="621AF471"/>
    <w:multiLevelType w:val="hybridMultilevel"/>
    <w:lvl w:ilvl="0">
      <w:lvlJc w:val="left"/>
      <w:lvlText w:val="(%1)"/>
      <w:numFmt w:val="lowerLetter"/>
      <w:start w:val="1"/>
    </w:lvl>
  </w:abstractNum>
  <w:abstractNum w:abstractNumId="294">
    <w:nsid w:val="73CFE165"/>
    <w:multiLevelType w:val="hybridMultilevel"/>
    <w:lvl w:ilvl="0">
      <w:lvlJc w:val="left"/>
      <w:lvlText w:val="(%1)"/>
      <w:numFmt w:val="lowerLetter"/>
      <w:start w:val="3"/>
    </w:lvl>
  </w:abstractNum>
  <w:abstractNum w:abstractNumId="295">
    <w:nsid w:val="20F88EA6"/>
    <w:multiLevelType w:val="hybridMultilevel"/>
    <w:lvl w:ilvl="0">
      <w:lvlJc w:val="left"/>
      <w:lvlText w:val="(%1)"/>
      <w:numFmt w:val="lowerLetter"/>
      <w:start w:val="1"/>
    </w:lvl>
  </w:abstractNum>
  <w:abstractNum w:abstractNumId="296">
    <w:nsid w:val="617C843E"/>
    <w:multiLevelType w:val="hybridMultilevel"/>
    <w:lvl w:ilvl="0">
      <w:lvlJc w:val="left"/>
      <w:lvlText w:val="(%1)"/>
      <w:numFmt w:val="lowerLetter"/>
      <w:start w:val="1"/>
    </w:lvl>
  </w:abstractNum>
  <w:abstractNum w:abstractNumId="297">
    <w:nsid w:val="7B541FAB"/>
    <w:multiLevelType w:val="hybridMultilevel"/>
    <w:lvl w:ilvl="0">
      <w:lvlJc w:val="left"/>
      <w:lvlText w:val="(%1)"/>
      <w:numFmt w:val="lowerLetter"/>
      <w:start w:val="1"/>
    </w:lvl>
  </w:abstractNum>
  <w:abstractNum w:abstractNumId="298">
    <w:nsid w:val="2A79EC49"/>
    <w:multiLevelType w:val="hybridMultilevel"/>
    <w:lvl w:ilvl="0">
      <w:lvlJc w:val="left"/>
      <w:lvlText w:val="(%1)"/>
      <w:numFmt w:val="lowerLetter"/>
      <w:start w:val="1"/>
    </w:lvl>
  </w:abstractNum>
  <w:abstractNum w:abstractNumId="299">
    <w:nsid w:val="338125CF"/>
    <w:multiLevelType w:val="hybridMultilevel"/>
    <w:lvl w:ilvl="0">
      <w:lvlJc w:val="left"/>
      <w:lvlText w:val="*"/>
      <w:numFmt w:val="bullet"/>
      <w:start w:val="1"/>
    </w:lvl>
  </w:abstractNum>
  <w:abstractNum w:abstractNumId="300">
    <w:nsid w:val="47C7C971"/>
    <w:multiLevelType w:val="hybridMultilevel"/>
    <w:lvl w:ilvl="0">
      <w:lvlJc w:val="left"/>
      <w:lvlText w:val="%1."/>
      <w:numFmt w:val="decimal"/>
      <w:start w:val="1"/>
    </w:lvl>
    <w:lvl w:ilvl="1">
      <w:lvlJc w:val="left"/>
      <w:lvlText w:val="%2."/>
      <w:numFmt w:val="lowerLetter"/>
      <w:start w:val="1"/>
    </w:lvl>
  </w:abstractNum>
  <w:abstractNum w:abstractNumId="301">
    <w:nsid w:val="46F8284B"/>
    <w:multiLevelType w:val="hybridMultilevel"/>
    <w:lvl w:ilvl="0">
      <w:lvlJc w:val="left"/>
      <w:lvlText w:val="%1."/>
      <w:numFmt w:val="decimal"/>
      <w:start w:val="1"/>
    </w:lvl>
    <w:lvl w:ilvl="1">
      <w:lvlJc w:val="left"/>
      <w:lvlText w:val="%2."/>
      <w:numFmt w:val="lowerLetter"/>
      <w:start w:val="1"/>
    </w:lvl>
  </w:abstractNum>
  <w:abstractNum w:abstractNumId="302">
    <w:nsid w:val="4FA327CE"/>
    <w:multiLevelType w:val="hybridMultilevel"/>
    <w:lvl w:ilvl="0">
      <w:lvlJc w:val="left"/>
      <w:lvlText w:val="%1."/>
      <w:numFmt w:val="decimal"/>
      <w:start w:val="1"/>
    </w:lvl>
  </w:abstractNum>
  <w:abstractNum w:abstractNumId="303">
    <w:nsid w:val="187398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2020-11-03T07:25:13Z</dcterms:created>
  <dcterms:modified xsi:type="dcterms:W3CDTF">2020-11-03T07:25:13Z</dcterms:modified>
</cp:coreProperties>
</file>